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城乡居民基本医疗保险住院待遇及报销流程</w:t>
      </w:r>
    </w:p>
    <w:p>
      <w:p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一、参保人员在定点医院发生的符合城乡居民基本医疗保险基金支付范围的住院医疗费用，个人起付标准及报销比例如下表：</w:t>
      </w:r>
    </w:p>
    <w:tbl>
      <w:tblPr>
        <w:tblStyle w:val="3"/>
        <w:tblW w:w="8320" w:type="dxa"/>
        <w:tblCellSpacing w:w="0" w:type="dxa"/>
        <w:tblInd w:w="15" w:type="dxa"/>
        <w:shd w:val="clear" w:color="auto" w:fill="auto"/>
        <w:tblLayout w:type="fixed"/>
        <w:tblCellMar>
          <w:top w:w="0" w:type="dxa"/>
          <w:left w:w="0" w:type="dxa"/>
          <w:bottom w:w="0" w:type="dxa"/>
          <w:right w:w="0" w:type="dxa"/>
        </w:tblCellMar>
      </w:tblPr>
      <w:tblGrid>
        <w:gridCol w:w="2080"/>
        <w:gridCol w:w="1020"/>
        <w:gridCol w:w="1400"/>
        <w:gridCol w:w="1560"/>
        <w:gridCol w:w="2260"/>
      </w:tblGrid>
      <w:tr>
        <w:tblPrEx>
          <w:shd w:val="clear" w:color="auto" w:fill="auto"/>
          <w:tblLayout w:type="fixed"/>
          <w:tblCellMar>
            <w:top w:w="0" w:type="dxa"/>
            <w:left w:w="0" w:type="dxa"/>
            <w:bottom w:w="0" w:type="dxa"/>
            <w:right w:w="0" w:type="dxa"/>
          </w:tblCellMar>
        </w:tblPrEx>
        <w:trPr>
          <w:trHeight w:val="78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医疗机构</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一级</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二级</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三级</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省外</w:t>
            </w:r>
          </w:p>
        </w:tc>
      </w:tr>
      <w:tr>
        <w:tblPrEx>
          <w:shd w:val="clear" w:color="auto" w:fill="auto"/>
          <w:tblLayout w:type="fixed"/>
          <w:tblCellMar>
            <w:top w:w="0" w:type="dxa"/>
            <w:left w:w="0" w:type="dxa"/>
            <w:bottom w:w="0" w:type="dxa"/>
            <w:right w:w="0" w:type="dxa"/>
          </w:tblCellMar>
        </w:tblPrEx>
        <w:trPr>
          <w:trHeight w:val="54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起付标准</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300元</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600元</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800元</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1000元</w:t>
            </w:r>
          </w:p>
        </w:tc>
      </w:tr>
      <w:tr>
        <w:tblPrEx>
          <w:shd w:val="clear" w:color="auto" w:fill="auto"/>
          <w:tblLayout w:type="fixed"/>
          <w:tblCellMar>
            <w:top w:w="0" w:type="dxa"/>
            <w:left w:w="0" w:type="dxa"/>
            <w:bottom w:w="0" w:type="dxa"/>
            <w:right w:w="0" w:type="dxa"/>
          </w:tblCellMar>
        </w:tblPrEx>
        <w:trPr>
          <w:trHeight w:val="78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报销比例</w:t>
            </w:r>
          </w:p>
        </w:tc>
        <w:tc>
          <w:tcPr>
            <w:tcW w:w="102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90%</w:t>
            </w:r>
          </w:p>
        </w:tc>
        <w:tc>
          <w:tcPr>
            <w:tcW w:w="140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75%</w:t>
            </w:r>
          </w:p>
        </w:tc>
        <w:tc>
          <w:tcPr>
            <w:tcW w:w="15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60%</w:t>
            </w:r>
          </w:p>
        </w:tc>
        <w:tc>
          <w:tcPr>
            <w:tcW w:w="226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55%</w:t>
            </w:r>
          </w:p>
        </w:tc>
      </w:tr>
      <w:tr>
        <w:tblPrEx>
          <w:shd w:val="clear" w:color="auto" w:fill="auto"/>
          <w:tblLayout w:type="fixed"/>
          <w:tblCellMar>
            <w:top w:w="0" w:type="dxa"/>
            <w:left w:w="0" w:type="dxa"/>
            <w:bottom w:w="0" w:type="dxa"/>
            <w:right w:w="0" w:type="dxa"/>
          </w:tblCellMar>
        </w:tblPrEx>
        <w:trPr>
          <w:trHeight w:val="900" w:hRule="atLeast"/>
          <w:tblCellSpacing w:w="0" w:type="dxa"/>
        </w:trPr>
        <w:tc>
          <w:tcPr>
            <w:tcW w:w="2080" w:type="dxa"/>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最高支付限额</w:t>
            </w:r>
          </w:p>
        </w:tc>
        <w:tc>
          <w:tcPr>
            <w:tcW w:w="6240" w:type="dxa"/>
            <w:gridSpan w:val="4"/>
            <w:tcBorders>
              <w:top w:val="single" w:color="080000" w:sz="6" w:space="0"/>
              <w:left w:val="single" w:color="080000" w:sz="6" w:space="0"/>
              <w:bottom w:val="single" w:color="080000" w:sz="6" w:space="0"/>
              <w:right w:val="single" w:color="080000" w:sz="6" w:space="0"/>
            </w:tcBorders>
            <w:shd w:val="clear" w:color="auto" w:fill="auto"/>
            <w:tcMar>
              <w:top w:w="72" w:type="dxa"/>
              <w:left w:w="144" w:type="dxa"/>
              <w:bottom w:w="72" w:type="dxa"/>
              <w:right w:w="144" w:type="dxa"/>
            </w:tcMar>
            <w:vAlign w:val="top"/>
          </w:tcPr>
          <w:p>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color w:val="000000"/>
                <w:sz w:val="30"/>
                <w:szCs w:val="30"/>
              </w:rPr>
              <w:t>40000元</w:t>
            </w:r>
          </w:p>
        </w:tc>
      </w:tr>
    </w:tbl>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住院医用材料报销</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1、单项（套）费用单价≤1000元的，按住院比例报销；</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2、单项（套）费用单价1000-10000元（含10000元）的，个人先自费30%，剩余部分统筹基金再按50%支付；（35%）</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3、单项（套）费用单价10000-50000元（含50000元）的，个人先自费40%，剩余部分统筹基金再按50%支付；（30%）</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4、单项（套）费用单价＞50000元的，个人 先自费50%，剩余部分统筹基金再按50%支付;</w:t>
      </w:r>
      <w:bookmarkStart w:id="0" w:name="_GoBack"/>
      <w:bookmarkEnd w:id="0"/>
      <w:r>
        <w:rPr>
          <w:rFonts w:hint="eastAsia" w:ascii="仿宋" w:hAnsi="仿宋" w:eastAsia="仿宋" w:cs="仿宋"/>
          <w:sz w:val="30"/>
          <w:szCs w:val="30"/>
          <w:lang w:val="en-US" w:eastAsia="zh-CN"/>
        </w:rPr>
        <w:t>（25%）</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重大疾病范围和待遇</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大疾病保障病种范围:儿童白血病、儿童先心病、宫颈癌、乳腺癌、耐多药肺结核、艾滋病机会性感染、儿童尿道下裂、儿童苯丙酮尿症（0-6岁）、肺癌、食道癌、胃癌、结肠癌、直肠癌、慢性粒细胞性白血病、急性心肌梗塞、脑梗塞、血友病、I型糖尿病、甲亢、唇腭裂、尿毒症（终末期肾病）、重性精神病等22种疾病参保人员在二级及以上定点医疗机构第一诊断符合重大疾病范围（尿毒症和重性精神病除外）的医疗费用，不设起付标准，符合治疗方式发生的医疗费用统筹基金支付70%，纳入年度医疗保险最高支付限额累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二、参保人员住院生育的医疗费用报销</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参保人员发生住院分娩的医疗费用，统筹区内县乡两级定点医院实行包干结算：县级顺产1500元，剖宫产2400元；乡级顺产1500元，剖宫产1800元。市级及其他医院实行最高支付限额：顺产 1500元，剖宫产2400元。其他与生育相关的医疗费用按基本医疗保险政策支付，其中：诊断为保胎、不孕不育的不予支付。</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948A2"/>
    <w:rsid w:val="16372780"/>
    <w:rsid w:val="17C55B0E"/>
    <w:rsid w:val="25690357"/>
    <w:rsid w:val="2589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2019-08-14T03:17:00Z</dcterms:created>
  <dc:creator>2fyibao</dc:creator>
  <cp:lastModifiedBy>暖暖</cp:lastModifiedBy>
  <dcterms:modified xsi:type="dcterms:W3CDTF">2019-08-15T07:12:53Z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