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10.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Override PartName="/word/theme/themeOverride1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theme/themeOverride9.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pPr>
    </w:p>
    <w:p>
      <w:pPr>
        <w:ind w:firstLine="560"/>
      </w:pPr>
    </w:p>
    <w:p>
      <w:pPr>
        <w:ind w:firstLine="560"/>
      </w:pPr>
    </w:p>
    <w:p>
      <w:pPr>
        <w:ind w:firstLine="560"/>
      </w:pPr>
    </w:p>
    <w:p>
      <w:pPr>
        <w:ind w:firstLine="560"/>
      </w:pPr>
    </w:p>
    <w:p>
      <w:pPr>
        <w:spacing w:line="276" w:lineRule="auto"/>
        <w:ind w:firstLine="0" w:firstLineChars="0"/>
        <w:jc w:val="center"/>
        <w:rPr>
          <w:rFonts w:ascii="华文隶书" w:hAnsi="黑体" w:eastAsia="华文隶书"/>
          <w:b/>
          <w:color w:val="000000" w:themeColor="text1"/>
          <w:sz w:val="52"/>
          <w:szCs w:val="52"/>
          <w14:textFill>
            <w14:solidFill>
              <w14:schemeClr w14:val="tx1"/>
            </w14:solidFill>
          </w14:textFill>
        </w:rPr>
      </w:pPr>
      <w:r>
        <w:rPr>
          <w:rFonts w:hint="eastAsia" w:ascii="华文隶书" w:hAnsi="黑体" w:eastAsia="华文隶书"/>
          <w:b/>
          <w:color w:val="000000" w:themeColor="text1"/>
          <w:sz w:val="52"/>
          <w:szCs w:val="52"/>
          <w14:textFill>
            <w14:solidFill>
              <w14:schemeClr w14:val="tx1"/>
            </w14:solidFill>
          </w14:textFill>
        </w:rPr>
        <w:t>澄江市“十四五”财政发展规划</w:t>
      </w:r>
    </w:p>
    <w:p>
      <w:pPr>
        <w:spacing w:line="276" w:lineRule="auto"/>
        <w:ind w:firstLine="0" w:firstLineChars="0"/>
        <w:jc w:val="center"/>
        <w:rPr>
          <w:rFonts w:ascii="华文隶书" w:hAnsi="黑体" w:eastAsia="华文隶书"/>
          <w:b/>
          <w:color w:val="000000" w:themeColor="text1"/>
          <w:sz w:val="52"/>
          <w:szCs w:val="52"/>
          <w14:textFill>
            <w14:solidFill>
              <w14:schemeClr w14:val="tx1"/>
            </w14:solidFill>
          </w14:textFill>
        </w:rPr>
      </w:pPr>
      <w:r>
        <w:rPr>
          <w:rFonts w:hint="eastAsia" w:ascii="华文隶书" w:hAnsi="黑体" w:eastAsia="华文隶书"/>
          <w:b/>
          <w:color w:val="000000" w:themeColor="text1"/>
          <w:sz w:val="52"/>
          <w:szCs w:val="52"/>
          <w14:textFill>
            <w14:solidFill>
              <w14:schemeClr w14:val="tx1"/>
            </w14:solidFill>
          </w14:textFill>
        </w:rPr>
        <w:t>研究报告</w:t>
      </w: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jc w:val="center"/>
        <w:rPr>
          <w:rFonts w:ascii="黑体" w:hAnsi="黑体" w:eastAsia="黑体"/>
          <w:b/>
          <w:color w:val="000000" w:themeColor="text1"/>
          <w:szCs w:val="28"/>
          <w14:textFill>
            <w14:solidFill>
              <w14:schemeClr w14:val="tx1"/>
            </w14:solidFill>
          </w14:textFill>
        </w:rPr>
      </w:pPr>
    </w:p>
    <w:p>
      <w:pPr>
        <w:spacing w:line="276" w:lineRule="auto"/>
        <w:ind w:firstLine="562"/>
        <w:rPr>
          <w:rFonts w:ascii="黑体" w:hAnsi="黑体" w:eastAsia="黑体"/>
          <w:b/>
          <w:color w:val="000000" w:themeColor="text1"/>
          <w:szCs w:val="28"/>
          <w14:textFill>
            <w14:solidFill>
              <w14:schemeClr w14:val="tx1"/>
            </w14:solidFill>
          </w14:textFill>
        </w:rPr>
      </w:pPr>
      <w:r>
        <w:rPr>
          <w:rFonts w:hint="eastAsia" w:ascii="黑体" w:hAnsi="黑体" w:eastAsia="黑体"/>
          <w:b/>
          <w:color w:val="000000" w:themeColor="text1"/>
          <w:szCs w:val="2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3219450</wp:posOffset>
                </wp:positionH>
                <wp:positionV relativeFrom="paragraph">
                  <wp:posOffset>201930</wp:posOffset>
                </wp:positionV>
                <wp:extent cx="1152525" cy="533400"/>
                <wp:effectExtent l="0" t="0" r="9525" b="0"/>
                <wp:wrapNone/>
                <wp:docPr id="3" name="文本框 3"/>
                <wp:cNvGraphicFramePr/>
                <a:graphic xmlns:a="http://schemas.openxmlformats.org/drawingml/2006/main">
                  <a:graphicData uri="http://schemas.microsoft.com/office/word/2010/wordprocessingShape">
                    <wps:wsp>
                      <wps:cNvSpPr txBox="true"/>
                      <wps:spPr>
                        <a:xfrm>
                          <a:off x="0" y="0"/>
                          <a:ext cx="11525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ascii="华文新魏" w:eastAsia="华文新魏"/>
                                <w:b/>
                                <w:sz w:val="48"/>
                                <w:szCs w:val="48"/>
                              </w:rPr>
                            </w:pPr>
                            <w:r>
                              <w:rPr>
                                <w:rFonts w:hint="eastAsia" w:ascii="华文新魏" w:eastAsia="华文新魏"/>
                                <w:b/>
                                <w:sz w:val="48"/>
                                <w:szCs w:val="48"/>
                              </w:rPr>
                              <w:t>课题组</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253.5pt;margin-top:15.9pt;height:42pt;width:90.75pt;z-index:251661312;mso-width-relative:page;mso-height-relative:page;" fillcolor="#FFFFFF [3201]" filled="t" stroked="f" coordsize="21600,21600" o:gfxdata="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BsyqSu1QAAAAoB&#10;AAAPAAAAAAAAAAEAIAAAADgAAABkcnMvZG93bnJldi54bWxQSwECFAAUAAAACACHTuJAUu/GMUEC&#10;AABhBAAADgAAAAAAAAABACAAAAA6AQAAZHJzL2Uyb0RvYy54bWxQSwUGAAAAAAYABgBZAQAA7QUA&#10;AAAA&#10;">
                <v:fill on="t" focussize="0,0"/>
                <v:stroke on="f" weight="0.5pt"/>
                <v:imagedata o:title=""/>
                <o:lock v:ext="edit" aspectratio="f"/>
                <v:textbox>
                  <w:txbxContent>
                    <w:p>
                      <w:pPr>
                        <w:ind w:firstLine="0" w:firstLineChars="0"/>
                        <w:rPr>
                          <w:rFonts w:ascii="华文新魏" w:eastAsia="华文新魏"/>
                          <w:b/>
                          <w:sz w:val="48"/>
                          <w:szCs w:val="48"/>
                        </w:rPr>
                      </w:pPr>
                      <w:r>
                        <w:rPr>
                          <w:rFonts w:hint="eastAsia" w:ascii="华文新魏" w:eastAsia="华文新魏"/>
                          <w:b/>
                          <w:sz w:val="48"/>
                          <w:szCs w:val="48"/>
                        </w:rPr>
                        <w:t>课题组</w:t>
                      </w:r>
                    </w:p>
                  </w:txbxContent>
                </v:textbox>
              </v:shape>
            </w:pict>
          </mc:Fallback>
        </mc:AlternateContent>
      </w:r>
      <w:r>
        <w:rPr>
          <w:rFonts w:ascii="黑体" w:hAnsi="黑体" w:eastAsia="黑体"/>
          <w:b/>
          <w:color w:val="000000" w:themeColor="text1"/>
          <w:szCs w:val="28"/>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1095375</wp:posOffset>
                </wp:positionH>
                <wp:positionV relativeFrom="paragraph">
                  <wp:posOffset>1270</wp:posOffset>
                </wp:positionV>
                <wp:extent cx="1943100" cy="923925"/>
                <wp:effectExtent l="0" t="0" r="0" b="9525"/>
                <wp:wrapNone/>
                <wp:docPr id="2" name="文本框 2"/>
                <wp:cNvGraphicFramePr/>
                <a:graphic xmlns:a="http://schemas.openxmlformats.org/drawingml/2006/main">
                  <a:graphicData uri="http://schemas.microsoft.com/office/word/2010/wordprocessingShape">
                    <wps:wsp>
                      <wps:cNvSpPr txBox="true"/>
                      <wps:spPr>
                        <a:xfrm>
                          <a:off x="0" y="0"/>
                          <a:ext cx="194310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76" w:lineRule="auto"/>
                              <w:ind w:firstLine="0" w:firstLineChars="0"/>
                              <w:jc w:val="center"/>
                              <w:rPr>
                                <w:rFonts w:ascii="华文新魏" w:eastAsia="华文新魏"/>
                                <w:b/>
                                <w:sz w:val="44"/>
                                <w:szCs w:val="44"/>
                              </w:rPr>
                            </w:pPr>
                            <w:r>
                              <w:rPr>
                                <w:rFonts w:hint="eastAsia" w:ascii="华文新魏" w:eastAsia="华文新魏"/>
                                <w:b/>
                                <w:sz w:val="44"/>
                                <w:szCs w:val="44"/>
                              </w:rPr>
                              <w:t>云南财经大学</w:t>
                            </w:r>
                          </w:p>
                          <w:p>
                            <w:pPr>
                              <w:spacing w:line="276" w:lineRule="auto"/>
                              <w:ind w:firstLine="0" w:firstLineChars="0"/>
                              <w:jc w:val="center"/>
                              <w:rPr>
                                <w:rFonts w:ascii="华文新魏" w:eastAsia="华文新魏"/>
                                <w:b/>
                                <w:sz w:val="44"/>
                                <w:szCs w:val="44"/>
                              </w:rPr>
                            </w:pPr>
                            <w:r>
                              <w:rPr>
                                <w:rFonts w:hint="eastAsia" w:ascii="华文新魏" w:eastAsia="华文新魏"/>
                                <w:b/>
                                <w:sz w:val="44"/>
                                <w:szCs w:val="44"/>
                              </w:rPr>
                              <w:t>澄江市财政局</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86.25pt;margin-top:0.1pt;height:72.75pt;width:153pt;z-index:251660288;mso-width-relative:page;mso-height-relative:page;" fillcolor="#FFFFFF [3201]" filled="t" stroked="f" coordsize="21600,21600" o:gfxdata="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ORZlz0wAAAAgBAAAP&#10;AAAAAAAAAAEAIAAAADgAAABkcnMvZG93bnJldi54bWxQSwECFAAUAAAACACHTuJA19BKvkACAABh&#10;BAAADgAAAAAAAAABACAAAAA4AQAAZHJzL2Uyb0RvYy54bWxQSwUGAAAAAAYABgBZAQAA6gUAAAAA&#10;">
                <v:fill on="t" focussize="0,0"/>
                <v:stroke on="f" weight="0.5pt"/>
                <v:imagedata o:title=""/>
                <o:lock v:ext="edit" aspectratio="f"/>
                <v:textbox>
                  <w:txbxContent>
                    <w:p>
                      <w:pPr>
                        <w:spacing w:line="276" w:lineRule="auto"/>
                        <w:ind w:firstLine="0" w:firstLineChars="0"/>
                        <w:jc w:val="center"/>
                        <w:rPr>
                          <w:rFonts w:ascii="华文新魏" w:eastAsia="华文新魏"/>
                          <w:b/>
                          <w:sz w:val="44"/>
                          <w:szCs w:val="44"/>
                        </w:rPr>
                      </w:pPr>
                      <w:r>
                        <w:rPr>
                          <w:rFonts w:hint="eastAsia" w:ascii="华文新魏" w:eastAsia="华文新魏"/>
                          <w:b/>
                          <w:sz w:val="44"/>
                          <w:szCs w:val="44"/>
                        </w:rPr>
                        <w:t>云南财经大学</w:t>
                      </w:r>
                    </w:p>
                    <w:p>
                      <w:pPr>
                        <w:spacing w:line="276" w:lineRule="auto"/>
                        <w:ind w:firstLine="0" w:firstLineChars="0"/>
                        <w:jc w:val="center"/>
                        <w:rPr>
                          <w:rFonts w:ascii="华文新魏" w:eastAsia="华文新魏"/>
                          <w:b/>
                          <w:sz w:val="44"/>
                          <w:szCs w:val="44"/>
                        </w:rPr>
                      </w:pPr>
                      <w:r>
                        <w:rPr>
                          <w:rFonts w:hint="eastAsia" w:ascii="华文新魏" w:eastAsia="华文新魏"/>
                          <w:b/>
                          <w:sz w:val="44"/>
                          <w:szCs w:val="44"/>
                        </w:rPr>
                        <w:t>澄江市财政局</w:t>
                      </w:r>
                    </w:p>
                  </w:txbxContent>
                </v:textbox>
              </v:shape>
            </w:pict>
          </mc:Fallback>
        </mc:AlternateContent>
      </w:r>
    </w:p>
    <w:p>
      <w:pPr>
        <w:spacing w:line="276" w:lineRule="auto"/>
        <w:ind w:firstLine="562"/>
        <w:rPr>
          <w:rFonts w:ascii="黑体" w:hAnsi="黑体" w:eastAsia="黑体"/>
          <w:b/>
          <w:color w:val="000000" w:themeColor="text1"/>
          <w:szCs w:val="28"/>
          <w14:textFill>
            <w14:solidFill>
              <w14:schemeClr w14:val="tx1"/>
            </w14:solidFill>
          </w14:textFill>
        </w:rPr>
      </w:pPr>
    </w:p>
    <w:p>
      <w:pPr>
        <w:spacing w:line="276" w:lineRule="auto"/>
        <w:ind w:firstLine="721"/>
        <w:jc w:val="center"/>
        <w:rPr>
          <w:rFonts w:ascii="华文新魏" w:hAnsi="黑体" w:eastAsia="华文新魏"/>
          <w:b/>
          <w:color w:val="000000" w:themeColor="text1"/>
          <w:sz w:val="36"/>
          <w:szCs w:val="36"/>
          <w14:textFill>
            <w14:solidFill>
              <w14:schemeClr w14:val="tx1"/>
            </w14:solidFill>
          </w14:textFill>
        </w:rPr>
      </w:pPr>
    </w:p>
    <w:p>
      <w:pPr>
        <w:spacing w:line="276" w:lineRule="auto"/>
        <w:ind w:firstLine="721"/>
        <w:rPr>
          <w:rFonts w:ascii="华文新魏" w:hAnsi="黑体" w:eastAsia="华文新魏"/>
          <w:b/>
          <w:color w:val="000000" w:themeColor="text1"/>
          <w:sz w:val="36"/>
          <w:szCs w:val="36"/>
          <w14:textFill>
            <w14:solidFill>
              <w14:schemeClr w14:val="tx1"/>
            </w14:solidFill>
          </w14:textFill>
        </w:rPr>
      </w:pPr>
    </w:p>
    <w:p>
      <w:pPr>
        <w:spacing w:line="276" w:lineRule="auto"/>
        <w:ind w:firstLine="721"/>
        <w:rPr>
          <w:rFonts w:ascii="华文新魏" w:hAnsi="黑体" w:eastAsia="华文新魏"/>
          <w:b/>
          <w:color w:val="000000" w:themeColor="text1"/>
          <w:sz w:val="36"/>
          <w:szCs w:val="36"/>
          <w14:textFill>
            <w14:solidFill>
              <w14:schemeClr w14:val="tx1"/>
            </w14:solidFill>
          </w14:textFill>
        </w:rPr>
      </w:pPr>
    </w:p>
    <w:p>
      <w:pPr>
        <w:spacing w:line="276" w:lineRule="auto"/>
        <w:ind w:firstLine="0" w:firstLineChars="0"/>
        <w:jc w:val="center"/>
        <w:rPr>
          <w:rFonts w:ascii="华文新魏" w:eastAsia="华文新魏"/>
          <w:b/>
          <w:sz w:val="44"/>
          <w:szCs w:val="44"/>
        </w:rPr>
      </w:pPr>
      <w:r>
        <w:rPr>
          <w:rFonts w:hint="eastAsia" w:ascii="华文新魏" w:eastAsia="华文新魏"/>
          <w:b/>
          <w:sz w:val="44"/>
          <w:szCs w:val="44"/>
        </w:rPr>
        <w:t>二〇二一年一月</w:t>
      </w:r>
    </w:p>
    <w:p>
      <w:pPr>
        <w:ind w:firstLine="560"/>
      </w:pPr>
    </w:p>
    <w:p>
      <w:pPr>
        <w:pStyle w:val="2"/>
        <w:ind w:firstLine="643"/>
      </w:pPr>
      <w:bookmarkStart w:id="0" w:name="_Toc63005403"/>
      <w:bookmarkStart w:id="1" w:name="_Toc52057343"/>
      <w:r>
        <w:rPr>
          <w:rFonts w:hint="eastAsia"/>
        </w:rPr>
        <w:t>前 言</w:t>
      </w:r>
      <w:bookmarkEnd w:id="0"/>
      <w:bookmarkEnd w:id="1"/>
    </w:p>
    <w:p>
      <w:pPr>
        <w:ind w:firstLine="560"/>
      </w:pPr>
      <w:r>
        <w:rPr>
          <w:rFonts w:hint="eastAsia"/>
        </w:rPr>
        <w:t>财政是国家治理的基础和重要支柱。“十四五”时期既是澄江市加快建设“三个国际城市”深入实施“生态立市、开放兴市、旅游强市”战略的攻坚时期，又是全面加快建立现代财政制度强化财政作为地方治理的基础和重要支柱开创澄江经济社会高质量发展新局面的重要阶段。因此，研究制定澄江市“十四五”财政发展规划，对支撑澄江市高质量跨越式发展、转变发展方式、</w:t>
      </w:r>
      <w:r>
        <w:rPr>
          <w:rFonts w:hint="eastAsia"/>
          <w:lang w:eastAsia="zh-CN"/>
        </w:rPr>
        <w:t>推进国家治理体系和治理能力现代化</w:t>
      </w:r>
      <w:r>
        <w:rPr>
          <w:rFonts w:hint="eastAsia"/>
        </w:rPr>
        <w:t>具有重要意义。</w:t>
      </w:r>
    </w:p>
    <w:p>
      <w:pPr>
        <w:ind w:firstLine="560"/>
        <w:rPr>
          <w:szCs w:val="32"/>
        </w:rPr>
      </w:pPr>
      <w:r>
        <w:rPr>
          <w:rFonts w:hint="eastAsia"/>
        </w:rPr>
        <w:t>《澄江市“十四五”财政发展规划研究报告》以深入分析澄江市“十四五”财政发展的基础和面临的形势为出发点，以全面加强财政作为澄江市“十四五”经济社会发展的基础和重要支撑为基本目标，以财政的高质量发展促进澄江经济社会高质量发展和发展方式转变为核心，科学规划澄江市“十四五”财政发展的思路、目标和主要任务，科学预测未来政府各项财力变动并具体提出主要支出领域的基本规划安排，加快建设适应澄江市经济社会高质量发展需要的现代财政制度体系和框架。本研究将对“十四五”澄江市财政发展提供战略性指导和政策指引，是澄江市深入推进“生态立市、开放兴市、旅游强市”</w:t>
      </w:r>
      <w:r>
        <w:t>战略</w:t>
      </w:r>
      <w:r>
        <w:rPr>
          <w:rFonts w:hint="eastAsia"/>
        </w:rPr>
        <w:t>的基础性制度保障，是加快建设“三个国际城市”的重要支柱</w:t>
      </w:r>
      <w:r>
        <w:t>，</w:t>
      </w:r>
      <w:r>
        <w:rPr>
          <w:rFonts w:hint="eastAsia"/>
        </w:rPr>
        <w:t>也是全面实现澄江经济社会高质量发展发展和发展方式转变的关键所在</w:t>
      </w:r>
      <w:r>
        <w:rPr>
          <w:szCs w:val="32"/>
        </w:rPr>
        <w:t>。</w:t>
      </w:r>
    </w:p>
    <w:p>
      <w:pPr>
        <w:widowControl/>
        <w:spacing w:line="240" w:lineRule="auto"/>
        <w:ind w:firstLine="0" w:firstLineChars="0"/>
        <w:jc w:val="left"/>
        <w:rPr>
          <w:szCs w:val="32"/>
        </w:rPr>
      </w:pPr>
      <w:r>
        <w:rPr>
          <w:szCs w:val="32"/>
        </w:rPr>
        <w:br w:type="page"/>
      </w:r>
    </w:p>
    <w:sdt>
      <w:sdtPr>
        <w:rPr>
          <w:rFonts w:ascii="仿宋" w:eastAsia="仿宋" w:hAnsiTheme="minorHAnsi" w:cstheme="minorBidi"/>
          <w:b w:val="0"/>
          <w:bCs w:val="0"/>
          <w:color w:val="auto"/>
          <w:kern w:val="2"/>
          <w:szCs w:val="22"/>
          <w:lang w:val="zh-CN"/>
        </w:rPr>
        <w:id w:val="88590175"/>
      </w:sdtPr>
      <w:sdtEndPr>
        <w:rPr>
          <w:rFonts w:ascii="仿宋" w:hAnsi="仿宋" w:eastAsia="仿宋" w:cstheme="minorBidi"/>
          <w:b/>
          <w:bCs w:val="0"/>
          <w:color w:val="auto"/>
          <w:kern w:val="2"/>
          <w:sz w:val="24"/>
          <w:szCs w:val="24"/>
          <w:lang w:val="zh-CN"/>
        </w:rPr>
      </w:sdtEndPr>
      <w:sdtContent>
        <w:p>
          <w:pPr>
            <w:pStyle w:val="42"/>
            <w:ind w:firstLine="560"/>
            <w:jc w:val="center"/>
          </w:pPr>
          <w:bookmarkStart w:id="2" w:name="_Toc52057345"/>
          <w:r>
            <w:rPr>
              <w:lang w:val="zh-CN"/>
            </w:rPr>
            <w:t>目录</w:t>
          </w:r>
        </w:p>
        <w:p>
          <w:pPr>
            <w:pStyle w:val="15"/>
            <w:tabs>
              <w:tab w:val="right" w:leader="dot" w:pos="8296"/>
            </w:tabs>
            <w:spacing w:line="520" w:lineRule="exact"/>
            <w:rPr>
              <w:rFonts w:ascii="仿宋" w:hAnsi="仿宋" w:cstheme="minorBidi"/>
              <w:b w:val="0"/>
              <w:bCs w:val="0"/>
              <w:caps w:val="0"/>
              <w:sz w:val="24"/>
              <w:szCs w:val="24"/>
            </w:rPr>
          </w:pPr>
          <w:r>
            <w:rPr>
              <w:rFonts w:ascii="仿宋" w:hAnsi="仿宋"/>
              <w:bCs w:val="0"/>
              <w:caps w:val="0"/>
              <w:sz w:val="24"/>
              <w:szCs w:val="24"/>
            </w:rPr>
            <w:fldChar w:fldCharType="begin"/>
          </w:r>
          <w:r>
            <w:rPr>
              <w:rFonts w:ascii="仿宋" w:hAnsi="仿宋"/>
              <w:bCs w:val="0"/>
              <w:caps w:val="0"/>
              <w:sz w:val="24"/>
              <w:szCs w:val="24"/>
            </w:rPr>
            <w:instrText xml:space="preserve"> TOC \o "1-3" \h \z \u </w:instrText>
          </w:r>
          <w:r>
            <w:rPr>
              <w:rFonts w:ascii="仿宋" w:hAnsi="仿宋"/>
              <w:bCs w:val="0"/>
              <w:caps w:val="0"/>
              <w:sz w:val="24"/>
              <w:szCs w:val="24"/>
            </w:rPr>
            <w:fldChar w:fldCharType="separate"/>
          </w:r>
          <w:r>
            <w:fldChar w:fldCharType="begin"/>
          </w:r>
          <w:r>
            <w:instrText xml:space="preserve"> HYPERLINK \l "_Toc63005403" </w:instrText>
          </w:r>
          <w:r>
            <w:fldChar w:fldCharType="separate"/>
          </w:r>
          <w:r>
            <w:rPr>
              <w:rStyle w:val="27"/>
              <w:rFonts w:hint="eastAsia" w:ascii="仿宋" w:hAnsi="仿宋"/>
              <w:sz w:val="24"/>
              <w:szCs w:val="24"/>
            </w:rPr>
            <w:t>前</w:t>
          </w:r>
          <w:r>
            <w:rPr>
              <w:rStyle w:val="27"/>
              <w:rFonts w:ascii="仿宋" w:hAnsi="仿宋"/>
              <w:sz w:val="24"/>
              <w:szCs w:val="24"/>
            </w:rPr>
            <w:t xml:space="preserve"> </w:t>
          </w:r>
          <w:r>
            <w:rPr>
              <w:rStyle w:val="27"/>
              <w:rFonts w:hint="eastAsia" w:ascii="仿宋" w:hAnsi="仿宋"/>
              <w:sz w:val="24"/>
              <w:szCs w:val="24"/>
            </w:rPr>
            <w:t>言</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_Toc63005403 \h </w:instrText>
          </w:r>
          <w:r>
            <w:rPr>
              <w:rFonts w:ascii="仿宋" w:hAnsi="仿宋"/>
              <w:sz w:val="24"/>
              <w:szCs w:val="24"/>
            </w:rPr>
            <w:fldChar w:fldCharType="separate"/>
          </w:r>
          <w:r>
            <w:rPr>
              <w:rFonts w:ascii="仿宋" w:hAnsi="仿宋"/>
              <w:sz w:val="24"/>
              <w:szCs w:val="24"/>
            </w:rPr>
            <w:t>1</w:t>
          </w:r>
          <w:r>
            <w:rPr>
              <w:rFonts w:ascii="仿宋" w:hAnsi="仿宋"/>
              <w:sz w:val="24"/>
              <w:szCs w:val="24"/>
            </w:rPr>
            <w:fldChar w:fldCharType="end"/>
          </w:r>
          <w:r>
            <w:rPr>
              <w:rFonts w:ascii="仿宋" w:hAnsi="仿宋"/>
              <w:sz w:val="24"/>
              <w:szCs w:val="24"/>
            </w:rPr>
            <w:fldChar w:fldCharType="end"/>
          </w:r>
        </w:p>
        <w:p>
          <w:pPr>
            <w:pStyle w:val="15"/>
            <w:tabs>
              <w:tab w:val="right" w:leader="dot" w:pos="8296"/>
            </w:tabs>
            <w:spacing w:line="500" w:lineRule="exact"/>
            <w:rPr>
              <w:rFonts w:ascii="仿宋" w:hAnsi="仿宋" w:cstheme="minorBidi"/>
              <w:b w:val="0"/>
              <w:bCs w:val="0"/>
              <w:caps w:val="0"/>
              <w:sz w:val="24"/>
              <w:szCs w:val="24"/>
            </w:rPr>
          </w:pPr>
          <w:r>
            <w:fldChar w:fldCharType="begin"/>
          </w:r>
          <w:r>
            <w:instrText xml:space="preserve"> HYPERLINK \l "_Toc63005404" </w:instrText>
          </w:r>
          <w:r>
            <w:fldChar w:fldCharType="separate"/>
          </w:r>
          <w:r>
            <w:rPr>
              <w:rStyle w:val="27"/>
              <w:rFonts w:hint="eastAsia" w:ascii="仿宋" w:hAnsi="仿宋"/>
              <w:sz w:val="24"/>
              <w:szCs w:val="24"/>
            </w:rPr>
            <w:t>第一篇</w:t>
          </w:r>
          <w:r>
            <w:rPr>
              <w:rStyle w:val="27"/>
              <w:rFonts w:ascii="仿宋" w:hAnsi="仿宋"/>
              <w:sz w:val="24"/>
              <w:szCs w:val="24"/>
            </w:rPr>
            <w:t xml:space="preserve">  </w:t>
          </w:r>
          <w:r>
            <w:rPr>
              <w:rStyle w:val="27"/>
              <w:rFonts w:hint="eastAsia" w:ascii="仿宋" w:hAnsi="仿宋"/>
              <w:sz w:val="24"/>
              <w:szCs w:val="24"/>
            </w:rPr>
            <w:t>发展基础与形势分析</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_Toc63005404 \h </w:instrText>
          </w:r>
          <w:r>
            <w:rPr>
              <w:rFonts w:ascii="仿宋" w:hAnsi="仿宋"/>
              <w:sz w:val="24"/>
              <w:szCs w:val="24"/>
            </w:rPr>
            <w:fldChar w:fldCharType="separate"/>
          </w:r>
          <w:r>
            <w:rPr>
              <w:rFonts w:ascii="仿宋" w:hAnsi="仿宋"/>
              <w:sz w:val="24"/>
              <w:szCs w:val="24"/>
            </w:rPr>
            <w:t>4</w:t>
          </w:r>
          <w:r>
            <w:rPr>
              <w:rFonts w:ascii="仿宋" w:hAnsi="仿宋"/>
              <w:sz w:val="24"/>
              <w:szCs w:val="24"/>
            </w:rPr>
            <w:fldChar w:fldCharType="end"/>
          </w:r>
          <w:r>
            <w:rPr>
              <w:rFonts w:ascii="仿宋" w:hAnsi="仿宋"/>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"_Toc63005405" </w:instrText>
          </w:r>
          <w:r>
            <w:fldChar w:fldCharType="separate"/>
          </w:r>
          <w:r>
            <w:rPr>
              <w:rStyle w:val="27"/>
              <w:rFonts w:hint="eastAsia" w:ascii="仿宋" w:hAnsi="仿宋"/>
              <w:sz w:val="24"/>
              <w:szCs w:val="24"/>
            </w:rPr>
            <w:t>第一章</w:t>
          </w:r>
          <w:r>
            <w:rPr>
              <w:rStyle w:val="27"/>
              <w:rFonts w:ascii="仿宋" w:hAnsi="仿宋"/>
              <w:sz w:val="24"/>
              <w:szCs w:val="24"/>
            </w:rPr>
            <w:t xml:space="preserve">  </w:t>
          </w:r>
          <w:r>
            <w:rPr>
              <w:rStyle w:val="27"/>
              <w:rFonts w:hint="eastAsia" w:ascii="仿宋" w:hAnsi="仿宋"/>
              <w:sz w:val="24"/>
              <w:szCs w:val="24"/>
            </w:rPr>
            <w:t>“十三五”财政发展取得的成就</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_Toc63005405 \h </w:instrText>
          </w:r>
          <w:r>
            <w:rPr>
              <w:rFonts w:ascii="仿宋" w:hAnsi="仿宋"/>
              <w:sz w:val="24"/>
              <w:szCs w:val="24"/>
            </w:rPr>
            <w:fldChar w:fldCharType="separate"/>
          </w:r>
          <w:r>
            <w:rPr>
              <w:rFonts w:ascii="仿宋" w:hAnsi="仿宋"/>
              <w:sz w:val="24"/>
              <w:szCs w:val="24"/>
            </w:rPr>
            <w:t>4</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"_Toc63005406" </w:instrText>
          </w:r>
          <w:r>
            <w:fldChar w:fldCharType="separate"/>
          </w:r>
          <w:r>
            <w:rPr>
              <w:rStyle w:val="27"/>
              <w:rFonts w:hint="eastAsia" w:ascii="仿宋" w:hAnsi="仿宋"/>
              <w:i w:val="0"/>
              <w:sz w:val="24"/>
              <w:szCs w:val="24"/>
            </w:rPr>
            <w:t>一、财政收入规模增长较快，</w:t>
          </w:r>
          <w:r>
            <w:rPr>
              <w:rStyle w:val="27"/>
              <w:rFonts w:hint="eastAsia" w:ascii="仿宋" w:hAnsi="仿宋" w:cs="Times New Roman"/>
              <w:i w:val="0"/>
              <w:sz w:val="24"/>
              <w:szCs w:val="24"/>
            </w:rPr>
            <w:t>收入组织能力稳步加强</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_Toc63005406 \h </w:instrText>
          </w:r>
          <w:r>
            <w:rPr>
              <w:rFonts w:ascii="仿宋" w:hAnsi="仿宋"/>
              <w:i w:val="0"/>
              <w:sz w:val="24"/>
              <w:szCs w:val="24"/>
            </w:rPr>
            <w:fldChar w:fldCharType="separate"/>
          </w:r>
          <w:r>
            <w:rPr>
              <w:rFonts w:ascii="仿宋" w:hAnsi="仿宋"/>
              <w:i w:val="0"/>
              <w:sz w:val="24"/>
              <w:szCs w:val="24"/>
            </w:rPr>
            <w:t>4</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"_Toc63005407" </w:instrText>
          </w:r>
          <w:r>
            <w:fldChar w:fldCharType="separate"/>
          </w:r>
          <w:r>
            <w:rPr>
              <w:rStyle w:val="27"/>
              <w:rFonts w:hint="eastAsia" w:ascii="仿宋" w:hAnsi="仿宋"/>
              <w:i w:val="0"/>
              <w:sz w:val="24"/>
              <w:szCs w:val="24"/>
            </w:rPr>
            <w:t>二、财政支出规模持续扩大，支柱保障功能有效提升</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_Toc63005407 \h </w:instrText>
          </w:r>
          <w:r>
            <w:rPr>
              <w:rFonts w:ascii="仿宋" w:hAnsi="仿宋"/>
              <w:i w:val="0"/>
              <w:sz w:val="24"/>
              <w:szCs w:val="24"/>
            </w:rPr>
            <w:fldChar w:fldCharType="separate"/>
          </w:r>
          <w:r>
            <w:rPr>
              <w:rFonts w:ascii="仿宋" w:hAnsi="仿宋"/>
              <w:i w:val="0"/>
              <w:sz w:val="24"/>
              <w:szCs w:val="24"/>
            </w:rPr>
            <w:t>9</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"_Toc63005408" </w:instrText>
          </w:r>
          <w:r>
            <w:fldChar w:fldCharType="separate"/>
          </w:r>
          <w:r>
            <w:rPr>
              <w:rStyle w:val="27"/>
              <w:rFonts w:hint="eastAsia" w:ascii="仿宋" w:hAnsi="仿宋"/>
              <w:i w:val="0"/>
              <w:sz w:val="24"/>
              <w:szCs w:val="24"/>
            </w:rPr>
            <w:t>三、财政管理规范性不断加强，财政治理效能稳步改善</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_Toc63005408 \h </w:instrText>
          </w:r>
          <w:r>
            <w:rPr>
              <w:rFonts w:ascii="仿宋" w:hAnsi="仿宋"/>
              <w:i w:val="0"/>
              <w:sz w:val="24"/>
              <w:szCs w:val="24"/>
            </w:rPr>
            <w:fldChar w:fldCharType="separate"/>
          </w:r>
          <w:r>
            <w:rPr>
              <w:rFonts w:ascii="仿宋" w:hAnsi="仿宋"/>
              <w:i w:val="0"/>
              <w:sz w:val="24"/>
              <w:szCs w:val="24"/>
            </w:rPr>
            <w:t>17</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"_Toc63005409" </w:instrText>
          </w:r>
          <w:r>
            <w:fldChar w:fldCharType="separate"/>
          </w:r>
          <w:r>
            <w:rPr>
              <w:rStyle w:val="27"/>
              <w:rFonts w:hint="eastAsia" w:ascii="仿宋" w:hAnsi="仿宋"/>
              <w:i w:val="0"/>
              <w:sz w:val="24"/>
              <w:szCs w:val="24"/>
            </w:rPr>
            <w:t>四、财政改革持续推进，积极探索财政发展新路子</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_Toc63005409 \h </w:instrText>
          </w:r>
          <w:r>
            <w:rPr>
              <w:rFonts w:ascii="仿宋" w:hAnsi="仿宋"/>
              <w:i w:val="0"/>
              <w:sz w:val="24"/>
              <w:szCs w:val="24"/>
            </w:rPr>
            <w:fldChar w:fldCharType="separate"/>
          </w:r>
          <w:r>
            <w:rPr>
              <w:rFonts w:ascii="仿宋" w:hAnsi="仿宋"/>
              <w:i w:val="0"/>
              <w:sz w:val="24"/>
              <w:szCs w:val="24"/>
            </w:rPr>
            <w:t>20</w:t>
          </w:r>
          <w:r>
            <w:rPr>
              <w:rFonts w:ascii="仿宋" w:hAnsi="仿宋"/>
              <w:i w:val="0"/>
              <w:sz w:val="24"/>
              <w:szCs w:val="24"/>
            </w:rPr>
            <w:fldChar w:fldCharType="end"/>
          </w:r>
          <w:r>
            <w:rPr>
              <w:rFonts w:ascii="仿宋" w:hAnsi="仿宋"/>
              <w:i w:val="0"/>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"_Toc63005410" </w:instrText>
          </w:r>
          <w:r>
            <w:fldChar w:fldCharType="separate"/>
          </w:r>
          <w:r>
            <w:rPr>
              <w:rStyle w:val="27"/>
              <w:rFonts w:hint="eastAsia" w:ascii="仿宋" w:hAnsi="仿宋"/>
              <w:sz w:val="24"/>
              <w:szCs w:val="24"/>
            </w:rPr>
            <w:t>第二章</w:t>
          </w:r>
          <w:r>
            <w:rPr>
              <w:rStyle w:val="27"/>
              <w:rFonts w:ascii="仿宋" w:hAnsi="仿宋"/>
              <w:sz w:val="24"/>
              <w:szCs w:val="24"/>
            </w:rPr>
            <w:t xml:space="preserve">  </w:t>
          </w:r>
          <w:r>
            <w:rPr>
              <w:rStyle w:val="27"/>
              <w:rFonts w:hint="eastAsia" w:ascii="仿宋" w:hAnsi="仿宋"/>
              <w:sz w:val="24"/>
              <w:szCs w:val="24"/>
            </w:rPr>
            <w:t>“十三五”财政运行存在的问题</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_Toc63005410 \h </w:instrText>
          </w:r>
          <w:r>
            <w:rPr>
              <w:rFonts w:ascii="仿宋" w:hAnsi="仿宋"/>
              <w:sz w:val="24"/>
              <w:szCs w:val="24"/>
            </w:rPr>
            <w:fldChar w:fldCharType="separate"/>
          </w:r>
          <w:r>
            <w:rPr>
              <w:rFonts w:ascii="仿宋" w:hAnsi="仿宋"/>
              <w:sz w:val="24"/>
              <w:szCs w:val="24"/>
            </w:rPr>
            <w:t>22</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"_Toc63005411" </w:instrText>
          </w:r>
          <w:r>
            <w:fldChar w:fldCharType="separate"/>
          </w:r>
          <w:r>
            <w:rPr>
              <w:rStyle w:val="27"/>
              <w:rFonts w:hint="eastAsia" w:ascii="仿宋" w:hAnsi="仿宋"/>
              <w:i w:val="0"/>
              <w:sz w:val="24"/>
              <w:szCs w:val="24"/>
            </w:rPr>
            <w:t>一、财政收支矛盾突出，财政平衡压力不断加大</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_Toc63005411 \h </w:instrText>
          </w:r>
          <w:r>
            <w:rPr>
              <w:rFonts w:ascii="仿宋" w:hAnsi="仿宋"/>
              <w:i w:val="0"/>
              <w:sz w:val="24"/>
              <w:szCs w:val="24"/>
            </w:rPr>
            <w:fldChar w:fldCharType="separate"/>
          </w:r>
          <w:r>
            <w:rPr>
              <w:rFonts w:ascii="仿宋" w:hAnsi="仿宋"/>
              <w:i w:val="0"/>
              <w:sz w:val="24"/>
              <w:szCs w:val="24"/>
            </w:rPr>
            <w:t>22</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"_Toc63005412" </w:instrText>
          </w:r>
          <w:r>
            <w:fldChar w:fldCharType="separate"/>
          </w:r>
          <w:r>
            <w:rPr>
              <w:rStyle w:val="27"/>
              <w:rFonts w:hint="eastAsia" w:ascii="仿宋" w:hAnsi="仿宋"/>
              <w:i w:val="0"/>
              <w:sz w:val="24"/>
              <w:szCs w:val="24"/>
            </w:rPr>
            <w:t>二、政府债务规模持续扩大，防范和化解风险压力剧增</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_Toc63005412 \h </w:instrText>
          </w:r>
          <w:r>
            <w:rPr>
              <w:rFonts w:ascii="仿宋" w:hAnsi="仿宋"/>
              <w:i w:val="0"/>
              <w:sz w:val="24"/>
              <w:szCs w:val="24"/>
            </w:rPr>
            <w:fldChar w:fldCharType="separate"/>
          </w:r>
          <w:r>
            <w:rPr>
              <w:rFonts w:ascii="仿宋" w:hAnsi="仿宋"/>
              <w:i w:val="0"/>
              <w:sz w:val="24"/>
              <w:szCs w:val="24"/>
            </w:rPr>
            <w:t>28</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"_Toc63005413" </w:instrText>
          </w:r>
          <w:r>
            <w:fldChar w:fldCharType="separate"/>
          </w:r>
          <w:r>
            <w:rPr>
              <w:rStyle w:val="27"/>
              <w:rFonts w:hint="eastAsia" w:ascii="仿宋" w:hAnsi="仿宋"/>
              <w:i w:val="0"/>
              <w:sz w:val="24"/>
              <w:szCs w:val="24"/>
            </w:rPr>
            <w:t>三、财政体制调整缓慢，财政管理有待完善</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_Toc63005413 \h </w:instrText>
          </w:r>
          <w:r>
            <w:rPr>
              <w:rFonts w:ascii="仿宋" w:hAnsi="仿宋"/>
              <w:i w:val="0"/>
              <w:sz w:val="24"/>
              <w:szCs w:val="24"/>
            </w:rPr>
            <w:fldChar w:fldCharType="separate"/>
          </w:r>
          <w:r>
            <w:rPr>
              <w:rFonts w:ascii="仿宋" w:hAnsi="仿宋"/>
              <w:i w:val="0"/>
              <w:sz w:val="24"/>
              <w:szCs w:val="24"/>
            </w:rPr>
            <w:t>29</w:t>
          </w:r>
          <w:r>
            <w:rPr>
              <w:rFonts w:ascii="仿宋" w:hAnsi="仿宋"/>
              <w:i w:val="0"/>
              <w:sz w:val="24"/>
              <w:szCs w:val="24"/>
            </w:rPr>
            <w:fldChar w:fldCharType="end"/>
          </w:r>
          <w:r>
            <w:rPr>
              <w:rFonts w:ascii="仿宋" w:hAnsi="仿宋"/>
              <w:i w:val="0"/>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"_Toc63005414" </w:instrText>
          </w:r>
          <w:r>
            <w:fldChar w:fldCharType="separate"/>
          </w:r>
          <w:r>
            <w:rPr>
              <w:rStyle w:val="27"/>
              <w:rFonts w:hint="eastAsia" w:ascii="仿宋" w:hAnsi="仿宋"/>
              <w:sz w:val="24"/>
              <w:szCs w:val="24"/>
            </w:rPr>
            <w:t>第三章</w:t>
          </w:r>
          <w:r>
            <w:rPr>
              <w:rStyle w:val="27"/>
              <w:rFonts w:ascii="仿宋" w:hAnsi="仿宋"/>
              <w:sz w:val="24"/>
              <w:szCs w:val="24"/>
            </w:rPr>
            <w:t xml:space="preserve">  </w:t>
          </w:r>
          <w:r>
            <w:rPr>
              <w:rStyle w:val="27"/>
              <w:rFonts w:hint="eastAsia" w:ascii="仿宋" w:hAnsi="仿宋"/>
              <w:sz w:val="24"/>
              <w:szCs w:val="24"/>
            </w:rPr>
            <w:t>“十四五”财政发展面临的形势</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_Toc63005414 \h </w:instrText>
          </w:r>
          <w:r>
            <w:rPr>
              <w:rFonts w:ascii="仿宋" w:hAnsi="仿宋"/>
              <w:sz w:val="24"/>
              <w:szCs w:val="24"/>
            </w:rPr>
            <w:fldChar w:fldCharType="separate"/>
          </w:r>
          <w:r>
            <w:rPr>
              <w:rFonts w:ascii="仿宋" w:hAnsi="仿宋"/>
              <w:sz w:val="24"/>
              <w:szCs w:val="24"/>
            </w:rPr>
            <w:t>30</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"_Toc63005415" </w:instrText>
          </w:r>
          <w:r>
            <w:fldChar w:fldCharType="separate"/>
          </w:r>
          <w:r>
            <w:rPr>
              <w:rStyle w:val="27"/>
              <w:rFonts w:hint="eastAsia" w:ascii="仿宋" w:hAnsi="仿宋"/>
              <w:i w:val="0"/>
              <w:sz w:val="24"/>
              <w:szCs w:val="24"/>
            </w:rPr>
            <w:t>一、“十四五”财政发展的机遇</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_Toc63005415 \h </w:instrText>
          </w:r>
          <w:r>
            <w:rPr>
              <w:rFonts w:ascii="仿宋" w:hAnsi="仿宋"/>
              <w:i w:val="0"/>
              <w:sz w:val="24"/>
              <w:szCs w:val="24"/>
            </w:rPr>
            <w:fldChar w:fldCharType="separate"/>
          </w:r>
          <w:r>
            <w:rPr>
              <w:rFonts w:ascii="仿宋" w:hAnsi="仿宋"/>
              <w:i w:val="0"/>
              <w:sz w:val="24"/>
              <w:szCs w:val="24"/>
            </w:rPr>
            <w:t>30</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"_Toc63005416" </w:instrText>
          </w:r>
          <w:r>
            <w:fldChar w:fldCharType="separate"/>
          </w:r>
          <w:r>
            <w:rPr>
              <w:rStyle w:val="27"/>
              <w:rFonts w:hint="eastAsia" w:ascii="仿宋" w:hAnsi="仿宋"/>
              <w:i w:val="0"/>
              <w:sz w:val="24"/>
              <w:szCs w:val="24"/>
            </w:rPr>
            <w:t>二、“十四五”财政面临的挑战</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_Toc63005416 \h </w:instrText>
          </w:r>
          <w:r>
            <w:rPr>
              <w:rFonts w:ascii="仿宋" w:hAnsi="仿宋"/>
              <w:i w:val="0"/>
              <w:sz w:val="24"/>
              <w:szCs w:val="24"/>
            </w:rPr>
            <w:fldChar w:fldCharType="separate"/>
          </w:r>
          <w:r>
            <w:rPr>
              <w:rFonts w:ascii="仿宋" w:hAnsi="仿宋"/>
              <w:i w:val="0"/>
              <w:sz w:val="24"/>
              <w:szCs w:val="24"/>
            </w:rPr>
            <w:t>33</w:t>
          </w:r>
          <w:r>
            <w:rPr>
              <w:rFonts w:ascii="仿宋" w:hAnsi="仿宋"/>
              <w:i w:val="0"/>
              <w:sz w:val="24"/>
              <w:szCs w:val="24"/>
            </w:rPr>
            <w:fldChar w:fldCharType="end"/>
          </w:r>
          <w:r>
            <w:rPr>
              <w:rFonts w:ascii="仿宋" w:hAnsi="仿宋"/>
              <w:i w:val="0"/>
              <w:sz w:val="24"/>
              <w:szCs w:val="24"/>
            </w:rPr>
            <w:fldChar w:fldCharType="end"/>
          </w:r>
        </w:p>
        <w:p>
          <w:pPr>
            <w:pStyle w:val="15"/>
            <w:tabs>
              <w:tab w:val="right" w:leader="dot" w:pos="8296"/>
            </w:tabs>
            <w:spacing w:line="500" w:lineRule="exact"/>
            <w:rPr>
              <w:rFonts w:ascii="仿宋" w:hAnsi="仿宋" w:cstheme="minorBidi"/>
              <w:b w:val="0"/>
              <w:bCs w:val="0"/>
              <w:caps w:val="0"/>
              <w:sz w:val="24"/>
              <w:szCs w:val="24"/>
            </w:rPr>
          </w:pPr>
          <w:r>
            <w:fldChar w:fldCharType="begin"/>
          </w:r>
          <w:r>
            <w:instrText xml:space="preserve"> HYPERLINK \l "_Toc63005417" </w:instrText>
          </w:r>
          <w:r>
            <w:fldChar w:fldCharType="separate"/>
          </w:r>
          <w:r>
            <w:rPr>
              <w:rStyle w:val="27"/>
              <w:rFonts w:hint="eastAsia" w:ascii="仿宋" w:hAnsi="仿宋"/>
              <w:sz w:val="24"/>
              <w:szCs w:val="24"/>
              <w:lang w:val="zh-CN"/>
            </w:rPr>
            <w:t>第二篇</w:t>
          </w:r>
          <w:r>
            <w:rPr>
              <w:rStyle w:val="27"/>
              <w:rFonts w:ascii="仿宋" w:hAnsi="仿宋"/>
              <w:sz w:val="24"/>
              <w:szCs w:val="24"/>
              <w:lang w:val="zh-CN"/>
            </w:rPr>
            <w:t xml:space="preserve">  </w:t>
          </w:r>
          <w:r>
            <w:rPr>
              <w:rStyle w:val="27"/>
              <w:rFonts w:hint="eastAsia" w:ascii="仿宋" w:hAnsi="仿宋"/>
              <w:sz w:val="24"/>
              <w:szCs w:val="24"/>
            </w:rPr>
            <w:t>发展思路与主要任务</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_Toc63005417 \h </w:instrText>
          </w:r>
          <w:r>
            <w:rPr>
              <w:rFonts w:ascii="仿宋" w:hAnsi="仿宋"/>
              <w:sz w:val="24"/>
              <w:szCs w:val="24"/>
            </w:rPr>
            <w:fldChar w:fldCharType="separate"/>
          </w:r>
          <w:r>
            <w:rPr>
              <w:rFonts w:ascii="仿宋" w:hAnsi="仿宋"/>
              <w:sz w:val="24"/>
              <w:szCs w:val="24"/>
            </w:rPr>
            <w:t>35</w:t>
          </w:r>
          <w:r>
            <w:rPr>
              <w:rFonts w:ascii="仿宋" w:hAnsi="仿宋"/>
              <w:sz w:val="24"/>
              <w:szCs w:val="24"/>
            </w:rPr>
            <w:fldChar w:fldCharType="end"/>
          </w:r>
          <w:r>
            <w:rPr>
              <w:rFonts w:ascii="仿宋" w:hAnsi="仿宋"/>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"_Toc63005418" </w:instrText>
          </w:r>
          <w:r>
            <w:fldChar w:fldCharType="separate"/>
          </w:r>
          <w:r>
            <w:rPr>
              <w:rStyle w:val="27"/>
              <w:rFonts w:hint="eastAsia" w:ascii="仿宋" w:hAnsi="仿宋"/>
              <w:sz w:val="24"/>
              <w:szCs w:val="24"/>
            </w:rPr>
            <w:t>第四章</w:t>
          </w:r>
          <w:r>
            <w:rPr>
              <w:rStyle w:val="27"/>
              <w:rFonts w:ascii="仿宋" w:hAnsi="仿宋"/>
              <w:sz w:val="24"/>
              <w:szCs w:val="24"/>
            </w:rPr>
            <w:t xml:space="preserve">  </w:t>
          </w:r>
          <w:r>
            <w:rPr>
              <w:rStyle w:val="27"/>
              <w:rFonts w:hint="eastAsia" w:ascii="仿宋" w:hAnsi="仿宋"/>
              <w:sz w:val="24"/>
              <w:szCs w:val="24"/>
            </w:rPr>
            <w:t>“十四五”财政发展思路</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_Toc63005418 \h </w:instrText>
          </w:r>
          <w:r>
            <w:rPr>
              <w:rFonts w:ascii="仿宋" w:hAnsi="仿宋"/>
              <w:sz w:val="24"/>
              <w:szCs w:val="24"/>
            </w:rPr>
            <w:fldChar w:fldCharType="separate"/>
          </w:r>
          <w:r>
            <w:rPr>
              <w:rFonts w:ascii="仿宋" w:hAnsi="仿宋"/>
              <w:sz w:val="24"/>
              <w:szCs w:val="24"/>
            </w:rPr>
            <w:t>35</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"_Toc63005419" </w:instrText>
          </w:r>
          <w:r>
            <w:fldChar w:fldCharType="separate"/>
          </w:r>
          <w:r>
            <w:rPr>
              <w:rStyle w:val="27"/>
              <w:rFonts w:hint="eastAsia" w:ascii="仿宋" w:hAnsi="仿宋"/>
              <w:i w:val="0"/>
              <w:sz w:val="24"/>
              <w:szCs w:val="24"/>
            </w:rPr>
            <w:t>一、总体思路</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_Toc63005419 \h </w:instrText>
          </w:r>
          <w:r>
            <w:rPr>
              <w:rFonts w:ascii="仿宋" w:hAnsi="仿宋"/>
              <w:i w:val="0"/>
              <w:sz w:val="24"/>
              <w:szCs w:val="24"/>
            </w:rPr>
            <w:fldChar w:fldCharType="separate"/>
          </w:r>
          <w:r>
            <w:rPr>
              <w:rFonts w:ascii="仿宋" w:hAnsi="仿宋"/>
              <w:i w:val="0"/>
              <w:sz w:val="24"/>
              <w:szCs w:val="24"/>
            </w:rPr>
            <w:t>35</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"_Toc63005420" </w:instrText>
          </w:r>
          <w:r>
            <w:fldChar w:fldCharType="separate"/>
          </w:r>
          <w:r>
            <w:rPr>
              <w:rStyle w:val="27"/>
              <w:rFonts w:hint="eastAsia" w:ascii="仿宋" w:hAnsi="仿宋"/>
              <w:i w:val="0"/>
              <w:sz w:val="24"/>
              <w:szCs w:val="24"/>
            </w:rPr>
            <w:t>二、基本原则</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_Toc63005420 \h </w:instrText>
          </w:r>
          <w:r>
            <w:rPr>
              <w:rFonts w:ascii="仿宋" w:hAnsi="仿宋"/>
              <w:i w:val="0"/>
              <w:sz w:val="24"/>
              <w:szCs w:val="24"/>
            </w:rPr>
            <w:fldChar w:fldCharType="separate"/>
          </w:r>
          <w:r>
            <w:rPr>
              <w:rFonts w:ascii="仿宋" w:hAnsi="仿宋"/>
              <w:i w:val="0"/>
              <w:sz w:val="24"/>
              <w:szCs w:val="24"/>
            </w:rPr>
            <w:t>36</w:t>
          </w:r>
          <w:r>
            <w:rPr>
              <w:rFonts w:ascii="仿宋" w:hAnsi="仿宋"/>
              <w:i w:val="0"/>
              <w:sz w:val="24"/>
              <w:szCs w:val="24"/>
            </w:rPr>
            <w:fldChar w:fldCharType="end"/>
          </w:r>
          <w:r>
            <w:rPr>
              <w:rFonts w:ascii="仿宋" w:hAnsi="仿宋"/>
              <w:i w:val="0"/>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"_Toc63005421" </w:instrText>
          </w:r>
          <w:r>
            <w:fldChar w:fldCharType="separate"/>
          </w:r>
          <w:r>
            <w:rPr>
              <w:rStyle w:val="27"/>
              <w:rFonts w:hint="eastAsia" w:ascii="仿宋" w:hAnsi="仿宋"/>
              <w:sz w:val="24"/>
              <w:szCs w:val="24"/>
            </w:rPr>
            <w:t>第五章</w:t>
          </w:r>
          <w:r>
            <w:rPr>
              <w:rStyle w:val="27"/>
              <w:rFonts w:ascii="仿宋" w:hAnsi="仿宋"/>
              <w:sz w:val="24"/>
              <w:szCs w:val="24"/>
            </w:rPr>
            <w:t xml:space="preserve">  </w:t>
          </w:r>
          <w:r>
            <w:rPr>
              <w:rStyle w:val="27"/>
              <w:rFonts w:hint="eastAsia" w:ascii="仿宋" w:hAnsi="仿宋"/>
              <w:sz w:val="24"/>
              <w:szCs w:val="24"/>
            </w:rPr>
            <w:t>“十四五”财政发展目标</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_Toc63005421 \h </w:instrText>
          </w:r>
          <w:r>
            <w:rPr>
              <w:rFonts w:ascii="仿宋" w:hAnsi="仿宋"/>
              <w:sz w:val="24"/>
              <w:szCs w:val="24"/>
            </w:rPr>
            <w:fldChar w:fldCharType="separate"/>
          </w:r>
          <w:r>
            <w:rPr>
              <w:rFonts w:ascii="仿宋" w:hAnsi="仿宋"/>
              <w:sz w:val="24"/>
              <w:szCs w:val="24"/>
            </w:rPr>
            <w:t>38</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"_Toc63005422" </w:instrText>
          </w:r>
          <w:r>
            <w:fldChar w:fldCharType="separate"/>
          </w:r>
          <w:r>
            <w:rPr>
              <w:rStyle w:val="27"/>
              <w:rFonts w:hint="eastAsia" w:ascii="仿宋" w:hAnsi="仿宋"/>
              <w:i w:val="0"/>
              <w:sz w:val="24"/>
              <w:szCs w:val="24"/>
            </w:rPr>
            <w:t>一、全面建设高质量可持续发展的现代财政</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_Toc63005422 \h </w:instrText>
          </w:r>
          <w:r>
            <w:rPr>
              <w:rFonts w:ascii="仿宋" w:hAnsi="仿宋"/>
              <w:i w:val="0"/>
              <w:sz w:val="24"/>
              <w:szCs w:val="24"/>
            </w:rPr>
            <w:fldChar w:fldCharType="separate"/>
          </w:r>
          <w:r>
            <w:rPr>
              <w:rFonts w:ascii="仿宋" w:hAnsi="仿宋"/>
              <w:i w:val="0"/>
              <w:sz w:val="24"/>
              <w:szCs w:val="24"/>
            </w:rPr>
            <w:t>38</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"_Toc63005423" </w:instrText>
          </w:r>
          <w:r>
            <w:fldChar w:fldCharType="separate"/>
          </w:r>
          <w:r>
            <w:rPr>
              <w:rStyle w:val="27"/>
              <w:rFonts w:hint="eastAsia" w:ascii="仿宋" w:hAnsi="仿宋"/>
              <w:i w:val="0"/>
              <w:sz w:val="24"/>
              <w:szCs w:val="24"/>
            </w:rPr>
            <w:t>二、稳定财政收支，提高收入质量，不断优化支出结构</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_Toc63005423 \h </w:instrText>
          </w:r>
          <w:r>
            <w:rPr>
              <w:rFonts w:ascii="仿宋" w:hAnsi="仿宋"/>
              <w:i w:val="0"/>
              <w:sz w:val="24"/>
              <w:szCs w:val="24"/>
            </w:rPr>
            <w:fldChar w:fldCharType="separate"/>
          </w:r>
          <w:r>
            <w:rPr>
              <w:rFonts w:ascii="仿宋" w:hAnsi="仿宋"/>
              <w:i w:val="0"/>
              <w:sz w:val="24"/>
              <w:szCs w:val="24"/>
            </w:rPr>
            <w:t>39</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"_Toc63005424" </w:instrText>
          </w:r>
          <w:r>
            <w:fldChar w:fldCharType="separate"/>
          </w:r>
          <w:r>
            <w:rPr>
              <w:rStyle w:val="27"/>
              <w:rFonts w:hint="eastAsia" w:ascii="仿宋" w:hAnsi="仿宋"/>
              <w:i w:val="0"/>
              <w:sz w:val="24"/>
              <w:szCs w:val="24"/>
            </w:rPr>
            <w:t>三、统筹“五个重点”，保障经济社会高质量发展</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_Toc63005424 \h </w:instrText>
          </w:r>
          <w:r>
            <w:rPr>
              <w:rFonts w:ascii="仿宋" w:hAnsi="仿宋"/>
              <w:i w:val="0"/>
              <w:sz w:val="24"/>
              <w:szCs w:val="24"/>
            </w:rPr>
            <w:fldChar w:fldCharType="separate"/>
          </w:r>
          <w:r>
            <w:rPr>
              <w:rFonts w:ascii="仿宋" w:hAnsi="仿宋"/>
              <w:i w:val="0"/>
              <w:sz w:val="24"/>
              <w:szCs w:val="24"/>
            </w:rPr>
            <w:t>40</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"_Toc63005425" </w:instrText>
          </w:r>
          <w:r>
            <w:fldChar w:fldCharType="separate"/>
          </w:r>
          <w:r>
            <w:rPr>
              <w:rStyle w:val="27"/>
              <w:rFonts w:hint="eastAsia" w:ascii="仿宋" w:hAnsi="仿宋"/>
              <w:i w:val="0"/>
              <w:sz w:val="24"/>
              <w:szCs w:val="24"/>
            </w:rPr>
            <w:t>四、围绕“四个支柱”，构建财政高质量发展新格局</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_Toc63005425 \h </w:instrText>
          </w:r>
          <w:r>
            <w:rPr>
              <w:rFonts w:ascii="仿宋" w:hAnsi="仿宋"/>
              <w:i w:val="0"/>
              <w:sz w:val="24"/>
              <w:szCs w:val="24"/>
            </w:rPr>
            <w:fldChar w:fldCharType="separate"/>
          </w:r>
          <w:r>
            <w:rPr>
              <w:rFonts w:ascii="仿宋" w:hAnsi="仿宋"/>
              <w:i w:val="0"/>
              <w:sz w:val="24"/>
              <w:szCs w:val="24"/>
            </w:rPr>
            <w:t>42</w:t>
          </w:r>
          <w:r>
            <w:rPr>
              <w:rFonts w:ascii="仿宋" w:hAnsi="仿宋"/>
              <w:i w:val="0"/>
              <w:sz w:val="24"/>
              <w:szCs w:val="24"/>
            </w:rPr>
            <w:fldChar w:fldCharType="end"/>
          </w:r>
          <w:r>
            <w:rPr>
              <w:rFonts w:ascii="仿宋" w:hAnsi="仿宋"/>
              <w:i w:val="0"/>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"_Toc63005426" </w:instrText>
          </w:r>
          <w:r>
            <w:fldChar w:fldCharType="separate"/>
          </w:r>
          <w:r>
            <w:rPr>
              <w:rStyle w:val="27"/>
              <w:rFonts w:hint="eastAsia" w:ascii="仿宋" w:hAnsi="仿宋"/>
              <w:sz w:val="24"/>
              <w:szCs w:val="24"/>
            </w:rPr>
            <w:t>第六章</w:t>
          </w:r>
          <w:r>
            <w:rPr>
              <w:rStyle w:val="27"/>
              <w:rFonts w:ascii="仿宋" w:hAnsi="仿宋"/>
              <w:sz w:val="24"/>
              <w:szCs w:val="24"/>
            </w:rPr>
            <w:t xml:space="preserve">  </w:t>
          </w:r>
          <w:r>
            <w:rPr>
              <w:rStyle w:val="27"/>
              <w:rFonts w:hint="eastAsia" w:ascii="仿宋" w:hAnsi="仿宋"/>
              <w:sz w:val="24"/>
              <w:szCs w:val="24"/>
            </w:rPr>
            <w:t>“十四五”财政发展主要任务</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_Toc63005426 \h </w:instrText>
          </w:r>
          <w:r>
            <w:rPr>
              <w:rFonts w:ascii="仿宋" w:hAnsi="仿宋"/>
              <w:sz w:val="24"/>
              <w:szCs w:val="24"/>
            </w:rPr>
            <w:fldChar w:fldCharType="separate"/>
          </w:r>
          <w:r>
            <w:rPr>
              <w:rFonts w:ascii="仿宋" w:hAnsi="仿宋"/>
              <w:sz w:val="24"/>
              <w:szCs w:val="24"/>
            </w:rPr>
            <w:t>43</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"_Toc63005427" </w:instrText>
          </w:r>
          <w:r>
            <w:fldChar w:fldCharType="separate"/>
          </w:r>
          <w:r>
            <w:rPr>
              <w:rStyle w:val="27"/>
              <w:rFonts w:hint="eastAsia" w:ascii="仿宋" w:hAnsi="仿宋"/>
              <w:i w:val="0"/>
              <w:sz w:val="24"/>
              <w:szCs w:val="24"/>
            </w:rPr>
            <w:t>一、以财政高质量发展为目标，深化财政体制改革</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_Toc63005427 \h </w:instrText>
          </w:r>
          <w:r>
            <w:rPr>
              <w:rFonts w:ascii="仿宋" w:hAnsi="仿宋"/>
              <w:i w:val="0"/>
              <w:sz w:val="24"/>
              <w:szCs w:val="24"/>
            </w:rPr>
            <w:fldChar w:fldCharType="separate"/>
          </w:r>
          <w:r>
            <w:rPr>
              <w:rFonts w:ascii="仿宋" w:hAnsi="仿宋"/>
              <w:i w:val="0"/>
              <w:sz w:val="24"/>
              <w:szCs w:val="24"/>
            </w:rPr>
            <w:t>44</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"_Toc63005428" </w:instrText>
          </w:r>
          <w:r>
            <w:fldChar w:fldCharType="separate"/>
          </w:r>
          <w:r>
            <w:rPr>
              <w:rStyle w:val="27"/>
              <w:rFonts w:hint="eastAsia" w:ascii="仿宋" w:hAnsi="仿宋"/>
              <w:i w:val="0"/>
              <w:sz w:val="24"/>
              <w:szCs w:val="24"/>
            </w:rPr>
            <w:t>二、以增进财政可持续性为重点，持续推进生态建设</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_Toc63005428 \h </w:instrText>
          </w:r>
          <w:r>
            <w:rPr>
              <w:rFonts w:ascii="仿宋" w:hAnsi="仿宋"/>
              <w:i w:val="0"/>
              <w:sz w:val="24"/>
              <w:szCs w:val="24"/>
            </w:rPr>
            <w:fldChar w:fldCharType="separate"/>
          </w:r>
          <w:r>
            <w:rPr>
              <w:rFonts w:ascii="仿宋" w:hAnsi="仿宋"/>
              <w:i w:val="0"/>
              <w:sz w:val="24"/>
              <w:szCs w:val="24"/>
            </w:rPr>
            <w:t>46</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"_Toc63005429" </w:instrText>
          </w:r>
          <w:r>
            <w:fldChar w:fldCharType="separate"/>
          </w:r>
          <w:r>
            <w:rPr>
              <w:rStyle w:val="27"/>
              <w:rFonts w:hint="eastAsia" w:ascii="仿宋" w:hAnsi="仿宋"/>
              <w:i w:val="0"/>
              <w:sz w:val="24"/>
              <w:szCs w:val="24"/>
            </w:rPr>
            <w:t>三、以现代化产业体系建设为基础，全面推进财源培植与建设</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_Toc63005429 \h </w:instrText>
          </w:r>
          <w:r>
            <w:rPr>
              <w:rFonts w:ascii="仿宋" w:hAnsi="仿宋"/>
              <w:i w:val="0"/>
              <w:sz w:val="24"/>
              <w:szCs w:val="24"/>
            </w:rPr>
            <w:fldChar w:fldCharType="separate"/>
          </w:r>
          <w:r>
            <w:rPr>
              <w:rFonts w:ascii="仿宋" w:hAnsi="仿宋"/>
              <w:i w:val="0"/>
              <w:sz w:val="24"/>
              <w:szCs w:val="24"/>
            </w:rPr>
            <w:t>48</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"_Toc63005430" </w:instrText>
          </w:r>
          <w:r>
            <w:fldChar w:fldCharType="separate"/>
          </w:r>
          <w:r>
            <w:rPr>
              <w:rStyle w:val="27"/>
              <w:rFonts w:hint="eastAsia" w:ascii="仿宋" w:hAnsi="仿宋"/>
              <w:i w:val="0"/>
              <w:sz w:val="24"/>
              <w:szCs w:val="24"/>
            </w:rPr>
            <w:t>四、以财政风险管理为核心，有效防范和化解财政风险</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_Toc63005430 \h </w:instrText>
          </w:r>
          <w:r>
            <w:rPr>
              <w:rFonts w:ascii="仿宋" w:hAnsi="仿宋"/>
              <w:i w:val="0"/>
              <w:sz w:val="24"/>
              <w:szCs w:val="24"/>
            </w:rPr>
            <w:fldChar w:fldCharType="separate"/>
          </w:r>
          <w:r>
            <w:rPr>
              <w:rFonts w:ascii="仿宋" w:hAnsi="仿宋"/>
              <w:i w:val="0"/>
              <w:sz w:val="24"/>
              <w:szCs w:val="24"/>
            </w:rPr>
            <w:t>52</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"_Toc63005431" </w:instrText>
          </w:r>
          <w:r>
            <w:fldChar w:fldCharType="separate"/>
          </w:r>
          <w:r>
            <w:rPr>
              <w:rStyle w:val="27"/>
              <w:rFonts w:hint="eastAsia" w:ascii="仿宋" w:hAnsi="仿宋"/>
              <w:i w:val="0"/>
              <w:sz w:val="24"/>
              <w:szCs w:val="24"/>
            </w:rPr>
            <w:t>五、以财政提质增效为主旨，助推各项社会事业跨越发展</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_Toc63005431 \h </w:instrText>
          </w:r>
          <w:r>
            <w:rPr>
              <w:rFonts w:ascii="仿宋" w:hAnsi="仿宋"/>
              <w:i w:val="0"/>
              <w:sz w:val="24"/>
              <w:szCs w:val="24"/>
            </w:rPr>
            <w:fldChar w:fldCharType="separate"/>
          </w:r>
          <w:r>
            <w:rPr>
              <w:rFonts w:ascii="仿宋" w:hAnsi="仿宋"/>
              <w:i w:val="0"/>
              <w:sz w:val="24"/>
              <w:szCs w:val="24"/>
            </w:rPr>
            <w:t>53</w:t>
          </w:r>
          <w:r>
            <w:rPr>
              <w:rFonts w:ascii="仿宋" w:hAnsi="仿宋"/>
              <w:i w:val="0"/>
              <w:sz w:val="24"/>
              <w:szCs w:val="24"/>
            </w:rPr>
            <w:fldChar w:fldCharType="end"/>
          </w:r>
          <w:r>
            <w:rPr>
              <w:rFonts w:ascii="仿宋" w:hAnsi="仿宋"/>
              <w:i w:val="0"/>
              <w:sz w:val="24"/>
              <w:szCs w:val="24"/>
            </w:rPr>
            <w:fldChar w:fldCharType="end"/>
          </w:r>
        </w:p>
        <w:p>
          <w:pPr>
            <w:pStyle w:val="15"/>
            <w:tabs>
              <w:tab w:val="right" w:leader="dot" w:pos="8296"/>
            </w:tabs>
            <w:spacing w:line="500" w:lineRule="exact"/>
            <w:rPr>
              <w:rFonts w:ascii="仿宋" w:hAnsi="仿宋" w:cstheme="minorBidi"/>
              <w:b w:val="0"/>
              <w:bCs w:val="0"/>
              <w:caps w:val="0"/>
              <w:sz w:val="24"/>
              <w:szCs w:val="24"/>
            </w:rPr>
          </w:pPr>
          <w:r>
            <w:fldChar w:fldCharType="begin"/>
          </w:r>
          <w:r>
            <w:instrText xml:space="preserve"> HYPERLINK \l "_Toc63005432" </w:instrText>
          </w:r>
          <w:r>
            <w:fldChar w:fldCharType="separate"/>
          </w:r>
          <w:r>
            <w:rPr>
              <w:rStyle w:val="27"/>
              <w:rFonts w:hint="eastAsia" w:ascii="仿宋" w:hAnsi="仿宋"/>
              <w:sz w:val="24"/>
              <w:szCs w:val="24"/>
            </w:rPr>
            <w:t>第三篇</w:t>
          </w:r>
          <w:r>
            <w:rPr>
              <w:rStyle w:val="27"/>
              <w:rFonts w:ascii="仿宋" w:hAnsi="仿宋"/>
              <w:sz w:val="24"/>
              <w:szCs w:val="24"/>
            </w:rPr>
            <w:t xml:space="preserve">  </w:t>
          </w:r>
          <w:r>
            <w:rPr>
              <w:rStyle w:val="27"/>
              <w:rFonts w:hint="eastAsia" w:ascii="仿宋" w:hAnsi="仿宋"/>
              <w:sz w:val="24"/>
              <w:szCs w:val="24"/>
            </w:rPr>
            <w:t>收支预测与规划安排</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_Toc63005432 \h </w:instrText>
          </w:r>
          <w:r>
            <w:rPr>
              <w:rFonts w:ascii="仿宋" w:hAnsi="仿宋"/>
              <w:sz w:val="24"/>
              <w:szCs w:val="24"/>
            </w:rPr>
            <w:fldChar w:fldCharType="separate"/>
          </w:r>
          <w:r>
            <w:rPr>
              <w:rFonts w:ascii="仿宋" w:hAnsi="仿宋"/>
              <w:sz w:val="24"/>
              <w:szCs w:val="24"/>
            </w:rPr>
            <w:t>57</w:t>
          </w:r>
          <w:r>
            <w:rPr>
              <w:rFonts w:ascii="仿宋" w:hAnsi="仿宋"/>
              <w:sz w:val="24"/>
              <w:szCs w:val="24"/>
            </w:rPr>
            <w:fldChar w:fldCharType="end"/>
          </w:r>
          <w:r>
            <w:rPr>
              <w:rFonts w:ascii="仿宋" w:hAnsi="仿宋"/>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"_Toc63005433" </w:instrText>
          </w:r>
          <w:r>
            <w:fldChar w:fldCharType="separate"/>
          </w:r>
          <w:r>
            <w:rPr>
              <w:rStyle w:val="27"/>
              <w:rFonts w:hint="eastAsia" w:ascii="仿宋" w:hAnsi="仿宋"/>
              <w:sz w:val="24"/>
              <w:szCs w:val="24"/>
            </w:rPr>
            <w:t>第七章</w:t>
          </w:r>
          <w:r>
            <w:rPr>
              <w:rStyle w:val="27"/>
              <w:rFonts w:ascii="仿宋" w:hAnsi="仿宋"/>
              <w:sz w:val="24"/>
              <w:szCs w:val="24"/>
            </w:rPr>
            <w:t xml:space="preserve">  </w:t>
          </w:r>
          <w:r>
            <w:rPr>
              <w:rStyle w:val="27"/>
              <w:rFonts w:hint="eastAsia" w:ascii="仿宋" w:hAnsi="仿宋"/>
              <w:sz w:val="24"/>
              <w:szCs w:val="24"/>
            </w:rPr>
            <w:t>地方可用财力预测</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_Toc63005433 \h </w:instrText>
          </w:r>
          <w:r>
            <w:rPr>
              <w:rFonts w:ascii="仿宋" w:hAnsi="仿宋"/>
              <w:sz w:val="24"/>
              <w:szCs w:val="24"/>
            </w:rPr>
            <w:fldChar w:fldCharType="separate"/>
          </w:r>
          <w:r>
            <w:rPr>
              <w:rFonts w:ascii="仿宋" w:hAnsi="仿宋"/>
              <w:sz w:val="24"/>
              <w:szCs w:val="24"/>
            </w:rPr>
            <w:t>57</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"_Toc63005434" </w:instrText>
          </w:r>
          <w:r>
            <w:fldChar w:fldCharType="separate"/>
          </w:r>
          <w:r>
            <w:rPr>
              <w:rStyle w:val="27"/>
              <w:rFonts w:hint="eastAsia" w:ascii="仿宋" w:hAnsi="仿宋"/>
              <w:i w:val="0"/>
              <w:sz w:val="24"/>
              <w:szCs w:val="24"/>
            </w:rPr>
            <w:t>一、测算的模型与方法</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_Toc63005434 \h </w:instrText>
          </w:r>
          <w:r>
            <w:rPr>
              <w:rFonts w:ascii="仿宋" w:hAnsi="仿宋"/>
              <w:i w:val="0"/>
              <w:sz w:val="24"/>
              <w:szCs w:val="24"/>
            </w:rPr>
            <w:fldChar w:fldCharType="separate"/>
          </w:r>
          <w:r>
            <w:rPr>
              <w:rFonts w:ascii="仿宋" w:hAnsi="仿宋"/>
              <w:i w:val="0"/>
              <w:sz w:val="24"/>
              <w:szCs w:val="24"/>
            </w:rPr>
            <w:t>57</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"_Toc63005435" </w:instrText>
          </w:r>
          <w:r>
            <w:fldChar w:fldCharType="separate"/>
          </w:r>
          <w:r>
            <w:rPr>
              <w:rStyle w:val="27"/>
              <w:rFonts w:hint="eastAsia" w:ascii="仿宋" w:hAnsi="仿宋"/>
              <w:i w:val="0"/>
              <w:sz w:val="24"/>
              <w:szCs w:val="24"/>
            </w:rPr>
            <w:t>二、一般公共预算收入</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_Toc63005435 \h </w:instrText>
          </w:r>
          <w:r>
            <w:rPr>
              <w:rFonts w:ascii="仿宋" w:hAnsi="仿宋"/>
              <w:i w:val="0"/>
              <w:sz w:val="24"/>
              <w:szCs w:val="24"/>
            </w:rPr>
            <w:fldChar w:fldCharType="separate"/>
          </w:r>
          <w:r>
            <w:rPr>
              <w:rFonts w:ascii="仿宋" w:hAnsi="仿宋"/>
              <w:i w:val="0"/>
              <w:sz w:val="24"/>
              <w:szCs w:val="24"/>
            </w:rPr>
            <w:t>58</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"_Toc63005436" </w:instrText>
          </w:r>
          <w:r>
            <w:fldChar w:fldCharType="separate"/>
          </w:r>
          <w:r>
            <w:rPr>
              <w:rStyle w:val="27"/>
              <w:rFonts w:hint="eastAsia" w:ascii="仿宋" w:hAnsi="仿宋"/>
              <w:i w:val="0"/>
              <w:sz w:val="24"/>
              <w:szCs w:val="24"/>
            </w:rPr>
            <w:t>三、政府性基金收入</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_Toc63005436 \h </w:instrText>
          </w:r>
          <w:r>
            <w:rPr>
              <w:rFonts w:ascii="仿宋" w:hAnsi="仿宋"/>
              <w:i w:val="0"/>
              <w:sz w:val="24"/>
              <w:szCs w:val="24"/>
            </w:rPr>
            <w:fldChar w:fldCharType="separate"/>
          </w:r>
          <w:r>
            <w:rPr>
              <w:rFonts w:ascii="仿宋" w:hAnsi="仿宋"/>
              <w:i w:val="0"/>
              <w:sz w:val="24"/>
              <w:szCs w:val="24"/>
            </w:rPr>
            <w:t>64</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"_Toc63005437" </w:instrText>
          </w:r>
          <w:r>
            <w:fldChar w:fldCharType="separate"/>
          </w:r>
          <w:r>
            <w:rPr>
              <w:rStyle w:val="27"/>
              <w:rFonts w:hint="eastAsia" w:ascii="仿宋" w:hAnsi="仿宋"/>
              <w:i w:val="0"/>
              <w:sz w:val="24"/>
              <w:szCs w:val="24"/>
            </w:rPr>
            <w:t>四、社会保险基金收入</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_Toc63005437 \h </w:instrText>
          </w:r>
          <w:r>
            <w:rPr>
              <w:rFonts w:ascii="仿宋" w:hAnsi="仿宋"/>
              <w:i w:val="0"/>
              <w:sz w:val="24"/>
              <w:szCs w:val="24"/>
            </w:rPr>
            <w:fldChar w:fldCharType="separate"/>
          </w:r>
          <w:r>
            <w:rPr>
              <w:rFonts w:ascii="仿宋" w:hAnsi="仿宋"/>
              <w:i w:val="0"/>
              <w:sz w:val="24"/>
              <w:szCs w:val="24"/>
            </w:rPr>
            <w:t>65</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"_Toc63005438" </w:instrText>
          </w:r>
          <w:r>
            <w:fldChar w:fldCharType="separate"/>
          </w:r>
          <w:r>
            <w:rPr>
              <w:rStyle w:val="27"/>
              <w:rFonts w:hint="eastAsia" w:ascii="仿宋" w:hAnsi="仿宋"/>
              <w:i w:val="0"/>
              <w:sz w:val="24"/>
              <w:szCs w:val="24"/>
            </w:rPr>
            <w:t>五、债务余额管理</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_Toc63005438 \h </w:instrText>
          </w:r>
          <w:r>
            <w:rPr>
              <w:rFonts w:ascii="仿宋" w:hAnsi="仿宋"/>
              <w:i w:val="0"/>
              <w:sz w:val="24"/>
              <w:szCs w:val="24"/>
            </w:rPr>
            <w:fldChar w:fldCharType="separate"/>
          </w:r>
          <w:r>
            <w:rPr>
              <w:rFonts w:ascii="仿宋" w:hAnsi="仿宋"/>
              <w:i w:val="0"/>
              <w:sz w:val="24"/>
              <w:szCs w:val="24"/>
            </w:rPr>
            <w:t>67</w:t>
          </w:r>
          <w:r>
            <w:rPr>
              <w:rFonts w:ascii="仿宋" w:hAnsi="仿宋"/>
              <w:i w:val="0"/>
              <w:sz w:val="24"/>
              <w:szCs w:val="24"/>
            </w:rPr>
            <w:fldChar w:fldCharType="end"/>
          </w:r>
          <w:r>
            <w:rPr>
              <w:rFonts w:ascii="仿宋" w:hAnsi="仿宋"/>
              <w:i w:val="0"/>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"_Toc63005439" </w:instrText>
          </w:r>
          <w:r>
            <w:fldChar w:fldCharType="separate"/>
          </w:r>
          <w:r>
            <w:rPr>
              <w:rStyle w:val="27"/>
              <w:rFonts w:hint="eastAsia" w:ascii="仿宋" w:hAnsi="仿宋"/>
              <w:sz w:val="24"/>
              <w:szCs w:val="24"/>
            </w:rPr>
            <w:t>第八章</w:t>
          </w:r>
          <w:r>
            <w:rPr>
              <w:rStyle w:val="27"/>
              <w:rFonts w:ascii="仿宋" w:hAnsi="仿宋"/>
              <w:sz w:val="24"/>
              <w:szCs w:val="24"/>
            </w:rPr>
            <w:t xml:space="preserve">  </w:t>
          </w:r>
          <w:r>
            <w:rPr>
              <w:rStyle w:val="27"/>
              <w:rFonts w:hint="eastAsia" w:ascii="仿宋" w:hAnsi="仿宋"/>
              <w:sz w:val="24"/>
              <w:szCs w:val="24"/>
            </w:rPr>
            <w:t>财政支出规划</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_Toc63005439 \h </w:instrText>
          </w:r>
          <w:r>
            <w:rPr>
              <w:rFonts w:ascii="仿宋" w:hAnsi="仿宋"/>
              <w:sz w:val="24"/>
              <w:szCs w:val="24"/>
            </w:rPr>
            <w:fldChar w:fldCharType="separate"/>
          </w:r>
          <w:r>
            <w:rPr>
              <w:rFonts w:ascii="仿宋" w:hAnsi="仿宋"/>
              <w:sz w:val="24"/>
              <w:szCs w:val="24"/>
            </w:rPr>
            <w:t>69</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"_Toc63005440" </w:instrText>
          </w:r>
          <w:r>
            <w:fldChar w:fldCharType="separate"/>
          </w:r>
          <w:r>
            <w:rPr>
              <w:rStyle w:val="27"/>
              <w:rFonts w:hint="eastAsia" w:ascii="仿宋" w:hAnsi="仿宋"/>
              <w:i w:val="0"/>
              <w:sz w:val="24"/>
              <w:szCs w:val="24"/>
            </w:rPr>
            <w:t>一、一般公共预算支出基线</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_Toc63005440 \h </w:instrText>
          </w:r>
          <w:r>
            <w:rPr>
              <w:rFonts w:ascii="仿宋" w:hAnsi="仿宋"/>
              <w:i w:val="0"/>
              <w:sz w:val="24"/>
              <w:szCs w:val="24"/>
            </w:rPr>
            <w:fldChar w:fldCharType="separate"/>
          </w:r>
          <w:r>
            <w:rPr>
              <w:rFonts w:ascii="仿宋" w:hAnsi="仿宋"/>
              <w:i w:val="0"/>
              <w:sz w:val="24"/>
              <w:szCs w:val="24"/>
            </w:rPr>
            <w:t>69</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"_Toc63005441" </w:instrText>
          </w:r>
          <w:r>
            <w:fldChar w:fldCharType="separate"/>
          </w:r>
          <w:r>
            <w:rPr>
              <w:rStyle w:val="27"/>
              <w:rFonts w:hint="eastAsia" w:ascii="仿宋" w:hAnsi="仿宋"/>
              <w:i w:val="0"/>
              <w:sz w:val="24"/>
              <w:szCs w:val="24"/>
            </w:rPr>
            <w:t>二、主要支出规划</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_Toc63005441 \h </w:instrText>
          </w:r>
          <w:r>
            <w:rPr>
              <w:rFonts w:ascii="仿宋" w:hAnsi="仿宋"/>
              <w:i w:val="0"/>
              <w:sz w:val="24"/>
              <w:szCs w:val="24"/>
            </w:rPr>
            <w:fldChar w:fldCharType="separate"/>
          </w:r>
          <w:r>
            <w:rPr>
              <w:rFonts w:ascii="仿宋" w:hAnsi="仿宋"/>
              <w:i w:val="0"/>
              <w:sz w:val="24"/>
              <w:szCs w:val="24"/>
            </w:rPr>
            <w:t>70</w:t>
          </w:r>
          <w:r>
            <w:rPr>
              <w:rFonts w:ascii="仿宋" w:hAnsi="仿宋"/>
              <w:i w:val="0"/>
              <w:sz w:val="24"/>
              <w:szCs w:val="24"/>
            </w:rPr>
            <w:fldChar w:fldCharType="end"/>
          </w:r>
          <w:r>
            <w:rPr>
              <w:rFonts w:ascii="仿宋" w:hAnsi="仿宋"/>
              <w:i w:val="0"/>
              <w:sz w:val="24"/>
              <w:szCs w:val="24"/>
            </w:rPr>
            <w:fldChar w:fldCharType="end"/>
          </w:r>
        </w:p>
        <w:p>
          <w:pPr>
            <w:pStyle w:val="15"/>
            <w:tabs>
              <w:tab w:val="right" w:leader="dot" w:pos="8296"/>
            </w:tabs>
            <w:spacing w:line="500" w:lineRule="exact"/>
            <w:rPr>
              <w:rFonts w:ascii="仿宋" w:hAnsi="仿宋" w:cstheme="minorBidi"/>
              <w:b w:val="0"/>
              <w:bCs w:val="0"/>
              <w:caps w:val="0"/>
              <w:sz w:val="24"/>
              <w:szCs w:val="24"/>
            </w:rPr>
          </w:pPr>
          <w:r>
            <w:fldChar w:fldCharType="begin"/>
          </w:r>
          <w:r>
            <w:instrText xml:space="preserve"> HYPERLINK \l "_Toc63005442" </w:instrText>
          </w:r>
          <w:r>
            <w:fldChar w:fldCharType="separate"/>
          </w:r>
          <w:r>
            <w:rPr>
              <w:rStyle w:val="27"/>
              <w:rFonts w:hint="eastAsia" w:ascii="仿宋" w:hAnsi="仿宋"/>
              <w:sz w:val="24"/>
              <w:szCs w:val="24"/>
            </w:rPr>
            <w:t>第四篇</w:t>
          </w:r>
          <w:r>
            <w:rPr>
              <w:rStyle w:val="27"/>
              <w:rFonts w:ascii="仿宋" w:hAnsi="仿宋"/>
              <w:sz w:val="24"/>
              <w:szCs w:val="24"/>
            </w:rPr>
            <w:t xml:space="preserve">  </w:t>
          </w:r>
          <w:r>
            <w:rPr>
              <w:rStyle w:val="27"/>
              <w:rFonts w:hint="eastAsia" w:ascii="仿宋" w:hAnsi="仿宋"/>
              <w:sz w:val="24"/>
              <w:szCs w:val="24"/>
            </w:rPr>
            <w:t>组织实施与保障措施</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_Toc63005442 \h </w:instrText>
          </w:r>
          <w:r>
            <w:rPr>
              <w:rFonts w:ascii="仿宋" w:hAnsi="仿宋"/>
              <w:sz w:val="24"/>
              <w:szCs w:val="24"/>
            </w:rPr>
            <w:fldChar w:fldCharType="separate"/>
          </w:r>
          <w:r>
            <w:rPr>
              <w:rFonts w:ascii="仿宋" w:hAnsi="仿宋"/>
              <w:sz w:val="24"/>
              <w:szCs w:val="24"/>
            </w:rPr>
            <w:t>80</w:t>
          </w:r>
          <w:r>
            <w:rPr>
              <w:rFonts w:ascii="仿宋" w:hAnsi="仿宋"/>
              <w:sz w:val="24"/>
              <w:szCs w:val="24"/>
            </w:rPr>
            <w:fldChar w:fldCharType="end"/>
          </w:r>
          <w:r>
            <w:rPr>
              <w:rFonts w:ascii="仿宋" w:hAnsi="仿宋"/>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"_Toc63005443" </w:instrText>
          </w:r>
          <w:r>
            <w:fldChar w:fldCharType="separate"/>
          </w:r>
          <w:r>
            <w:rPr>
              <w:rStyle w:val="27"/>
              <w:rFonts w:hint="eastAsia" w:ascii="仿宋" w:hAnsi="仿宋"/>
              <w:sz w:val="24"/>
              <w:szCs w:val="24"/>
            </w:rPr>
            <w:t>第九章</w:t>
          </w:r>
          <w:r>
            <w:rPr>
              <w:rStyle w:val="27"/>
              <w:rFonts w:ascii="仿宋" w:hAnsi="仿宋"/>
              <w:sz w:val="24"/>
              <w:szCs w:val="24"/>
            </w:rPr>
            <w:t xml:space="preserve">  </w:t>
          </w:r>
          <w:r>
            <w:rPr>
              <w:rStyle w:val="27"/>
              <w:rFonts w:hint="eastAsia" w:ascii="仿宋" w:hAnsi="仿宋"/>
              <w:sz w:val="24"/>
              <w:szCs w:val="24"/>
            </w:rPr>
            <w:t>党的全面领导和队伍建设</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_Toc63005443 \h </w:instrText>
          </w:r>
          <w:r>
            <w:rPr>
              <w:rFonts w:ascii="仿宋" w:hAnsi="仿宋"/>
              <w:sz w:val="24"/>
              <w:szCs w:val="24"/>
            </w:rPr>
            <w:fldChar w:fldCharType="separate"/>
          </w:r>
          <w:r>
            <w:rPr>
              <w:rFonts w:ascii="仿宋" w:hAnsi="仿宋"/>
              <w:sz w:val="24"/>
              <w:szCs w:val="24"/>
            </w:rPr>
            <w:t>80</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"_Toc63005444" </w:instrText>
          </w:r>
          <w:r>
            <w:fldChar w:fldCharType="separate"/>
          </w:r>
          <w:r>
            <w:rPr>
              <w:rStyle w:val="27"/>
              <w:rFonts w:hint="eastAsia" w:ascii="仿宋" w:hAnsi="仿宋"/>
              <w:i w:val="0"/>
              <w:sz w:val="24"/>
              <w:szCs w:val="24"/>
              <w:lang w:val="zh-CN"/>
            </w:rPr>
            <w:t>一、</w:t>
          </w:r>
          <w:r>
            <w:rPr>
              <w:rStyle w:val="27"/>
              <w:rFonts w:hint="eastAsia" w:ascii="仿宋" w:hAnsi="仿宋"/>
              <w:i w:val="0"/>
              <w:sz w:val="24"/>
              <w:szCs w:val="24"/>
            </w:rPr>
            <w:t>坚持和加强党的全面领导</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_Toc63005444 \h </w:instrText>
          </w:r>
          <w:r>
            <w:rPr>
              <w:rFonts w:ascii="仿宋" w:hAnsi="仿宋"/>
              <w:i w:val="0"/>
              <w:sz w:val="24"/>
              <w:szCs w:val="24"/>
            </w:rPr>
            <w:fldChar w:fldCharType="separate"/>
          </w:r>
          <w:r>
            <w:rPr>
              <w:rFonts w:ascii="仿宋" w:hAnsi="仿宋"/>
              <w:i w:val="0"/>
              <w:sz w:val="24"/>
              <w:szCs w:val="24"/>
            </w:rPr>
            <w:t>80</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"_Toc63005445" </w:instrText>
          </w:r>
          <w:r>
            <w:fldChar w:fldCharType="separate"/>
          </w:r>
          <w:r>
            <w:rPr>
              <w:rStyle w:val="27"/>
              <w:rFonts w:hint="eastAsia" w:ascii="仿宋" w:hAnsi="仿宋"/>
              <w:i w:val="0"/>
              <w:sz w:val="24"/>
              <w:szCs w:val="24"/>
              <w:lang w:val="zh-CN"/>
            </w:rPr>
            <w:t>二、</w:t>
          </w:r>
          <w:r>
            <w:rPr>
              <w:rStyle w:val="27"/>
              <w:rFonts w:hint="eastAsia" w:ascii="仿宋" w:hAnsi="仿宋"/>
              <w:i w:val="0"/>
              <w:sz w:val="24"/>
              <w:szCs w:val="24"/>
              <w:shd w:val="clear" w:color="auto" w:fill="FFFFFF"/>
            </w:rPr>
            <w:t>强化政治使命担当，加强财政自身建设</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_Toc63005445 \h </w:instrText>
          </w:r>
          <w:r>
            <w:rPr>
              <w:rFonts w:ascii="仿宋" w:hAnsi="仿宋"/>
              <w:i w:val="0"/>
              <w:sz w:val="24"/>
              <w:szCs w:val="24"/>
            </w:rPr>
            <w:fldChar w:fldCharType="separate"/>
          </w:r>
          <w:r>
            <w:rPr>
              <w:rFonts w:ascii="仿宋" w:hAnsi="仿宋"/>
              <w:i w:val="0"/>
              <w:sz w:val="24"/>
              <w:szCs w:val="24"/>
            </w:rPr>
            <w:t>81</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"_Toc63005446" </w:instrText>
          </w:r>
          <w:r>
            <w:fldChar w:fldCharType="separate"/>
          </w:r>
          <w:r>
            <w:rPr>
              <w:rStyle w:val="27"/>
              <w:rFonts w:hint="eastAsia" w:ascii="仿宋" w:hAnsi="仿宋"/>
              <w:i w:val="0"/>
              <w:sz w:val="24"/>
              <w:szCs w:val="24"/>
              <w:lang w:val="zh-CN"/>
            </w:rPr>
            <w:t>三</w:t>
          </w:r>
          <w:r>
            <w:rPr>
              <w:rStyle w:val="27"/>
              <w:rFonts w:hint="eastAsia" w:ascii="仿宋" w:hAnsi="仿宋"/>
              <w:i w:val="0"/>
              <w:sz w:val="24"/>
              <w:szCs w:val="24"/>
            </w:rPr>
            <w:t>、加强财政干部队伍建设，强化干部教育</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_Toc63005446 \h </w:instrText>
          </w:r>
          <w:r>
            <w:rPr>
              <w:rFonts w:ascii="仿宋" w:hAnsi="仿宋"/>
              <w:i w:val="0"/>
              <w:sz w:val="24"/>
              <w:szCs w:val="24"/>
            </w:rPr>
            <w:fldChar w:fldCharType="separate"/>
          </w:r>
          <w:r>
            <w:rPr>
              <w:rFonts w:ascii="仿宋" w:hAnsi="仿宋"/>
              <w:i w:val="0"/>
              <w:sz w:val="24"/>
              <w:szCs w:val="24"/>
            </w:rPr>
            <w:t>82</w:t>
          </w:r>
          <w:r>
            <w:rPr>
              <w:rFonts w:ascii="仿宋" w:hAnsi="仿宋"/>
              <w:i w:val="0"/>
              <w:sz w:val="24"/>
              <w:szCs w:val="24"/>
            </w:rPr>
            <w:fldChar w:fldCharType="end"/>
          </w:r>
          <w:r>
            <w:rPr>
              <w:rFonts w:ascii="仿宋" w:hAnsi="仿宋"/>
              <w:i w:val="0"/>
              <w:sz w:val="24"/>
              <w:szCs w:val="24"/>
            </w:rPr>
            <w:fldChar w:fldCharType="end"/>
          </w:r>
        </w:p>
        <w:p>
          <w:pPr>
            <w:pStyle w:val="19"/>
            <w:tabs>
              <w:tab w:val="right" w:leader="dot" w:pos="8296"/>
            </w:tabs>
            <w:spacing w:line="500" w:lineRule="exact"/>
            <w:ind w:left="0" w:firstLine="0" w:firstLineChars="0"/>
            <w:rPr>
              <w:rFonts w:ascii="仿宋" w:hAnsi="仿宋" w:cstheme="minorBidi"/>
              <w:smallCaps w:val="0"/>
              <w:sz w:val="24"/>
              <w:szCs w:val="24"/>
            </w:rPr>
          </w:pPr>
          <w:r>
            <w:fldChar w:fldCharType="begin"/>
          </w:r>
          <w:r>
            <w:instrText xml:space="preserve"> HYPERLINK \l "_Toc63005447" </w:instrText>
          </w:r>
          <w:r>
            <w:fldChar w:fldCharType="separate"/>
          </w:r>
          <w:r>
            <w:rPr>
              <w:rStyle w:val="27"/>
              <w:rFonts w:hint="eastAsia" w:ascii="仿宋" w:hAnsi="仿宋"/>
              <w:sz w:val="24"/>
              <w:szCs w:val="24"/>
            </w:rPr>
            <w:t>第十章</w:t>
          </w:r>
          <w:r>
            <w:rPr>
              <w:rStyle w:val="27"/>
              <w:rFonts w:ascii="仿宋" w:hAnsi="仿宋"/>
              <w:sz w:val="24"/>
              <w:szCs w:val="24"/>
            </w:rPr>
            <w:t xml:space="preserve">  </w:t>
          </w:r>
          <w:r>
            <w:rPr>
              <w:rStyle w:val="27"/>
              <w:rFonts w:hint="eastAsia" w:ascii="仿宋" w:hAnsi="仿宋"/>
              <w:sz w:val="24"/>
              <w:szCs w:val="24"/>
            </w:rPr>
            <w:t>动态调整与规范管理</w:t>
          </w:r>
          <w:r>
            <w:rPr>
              <w:rFonts w:ascii="仿宋" w:hAnsi="仿宋"/>
              <w:sz w:val="24"/>
              <w:szCs w:val="24"/>
            </w:rPr>
            <w:tab/>
          </w:r>
          <w:r>
            <w:rPr>
              <w:rFonts w:ascii="仿宋" w:hAnsi="仿宋"/>
              <w:sz w:val="24"/>
              <w:szCs w:val="24"/>
            </w:rPr>
            <w:fldChar w:fldCharType="begin"/>
          </w:r>
          <w:r>
            <w:rPr>
              <w:rFonts w:ascii="仿宋" w:hAnsi="仿宋"/>
              <w:sz w:val="24"/>
              <w:szCs w:val="24"/>
            </w:rPr>
            <w:instrText xml:space="preserve"> PAGEREF _Toc63005447 \h </w:instrText>
          </w:r>
          <w:r>
            <w:rPr>
              <w:rFonts w:ascii="仿宋" w:hAnsi="仿宋"/>
              <w:sz w:val="24"/>
              <w:szCs w:val="24"/>
            </w:rPr>
            <w:fldChar w:fldCharType="separate"/>
          </w:r>
          <w:r>
            <w:rPr>
              <w:rFonts w:ascii="仿宋" w:hAnsi="仿宋"/>
              <w:sz w:val="24"/>
              <w:szCs w:val="24"/>
            </w:rPr>
            <w:t>83</w:t>
          </w:r>
          <w:r>
            <w:rPr>
              <w:rFonts w:ascii="仿宋" w:hAnsi="仿宋"/>
              <w:sz w:val="24"/>
              <w:szCs w:val="24"/>
            </w:rPr>
            <w:fldChar w:fldCharType="end"/>
          </w:r>
          <w:r>
            <w:rPr>
              <w:rFonts w:ascii="仿宋" w:hAnsi="仿宋"/>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"_Toc63005448" </w:instrText>
          </w:r>
          <w:r>
            <w:fldChar w:fldCharType="separate"/>
          </w:r>
          <w:r>
            <w:rPr>
              <w:rStyle w:val="27"/>
              <w:rFonts w:hint="eastAsia" w:ascii="仿宋" w:hAnsi="仿宋"/>
              <w:i w:val="0"/>
              <w:sz w:val="24"/>
              <w:szCs w:val="24"/>
            </w:rPr>
            <w:t>一、准确把握“十四五”规划的逻辑起点和亮点</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_Toc63005448 \h </w:instrText>
          </w:r>
          <w:r>
            <w:rPr>
              <w:rFonts w:ascii="仿宋" w:hAnsi="仿宋"/>
              <w:i w:val="0"/>
              <w:sz w:val="24"/>
              <w:szCs w:val="24"/>
            </w:rPr>
            <w:fldChar w:fldCharType="separate"/>
          </w:r>
          <w:r>
            <w:rPr>
              <w:rFonts w:ascii="仿宋" w:hAnsi="仿宋"/>
              <w:i w:val="0"/>
              <w:sz w:val="24"/>
              <w:szCs w:val="24"/>
            </w:rPr>
            <w:t>83</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ascii="仿宋" w:hAnsi="仿宋" w:cstheme="minorBidi"/>
              <w:i w:val="0"/>
              <w:iCs w:val="0"/>
              <w:sz w:val="24"/>
              <w:szCs w:val="24"/>
            </w:rPr>
          </w:pPr>
          <w:r>
            <w:fldChar w:fldCharType="begin"/>
          </w:r>
          <w:r>
            <w:instrText xml:space="preserve"> HYPERLINK \l "_Toc63005449" </w:instrText>
          </w:r>
          <w:r>
            <w:fldChar w:fldCharType="separate"/>
          </w:r>
          <w:r>
            <w:rPr>
              <w:rStyle w:val="27"/>
              <w:rFonts w:hint="eastAsia" w:ascii="仿宋" w:hAnsi="仿宋"/>
              <w:i w:val="0"/>
              <w:sz w:val="24"/>
              <w:szCs w:val="24"/>
            </w:rPr>
            <w:t>二、构建有效的监测评估与动态调整机制</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_Toc63005449 \h </w:instrText>
          </w:r>
          <w:r>
            <w:rPr>
              <w:rFonts w:ascii="仿宋" w:hAnsi="仿宋"/>
              <w:i w:val="0"/>
              <w:sz w:val="24"/>
              <w:szCs w:val="24"/>
            </w:rPr>
            <w:fldChar w:fldCharType="separate"/>
          </w:r>
          <w:r>
            <w:rPr>
              <w:rFonts w:ascii="仿宋" w:hAnsi="仿宋"/>
              <w:i w:val="0"/>
              <w:sz w:val="24"/>
              <w:szCs w:val="24"/>
            </w:rPr>
            <w:t>84</w:t>
          </w:r>
          <w:r>
            <w:rPr>
              <w:rFonts w:ascii="仿宋" w:hAnsi="仿宋"/>
              <w:i w:val="0"/>
              <w:sz w:val="24"/>
              <w:szCs w:val="24"/>
            </w:rPr>
            <w:fldChar w:fldCharType="end"/>
          </w:r>
          <w:r>
            <w:rPr>
              <w:rFonts w:ascii="仿宋" w:hAnsi="仿宋"/>
              <w:i w:val="0"/>
              <w:sz w:val="24"/>
              <w:szCs w:val="24"/>
            </w:rPr>
            <w:fldChar w:fldCharType="end"/>
          </w:r>
        </w:p>
        <w:p>
          <w:pPr>
            <w:pStyle w:val="10"/>
            <w:tabs>
              <w:tab w:val="right" w:leader="dot" w:pos="8296"/>
            </w:tabs>
            <w:spacing w:line="500" w:lineRule="exact"/>
            <w:ind w:left="0" w:firstLine="480"/>
            <w:rPr>
              <w:rFonts w:eastAsiaTheme="minorEastAsia" w:cstheme="minorBidi"/>
              <w:i w:val="0"/>
              <w:iCs w:val="0"/>
              <w:sz w:val="21"/>
              <w:szCs w:val="22"/>
            </w:rPr>
          </w:pPr>
          <w:r>
            <w:fldChar w:fldCharType="begin"/>
          </w:r>
          <w:r>
            <w:instrText xml:space="preserve"> HYPERLINK \l "_Toc63005450" </w:instrText>
          </w:r>
          <w:r>
            <w:fldChar w:fldCharType="separate"/>
          </w:r>
          <w:r>
            <w:rPr>
              <w:rStyle w:val="27"/>
              <w:rFonts w:hint="eastAsia" w:ascii="仿宋" w:hAnsi="仿宋"/>
              <w:i w:val="0"/>
              <w:sz w:val="24"/>
              <w:szCs w:val="24"/>
            </w:rPr>
            <w:t>三、全面加强财政管理，提升绩效管理水平</w:t>
          </w:r>
          <w:r>
            <w:rPr>
              <w:rFonts w:ascii="仿宋" w:hAnsi="仿宋"/>
              <w:i w:val="0"/>
              <w:sz w:val="24"/>
              <w:szCs w:val="24"/>
            </w:rPr>
            <w:tab/>
          </w:r>
          <w:r>
            <w:rPr>
              <w:rFonts w:ascii="仿宋" w:hAnsi="仿宋"/>
              <w:i w:val="0"/>
              <w:sz w:val="24"/>
              <w:szCs w:val="24"/>
            </w:rPr>
            <w:fldChar w:fldCharType="begin"/>
          </w:r>
          <w:r>
            <w:rPr>
              <w:rFonts w:ascii="仿宋" w:hAnsi="仿宋"/>
              <w:i w:val="0"/>
              <w:sz w:val="24"/>
              <w:szCs w:val="24"/>
            </w:rPr>
            <w:instrText xml:space="preserve"> PAGEREF _Toc63005450 \h </w:instrText>
          </w:r>
          <w:r>
            <w:rPr>
              <w:rFonts w:ascii="仿宋" w:hAnsi="仿宋"/>
              <w:i w:val="0"/>
              <w:sz w:val="24"/>
              <w:szCs w:val="24"/>
            </w:rPr>
            <w:fldChar w:fldCharType="separate"/>
          </w:r>
          <w:r>
            <w:rPr>
              <w:rFonts w:ascii="仿宋" w:hAnsi="仿宋"/>
              <w:i w:val="0"/>
              <w:sz w:val="24"/>
              <w:szCs w:val="24"/>
            </w:rPr>
            <w:t>85</w:t>
          </w:r>
          <w:r>
            <w:rPr>
              <w:rFonts w:ascii="仿宋" w:hAnsi="仿宋"/>
              <w:i w:val="0"/>
              <w:sz w:val="24"/>
              <w:szCs w:val="24"/>
            </w:rPr>
            <w:fldChar w:fldCharType="end"/>
          </w:r>
          <w:r>
            <w:rPr>
              <w:rFonts w:ascii="仿宋" w:hAnsi="仿宋"/>
              <w:i w:val="0"/>
              <w:sz w:val="24"/>
              <w:szCs w:val="24"/>
            </w:rPr>
            <w:fldChar w:fldCharType="end"/>
          </w:r>
        </w:p>
        <w:p>
          <w:pPr>
            <w:ind w:firstLine="0" w:firstLineChars="0"/>
            <w:rPr>
              <w:rFonts w:hAnsi="仿宋"/>
              <w:b/>
              <w:sz w:val="24"/>
              <w:szCs w:val="24"/>
            </w:rPr>
          </w:pPr>
          <w:r>
            <w:rPr>
              <w:rFonts w:hAnsi="仿宋" w:cstheme="minorHAnsi"/>
              <w:b/>
              <w:bCs/>
              <w:caps/>
              <w:sz w:val="24"/>
              <w:szCs w:val="24"/>
            </w:rPr>
            <w:fldChar w:fldCharType="end"/>
          </w:r>
        </w:p>
      </w:sdtContent>
    </w:sdt>
    <w:p>
      <w:pPr>
        <w:widowControl/>
        <w:spacing w:line="240" w:lineRule="auto"/>
        <w:ind w:firstLine="0" w:firstLineChars="0"/>
        <w:jc w:val="left"/>
      </w:pPr>
      <w:r>
        <w:br w:type="page"/>
      </w:r>
    </w:p>
    <w:bookmarkEnd w:id="2"/>
    <w:p>
      <w:pPr>
        <w:pStyle w:val="2"/>
        <w:ind w:firstLine="643"/>
        <w:rPr>
          <w:color w:val="FF0000"/>
        </w:rPr>
      </w:pPr>
      <w:bookmarkStart w:id="3" w:name="_Toc63005404"/>
      <w:bookmarkStart w:id="4" w:name="_Toc52057348"/>
      <w:r>
        <w:rPr>
          <w:rFonts w:hint="eastAsia"/>
        </w:rPr>
        <w:t>第一篇</w:t>
      </w:r>
      <w:r>
        <w:t xml:space="preserve">  </w:t>
      </w:r>
      <w:r>
        <w:rPr>
          <w:rFonts w:hint="eastAsia"/>
        </w:rPr>
        <w:t>发展基础与形势分析</w:t>
      </w:r>
      <w:bookmarkEnd w:id="3"/>
    </w:p>
    <w:p>
      <w:pPr>
        <w:pStyle w:val="3"/>
        <w:ind w:firstLine="602"/>
      </w:pPr>
      <w:bookmarkStart w:id="5" w:name="_Toc63005405"/>
      <w:bookmarkStart w:id="6" w:name="_Toc52057346"/>
      <w:r>
        <w:rPr>
          <w:rFonts w:hint="eastAsia"/>
        </w:rPr>
        <w:t>第一章  “十三五”财政发展取得的成就</w:t>
      </w:r>
      <w:bookmarkEnd w:id="5"/>
      <w:bookmarkEnd w:id="6"/>
    </w:p>
    <w:p>
      <w:pPr>
        <w:ind w:firstLine="560"/>
      </w:pPr>
      <w:r>
        <w:rPr>
          <w:rFonts w:hint="eastAsia"/>
        </w:rPr>
        <w:t xml:space="preserve"> “十三五”以来，澄江市财政</w:t>
      </w:r>
      <w:r>
        <w:t>全面贯彻落实党的十九大</w:t>
      </w:r>
      <w:r>
        <w:rPr>
          <w:rFonts w:hint="eastAsia"/>
        </w:rPr>
        <w:t>及二中、</w:t>
      </w:r>
      <w:r>
        <w:t>三中</w:t>
      </w:r>
      <w:r>
        <w:rPr>
          <w:rFonts w:hint="eastAsia"/>
        </w:rPr>
        <w:t>、</w:t>
      </w:r>
      <w:r>
        <w:t>四中</w:t>
      </w:r>
      <w:r>
        <w:rPr>
          <w:rFonts w:hint="eastAsia"/>
        </w:rPr>
        <w:t>、</w:t>
      </w:r>
      <w:r>
        <w:t>五中全会</w:t>
      </w:r>
      <w:r>
        <w:rPr>
          <w:rFonts w:hint="eastAsia"/>
        </w:rPr>
        <w:t>和</w:t>
      </w:r>
      <w:r>
        <w:t>省委</w:t>
      </w:r>
      <w:r>
        <w:rPr>
          <w:rFonts w:hint="eastAsia"/>
        </w:rPr>
        <w:t>省政府的</w:t>
      </w:r>
      <w:r>
        <w:t>指示精神</w:t>
      </w:r>
      <w:r>
        <w:rPr>
          <w:rFonts w:hint="eastAsia"/>
        </w:rPr>
        <w:t>，</w:t>
      </w:r>
      <w:r>
        <w:t>全面落实玉溪市委</w:t>
      </w:r>
      <w:r>
        <w:rPr>
          <w:rFonts w:hint="eastAsia"/>
        </w:rPr>
        <w:t>市政府和澄江市委市政府的重大安排部署和要求，面对经济下行压力持续加大且短时间内难以缓解的复杂严峻形势，持续深化各项财税改革，多措并举提升收入组织能力，凝心聚力提高支出保障水平，突出重点改善民生，不断优化支出结构，严格管理依法理财，全力应对财政收支矛盾突出、政府偿债压力较大等多重困难，较好地完成了财政收支预期目标，为澄江经济和社会事业发展提供了强有力的财力支撑和制度保障，也为澄江市财政的进一步发展奠定了坚实基础。</w:t>
      </w:r>
    </w:p>
    <w:p>
      <w:pPr>
        <w:pStyle w:val="4"/>
        <w:ind w:firstLine="562"/>
        <w:rPr>
          <w:rFonts w:cs="Times New Roman"/>
        </w:rPr>
      </w:pPr>
      <w:bookmarkStart w:id="7" w:name="_Toc63005406"/>
      <w:r>
        <w:rPr>
          <w:rFonts w:hint="eastAsia"/>
        </w:rPr>
        <w:t>一、财政收入规模增长较快，</w:t>
      </w:r>
      <w:r>
        <w:rPr>
          <w:rFonts w:hint="eastAsia" w:cs="Times New Roman"/>
        </w:rPr>
        <w:t>收入组织能力稳步加强</w:t>
      </w:r>
      <w:bookmarkEnd w:id="7"/>
    </w:p>
    <w:p>
      <w:pPr>
        <w:pStyle w:val="5"/>
      </w:pPr>
      <w:r>
        <w:rPr>
          <w:rFonts w:hint="eastAsia"/>
        </w:rPr>
        <w:t>（一）财政收入规模总体保持较快增长</w:t>
      </w:r>
    </w:p>
    <w:p>
      <w:pPr>
        <w:ind w:firstLine="560"/>
      </w:pPr>
      <w:r>
        <w:rPr>
          <w:rFonts w:hint="eastAsia"/>
        </w:rPr>
        <w:t>“十三五”期间，澄江市累计实现全口径财政收入为1475771万元。其中，2016年，澄江市全口径财政收入为</w:t>
      </w:r>
      <w:r>
        <w:rPr>
          <w:rFonts w:hint="eastAsia" w:hAnsi="仿宋" w:cs="仿宋"/>
        </w:rPr>
        <w:t>132065</w:t>
      </w:r>
      <w:r>
        <w:rPr>
          <w:rFonts w:hint="eastAsia"/>
        </w:rPr>
        <w:t>万元，2017-2020年分别增加到241015万元、303866万元</w:t>
      </w:r>
      <w:r>
        <w:t>、</w:t>
      </w:r>
      <w:r>
        <w:rPr>
          <w:rFonts w:hint="eastAsia"/>
        </w:rPr>
        <w:t>258595万元和540230万元。从全口径财政收入分年度增速来看，2020年增长最快，同比增幅高达</w:t>
      </w:r>
      <w:r>
        <w:rPr>
          <w:rFonts w:hint="eastAsia" w:hAnsi="仿宋" w:cs="仿宋"/>
        </w:rPr>
        <w:t>108.91</w:t>
      </w:r>
      <w:r>
        <w:rPr>
          <w:rFonts w:hAnsi="仿宋" w:cs="仿宋"/>
        </w:rPr>
        <w:t>%</w:t>
      </w:r>
      <w:r>
        <w:rPr>
          <w:rFonts w:hint="eastAsia" w:hAnsi="仿宋" w:cs="仿宋"/>
        </w:rPr>
        <w:t>；</w:t>
      </w:r>
      <w:r>
        <w:rPr>
          <w:rFonts w:hint="eastAsia"/>
        </w:rPr>
        <w:t>2016-2018年同比增幅分别为</w:t>
      </w:r>
      <w:r>
        <w:rPr>
          <w:rFonts w:hint="eastAsia" w:hAnsi="仿宋" w:cs="仿宋"/>
        </w:rPr>
        <w:t>46.06</w:t>
      </w:r>
      <w:r>
        <w:rPr>
          <w:rFonts w:hAnsi="仿宋" w:cs="仿宋"/>
        </w:rPr>
        <w:t>%</w:t>
      </w:r>
      <w:r>
        <w:rPr>
          <w:rFonts w:hint="eastAsia" w:hAnsi="仿宋" w:cs="仿宋"/>
        </w:rPr>
        <w:t>、82.50</w:t>
      </w:r>
      <w:r>
        <w:rPr>
          <w:rFonts w:hAnsi="仿宋" w:cs="仿宋"/>
        </w:rPr>
        <w:t>%</w:t>
      </w:r>
      <w:r>
        <w:rPr>
          <w:rFonts w:hint="eastAsia" w:hAnsi="仿宋" w:cs="仿宋"/>
        </w:rPr>
        <w:t>和26.08%，连续三年实现了较高的</w:t>
      </w:r>
      <w:r>
        <w:rPr>
          <w:rFonts w:hAnsi="仿宋" w:cs="仿宋"/>
        </w:rPr>
        <w:t>增长</w:t>
      </w:r>
      <w:r>
        <w:rPr>
          <w:rFonts w:hint="eastAsia"/>
        </w:rPr>
        <w:t>；2019年同比出现了负增长，下降了14.90</w:t>
      </w:r>
      <w:r>
        <w:t>%</w:t>
      </w:r>
      <w:r>
        <w:rPr>
          <w:rFonts w:hint="eastAsia"/>
        </w:rPr>
        <w:t>。2016-2020年，澄江市全口径财政收入年均增速为49.73</w:t>
      </w:r>
      <w:r>
        <w:t>%</w:t>
      </w:r>
      <w:r>
        <w:rPr>
          <w:rFonts w:hint="eastAsia"/>
        </w:rPr>
        <w:t>（详见表1-1），</w:t>
      </w:r>
      <w:r>
        <w:rPr>
          <w:rFonts w:hint="eastAsia" w:hAnsi="仿宋" w:cs="Times New Roman"/>
        </w:rPr>
        <w:t>财政收入规模</w:t>
      </w:r>
      <w:r>
        <w:rPr>
          <w:rFonts w:hint="eastAsia"/>
        </w:rPr>
        <w:t>总体保持着较快的增长势头。</w:t>
      </w:r>
    </w:p>
    <w:p>
      <w:pPr>
        <w:ind w:right="480" w:firstLine="482"/>
        <w:jc w:val="center"/>
        <w:rPr>
          <w:rFonts w:hAnsi="仿宋" w:cs="华文仿宋"/>
          <w:b/>
          <w:bCs/>
          <w:sz w:val="18"/>
          <w:szCs w:val="18"/>
        </w:rPr>
      </w:pPr>
      <w:r>
        <w:rPr>
          <w:rFonts w:hint="eastAsia" w:hAnsi="仿宋" w:cs="华文仿宋"/>
          <w:b/>
          <w:bCs/>
          <w:sz w:val="24"/>
          <w:szCs w:val="24"/>
        </w:rPr>
        <w:t>表1-</w:t>
      </w:r>
      <w:r>
        <w:rPr>
          <w:rFonts w:hint="eastAsia" w:hAnsi="仿宋" w:cs="Times New Roman"/>
          <w:sz w:val="24"/>
          <w:szCs w:val="24"/>
        </w:rPr>
        <w:fldChar w:fldCharType="begin"/>
      </w:r>
      <w:r>
        <w:rPr>
          <w:rFonts w:hint="eastAsia" w:hAnsi="仿宋" w:cs="华文仿宋"/>
          <w:b/>
          <w:bCs/>
          <w:sz w:val="24"/>
          <w:szCs w:val="24"/>
        </w:rPr>
        <w:instrText xml:space="preserve"> SEQ 表 \* ARABIC \s 2 </w:instrText>
      </w:r>
      <w:r>
        <w:rPr>
          <w:rFonts w:hint="eastAsia" w:hAnsi="仿宋" w:cs="Times New Roman"/>
          <w:sz w:val="24"/>
          <w:szCs w:val="24"/>
        </w:rPr>
        <w:fldChar w:fldCharType="separate"/>
      </w:r>
      <w:r>
        <w:rPr>
          <w:rFonts w:hAnsi="仿宋" w:cs="华文仿宋"/>
          <w:b/>
          <w:bCs/>
          <w:sz w:val="24"/>
          <w:szCs w:val="24"/>
        </w:rPr>
        <w:t>1</w:t>
      </w:r>
      <w:r>
        <w:rPr>
          <w:rFonts w:hint="eastAsia" w:hAnsi="仿宋" w:cs="Times New Roman"/>
          <w:sz w:val="24"/>
          <w:szCs w:val="24"/>
        </w:rPr>
        <w:fldChar w:fldCharType="end"/>
      </w:r>
      <w:r>
        <w:rPr>
          <w:rFonts w:hint="eastAsia" w:hAnsi="仿宋" w:cs="华文仿宋"/>
          <w:b/>
          <w:bCs/>
          <w:sz w:val="24"/>
          <w:szCs w:val="24"/>
        </w:rPr>
        <w:t>：“十三五”澄江市全口径财政收入规模</w:t>
      </w:r>
      <w:r>
        <w:rPr>
          <w:rFonts w:hint="eastAsia" w:hAnsi="仿宋" w:cs="华文仿宋"/>
          <w:b/>
          <w:bCs/>
          <w:sz w:val="18"/>
          <w:szCs w:val="18"/>
        </w:rPr>
        <w:t>（单位：万元）</w:t>
      </w:r>
    </w:p>
    <w:tbl>
      <w:tblPr>
        <w:tblStyle w:val="23"/>
        <w:tblW w:w="8095" w:type="dxa"/>
        <w:tblInd w:w="93" w:type="dxa"/>
        <w:tblLayout w:type="fixed"/>
        <w:tblCellMar>
          <w:top w:w="0" w:type="dxa"/>
          <w:left w:w="108" w:type="dxa"/>
          <w:bottom w:w="0" w:type="dxa"/>
          <w:right w:w="108" w:type="dxa"/>
        </w:tblCellMar>
      </w:tblPr>
      <w:tblGrid>
        <w:gridCol w:w="2283"/>
        <w:gridCol w:w="1162"/>
        <w:gridCol w:w="1162"/>
        <w:gridCol w:w="1163"/>
        <w:gridCol w:w="1162"/>
        <w:gridCol w:w="1163"/>
      </w:tblGrid>
      <w:tr>
        <w:tblPrEx>
          <w:tblCellMar>
            <w:top w:w="0" w:type="dxa"/>
            <w:left w:w="108" w:type="dxa"/>
            <w:bottom w:w="0" w:type="dxa"/>
            <w:right w:w="108" w:type="dxa"/>
          </w:tblCellMar>
        </w:tblPrEx>
        <w:trPr>
          <w:trHeight w:val="529" w:hRule="atLeast"/>
        </w:trPr>
        <w:tc>
          <w:tcPr>
            <w:tcW w:w="2283" w:type="dxa"/>
            <w:tcBorders>
              <w:top w:val="single" w:color="auto" w:sz="4" w:space="0"/>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年  度</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2016</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2017</w:t>
            </w:r>
          </w:p>
        </w:tc>
        <w:tc>
          <w:tcPr>
            <w:tcW w:w="1163"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2018</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2019</w:t>
            </w:r>
          </w:p>
        </w:tc>
        <w:tc>
          <w:tcPr>
            <w:tcW w:w="1163" w:type="dxa"/>
            <w:tcBorders>
              <w:top w:val="single" w:color="auto" w:sz="4" w:space="0"/>
              <w:left w:val="nil"/>
              <w:bottom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2020</w:t>
            </w:r>
          </w:p>
        </w:tc>
      </w:tr>
      <w:tr>
        <w:tblPrEx>
          <w:tblCellMar>
            <w:top w:w="0" w:type="dxa"/>
            <w:left w:w="108" w:type="dxa"/>
            <w:bottom w:w="0" w:type="dxa"/>
            <w:right w:w="108" w:type="dxa"/>
          </w:tblCellMar>
        </w:tblPrEx>
        <w:trPr>
          <w:trHeight w:val="529" w:hRule="atLeast"/>
        </w:trPr>
        <w:tc>
          <w:tcPr>
            <w:tcW w:w="2283" w:type="dxa"/>
            <w:tcBorders>
              <w:top w:val="single" w:color="auto" w:sz="4" w:space="0"/>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一般公共预算收入</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73279</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87607</w:t>
            </w:r>
          </w:p>
        </w:tc>
        <w:tc>
          <w:tcPr>
            <w:tcW w:w="1163"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95148</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92199</w:t>
            </w:r>
          </w:p>
        </w:tc>
        <w:tc>
          <w:tcPr>
            <w:tcW w:w="1163" w:type="dxa"/>
            <w:tcBorders>
              <w:top w:val="single" w:color="auto" w:sz="4" w:space="0"/>
              <w:left w:val="nil"/>
              <w:bottom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79585</w:t>
            </w:r>
          </w:p>
        </w:tc>
      </w:tr>
      <w:tr>
        <w:tblPrEx>
          <w:tblCellMar>
            <w:top w:w="0" w:type="dxa"/>
            <w:left w:w="108" w:type="dxa"/>
            <w:bottom w:w="0" w:type="dxa"/>
            <w:right w:w="108" w:type="dxa"/>
          </w:tblCellMar>
        </w:tblPrEx>
        <w:trPr>
          <w:trHeight w:val="529" w:hRule="atLeast"/>
        </w:trPr>
        <w:tc>
          <w:tcPr>
            <w:tcW w:w="2283" w:type="dxa"/>
            <w:tcBorders>
              <w:top w:val="single" w:color="auto" w:sz="4" w:space="0"/>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政府性基金预算收入</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18934</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102586</w:t>
            </w:r>
          </w:p>
        </w:tc>
        <w:tc>
          <w:tcPr>
            <w:tcW w:w="1163"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158954</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115775</w:t>
            </w:r>
          </w:p>
        </w:tc>
        <w:tc>
          <w:tcPr>
            <w:tcW w:w="1163" w:type="dxa"/>
            <w:tcBorders>
              <w:top w:val="single" w:color="auto" w:sz="4" w:space="0"/>
              <w:left w:val="nil"/>
              <w:bottom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382287</w:t>
            </w:r>
          </w:p>
        </w:tc>
      </w:tr>
      <w:tr>
        <w:tblPrEx>
          <w:tblCellMar>
            <w:top w:w="0" w:type="dxa"/>
            <w:left w:w="108" w:type="dxa"/>
            <w:bottom w:w="0" w:type="dxa"/>
            <w:right w:w="108" w:type="dxa"/>
          </w:tblCellMar>
        </w:tblPrEx>
        <w:trPr>
          <w:trHeight w:val="529" w:hRule="atLeast"/>
        </w:trPr>
        <w:tc>
          <w:tcPr>
            <w:tcW w:w="2283" w:type="dxa"/>
            <w:tcBorders>
              <w:top w:val="single" w:color="auto" w:sz="4" w:space="0"/>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社会保险基金预算收入</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39821</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50743</w:t>
            </w:r>
          </w:p>
        </w:tc>
        <w:tc>
          <w:tcPr>
            <w:tcW w:w="1163"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47240</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50621</w:t>
            </w:r>
          </w:p>
        </w:tc>
        <w:tc>
          <w:tcPr>
            <w:tcW w:w="1163" w:type="dxa"/>
            <w:tcBorders>
              <w:top w:val="single" w:color="auto" w:sz="4" w:space="0"/>
              <w:left w:val="nil"/>
              <w:bottom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78356</w:t>
            </w:r>
          </w:p>
        </w:tc>
      </w:tr>
      <w:tr>
        <w:tblPrEx>
          <w:tblCellMar>
            <w:top w:w="0" w:type="dxa"/>
            <w:left w:w="108" w:type="dxa"/>
            <w:bottom w:w="0" w:type="dxa"/>
            <w:right w:w="108" w:type="dxa"/>
          </w:tblCellMar>
        </w:tblPrEx>
        <w:trPr>
          <w:trHeight w:val="529" w:hRule="atLeast"/>
        </w:trPr>
        <w:tc>
          <w:tcPr>
            <w:tcW w:w="2283" w:type="dxa"/>
            <w:tcBorders>
              <w:top w:val="single" w:color="auto" w:sz="4" w:space="0"/>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国有资本经营预算收入</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31</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79</w:t>
            </w:r>
          </w:p>
        </w:tc>
        <w:tc>
          <w:tcPr>
            <w:tcW w:w="1163"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2524</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0</w:t>
            </w:r>
          </w:p>
        </w:tc>
        <w:tc>
          <w:tcPr>
            <w:tcW w:w="1163" w:type="dxa"/>
            <w:tcBorders>
              <w:top w:val="single" w:color="auto" w:sz="4" w:space="0"/>
              <w:left w:val="nil"/>
              <w:bottom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2</w:t>
            </w:r>
          </w:p>
        </w:tc>
      </w:tr>
      <w:tr>
        <w:tblPrEx>
          <w:tblCellMar>
            <w:top w:w="0" w:type="dxa"/>
            <w:left w:w="108" w:type="dxa"/>
            <w:bottom w:w="0" w:type="dxa"/>
            <w:right w:w="108" w:type="dxa"/>
          </w:tblCellMar>
        </w:tblPrEx>
        <w:trPr>
          <w:trHeight w:val="529" w:hRule="atLeast"/>
        </w:trPr>
        <w:tc>
          <w:tcPr>
            <w:tcW w:w="2283" w:type="dxa"/>
            <w:tcBorders>
              <w:top w:val="single" w:color="auto" w:sz="4" w:space="0"/>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合  计</w:t>
            </w:r>
          </w:p>
        </w:tc>
        <w:tc>
          <w:tcPr>
            <w:tcW w:w="1162" w:type="dxa"/>
            <w:tcBorders>
              <w:top w:val="single" w:color="auto" w:sz="4" w:space="0"/>
              <w:left w:val="nil"/>
              <w:bottom w:val="single" w:color="auto" w:sz="4" w:space="0"/>
              <w:right w:val="single" w:color="auto" w:sz="4" w:space="0"/>
            </w:tcBorders>
            <w:shd w:val="clear" w:color="auto" w:fill="auto"/>
            <w:noWrap/>
            <w:vAlign w:val="center"/>
          </w:tcPr>
          <w:p>
            <w:pPr>
              <w:tabs>
                <w:tab w:val="right" w:leader="dot" w:pos="7560"/>
                <w:tab w:val="right" w:leader="dot" w:pos="8400"/>
                <w:tab w:val="right" w:leader="dot" w:pos="9240"/>
              </w:tabs>
              <w:snapToGrid w:val="0"/>
              <w:ind w:right="201" w:firstLine="0" w:firstLineChars="0"/>
              <w:jc w:val="center"/>
              <w:rPr>
                <w:rFonts w:hAnsi="仿宋" w:cs="仿宋"/>
                <w:b/>
                <w:kern w:val="0"/>
                <w:sz w:val="20"/>
                <w:szCs w:val="21"/>
              </w:rPr>
            </w:pPr>
            <w:r>
              <w:rPr>
                <w:rFonts w:hint="eastAsia" w:hAnsi="仿宋" w:cs="仿宋"/>
                <w:b/>
                <w:kern w:val="0"/>
                <w:sz w:val="20"/>
                <w:szCs w:val="21"/>
              </w:rPr>
              <w:t>132065</w:t>
            </w:r>
          </w:p>
        </w:tc>
        <w:tc>
          <w:tcPr>
            <w:tcW w:w="1162" w:type="dxa"/>
            <w:tcBorders>
              <w:top w:val="single" w:color="auto" w:sz="4" w:space="0"/>
              <w:left w:val="nil"/>
              <w:bottom w:val="single" w:color="auto" w:sz="4" w:space="0"/>
              <w:right w:val="single" w:color="auto" w:sz="4" w:space="0"/>
            </w:tcBorders>
            <w:shd w:val="clear" w:color="auto" w:fill="auto"/>
            <w:noWrap/>
            <w:vAlign w:val="center"/>
          </w:tcPr>
          <w:p>
            <w:pPr>
              <w:tabs>
                <w:tab w:val="right" w:leader="dot" w:pos="7560"/>
                <w:tab w:val="right" w:leader="dot" w:pos="8400"/>
                <w:tab w:val="right" w:leader="dot" w:pos="9240"/>
              </w:tabs>
              <w:snapToGrid w:val="0"/>
              <w:ind w:right="201" w:firstLine="0" w:firstLineChars="0"/>
              <w:jc w:val="center"/>
              <w:rPr>
                <w:rFonts w:hAnsi="仿宋" w:cs="仿宋"/>
                <w:b/>
                <w:kern w:val="0"/>
                <w:sz w:val="20"/>
                <w:szCs w:val="21"/>
              </w:rPr>
            </w:pPr>
            <w:r>
              <w:rPr>
                <w:rFonts w:hint="eastAsia" w:hAnsi="仿宋" w:cs="仿宋"/>
                <w:b/>
                <w:kern w:val="0"/>
                <w:sz w:val="20"/>
                <w:szCs w:val="21"/>
              </w:rPr>
              <w:t>241015</w:t>
            </w:r>
          </w:p>
        </w:tc>
        <w:tc>
          <w:tcPr>
            <w:tcW w:w="1163" w:type="dxa"/>
            <w:tcBorders>
              <w:top w:val="single" w:color="auto" w:sz="4" w:space="0"/>
              <w:left w:val="nil"/>
              <w:bottom w:val="single" w:color="auto" w:sz="4" w:space="0"/>
              <w:right w:val="single" w:color="auto" w:sz="4" w:space="0"/>
            </w:tcBorders>
            <w:shd w:val="clear" w:color="auto" w:fill="auto"/>
            <w:noWrap/>
            <w:vAlign w:val="center"/>
          </w:tcPr>
          <w:p>
            <w:pPr>
              <w:tabs>
                <w:tab w:val="right" w:leader="dot" w:pos="7560"/>
                <w:tab w:val="right" w:leader="dot" w:pos="8400"/>
                <w:tab w:val="right" w:leader="dot" w:pos="9240"/>
              </w:tabs>
              <w:snapToGrid w:val="0"/>
              <w:ind w:right="201" w:firstLine="0" w:firstLineChars="0"/>
              <w:jc w:val="center"/>
              <w:rPr>
                <w:rFonts w:hAnsi="仿宋" w:cs="仿宋"/>
                <w:b/>
                <w:kern w:val="0"/>
                <w:sz w:val="20"/>
                <w:szCs w:val="21"/>
              </w:rPr>
            </w:pPr>
            <w:r>
              <w:rPr>
                <w:rFonts w:hint="eastAsia" w:hAnsi="仿宋" w:cs="仿宋"/>
                <w:b/>
                <w:kern w:val="0"/>
                <w:sz w:val="20"/>
                <w:szCs w:val="21"/>
              </w:rPr>
              <w:t>303866</w:t>
            </w:r>
          </w:p>
        </w:tc>
        <w:tc>
          <w:tcPr>
            <w:tcW w:w="1162" w:type="dxa"/>
            <w:tcBorders>
              <w:top w:val="single" w:color="auto" w:sz="4" w:space="0"/>
              <w:left w:val="nil"/>
              <w:bottom w:val="single" w:color="auto" w:sz="4" w:space="0"/>
              <w:right w:val="single" w:color="auto" w:sz="4" w:space="0"/>
            </w:tcBorders>
            <w:shd w:val="clear" w:color="auto" w:fill="auto"/>
            <w:noWrap/>
            <w:vAlign w:val="center"/>
          </w:tcPr>
          <w:p>
            <w:pPr>
              <w:tabs>
                <w:tab w:val="right" w:leader="dot" w:pos="7560"/>
                <w:tab w:val="right" w:leader="dot" w:pos="8400"/>
                <w:tab w:val="right" w:leader="dot" w:pos="9240"/>
              </w:tabs>
              <w:snapToGrid w:val="0"/>
              <w:ind w:right="201" w:firstLine="0" w:firstLineChars="0"/>
              <w:jc w:val="center"/>
              <w:rPr>
                <w:rFonts w:hAnsi="仿宋" w:cs="仿宋"/>
                <w:b/>
                <w:kern w:val="0"/>
                <w:sz w:val="20"/>
                <w:szCs w:val="21"/>
              </w:rPr>
            </w:pPr>
            <w:r>
              <w:rPr>
                <w:rFonts w:hint="eastAsia" w:hAnsi="仿宋" w:cs="仿宋"/>
                <w:b/>
                <w:kern w:val="0"/>
                <w:sz w:val="20"/>
                <w:szCs w:val="21"/>
              </w:rPr>
              <w:t>258595</w:t>
            </w:r>
          </w:p>
        </w:tc>
        <w:tc>
          <w:tcPr>
            <w:tcW w:w="1163" w:type="dxa"/>
            <w:tcBorders>
              <w:top w:val="single" w:color="auto" w:sz="4" w:space="0"/>
              <w:left w:val="nil"/>
              <w:bottom w:val="single" w:color="auto" w:sz="4" w:space="0"/>
            </w:tcBorders>
            <w:shd w:val="clear" w:color="auto" w:fill="auto"/>
            <w:noWrap/>
            <w:vAlign w:val="center"/>
          </w:tcPr>
          <w:p>
            <w:pPr>
              <w:tabs>
                <w:tab w:val="right" w:leader="dot" w:pos="7560"/>
                <w:tab w:val="right" w:leader="dot" w:pos="8400"/>
                <w:tab w:val="right" w:leader="dot" w:pos="9240"/>
              </w:tabs>
              <w:snapToGrid w:val="0"/>
              <w:ind w:right="201" w:firstLine="0" w:firstLineChars="0"/>
              <w:jc w:val="center"/>
              <w:rPr>
                <w:rFonts w:hAnsi="仿宋" w:cs="仿宋"/>
                <w:b/>
                <w:kern w:val="0"/>
                <w:sz w:val="20"/>
                <w:szCs w:val="21"/>
              </w:rPr>
            </w:pPr>
            <w:r>
              <w:rPr>
                <w:rFonts w:hint="eastAsia" w:hAnsi="仿宋" w:cs="仿宋"/>
                <w:b/>
                <w:kern w:val="0"/>
                <w:sz w:val="20"/>
                <w:szCs w:val="21"/>
              </w:rPr>
              <w:t>540230</w:t>
            </w:r>
          </w:p>
        </w:tc>
      </w:tr>
      <w:tr>
        <w:tblPrEx>
          <w:tblCellMar>
            <w:top w:w="0" w:type="dxa"/>
            <w:left w:w="108" w:type="dxa"/>
            <w:bottom w:w="0" w:type="dxa"/>
            <w:right w:w="108" w:type="dxa"/>
          </w:tblCellMar>
        </w:tblPrEx>
        <w:trPr>
          <w:trHeight w:val="529" w:hRule="atLeast"/>
        </w:trPr>
        <w:tc>
          <w:tcPr>
            <w:tcW w:w="2283" w:type="dxa"/>
            <w:tcBorders>
              <w:top w:val="single" w:color="auto" w:sz="4" w:space="0"/>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同比增速</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46.06%</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82.50%</w:t>
            </w:r>
          </w:p>
        </w:tc>
        <w:tc>
          <w:tcPr>
            <w:tcW w:w="1163"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26.08%</w:t>
            </w:r>
          </w:p>
        </w:tc>
        <w:tc>
          <w:tcPr>
            <w:tcW w:w="1162" w:type="dxa"/>
            <w:tcBorders>
              <w:top w:val="single" w:color="auto" w:sz="4" w:space="0"/>
              <w:left w:val="nil"/>
              <w:bottom w:val="single" w:color="auto" w:sz="4" w:space="0"/>
              <w:right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-14.90%</w:t>
            </w:r>
          </w:p>
        </w:tc>
        <w:tc>
          <w:tcPr>
            <w:tcW w:w="1163" w:type="dxa"/>
            <w:tcBorders>
              <w:top w:val="single" w:color="auto" w:sz="4" w:space="0"/>
              <w:left w:val="nil"/>
              <w:bottom w:val="single" w:color="auto" w:sz="4" w:space="0"/>
            </w:tcBorders>
            <w:shd w:val="clear" w:color="auto" w:fill="auto"/>
            <w:vAlign w:val="center"/>
          </w:tcPr>
          <w:p>
            <w:pPr>
              <w:tabs>
                <w:tab w:val="right" w:leader="dot" w:pos="7560"/>
                <w:tab w:val="right" w:leader="dot" w:pos="8400"/>
                <w:tab w:val="right" w:leader="dot" w:pos="9240"/>
              </w:tabs>
              <w:snapToGrid w:val="0"/>
              <w:ind w:firstLine="0" w:firstLineChars="0"/>
              <w:jc w:val="center"/>
              <w:rPr>
                <w:rFonts w:hAnsi="仿宋" w:cs="仿宋"/>
                <w:b/>
                <w:kern w:val="0"/>
                <w:sz w:val="20"/>
                <w:szCs w:val="21"/>
              </w:rPr>
            </w:pPr>
            <w:r>
              <w:rPr>
                <w:rFonts w:hint="eastAsia" w:hAnsi="仿宋" w:cs="仿宋"/>
                <w:b/>
                <w:kern w:val="0"/>
                <w:sz w:val="20"/>
                <w:szCs w:val="21"/>
              </w:rPr>
              <w:t>108.91%</w:t>
            </w:r>
          </w:p>
        </w:tc>
      </w:tr>
    </w:tbl>
    <w:p>
      <w:pPr>
        <w:ind w:firstLine="480"/>
        <w:rPr>
          <w:sz w:val="24"/>
          <w:szCs w:val="24"/>
        </w:rPr>
      </w:pPr>
      <w:r>
        <w:rPr>
          <w:rFonts w:hint="eastAsia"/>
          <w:sz w:val="24"/>
          <w:szCs w:val="24"/>
        </w:rPr>
        <w:t>数据来源：根据澄江市财政局各年度财政决算表计算。</w:t>
      </w:r>
    </w:p>
    <w:p>
      <w:pPr>
        <w:pStyle w:val="5"/>
      </w:pPr>
      <w:r>
        <w:rPr>
          <w:rFonts w:hint="eastAsia"/>
        </w:rPr>
        <w:t>（二）财政收入组织能力稳步提升，多元收入结构趋于合理</w:t>
      </w:r>
    </w:p>
    <w:p>
      <w:pPr>
        <w:ind w:firstLine="560"/>
      </w:pPr>
      <w:r>
        <w:rPr>
          <w:rFonts w:hint="eastAsia"/>
        </w:rPr>
        <w:t>“十三五”期间，澄江市财政多措并举大力提升财政收入组织能力。一是强化税收征管努力实现应收尽收，不断加强非税收入管理，提高非税收入对财政增长的贡献；二是充分盘活、整合闲置存量国有资产资源，加强对国有资产资源的监督管理，强化对国有资源有偿使用收入等重点收入的征管；三是抓住契机，加强与中央、省、市相关部门对接，积极争取上级政策和资金支持澄江市以抚仙湖和帽天山保护为重点的生态建设和经济建设，财政收入组织能力稳步提升。</w:t>
      </w:r>
    </w:p>
    <w:p>
      <w:pPr>
        <w:ind w:firstLine="560"/>
      </w:pPr>
      <w:r>
        <w:rPr>
          <w:rFonts w:hint="eastAsia"/>
        </w:rPr>
        <w:t>“十三五”期间，澄江市全口径财政收入结构最为突出的变化，就是一般公共预算收入占全口径财政收入的比重从2016年的55.49%下降到2020年的14.73%，而政府性基金预算收入的比重却从2016年的14.34%上升到2020年的70.76%。与此相应，虽然社会保险基金预算收入的绝对规模快速增长，但是其在澄江全口径财政收入中的比重也从2016年的30.15%下降到2020年的14.50%（详见图1-1）。此外，国有资本经营预算收入规模也有一定增长，从2016年31万元增加到2018年的2524万元。</w:t>
      </w:r>
    </w:p>
    <w:p>
      <w:pPr>
        <w:ind w:firstLine="0" w:firstLineChars="0"/>
        <w:jc w:val="center"/>
      </w:pPr>
      <w:r>
        <w:drawing>
          <wp:inline distT="0" distB="0" distL="0" distR="0">
            <wp:extent cx="2560320" cy="2075180"/>
            <wp:effectExtent l="0" t="0" r="0" b="12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2560321" cy="2075290"/>
                    </a:xfrm>
                    <a:prstGeom prst="rect">
                      <a:avLst/>
                    </a:prstGeom>
                    <a:noFill/>
                  </pic:spPr>
                </pic:pic>
              </a:graphicData>
            </a:graphic>
          </wp:inline>
        </w:drawing>
      </w:r>
      <w:r>
        <w:drawing>
          <wp:inline distT="0" distB="0" distL="0" distR="0">
            <wp:extent cx="2297430" cy="2075180"/>
            <wp:effectExtent l="0" t="0" r="7620" b="127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2297927" cy="2075290"/>
                    </a:xfrm>
                    <a:prstGeom prst="rect">
                      <a:avLst/>
                    </a:prstGeom>
                    <a:noFill/>
                  </pic:spPr>
                </pic:pic>
              </a:graphicData>
            </a:graphic>
          </wp:inline>
        </w:drawing>
      </w:r>
    </w:p>
    <w:p>
      <w:pPr>
        <w:ind w:firstLine="482"/>
        <w:jc w:val="center"/>
        <w:rPr>
          <w:b/>
          <w:sz w:val="24"/>
          <w:szCs w:val="24"/>
        </w:rPr>
      </w:pPr>
      <w:r>
        <w:rPr>
          <w:rFonts w:hint="eastAsia"/>
          <w:b/>
          <w:sz w:val="24"/>
          <w:szCs w:val="24"/>
        </w:rPr>
        <w:t>图1-1：澄江市“十三五”全口径财政收入结构对比图</w:t>
      </w:r>
    </w:p>
    <w:p>
      <w:pPr>
        <w:ind w:firstLine="560"/>
      </w:pPr>
      <w:r>
        <w:rPr>
          <w:rFonts w:hint="eastAsia"/>
        </w:rPr>
        <w:t>具体来看，澄江市一般公共预算收入从2016年的73279万元增加到2018年的</w:t>
      </w:r>
      <w:r>
        <w:t>95148</w:t>
      </w:r>
      <w:r>
        <w:rPr>
          <w:rFonts w:hint="eastAsia"/>
        </w:rPr>
        <w:t>万元，2019年和2020年同比略有下降，分别为</w:t>
      </w:r>
      <w:r>
        <w:t>92199</w:t>
      </w:r>
      <w:r>
        <w:rPr>
          <w:rFonts w:hint="eastAsia"/>
        </w:rPr>
        <w:t>和</w:t>
      </w:r>
      <w:r>
        <w:t>79585</w:t>
      </w:r>
      <w:r>
        <w:rPr>
          <w:rFonts w:hint="eastAsia"/>
        </w:rPr>
        <w:t>万元，“十三五”年均增速为7.25</w:t>
      </w:r>
      <w:r>
        <w:t>%</w:t>
      </w:r>
      <w:r>
        <w:rPr>
          <w:rFonts w:hint="eastAsia"/>
        </w:rPr>
        <w:t>。其中，税收收入从2016年的44772万元增加至2019年的64872万元，2020年下降至</w:t>
      </w:r>
      <w:r>
        <w:t>58647</w:t>
      </w:r>
      <w:r>
        <w:rPr>
          <w:rFonts w:hint="eastAsia"/>
        </w:rPr>
        <w:t>万元，“十三五”年均增速为</w:t>
      </w:r>
      <w:r>
        <w:t>10.52%</w:t>
      </w:r>
      <w:r>
        <w:rPr>
          <w:rFonts w:hint="eastAsia"/>
        </w:rPr>
        <w:t>；非税收入从2016年的28507万元增加到2017年的44383万元，2018-2020年连续三年下降，分别为42036万元、</w:t>
      </w:r>
      <w:r>
        <w:t>27327万元和</w:t>
      </w:r>
      <w:r>
        <w:rPr>
          <w:rFonts w:hint="eastAsia"/>
        </w:rPr>
        <w:t>20938万元，“十三五”年均增速为4.83%。同期中，澄江市政府性基金预算收入从2016年的</w:t>
      </w:r>
      <w:r>
        <w:t>18934</w:t>
      </w:r>
      <w:r>
        <w:rPr>
          <w:rFonts w:hint="eastAsia"/>
        </w:rPr>
        <w:t>万元增加至2020年的</w:t>
      </w:r>
      <w:r>
        <w:t>382287</w:t>
      </w:r>
      <w:r>
        <w:rPr>
          <w:rFonts w:hint="eastAsia"/>
        </w:rPr>
        <w:t>万元，年均增速高达153.80%，政府性基金收入在地方财政收入中的重要地位迅速提升；国有资本经营预算收入从2016年的31万元，增长至2018年的2524万元；社会保险基金预算收入从2016年的</w:t>
      </w:r>
      <w:r>
        <w:t>39821</w:t>
      </w:r>
      <w:r>
        <w:rPr>
          <w:rFonts w:hint="eastAsia"/>
        </w:rPr>
        <w:t>万元增加到2020年的78356万元，年均增长率为31.03%（详见表1-2）。</w:t>
      </w:r>
    </w:p>
    <w:p>
      <w:pPr>
        <w:ind w:firstLine="0" w:firstLineChars="0"/>
        <w:jc w:val="center"/>
        <w:rPr>
          <w:rFonts w:hAnsi="仿宋" w:cs="华文仿宋"/>
          <w:b/>
          <w:bCs/>
          <w:color w:val="000000" w:themeColor="text1"/>
          <w:sz w:val="21"/>
          <w:szCs w:val="21"/>
          <w14:textFill>
            <w14:solidFill>
              <w14:schemeClr w14:val="tx1"/>
            </w14:solidFill>
          </w14:textFill>
        </w:rPr>
      </w:pPr>
      <w:r>
        <w:rPr>
          <w:rFonts w:hint="eastAsia" w:hAnsi="仿宋" w:cs="华文仿宋"/>
          <w:b/>
          <w:bCs/>
          <w:color w:val="000000" w:themeColor="text1"/>
          <w:sz w:val="24"/>
          <w:szCs w:val="24"/>
          <w14:textFill>
            <w14:solidFill>
              <w14:schemeClr w14:val="tx1"/>
            </w14:solidFill>
          </w14:textFill>
        </w:rPr>
        <w:t>表1-</w:t>
      </w:r>
      <w:r>
        <w:rPr>
          <w:rFonts w:hint="eastAsia" w:hAnsi="仿宋" w:cs="Times New Roman"/>
          <w:color w:val="000000" w:themeColor="text1"/>
          <w:sz w:val="24"/>
          <w:szCs w:val="24"/>
          <w14:textFill>
            <w14:solidFill>
              <w14:schemeClr w14:val="tx1"/>
            </w14:solidFill>
          </w14:textFill>
        </w:rPr>
        <w:fldChar w:fldCharType="begin"/>
      </w:r>
      <w:r>
        <w:rPr>
          <w:rFonts w:hint="eastAsia" w:hAnsi="仿宋" w:cs="华文仿宋"/>
          <w:b/>
          <w:bCs/>
          <w:color w:val="000000" w:themeColor="text1"/>
          <w:sz w:val="24"/>
          <w:szCs w:val="24"/>
          <w14:textFill>
            <w14:solidFill>
              <w14:schemeClr w14:val="tx1"/>
            </w14:solidFill>
          </w14:textFill>
        </w:rPr>
        <w:instrText xml:space="preserve"> SEQ 表 \* ARABIC \s 2 </w:instrText>
      </w:r>
      <w:r>
        <w:rPr>
          <w:rFonts w:hint="eastAsia" w:hAnsi="仿宋" w:cs="Times New Roman"/>
          <w:color w:val="000000" w:themeColor="text1"/>
          <w:sz w:val="24"/>
          <w:szCs w:val="24"/>
          <w14:textFill>
            <w14:solidFill>
              <w14:schemeClr w14:val="tx1"/>
            </w14:solidFill>
          </w14:textFill>
        </w:rPr>
        <w:fldChar w:fldCharType="separate"/>
      </w:r>
      <w:r>
        <w:rPr>
          <w:rFonts w:hAnsi="仿宋" w:cs="华文仿宋"/>
          <w:b/>
          <w:bCs/>
          <w:color w:val="000000" w:themeColor="text1"/>
          <w:sz w:val="24"/>
          <w:szCs w:val="24"/>
          <w14:textFill>
            <w14:solidFill>
              <w14:schemeClr w14:val="tx1"/>
            </w14:solidFill>
          </w14:textFill>
        </w:rPr>
        <w:t>2</w:t>
      </w:r>
      <w:r>
        <w:rPr>
          <w:rFonts w:hint="eastAsia" w:hAnsi="仿宋" w:cs="Times New Roman"/>
          <w:color w:val="000000" w:themeColor="text1"/>
          <w:sz w:val="24"/>
          <w:szCs w:val="24"/>
          <w14:textFill>
            <w14:solidFill>
              <w14:schemeClr w14:val="tx1"/>
            </w14:solidFill>
          </w14:textFill>
        </w:rPr>
        <w:fldChar w:fldCharType="end"/>
      </w:r>
      <w:r>
        <w:rPr>
          <w:rFonts w:hint="eastAsia" w:hAnsi="仿宋" w:cs="华文仿宋"/>
          <w:b/>
          <w:bCs/>
          <w:color w:val="000000" w:themeColor="text1"/>
          <w:sz w:val="24"/>
          <w:szCs w:val="24"/>
          <w14:textFill>
            <w14:solidFill>
              <w14:schemeClr w14:val="tx1"/>
            </w14:solidFill>
          </w14:textFill>
        </w:rPr>
        <w:t>：澄江市2016-2020年财政收入增长情况</w:t>
      </w:r>
      <w:r>
        <w:rPr>
          <w:rFonts w:hint="eastAsia" w:hAnsi="仿宋" w:cs="华文仿宋"/>
          <w:b/>
          <w:bCs/>
          <w:color w:val="000000" w:themeColor="text1"/>
          <w:sz w:val="21"/>
          <w:szCs w:val="21"/>
          <w14:textFill>
            <w14:solidFill>
              <w14:schemeClr w14:val="tx1"/>
            </w14:solidFill>
          </w14:textFill>
        </w:rPr>
        <w:t>（单位：万元；%）</w:t>
      </w:r>
    </w:p>
    <w:tbl>
      <w:tblPr>
        <w:tblStyle w:val="23"/>
        <w:tblW w:w="8363" w:type="dxa"/>
        <w:tblInd w:w="25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1077"/>
        <w:gridCol w:w="1077"/>
        <w:gridCol w:w="1077"/>
        <w:gridCol w:w="1077"/>
        <w:gridCol w:w="10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9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年  度</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2016</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2017</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2018</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2019</w:t>
            </w:r>
          </w:p>
        </w:tc>
        <w:tc>
          <w:tcPr>
            <w:tcW w:w="1078"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tcBorders>
              <w:bottom w:val="single" w:color="auto" w:sz="4" w:space="0"/>
            </w:tcBorders>
            <w:shd w:val="clear" w:color="auto" w:fill="auto"/>
            <w:vAlign w:val="center"/>
          </w:tcPr>
          <w:p>
            <w:pPr>
              <w:widowControl/>
              <w:spacing w:line="240" w:lineRule="auto"/>
              <w:ind w:firstLine="0" w:firstLineChars="0"/>
              <w:jc w:val="center"/>
              <w:rPr>
                <w:rFonts w:hAnsi="仿宋" w:cs="宋体"/>
                <w:b/>
                <w:bCs/>
                <w:kern w:val="0"/>
                <w:sz w:val="21"/>
                <w:szCs w:val="21"/>
              </w:rPr>
            </w:pPr>
            <w:r>
              <w:rPr>
                <w:rFonts w:hint="eastAsia" w:hAnsi="仿宋" w:cs="宋体"/>
                <w:b/>
                <w:bCs/>
                <w:kern w:val="0"/>
                <w:sz w:val="21"/>
                <w:szCs w:val="21"/>
              </w:rPr>
              <w:t>一般公共预算收入</w:t>
            </w:r>
          </w:p>
        </w:tc>
        <w:tc>
          <w:tcPr>
            <w:tcW w:w="1077" w:type="dxa"/>
            <w:shd w:val="clear" w:color="auto" w:fill="auto"/>
          </w:tcPr>
          <w:p>
            <w:pPr>
              <w:ind w:firstLine="0" w:firstLineChars="0"/>
              <w:rPr>
                <w:rFonts w:hAnsi="仿宋" w:cs="宋体"/>
                <w:b/>
                <w:bCs/>
                <w:kern w:val="0"/>
                <w:sz w:val="21"/>
                <w:szCs w:val="21"/>
              </w:rPr>
            </w:pPr>
            <w:r>
              <w:rPr>
                <w:rFonts w:hAnsi="仿宋" w:cs="宋体"/>
                <w:b/>
                <w:bCs/>
                <w:kern w:val="0"/>
                <w:sz w:val="21"/>
                <w:szCs w:val="21"/>
              </w:rPr>
              <w:t>73279</w:t>
            </w:r>
          </w:p>
        </w:tc>
        <w:tc>
          <w:tcPr>
            <w:tcW w:w="1077" w:type="dxa"/>
            <w:shd w:val="clear" w:color="auto" w:fill="auto"/>
          </w:tcPr>
          <w:p>
            <w:pPr>
              <w:ind w:firstLine="0" w:firstLineChars="0"/>
              <w:rPr>
                <w:rFonts w:hAnsi="仿宋" w:cs="宋体"/>
                <w:b/>
                <w:bCs/>
                <w:kern w:val="0"/>
                <w:sz w:val="21"/>
                <w:szCs w:val="21"/>
              </w:rPr>
            </w:pPr>
            <w:r>
              <w:rPr>
                <w:rFonts w:hAnsi="仿宋" w:cs="宋体"/>
                <w:b/>
                <w:bCs/>
                <w:kern w:val="0"/>
                <w:sz w:val="21"/>
                <w:szCs w:val="21"/>
              </w:rPr>
              <w:t>87607</w:t>
            </w:r>
          </w:p>
        </w:tc>
        <w:tc>
          <w:tcPr>
            <w:tcW w:w="1077" w:type="dxa"/>
            <w:shd w:val="clear" w:color="auto" w:fill="auto"/>
          </w:tcPr>
          <w:p>
            <w:pPr>
              <w:ind w:firstLine="0" w:firstLineChars="0"/>
              <w:rPr>
                <w:rFonts w:hAnsi="仿宋" w:cs="宋体"/>
                <w:b/>
                <w:bCs/>
                <w:kern w:val="0"/>
                <w:sz w:val="21"/>
                <w:szCs w:val="21"/>
              </w:rPr>
            </w:pPr>
            <w:r>
              <w:rPr>
                <w:rFonts w:hAnsi="仿宋" w:cs="宋体"/>
                <w:b/>
                <w:bCs/>
                <w:kern w:val="0"/>
                <w:sz w:val="21"/>
                <w:szCs w:val="21"/>
              </w:rPr>
              <w:t>95148</w:t>
            </w:r>
          </w:p>
        </w:tc>
        <w:tc>
          <w:tcPr>
            <w:tcW w:w="1077" w:type="dxa"/>
            <w:shd w:val="clear" w:color="auto" w:fill="auto"/>
          </w:tcPr>
          <w:p>
            <w:pPr>
              <w:ind w:firstLine="0" w:firstLineChars="0"/>
              <w:rPr>
                <w:rFonts w:hAnsi="仿宋" w:cs="宋体"/>
                <w:b/>
                <w:bCs/>
                <w:kern w:val="0"/>
                <w:sz w:val="21"/>
                <w:szCs w:val="21"/>
              </w:rPr>
            </w:pPr>
            <w:r>
              <w:rPr>
                <w:rFonts w:hAnsi="仿宋" w:cs="宋体"/>
                <w:b/>
                <w:bCs/>
                <w:kern w:val="0"/>
                <w:sz w:val="21"/>
                <w:szCs w:val="21"/>
              </w:rPr>
              <w:t>92199</w:t>
            </w:r>
          </w:p>
        </w:tc>
        <w:tc>
          <w:tcPr>
            <w:tcW w:w="1078" w:type="dxa"/>
            <w:shd w:val="clear" w:color="auto" w:fill="auto"/>
          </w:tcPr>
          <w:p>
            <w:pPr>
              <w:ind w:firstLine="0" w:firstLineChars="0"/>
              <w:rPr>
                <w:rFonts w:hAnsi="仿宋" w:cs="宋体"/>
                <w:b/>
                <w:bCs/>
                <w:kern w:val="0"/>
                <w:sz w:val="21"/>
                <w:szCs w:val="21"/>
              </w:rPr>
            </w:pPr>
            <w:r>
              <w:rPr>
                <w:rFonts w:hAnsi="仿宋" w:cs="宋体"/>
                <w:b/>
                <w:bCs/>
                <w:kern w:val="0"/>
                <w:sz w:val="21"/>
                <w:szCs w:val="21"/>
              </w:rPr>
              <w:t>79585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tcBorders>
              <w:bottom w:val="nil"/>
              <w:right w:val="single" w:color="auto" w:sz="4" w:space="0"/>
            </w:tcBorders>
            <w:shd w:val="clear" w:color="auto" w:fill="auto"/>
            <w:vAlign w:val="center"/>
          </w:tcPr>
          <w:p>
            <w:pPr>
              <w:widowControl/>
              <w:spacing w:line="240" w:lineRule="auto"/>
              <w:ind w:right="422" w:firstLine="0" w:firstLineChars="0"/>
              <w:jc w:val="right"/>
              <w:rPr>
                <w:rFonts w:hAnsi="仿宋" w:cs="宋体"/>
                <w:b/>
                <w:bCs/>
                <w:color w:val="000000"/>
                <w:kern w:val="0"/>
                <w:sz w:val="21"/>
                <w:szCs w:val="21"/>
              </w:rPr>
            </w:pPr>
            <w:r>
              <w:rPr>
                <w:rFonts w:hint="eastAsia" w:hAnsi="仿宋" w:cs="宋体"/>
                <w:b/>
                <w:bCs/>
                <w:color w:val="000000"/>
                <w:kern w:val="0"/>
                <w:sz w:val="21"/>
                <w:szCs w:val="21"/>
              </w:rPr>
              <w:t>其中：税收收入</w:t>
            </w:r>
          </w:p>
        </w:tc>
        <w:tc>
          <w:tcPr>
            <w:tcW w:w="1077" w:type="dxa"/>
            <w:tcBorders>
              <w:left w:val="single" w:color="auto" w:sz="4" w:space="0"/>
            </w:tcBorders>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44772</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43224</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53112</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64872</w:t>
            </w:r>
          </w:p>
        </w:tc>
        <w:tc>
          <w:tcPr>
            <w:tcW w:w="1078" w:type="dxa"/>
            <w:shd w:val="clear" w:color="auto" w:fill="auto"/>
            <w:vAlign w:val="center"/>
          </w:tcPr>
          <w:p>
            <w:pPr>
              <w:widowControl/>
              <w:spacing w:line="240" w:lineRule="auto"/>
              <w:ind w:firstLine="0" w:firstLineChars="0"/>
              <w:jc w:val="center"/>
              <w:rPr>
                <w:rFonts w:hAnsi="仿宋" w:cs="宋体"/>
                <w:b/>
                <w:bCs/>
                <w:kern w:val="0"/>
                <w:sz w:val="21"/>
                <w:szCs w:val="21"/>
              </w:rPr>
            </w:pPr>
            <w:r>
              <w:rPr>
                <w:rFonts w:hint="eastAsia" w:hAnsi="仿宋" w:cs="宋体"/>
                <w:b/>
                <w:bCs/>
                <w:kern w:val="0"/>
                <w:sz w:val="21"/>
                <w:szCs w:val="21"/>
              </w:rPr>
              <w:t>58647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tcBorders>
              <w:top w:val="nil"/>
              <w:bottom w:val="single" w:color="auto" w:sz="4" w:space="0"/>
              <w:right w:val="single" w:color="auto" w:sz="4" w:space="0"/>
            </w:tcBorders>
            <w:shd w:val="clear" w:color="auto" w:fill="auto"/>
            <w:vAlign w:val="center"/>
          </w:tcPr>
          <w:p>
            <w:pPr>
              <w:widowControl/>
              <w:spacing w:line="240" w:lineRule="auto"/>
              <w:ind w:right="422" w:firstLine="0" w:firstLineChars="0"/>
              <w:jc w:val="right"/>
              <w:rPr>
                <w:rFonts w:hAnsi="仿宋" w:cs="宋体"/>
                <w:b/>
                <w:bCs/>
                <w:color w:val="000000"/>
                <w:kern w:val="0"/>
                <w:sz w:val="21"/>
                <w:szCs w:val="21"/>
              </w:rPr>
            </w:pPr>
            <w:r>
              <w:rPr>
                <w:rFonts w:hint="eastAsia" w:hAnsi="仿宋" w:cs="宋体"/>
                <w:b/>
                <w:bCs/>
                <w:color w:val="000000"/>
                <w:kern w:val="0"/>
                <w:sz w:val="21"/>
                <w:szCs w:val="21"/>
              </w:rPr>
              <w:t>非税收入</w:t>
            </w:r>
          </w:p>
        </w:tc>
        <w:tc>
          <w:tcPr>
            <w:tcW w:w="1077" w:type="dxa"/>
            <w:tcBorders>
              <w:left w:val="single" w:color="auto" w:sz="4" w:space="0"/>
            </w:tcBorders>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28507</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44383</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42036</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27327</w:t>
            </w:r>
          </w:p>
        </w:tc>
        <w:tc>
          <w:tcPr>
            <w:tcW w:w="1078" w:type="dxa"/>
            <w:shd w:val="clear" w:color="auto" w:fill="auto"/>
            <w:vAlign w:val="center"/>
          </w:tcPr>
          <w:p>
            <w:pPr>
              <w:widowControl/>
              <w:spacing w:line="240" w:lineRule="auto"/>
              <w:ind w:firstLine="0" w:firstLineChars="0"/>
              <w:jc w:val="center"/>
              <w:rPr>
                <w:rFonts w:hAnsi="仿宋" w:cs="宋体"/>
                <w:b/>
                <w:bCs/>
                <w:kern w:val="0"/>
                <w:sz w:val="21"/>
                <w:szCs w:val="21"/>
              </w:rPr>
            </w:pPr>
            <w:r>
              <w:rPr>
                <w:rFonts w:hint="eastAsia" w:hAnsi="仿宋" w:cs="宋体"/>
                <w:b/>
                <w:bCs/>
                <w:kern w:val="0"/>
                <w:sz w:val="21"/>
                <w:szCs w:val="21"/>
              </w:rPr>
              <w:t>20938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tcBorders>
              <w:bottom w:val="single" w:color="auto" w:sz="4" w:space="0"/>
            </w:tcBorders>
            <w:shd w:val="clear" w:color="auto" w:fill="auto"/>
            <w:vAlign w:val="center"/>
          </w:tcPr>
          <w:p>
            <w:pPr>
              <w:widowControl/>
              <w:spacing w:line="240" w:lineRule="auto"/>
              <w:ind w:firstLine="0" w:firstLineChars="0"/>
              <w:jc w:val="center"/>
              <w:rPr>
                <w:rFonts w:hAnsi="仿宋" w:cs="宋体"/>
                <w:b/>
                <w:bCs/>
                <w:color w:val="FF0000"/>
                <w:kern w:val="0"/>
                <w:sz w:val="21"/>
                <w:szCs w:val="21"/>
              </w:rPr>
            </w:pPr>
            <w:r>
              <w:rPr>
                <w:rFonts w:hint="eastAsia" w:hAnsi="仿宋" w:cs="宋体"/>
                <w:b/>
                <w:bCs/>
                <w:kern w:val="0"/>
                <w:sz w:val="21"/>
                <w:szCs w:val="21"/>
              </w:rPr>
              <w:t>一般公共预算收入增速</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24.87%</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19.55%</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8.61%</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-3.10%</w:t>
            </w:r>
          </w:p>
        </w:tc>
        <w:tc>
          <w:tcPr>
            <w:tcW w:w="1078"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-13.68%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tcBorders>
              <w:bottom w:val="nil"/>
            </w:tcBorders>
            <w:shd w:val="clear" w:color="auto" w:fill="auto"/>
            <w:vAlign w:val="center"/>
          </w:tcPr>
          <w:p>
            <w:pPr>
              <w:widowControl/>
              <w:spacing w:line="240" w:lineRule="auto"/>
              <w:ind w:right="422" w:firstLine="0" w:firstLineChars="0"/>
              <w:jc w:val="right"/>
              <w:rPr>
                <w:rFonts w:hAnsi="仿宋" w:cs="宋体"/>
                <w:b/>
                <w:bCs/>
                <w:color w:val="000000"/>
                <w:kern w:val="0"/>
                <w:sz w:val="21"/>
                <w:szCs w:val="21"/>
              </w:rPr>
            </w:pPr>
            <w:r>
              <w:rPr>
                <w:rFonts w:hint="eastAsia" w:hAnsi="仿宋" w:cs="宋体"/>
                <w:b/>
                <w:bCs/>
                <w:color w:val="000000"/>
                <w:kern w:val="0"/>
                <w:sz w:val="21"/>
                <w:szCs w:val="21"/>
              </w:rPr>
              <w:t>其中：税收收入增速</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20.64%</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-3.46%</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22.88%</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22.14%</w:t>
            </w:r>
          </w:p>
        </w:tc>
        <w:tc>
          <w:tcPr>
            <w:tcW w:w="1078" w:type="dxa"/>
            <w:shd w:val="clear" w:color="auto" w:fill="auto"/>
            <w:vAlign w:val="center"/>
          </w:tcPr>
          <w:p>
            <w:pPr>
              <w:widowControl/>
              <w:spacing w:line="240" w:lineRule="auto"/>
              <w:ind w:firstLine="0" w:firstLineChars="0"/>
              <w:jc w:val="center"/>
              <w:rPr>
                <w:rFonts w:hAnsi="仿宋" w:cs="宋体"/>
                <w:b/>
                <w:bCs/>
                <w:kern w:val="0"/>
                <w:sz w:val="21"/>
                <w:szCs w:val="21"/>
              </w:rPr>
            </w:pPr>
            <w:r>
              <w:rPr>
                <w:rFonts w:hint="eastAsia" w:hAnsi="仿宋" w:cs="宋体"/>
                <w:b/>
                <w:bCs/>
                <w:kern w:val="0"/>
                <w:sz w:val="21"/>
                <w:szCs w:val="21"/>
              </w:rPr>
              <w:t>-9.60%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tcBorders>
              <w:top w:val="nil"/>
              <w:bottom w:val="single" w:color="auto" w:sz="4" w:space="0"/>
            </w:tcBorders>
            <w:shd w:val="clear" w:color="auto" w:fill="auto"/>
            <w:vAlign w:val="center"/>
          </w:tcPr>
          <w:p>
            <w:pPr>
              <w:widowControl/>
              <w:spacing w:line="240" w:lineRule="auto"/>
              <w:ind w:right="422" w:firstLine="0" w:firstLineChars="0"/>
              <w:jc w:val="right"/>
              <w:rPr>
                <w:rFonts w:hAnsi="仿宋" w:cs="宋体"/>
                <w:b/>
                <w:bCs/>
                <w:color w:val="000000"/>
                <w:kern w:val="0"/>
                <w:sz w:val="21"/>
                <w:szCs w:val="21"/>
              </w:rPr>
            </w:pPr>
            <w:r>
              <w:rPr>
                <w:rFonts w:hint="eastAsia" w:hAnsi="仿宋" w:cs="宋体"/>
                <w:b/>
                <w:bCs/>
                <w:color w:val="000000"/>
                <w:kern w:val="0"/>
                <w:sz w:val="21"/>
                <w:szCs w:val="21"/>
              </w:rPr>
              <w:t>非税收入增速</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32.14%</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55.69%</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-5.29%</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-34.99%</w:t>
            </w:r>
          </w:p>
        </w:tc>
        <w:tc>
          <w:tcPr>
            <w:tcW w:w="1078" w:type="dxa"/>
            <w:shd w:val="clear" w:color="auto" w:fill="auto"/>
            <w:vAlign w:val="center"/>
          </w:tcPr>
          <w:p>
            <w:pPr>
              <w:widowControl/>
              <w:spacing w:line="240" w:lineRule="auto"/>
              <w:ind w:firstLine="0" w:firstLineChars="0"/>
              <w:jc w:val="center"/>
              <w:rPr>
                <w:rFonts w:hAnsi="仿宋" w:cs="宋体"/>
                <w:b/>
                <w:bCs/>
                <w:kern w:val="0"/>
                <w:sz w:val="21"/>
                <w:szCs w:val="21"/>
              </w:rPr>
            </w:pPr>
            <w:r>
              <w:rPr>
                <w:rFonts w:hint="eastAsia" w:hAnsi="仿宋" w:cs="宋体"/>
                <w:b/>
                <w:bCs/>
                <w:kern w:val="0"/>
                <w:sz w:val="21"/>
                <w:szCs w:val="21"/>
              </w:rPr>
              <w:t>-23.38%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tcBorders>
              <w:top w:val="single" w:color="auto" w:sz="4" w:space="0"/>
            </w:tcBorders>
            <w:shd w:val="clear" w:color="auto" w:fill="auto"/>
            <w:vAlign w:val="center"/>
          </w:tcPr>
          <w:p>
            <w:pPr>
              <w:widowControl/>
              <w:spacing w:line="240" w:lineRule="auto"/>
              <w:ind w:right="422" w:firstLine="0" w:firstLineChars="0"/>
              <w:jc w:val="right"/>
              <w:rPr>
                <w:rFonts w:hAnsi="仿宋" w:cs="宋体"/>
                <w:b/>
                <w:bCs/>
                <w:color w:val="000000"/>
                <w:kern w:val="0"/>
                <w:sz w:val="21"/>
                <w:szCs w:val="21"/>
              </w:rPr>
            </w:pPr>
            <w:r>
              <w:rPr>
                <w:rFonts w:hint="eastAsia" w:hAnsi="仿宋" w:cs="宋体"/>
                <w:b/>
                <w:bCs/>
                <w:color w:val="000000"/>
                <w:kern w:val="0"/>
                <w:sz w:val="21"/>
                <w:szCs w:val="21"/>
              </w:rPr>
              <w:t>上级补助收入</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93788</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113600</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133353</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230730</w:t>
            </w:r>
          </w:p>
        </w:tc>
        <w:tc>
          <w:tcPr>
            <w:tcW w:w="1078"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186002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tcBorders>
              <w:top w:val="single" w:color="auto" w:sz="4" w:space="0"/>
            </w:tcBorders>
            <w:shd w:val="clear" w:color="auto" w:fill="auto"/>
            <w:vAlign w:val="center"/>
          </w:tcPr>
          <w:p>
            <w:pPr>
              <w:widowControl/>
              <w:spacing w:line="240" w:lineRule="auto"/>
              <w:ind w:right="422" w:firstLine="0" w:firstLineChars="0"/>
              <w:jc w:val="right"/>
              <w:rPr>
                <w:rFonts w:hAnsi="仿宋" w:cs="宋体"/>
                <w:b/>
                <w:bCs/>
                <w:color w:val="FF0000"/>
                <w:kern w:val="0"/>
                <w:sz w:val="21"/>
                <w:szCs w:val="21"/>
              </w:rPr>
            </w:pPr>
            <w:r>
              <w:rPr>
                <w:rFonts w:hint="eastAsia" w:hAnsi="仿宋" w:cs="宋体"/>
                <w:b/>
                <w:bCs/>
                <w:kern w:val="0"/>
                <w:sz w:val="21"/>
                <w:szCs w:val="21"/>
              </w:rPr>
              <w:t>上级补助收入增速</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16.92%</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21.12%</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17.39%</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73.02%</w:t>
            </w:r>
          </w:p>
        </w:tc>
        <w:tc>
          <w:tcPr>
            <w:tcW w:w="1078"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-19.39%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政府性基金预算收入</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18934</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102586</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158954</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115775</w:t>
            </w:r>
          </w:p>
        </w:tc>
        <w:tc>
          <w:tcPr>
            <w:tcW w:w="1078"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382287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政府性基金预算收入增速</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69.23%</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441.81%</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54.95%</w:t>
            </w:r>
          </w:p>
        </w:tc>
        <w:tc>
          <w:tcPr>
            <w:tcW w:w="1077"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-27.16%</w:t>
            </w:r>
          </w:p>
        </w:tc>
        <w:tc>
          <w:tcPr>
            <w:tcW w:w="1078" w:type="dxa"/>
            <w:shd w:val="clear" w:color="auto" w:fill="auto"/>
          </w:tcPr>
          <w:p>
            <w:pPr>
              <w:widowControl/>
              <w:spacing w:line="240" w:lineRule="auto"/>
              <w:ind w:firstLine="0" w:firstLineChars="0"/>
              <w:jc w:val="center"/>
              <w:rPr>
                <w:rFonts w:hAnsi="仿宋" w:cs="宋体"/>
                <w:b/>
                <w:bCs/>
                <w:color w:val="000000"/>
                <w:kern w:val="0"/>
                <w:sz w:val="21"/>
                <w:szCs w:val="21"/>
              </w:rPr>
            </w:pPr>
            <w:r>
              <w:rPr>
                <w:rFonts w:hAnsi="仿宋" w:cs="宋体"/>
                <w:b/>
                <w:bCs/>
                <w:color w:val="000000"/>
                <w:kern w:val="0"/>
                <w:sz w:val="21"/>
                <w:szCs w:val="21"/>
              </w:rPr>
              <w:t>230.20%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国有资本经营预算收入</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31</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79</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2524</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0</w:t>
            </w:r>
          </w:p>
        </w:tc>
        <w:tc>
          <w:tcPr>
            <w:tcW w:w="1078" w:type="dxa"/>
            <w:shd w:val="clear" w:color="auto" w:fill="auto"/>
            <w:vAlign w:val="center"/>
          </w:tcPr>
          <w:p>
            <w:pPr>
              <w:widowControl/>
              <w:spacing w:line="240" w:lineRule="auto"/>
              <w:ind w:firstLine="0" w:firstLineChars="0"/>
              <w:jc w:val="center"/>
              <w:rPr>
                <w:rFonts w:hAnsi="仿宋" w:cs="宋体"/>
                <w:b/>
                <w:bCs/>
                <w:kern w:val="0"/>
                <w:sz w:val="21"/>
                <w:szCs w:val="21"/>
              </w:rPr>
            </w:pPr>
            <w:r>
              <w:rPr>
                <w:rFonts w:hint="eastAsia" w:hAnsi="仿宋" w:cs="宋体"/>
                <w:b/>
                <w:bCs/>
                <w:kern w:val="0"/>
                <w:sz w:val="21"/>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国有资本经营预算收入增速</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154.84%</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3094.94%</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w:t>
            </w:r>
          </w:p>
        </w:tc>
        <w:tc>
          <w:tcPr>
            <w:tcW w:w="1078" w:type="dxa"/>
            <w:shd w:val="clear" w:color="auto" w:fill="auto"/>
            <w:vAlign w:val="center"/>
          </w:tcPr>
          <w:p>
            <w:pPr>
              <w:widowControl/>
              <w:spacing w:line="240" w:lineRule="auto"/>
              <w:ind w:firstLine="0" w:firstLineChars="0"/>
              <w:jc w:val="center"/>
              <w:rPr>
                <w:rFonts w:hAnsi="仿宋" w:cs="宋体"/>
                <w:b/>
                <w:bCs/>
                <w:kern w:val="0"/>
                <w:sz w:val="21"/>
                <w:szCs w:val="21"/>
              </w:rPr>
            </w:pPr>
            <w:r>
              <w:rPr>
                <w:rFonts w:hint="eastAsia" w:hAnsi="仿宋" w:cs="宋体"/>
                <w:b/>
                <w:bCs/>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社会保险基金预算收入</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39821</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50743</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47240</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50621</w:t>
            </w:r>
          </w:p>
        </w:tc>
        <w:tc>
          <w:tcPr>
            <w:tcW w:w="1078" w:type="dxa"/>
            <w:shd w:val="clear" w:color="auto" w:fill="auto"/>
            <w:vAlign w:val="center"/>
          </w:tcPr>
          <w:p>
            <w:pPr>
              <w:widowControl/>
              <w:spacing w:line="240" w:lineRule="auto"/>
              <w:ind w:firstLine="0" w:firstLineChars="0"/>
              <w:jc w:val="center"/>
              <w:rPr>
                <w:rFonts w:hAnsi="仿宋" w:cs="宋体"/>
                <w:b/>
                <w:bCs/>
                <w:kern w:val="0"/>
                <w:sz w:val="21"/>
                <w:szCs w:val="21"/>
              </w:rPr>
            </w:pPr>
            <w:r>
              <w:rPr>
                <w:rFonts w:hint="eastAsia" w:hAnsi="仿宋" w:cs="宋体"/>
                <w:b/>
                <w:bCs/>
                <w:kern w:val="0"/>
                <w:sz w:val="21"/>
                <w:szCs w:val="21"/>
              </w:rPr>
              <w:t>78356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29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社会保险基金预算收入增速</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72.65%</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27.43%</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-6.90%</w:t>
            </w:r>
          </w:p>
        </w:tc>
        <w:tc>
          <w:tcPr>
            <w:tcW w:w="1077" w:type="dxa"/>
            <w:shd w:val="clear" w:color="auto" w:fill="auto"/>
            <w:vAlign w:val="center"/>
          </w:tcPr>
          <w:p>
            <w:pPr>
              <w:widowControl/>
              <w:spacing w:line="240" w:lineRule="auto"/>
              <w:ind w:firstLine="0" w:firstLineChars="0"/>
              <w:jc w:val="center"/>
              <w:rPr>
                <w:rFonts w:hAnsi="仿宋" w:cs="宋体"/>
                <w:b/>
                <w:bCs/>
                <w:color w:val="000000"/>
                <w:kern w:val="0"/>
                <w:sz w:val="21"/>
                <w:szCs w:val="21"/>
              </w:rPr>
            </w:pPr>
            <w:r>
              <w:rPr>
                <w:rFonts w:hint="eastAsia" w:hAnsi="仿宋" w:cs="宋体"/>
                <w:b/>
                <w:bCs/>
                <w:color w:val="000000"/>
                <w:kern w:val="0"/>
                <w:sz w:val="21"/>
                <w:szCs w:val="21"/>
              </w:rPr>
              <w:t>7.16%</w:t>
            </w:r>
          </w:p>
        </w:tc>
        <w:tc>
          <w:tcPr>
            <w:tcW w:w="1078" w:type="dxa"/>
            <w:shd w:val="clear" w:color="auto" w:fill="auto"/>
            <w:vAlign w:val="center"/>
          </w:tcPr>
          <w:p>
            <w:pPr>
              <w:widowControl/>
              <w:spacing w:line="240" w:lineRule="auto"/>
              <w:ind w:firstLine="0" w:firstLineChars="0"/>
              <w:jc w:val="center"/>
              <w:rPr>
                <w:rFonts w:hAnsi="仿宋" w:cs="宋体"/>
                <w:b/>
                <w:bCs/>
                <w:kern w:val="0"/>
                <w:sz w:val="21"/>
                <w:szCs w:val="21"/>
              </w:rPr>
            </w:pPr>
            <w:r>
              <w:rPr>
                <w:rFonts w:hint="eastAsia" w:hAnsi="仿宋" w:cs="宋体"/>
                <w:b/>
                <w:bCs/>
                <w:kern w:val="0"/>
                <w:sz w:val="21"/>
                <w:szCs w:val="21"/>
              </w:rPr>
              <w:t>54.79%</w:t>
            </w:r>
          </w:p>
        </w:tc>
      </w:tr>
    </w:tbl>
    <w:p>
      <w:pPr>
        <w:ind w:firstLine="480"/>
        <w:rPr>
          <w:sz w:val="24"/>
          <w:szCs w:val="24"/>
        </w:rPr>
      </w:pPr>
      <w:r>
        <w:rPr>
          <w:rFonts w:hint="eastAsia"/>
          <w:sz w:val="24"/>
          <w:szCs w:val="24"/>
        </w:rPr>
        <w:t>数据来源：根据澄江市财政局各年度财政决算表计算。</w:t>
      </w:r>
    </w:p>
    <w:p>
      <w:pPr>
        <w:ind w:firstLine="560"/>
      </w:pPr>
      <w:r>
        <w:rPr>
          <w:rFonts w:hint="eastAsia"/>
        </w:rPr>
        <w:t>再从一般公共预算收入总计的构成来看，2016-2020年，澄江市税收收入占一般公共预算收入总计的比重各年度分别为24.16%、13.36%、14.43%、16.38%和15.15%，呈现为前期先下降、后期略有上升的趋势；非税收入的占比从2016年的15.38%下降到2020年的5.41%，表明财政收入质量稳步得到提升。而上级补助收入从2016年的93788万元增长至2019年的230730万元，2020年下降至</w:t>
      </w:r>
      <w:r>
        <w:t>186002</w:t>
      </w:r>
      <w:r>
        <w:rPr>
          <w:rFonts w:hint="eastAsia"/>
        </w:rPr>
        <w:t>万元，2016-2020年占一般公共预算收入总计的比重分别为</w:t>
      </w:r>
      <w:r>
        <w:t>50.61%</w:t>
      </w:r>
      <w:r>
        <w:rPr>
          <w:rFonts w:hint="eastAsia"/>
        </w:rPr>
        <w:t>、</w:t>
      </w:r>
      <w:r>
        <w:t>35.10%</w:t>
      </w:r>
      <w:r>
        <w:rPr>
          <w:rFonts w:hint="eastAsia"/>
        </w:rPr>
        <w:t>、</w:t>
      </w:r>
      <w:r>
        <w:t>36.24%</w:t>
      </w:r>
      <w:r>
        <w:rPr>
          <w:rFonts w:hint="eastAsia"/>
        </w:rPr>
        <w:t>、</w:t>
      </w:r>
      <w:r>
        <w:t>58.26%</w:t>
      </w:r>
      <w:r>
        <w:rPr>
          <w:rFonts w:hint="eastAsia"/>
        </w:rPr>
        <w:t>和</w:t>
      </w:r>
      <w:r>
        <w:t>48.06%</w:t>
      </w:r>
      <w:r>
        <w:rPr>
          <w:rFonts w:hint="eastAsia"/>
        </w:rPr>
        <w:t>，始终是澄江财政收入最重要的支柱形式和来源。此外，一般公共预算收入总计中的调入资金在2016年只有</w:t>
      </w:r>
      <w:r>
        <w:t>1928万元</w:t>
      </w:r>
      <w:r>
        <w:rPr>
          <w:rFonts w:hint="eastAsia"/>
        </w:rPr>
        <w:t>，</w:t>
      </w:r>
      <w:r>
        <w:t>占一般公共预算收入的比重仅为</w:t>
      </w:r>
      <w:r>
        <w:rPr>
          <w:rFonts w:hint="eastAsia"/>
        </w:rPr>
        <w:t>1.04%；而2020年为</w:t>
      </w:r>
      <w:r>
        <w:t>115291万元</w:t>
      </w:r>
      <w:r>
        <w:rPr>
          <w:rFonts w:hint="eastAsia"/>
        </w:rPr>
        <w:t>，</w:t>
      </w:r>
      <w:r>
        <w:t>占一般公共预算收入总计的比重也快速上升</w:t>
      </w:r>
      <w:r>
        <w:rPr>
          <w:rFonts w:hint="eastAsia"/>
        </w:rPr>
        <w:t>至29.79%，财政收入组织能力和预算统筹能力不断提高（详见图1-2）。</w:t>
      </w:r>
    </w:p>
    <w:p>
      <w:pPr>
        <w:ind w:firstLine="0" w:firstLineChars="0"/>
        <w:jc w:val="center"/>
        <w:rPr>
          <w:color w:val="FF0000"/>
        </w:rPr>
      </w:pPr>
      <w:r>
        <w:rPr>
          <w:color w:val="FF0000"/>
        </w:rPr>
        <w:drawing>
          <wp:inline distT="0" distB="0" distL="0" distR="0">
            <wp:extent cx="2400935" cy="1971675"/>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2402271" cy="1972726"/>
                    </a:xfrm>
                    <a:prstGeom prst="rect">
                      <a:avLst/>
                    </a:prstGeom>
                    <a:noFill/>
                  </pic:spPr>
                </pic:pic>
              </a:graphicData>
            </a:graphic>
          </wp:inline>
        </w:drawing>
      </w:r>
      <w:r>
        <w:rPr>
          <w:color w:val="FF0000"/>
        </w:rPr>
        <w:drawing>
          <wp:inline distT="0" distB="0" distL="0" distR="0">
            <wp:extent cx="2400935" cy="1970405"/>
            <wp:effectExtent l="0" t="0" r="0" b="0"/>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2400875" cy="1970286"/>
                    </a:xfrm>
                    <a:prstGeom prst="rect">
                      <a:avLst/>
                    </a:prstGeom>
                    <a:noFill/>
                  </pic:spPr>
                </pic:pic>
              </a:graphicData>
            </a:graphic>
          </wp:inline>
        </w:drawing>
      </w:r>
    </w:p>
    <w:p>
      <w:pPr>
        <w:ind w:firstLine="0" w:firstLineChars="0"/>
        <w:jc w:val="center"/>
        <w:rPr>
          <w:b/>
          <w:sz w:val="24"/>
          <w:szCs w:val="24"/>
        </w:rPr>
      </w:pPr>
      <w:r>
        <w:rPr>
          <w:rFonts w:hint="eastAsia"/>
          <w:b/>
          <w:sz w:val="24"/>
          <w:szCs w:val="24"/>
        </w:rPr>
        <w:t>图1-2：澄江市 “十三五”一般公共预算收入总计结构对比图</w:t>
      </w:r>
    </w:p>
    <w:p>
      <w:pPr>
        <w:ind w:firstLine="560"/>
      </w:pPr>
      <w:r>
        <w:rPr>
          <w:rFonts w:hint="eastAsia"/>
        </w:rPr>
        <w:t>总体上，“十三五”澄江财政收入结构逐步形成了以上级补助收入、政府性基金收入、税收收入及非税收入和社会保险基金收入为四大支柱的格局。从反映当前财政事权与支出责任、支撑经济社会稳定发展和保障财政支出的角度来说，澄江市多元财政收入结构整体趋于合理。</w:t>
      </w:r>
    </w:p>
    <w:p>
      <w:pPr>
        <w:pStyle w:val="5"/>
      </w:pPr>
      <w:r>
        <w:rPr>
          <w:rFonts w:hint="eastAsia"/>
        </w:rPr>
        <w:t>（三）税收收入稳步增长，主要税种支柱地位凸显</w:t>
      </w:r>
    </w:p>
    <w:p>
      <w:pPr>
        <w:ind w:firstLine="560"/>
        <w:rPr>
          <w:color w:val="FF0000"/>
          <w:sz w:val="21"/>
          <w:szCs w:val="21"/>
        </w:rPr>
      </w:pPr>
      <w:r>
        <w:rPr>
          <w:rFonts w:hint="eastAsia"/>
        </w:rPr>
        <w:t>“十三五”期间，澄江市税收收入总体实现了稳定、较快增长，税收收入从 2016年的44772万元增长到2019年的64872万元，虽然2020年略有下降至</w:t>
      </w:r>
      <w:r>
        <w:t>58647</w:t>
      </w:r>
      <w:r>
        <w:rPr>
          <w:rFonts w:hint="eastAsia"/>
        </w:rPr>
        <w:t>万元（同比下降</w:t>
      </w:r>
      <w:r>
        <w:t>9.60%</w:t>
      </w:r>
      <w:r>
        <w:rPr>
          <w:rFonts w:hint="eastAsia"/>
        </w:rPr>
        <w:t>），但是2016-2020年的年均增速仍达到了</w:t>
      </w:r>
      <w:r>
        <w:t>10.52%</w:t>
      </w:r>
      <w:r>
        <w:rPr>
          <w:rFonts w:hint="eastAsia"/>
        </w:rPr>
        <w:t>，</w:t>
      </w:r>
      <w:r>
        <w:rPr>
          <w:vertAlign w:val="superscript"/>
        </w:rPr>
        <w:footnoteReference w:id="0"/>
      </w:r>
      <w:r>
        <w:t>税收收入在财政收入中的主体地位不断得到巩固</w:t>
      </w:r>
      <w:r>
        <w:rPr>
          <w:rFonts w:hint="eastAsia"/>
        </w:rPr>
        <w:t>。</w:t>
      </w:r>
    </w:p>
    <w:p>
      <w:pPr>
        <w:ind w:firstLine="560"/>
      </w:pPr>
      <w:r>
        <w:rPr>
          <w:rFonts w:hint="eastAsia"/>
        </w:rPr>
        <w:t xml:space="preserve"> “十三五”期间，澄江市居于前五位的税种分别是增值税、土地增值税、契税、烟叶税和企业所得税。这五个税种收入占全部税收收入的比重之和，从2016年的47.55%迅速上升到2020年的</w:t>
      </w:r>
      <w:r>
        <w:t>79.08%</w:t>
      </w:r>
      <w:r>
        <w:rPr>
          <w:rFonts w:hint="eastAsia"/>
        </w:rPr>
        <w:t>，主体税种对税收收入的支撑作用明显。其中，增值税是澄江市第一大税种，从2016年的11193万元增长到2019年的24150万元，占全部税收的比重也从2016年的25%增加到2019年的37.23%，对税收的稳定增长贡献突出。土地增值税从2016年的2196万元增长到2019年的16021万元，占税收收入从4.9%上升至24.7%。契税收入从2016年的1729万元增加到2020年的</w:t>
      </w:r>
      <w:r>
        <w:t>9631</w:t>
      </w:r>
      <w:r>
        <w:rPr>
          <w:rFonts w:hint="eastAsia"/>
        </w:rPr>
        <w:t>万元，占全部税收收入的比重也从3.86%提高到</w:t>
      </w:r>
      <w:r>
        <w:t>16.42%</w:t>
      </w:r>
      <w:r>
        <w:rPr>
          <w:rFonts w:hint="eastAsia"/>
        </w:rPr>
        <w:t>，总体增长较快。此外，烟叶税和企业所得税收入在2016-2020年间总体呈稳中略升的局面，占全部税收收入的比重平均分别</w:t>
      </w:r>
      <w:r>
        <w:t>9.37%</w:t>
      </w:r>
      <w:r>
        <w:rPr>
          <w:rFonts w:hint="eastAsia"/>
        </w:rPr>
        <w:t>和</w:t>
      </w:r>
      <w:r>
        <w:t>3.</w:t>
      </w:r>
      <w:r>
        <w:rPr>
          <w:rFonts w:hint="eastAsia"/>
        </w:rPr>
        <w:t>42</w:t>
      </w:r>
      <w:r>
        <w:t>%</w:t>
      </w:r>
      <w:r>
        <w:rPr>
          <w:rFonts w:hint="eastAsia"/>
        </w:rPr>
        <w:t>（详见表1-3）。</w:t>
      </w:r>
    </w:p>
    <w:p>
      <w:pPr>
        <w:ind w:firstLine="482"/>
        <w:jc w:val="center"/>
        <w:rPr>
          <w:rFonts w:hAnsi="仿宋" w:cs="华文仿宋"/>
          <w:b/>
          <w:bCs/>
          <w:sz w:val="21"/>
          <w:szCs w:val="21"/>
        </w:rPr>
      </w:pPr>
      <w:r>
        <w:rPr>
          <w:rFonts w:hint="eastAsia" w:hAnsi="仿宋" w:cs="华文仿宋"/>
          <w:b/>
          <w:bCs/>
          <w:sz w:val="24"/>
          <w:szCs w:val="24"/>
        </w:rPr>
        <w:t>表1-</w:t>
      </w:r>
      <w:r>
        <w:rPr>
          <w:rFonts w:hint="eastAsia" w:hAnsi="仿宋"/>
          <w:sz w:val="24"/>
          <w:szCs w:val="24"/>
        </w:rPr>
        <w:fldChar w:fldCharType="begin"/>
      </w:r>
      <w:r>
        <w:rPr>
          <w:rFonts w:hint="eastAsia" w:hAnsi="仿宋" w:cs="华文仿宋"/>
          <w:b/>
          <w:bCs/>
          <w:sz w:val="24"/>
          <w:szCs w:val="24"/>
        </w:rPr>
        <w:instrText xml:space="preserve"> SEQ 表 \* ARABIC \s 2 </w:instrText>
      </w:r>
      <w:r>
        <w:rPr>
          <w:rFonts w:hint="eastAsia" w:hAnsi="仿宋"/>
          <w:sz w:val="24"/>
          <w:szCs w:val="24"/>
        </w:rPr>
        <w:fldChar w:fldCharType="separate"/>
      </w:r>
      <w:r>
        <w:rPr>
          <w:rFonts w:hAnsi="仿宋" w:cs="华文仿宋"/>
          <w:b/>
          <w:bCs/>
          <w:sz w:val="24"/>
          <w:szCs w:val="24"/>
        </w:rPr>
        <w:t>3</w:t>
      </w:r>
      <w:r>
        <w:rPr>
          <w:rFonts w:hint="eastAsia" w:hAnsi="仿宋"/>
          <w:sz w:val="24"/>
          <w:szCs w:val="24"/>
        </w:rPr>
        <w:fldChar w:fldCharType="end"/>
      </w:r>
      <w:r>
        <w:rPr>
          <w:rFonts w:hint="eastAsia" w:hAnsi="仿宋" w:cs="华文仿宋"/>
          <w:b/>
          <w:bCs/>
          <w:sz w:val="24"/>
          <w:szCs w:val="24"/>
        </w:rPr>
        <w:t>：2016-2020年澄江市主要税种收入及占比</w:t>
      </w:r>
      <w:r>
        <w:rPr>
          <w:rFonts w:hint="eastAsia" w:hAnsi="仿宋" w:cs="华文仿宋"/>
          <w:b/>
          <w:bCs/>
          <w:sz w:val="21"/>
          <w:szCs w:val="21"/>
        </w:rPr>
        <w:t>（单位：万元，%）</w:t>
      </w:r>
    </w:p>
    <w:tbl>
      <w:tblPr>
        <w:tblStyle w:val="47"/>
        <w:tblW w:w="4769" w:type="pct"/>
        <w:tblInd w:w="39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883"/>
        <w:gridCol w:w="1176"/>
        <w:gridCol w:w="1176"/>
        <w:gridCol w:w="1176"/>
        <w:gridCol w:w="1176"/>
        <w:gridCol w:w="11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Align w:val="center"/>
          </w:tcPr>
          <w:p>
            <w:pPr>
              <w:tabs>
                <w:tab w:val="right" w:leader="dot" w:pos="7560"/>
                <w:tab w:val="right" w:leader="dot" w:pos="8400"/>
                <w:tab w:val="right" w:leader="dot" w:pos="9240"/>
              </w:tabs>
              <w:snapToGrid w:val="0"/>
              <w:ind w:firstLine="198" w:firstLineChars="99"/>
              <w:jc w:val="center"/>
              <w:rPr>
                <w:rFonts w:hAnsi="仿宋" w:cs="Times New Roman"/>
                <w:b/>
                <w:kern w:val="0"/>
                <w:sz w:val="20"/>
                <w:szCs w:val="21"/>
              </w:rPr>
            </w:pPr>
            <w:r>
              <w:rPr>
                <w:rFonts w:hint="eastAsia" w:hAnsi="仿宋" w:cs="Times New Roman"/>
                <w:b/>
                <w:kern w:val="0"/>
                <w:sz w:val="20"/>
                <w:szCs w:val="21"/>
              </w:rPr>
              <w:t>年度</w:t>
            </w:r>
          </w:p>
        </w:tc>
        <w:tc>
          <w:tcPr>
            <w:tcW w:w="543" w:type="pct"/>
            <w:vAlign w:val="center"/>
          </w:tcPr>
          <w:p>
            <w:pPr>
              <w:tabs>
                <w:tab w:val="right" w:leader="dot" w:pos="7560"/>
                <w:tab w:val="right" w:leader="dot" w:pos="8400"/>
                <w:tab w:val="right" w:leader="dot" w:pos="9240"/>
              </w:tabs>
              <w:snapToGrid w:val="0"/>
              <w:ind w:firstLine="402"/>
              <w:jc w:val="center"/>
              <w:rPr>
                <w:rFonts w:hAnsi="仿宋" w:cs="Times New Roman"/>
                <w:b/>
                <w:kern w:val="0"/>
                <w:sz w:val="20"/>
                <w:szCs w:val="21"/>
              </w:rPr>
            </w:pP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2016</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2017</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2018</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2019</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restart"/>
            <w:vAlign w:val="center"/>
          </w:tcPr>
          <w:p>
            <w:pPr>
              <w:tabs>
                <w:tab w:val="right" w:leader="dot" w:pos="7560"/>
                <w:tab w:val="right" w:leader="dot" w:pos="8400"/>
                <w:tab w:val="right" w:leader="dot" w:pos="9240"/>
              </w:tabs>
              <w:snapToGrid w:val="0"/>
              <w:ind w:firstLine="402"/>
              <w:jc w:val="center"/>
              <w:rPr>
                <w:rFonts w:hAnsi="仿宋" w:cs="Times New Roman"/>
                <w:b/>
                <w:kern w:val="0"/>
                <w:sz w:val="20"/>
                <w:szCs w:val="21"/>
              </w:rPr>
            </w:pPr>
            <w:r>
              <w:rPr>
                <w:rFonts w:hint="eastAsia" w:hAnsi="仿宋" w:cs="Times New Roman"/>
                <w:b/>
                <w:kern w:val="0"/>
                <w:sz w:val="20"/>
                <w:szCs w:val="21"/>
              </w:rPr>
              <w:t>增值税</w:t>
            </w: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金额</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11193</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16792</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21341</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24150</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19087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continue"/>
            <w:vAlign w:val="center"/>
          </w:tcPr>
          <w:p>
            <w:pPr>
              <w:tabs>
                <w:tab w:val="right" w:leader="dot" w:pos="7560"/>
                <w:tab w:val="right" w:leader="dot" w:pos="8400"/>
                <w:tab w:val="right" w:leader="dot" w:pos="9240"/>
              </w:tabs>
              <w:snapToGrid w:val="0"/>
              <w:ind w:firstLine="402"/>
              <w:jc w:val="center"/>
              <w:rPr>
                <w:rFonts w:hAnsi="仿宋" w:cs="Times New Roman"/>
                <w:b/>
                <w:kern w:val="0"/>
                <w:sz w:val="20"/>
                <w:szCs w:val="21"/>
              </w:rPr>
            </w:pP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占比</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25.00%</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38.85%</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40.18%</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37.23%</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32.55%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restar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土地增值税</w:t>
            </w: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金额</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2196</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1896</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6040</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16021</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11016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continue"/>
            <w:vAlign w:val="center"/>
          </w:tcPr>
          <w:p>
            <w:pPr>
              <w:tabs>
                <w:tab w:val="right" w:leader="dot" w:pos="7560"/>
                <w:tab w:val="right" w:leader="dot" w:pos="8400"/>
                <w:tab w:val="right" w:leader="dot" w:pos="9240"/>
              </w:tabs>
              <w:snapToGrid w:val="0"/>
              <w:ind w:firstLine="402"/>
              <w:jc w:val="center"/>
              <w:rPr>
                <w:rFonts w:hAnsi="仿宋" w:cs="Times New Roman"/>
                <w:b/>
                <w:kern w:val="0"/>
                <w:sz w:val="20"/>
                <w:szCs w:val="21"/>
              </w:rPr>
            </w:pP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占比</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4.90%</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4.39%</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11.37%</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24.70%</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18.78%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restart"/>
            <w:vAlign w:val="center"/>
          </w:tcPr>
          <w:p>
            <w:pPr>
              <w:tabs>
                <w:tab w:val="right" w:leader="dot" w:pos="7560"/>
                <w:tab w:val="right" w:leader="dot" w:pos="8400"/>
                <w:tab w:val="right" w:leader="dot" w:pos="9240"/>
              </w:tabs>
              <w:snapToGrid w:val="0"/>
              <w:ind w:firstLine="402"/>
              <w:jc w:val="center"/>
              <w:rPr>
                <w:rFonts w:hAnsi="仿宋" w:cs="Times New Roman"/>
                <w:b/>
                <w:kern w:val="0"/>
                <w:sz w:val="20"/>
                <w:szCs w:val="21"/>
              </w:rPr>
            </w:pPr>
            <w:r>
              <w:rPr>
                <w:rFonts w:hint="eastAsia" w:hAnsi="仿宋" w:cs="Times New Roman"/>
                <w:b/>
                <w:kern w:val="0"/>
                <w:sz w:val="20"/>
                <w:szCs w:val="21"/>
              </w:rPr>
              <w:t>契税</w:t>
            </w: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金额</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1729</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6494</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7382</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5824</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9631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continue"/>
            <w:vAlign w:val="center"/>
          </w:tcPr>
          <w:p>
            <w:pPr>
              <w:tabs>
                <w:tab w:val="right" w:leader="dot" w:pos="7560"/>
                <w:tab w:val="right" w:leader="dot" w:pos="8400"/>
                <w:tab w:val="right" w:leader="dot" w:pos="9240"/>
              </w:tabs>
              <w:snapToGrid w:val="0"/>
              <w:ind w:firstLine="402"/>
              <w:jc w:val="center"/>
              <w:rPr>
                <w:rFonts w:hAnsi="仿宋" w:cs="Times New Roman"/>
                <w:b/>
                <w:kern w:val="0"/>
                <w:sz w:val="20"/>
                <w:szCs w:val="21"/>
              </w:rPr>
            </w:pP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占比</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3.86%</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15.02%</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13.90%</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8.98%</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16.42%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restart"/>
            <w:vAlign w:val="center"/>
          </w:tcPr>
          <w:p>
            <w:pPr>
              <w:tabs>
                <w:tab w:val="right" w:leader="dot" w:pos="7560"/>
                <w:tab w:val="right" w:leader="dot" w:pos="8400"/>
                <w:tab w:val="right" w:leader="dot" w:pos="9240"/>
              </w:tabs>
              <w:snapToGrid w:val="0"/>
              <w:ind w:firstLine="361" w:firstLineChars="0"/>
              <w:jc w:val="center"/>
              <w:rPr>
                <w:rFonts w:hAnsi="仿宋" w:cs="Times New Roman"/>
                <w:b/>
                <w:kern w:val="0"/>
                <w:sz w:val="20"/>
                <w:szCs w:val="21"/>
              </w:rPr>
            </w:pPr>
            <w:r>
              <w:rPr>
                <w:rFonts w:hint="eastAsia" w:hAnsi="仿宋" w:cs="Times New Roman"/>
                <w:b/>
                <w:kern w:val="0"/>
                <w:sz w:val="20"/>
                <w:szCs w:val="21"/>
              </w:rPr>
              <w:t>烟叶税</w:t>
            </w: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金额</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4776</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4203</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5010</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5730</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4812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continue"/>
            <w:vAlign w:val="center"/>
          </w:tcPr>
          <w:p>
            <w:pPr>
              <w:tabs>
                <w:tab w:val="right" w:leader="dot" w:pos="7560"/>
                <w:tab w:val="right" w:leader="dot" w:pos="8400"/>
                <w:tab w:val="right" w:leader="dot" w:pos="9240"/>
              </w:tabs>
              <w:snapToGrid w:val="0"/>
              <w:ind w:firstLine="361" w:firstLineChars="0"/>
              <w:jc w:val="center"/>
              <w:rPr>
                <w:rFonts w:hAnsi="仿宋" w:cs="Times New Roman"/>
                <w:b/>
                <w:kern w:val="0"/>
                <w:sz w:val="20"/>
                <w:szCs w:val="21"/>
              </w:rPr>
            </w:pP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占比</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10.67%</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9.72%</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9.43%</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8.83%</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8.21%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restar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企业所得税</w:t>
            </w: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金额</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1397</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1554</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1814</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2497</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1832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continue"/>
            <w:vAlign w:val="center"/>
          </w:tcPr>
          <w:p>
            <w:pPr>
              <w:tabs>
                <w:tab w:val="right" w:leader="dot" w:pos="7560"/>
                <w:tab w:val="right" w:leader="dot" w:pos="8400"/>
                <w:tab w:val="right" w:leader="dot" w:pos="9240"/>
              </w:tabs>
              <w:snapToGrid w:val="0"/>
              <w:ind w:firstLine="402"/>
              <w:jc w:val="center"/>
              <w:rPr>
                <w:rFonts w:hAnsi="仿宋" w:cs="Times New Roman"/>
                <w:b/>
                <w:kern w:val="0"/>
                <w:sz w:val="20"/>
                <w:szCs w:val="21"/>
              </w:rPr>
            </w:pP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占比</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3.12%</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3.60%</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3.42%</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3.85%</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restar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五税合计</w:t>
            </w: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金额</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21291</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30939</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41587</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54222</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46378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841" w:type="pct"/>
            <w:vMerge w:val="continue"/>
            <w:vAlign w:val="center"/>
          </w:tcPr>
          <w:p>
            <w:pPr>
              <w:tabs>
                <w:tab w:val="right" w:leader="dot" w:pos="7560"/>
                <w:tab w:val="right" w:leader="dot" w:pos="8400"/>
                <w:tab w:val="right" w:leader="dot" w:pos="9240"/>
              </w:tabs>
              <w:snapToGrid w:val="0"/>
              <w:ind w:firstLine="361" w:firstLineChars="0"/>
              <w:jc w:val="center"/>
              <w:rPr>
                <w:rFonts w:hAnsi="仿宋" w:cs="Times New Roman"/>
                <w:b/>
                <w:kern w:val="0"/>
                <w:sz w:val="20"/>
                <w:szCs w:val="21"/>
              </w:rPr>
            </w:pPr>
          </w:p>
        </w:tc>
        <w:tc>
          <w:tcPr>
            <w:tcW w:w="54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占比</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47.55%</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71.58%</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78.30%</w:t>
            </w:r>
          </w:p>
        </w:tc>
        <w:tc>
          <w:tcPr>
            <w:tcW w:w="723"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83.58%</w:t>
            </w:r>
          </w:p>
        </w:tc>
        <w:tc>
          <w:tcPr>
            <w:tcW w:w="722" w:type="pct"/>
            <w:vAlign w:val="center"/>
          </w:tcPr>
          <w:p>
            <w:pPr>
              <w:tabs>
                <w:tab w:val="right" w:leader="dot" w:pos="7560"/>
                <w:tab w:val="right" w:leader="dot" w:pos="8400"/>
                <w:tab w:val="right" w:leader="dot" w:pos="9240"/>
              </w:tabs>
              <w:snapToGrid w:val="0"/>
              <w:ind w:firstLine="0" w:firstLineChars="0"/>
              <w:jc w:val="center"/>
              <w:rPr>
                <w:rFonts w:hAnsi="仿宋" w:cs="Times New Roman"/>
                <w:b/>
                <w:kern w:val="0"/>
                <w:sz w:val="20"/>
                <w:szCs w:val="21"/>
              </w:rPr>
            </w:pPr>
            <w:r>
              <w:rPr>
                <w:rFonts w:hint="eastAsia" w:hAnsi="仿宋" w:cs="Times New Roman"/>
                <w:b/>
                <w:kern w:val="0"/>
                <w:sz w:val="20"/>
                <w:szCs w:val="21"/>
              </w:rPr>
              <w:t>79.08%</w:t>
            </w:r>
          </w:p>
        </w:tc>
      </w:tr>
    </w:tbl>
    <w:p>
      <w:pPr>
        <w:ind w:firstLine="480"/>
        <w:rPr>
          <w:sz w:val="24"/>
          <w:szCs w:val="24"/>
        </w:rPr>
      </w:pPr>
      <w:r>
        <w:rPr>
          <w:rFonts w:hint="eastAsia"/>
          <w:sz w:val="24"/>
          <w:szCs w:val="24"/>
        </w:rPr>
        <w:t>数据来源：根据澄江市财政局各年度财政决算表计算。</w:t>
      </w:r>
    </w:p>
    <w:p>
      <w:pPr>
        <w:pStyle w:val="4"/>
        <w:ind w:firstLine="562"/>
        <w:rPr>
          <w:sz w:val="24"/>
          <w:szCs w:val="24"/>
        </w:rPr>
      </w:pPr>
      <w:bookmarkStart w:id="8" w:name="_Toc63005407"/>
      <w:r>
        <w:rPr>
          <w:rFonts w:hint="eastAsia"/>
        </w:rPr>
        <w:t>二、财政支出规模持续扩大，支柱保障功能有效提升</w:t>
      </w:r>
      <w:bookmarkEnd w:id="8"/>
    </w:p>
    <w:p>
      <w:pPr>
        <w:pStyle w:val="5"/>
      </w:pPr>
      <w:r>
        <w:rPr>
          <w:rFonts w:hint="eastAsia"/>
        </w:rPr>
        <w:t>（一）支出规模不断扩大，基础支柱作用凸显</w:t>
      </w:r>
    </w:p>
    <w:p>
      <w:pPr>
        <w:ind w:firstLine="560"/>
      </w:pPr>
      <w:r>
        <w:rPr>
          <w:rFonts w:hint="eastAsia"/>
        </w:rPr>
        <w:t>“十三五”期间，澄江市财政支出规模持续扩大，2016年一般公共预算支出规模为142621万元，2020年达到363235万元</w:t>
      </w:r>
      <w:r>
        <w:t>，相当于</w:t>
      </w:r>
      <w:r>
        <w:rPr>
          <w:rFonts w:hint="eastAsia"/>
        </w:rPr>
        <w:t>2016年的2.55倍。2016-2020年，澄江市一般公共预算支出迅速跨越20亿元、30亿元大关，年均增长速度高达</w:t>
      </w:r>
      <w:r>
        <w:t>24.68%</w:t>
      </w:r>
      <w:r>
        <w:rPr>
          <w:rFonts w:hint="eastAsia"/>
        </w:rPr>
        <w:t>（详见图1-3）。</w:t>
      </w:r>
    </w:p>
    <w:p>
      <w:pPr>
        <w:ind w:firstLine="560"/>
      </w:pPr>
      <w:r>
        <w:rPr>
          <w:rFonts w:hint="eastAsia"/>
        </w:rPr>
        <w:t>“十三五”财政支出规模的快速增长，充分体现了财政在澄江经济社会发展和社会治理中的基础支柱作用。“十三五”以来，澄江市GDP从2016年的80.02亿元增加到2019年的139.76亿元，2016年三次产业结构比例为</w:t>
      </w:r>
      <w:r>
        <w:t>13.4:31.9:54.7</w:t>
      </w:r>
      <w:r>
        <w:rPr>
          <w:rFonts w:hint="eastAsia"/>
        </w:rPr>
        <w:t>，2019年为8.9:23.0:68.1,</w:t>
      </w:r>
      <w:r>
        <w:rPr>
          <w:rStyle w:val="29"/>
        </w:rPr>
        <w:footnoteReference w:id="1"/>
      </w:r>
      <w:r>
        <w:rPr>
          <w:rFonts w:hint="eastAsia"/>
        </w:rPr>
        <w:t>第三产业的主导和支柱地位进一步得到巩固和提升。到2020年，澄江市经济实力和发展质量显著提高，生产总值预计突破150亿元，人均生产总值在玉溪市名列前茅。尤其是在围绕以抚仙湖保护为中心的重点工作中，财政投入力度持续加大，在治理和保护好抚仙湖生态环境的同时，做好环湖旅游基础设施建设，大力促进以抚仙湖和帽天山为主的旅游业发展，进而带动整个澄江市经济社会发展，较好地体现了保护与开发、保护与发展的协调统一。</w:t>
      </w:r>
    </w:p>
    <w:p>
      <w:pPr>
        <w:ind w:firstLine="560"/>
      </w:pPr>
      <w:r>
        <w:drawing>
          <wp:inline distT="0" distB="0" distL="0" distR="0">
            <wp:extent cx="4603750" cy="1947545"/>
            <wp:effectExtent l="0" t="0" r="25400" b="1460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ind w:firstLine="482"/>
        <w:jc w:val="center"/>
        <w:rPr>
          <w:rFonts w:hAnsi="仿宋"/>
          <w:b/>
          <w:sz w:val="24"/>
          <w:szCs w:val="24"/>
        </w:rPr>
      </w:pPr>
      <w:r>
        <w:rPr>
          <w:rFonts w:hint="eastAsia" w:hAnsi="仿宋" w:cs="华文仿宋"/>
          <w:b/>
          <w:bCs/>
          <w:sz w:val="24"/>
          <w:szCs w:val="24"/>
        </w:rPr>
        <w:t>图1-3：2016-2020年澄江一般公共预算支出规模</w:t>
      </w:r>
    </w:p>
    <w:p>
      <w:pPr>
        <w:pStyle w:val="5"/>
      </w:pPr>
      <w:r>
        <w:rPr>
          <w:rFonts w:hint="eastAsia"/>
        </w:rPr>
        <w:t>（二）支出结构不断优化，重点领域保障能力大幅提升</w:t>
      </w:r>
    </w:p>
    <w:p>
      <w:pPr>
        <w:ind w:firstLine="560"/>
      </w:pPr>
      <w:r>
        <w:rPr>
          <w:rFonts w:hint="eastAsia"/>
        </w:rPr>
        <w:t>“十三五”以来，澄江市不断加大对重点支出项目的保障力度，持续调整和优化财政支出结构。特别是以抚仙湖保护和开发为中心，在节</w:t>
      </w:r>
      <w:r>
        <w:rPr>
          <w:rFonts w:hint="eastAsia"/>
          <w:szCs w:val="21"/>
        </w:rPr>
        <w:t>能环保和住房保障（与抚仙湖保护相关的搬迁、棚户区改造）以及城乡社区支出等</w:t>
      </w:r>
      <w:r>
        <w:rPr>
          <w:rFonts w:hint="eastAsia"/>
        </w:rPr>
        <w:t>工作中，财政支出结构调整力度明显。</w:t>
      </w:r>
    </w:p>
    <w:p>
      <w:pPr>
        <w:ind w:firstLine="560"/>
        <w:jc w:val="left"/>
      </w:pPr>
      <w:r>
        <w:rPr>
          <w:rFonts w:hint="eastAsia"/>
        </w:rPr>
        <w:t>2016-2020年，澄江节能环保支出从6563万元迅速上升到87110万元，占一般公共预算支出的比重从4.6%快速上升到23.98%。同期，澄江住房保障支出也从6846万元增加到66944万元，占一般公共预算支出的比重从4.8%上升到18.43%；农林水支出和城乡社区支出从2016年的22101万元增长到2019年的64747万元，占一般公共预算支出的比重也从15.5%逐步上升至17.93%。受此影响，文体旅游与传媒、教育、科技支出占一般公共预算支出的比重从2016年的24.37%小幅下降至2020年的16.21%；卫生健康、社会保障与就业支出比重从2016年的27.07%下降至2019年的18.59%。而一般公共服务与公共安全支出的占比从2016年的17.39%小幅上升到2018年的22.27%</w:t>
      </w:r>
      <w:r>
        <w:t>，到</w:t>
      </w:r>
      <w:r>
        <w:rPr>
          <w:rFonts w:hint="eastAsia"/>
        </w:rPr>
        <w:t>2019年下降为18.47%，2020年进一步下降至</w:t>
      </w:r>
      <w:r>
        <w:t>10.52%</w:t>
      </w:r>
      <w:r>
        <w:rPr>
          <w:rFonts w:hint="eastAsia"/>
        </w:rPr>
        <w:t>，一般性支出坚决压减的成效显著，重点领域保障能力稳步提升（详见图1-4）</w:t>
      </w:r>
      <w:r>
        <w:rPr>
          <w:rFonts w:hint="eastAsia"/>
          <w:szCs w:val="21"/>
        </w:rPr>
        <w:t>。</w:t>
      </w:r>
      <w:r>
        <w:drawing>
          <wp:inline distT="0" distB="0" distL="0" distR="0">
            <wp:extent cx="5271135" cy="2838450"/>
            <wp:effectExtent l="0" t="0" r="24765" b="1905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ind w:firstLine="0" w:firstLineChars="0"/>
        <w:jc w:val="center"/>
        <w:rPr>
          <w:rFonts w:hAnsi="仿宋"/>
          <w:b/>
          <w:sz w:val="24"/>
          <w:szCs w:val="24"/>
        </w:rPr>
      </w:pPr>
      <w:r>
        <w:rPr>
          <w:rFonts w:hint="eastAsia" w:hAnsi="仿宋" w:cs="华文仿宋"/>
          <w:b/>
          <w:bCs/>
          <w:sz w:val="24"/>
          <w:szCs w:val="24"/>
        </w:rPr>
        <w:t>图1-4：2016-2020年澄江市主要财政支出变化情况</w:t>
      </w:r>
    </w:p>
    <w:p>
      <w:pPr>
        <w:pStyle w:val="5"/>
      </w:pPr>
      <w:r>
        <w:rPr>
          <w:rFonts w:hint="eastAsia"/>
        </w:rPr>
        <w:t>（三）全力提高民生福祉，财政支出效益稳步提高</w:t>
      </w:r>
    </w:p>
    <w:p>
      <w:pPr>
        <w:ind w:firstLine="560"/>
      </w:pPr>
      <w:r>
        <w:rPr>
          <w:rFonts w:hint="eastAsia"/>
        </w:rPr>
        <w:t>“十三五”期间，澄江市以环境保护、文化教育与科技、医疗卫生、社会保障、城乡社区、住房保障、农林水以及公共安全支出等为主要内容的民生支出从2016年的116529</w:t>
      </w:r>
      <w:r>
        <w:rPr>
          <w:rFonts w:hint="eastAsia"/>
          <w:color w:val="000000" w:themeColor="text1"/>
          <w14:textFill>
            <w14:solidFill>
              <w14:schemeClr w14:val="tx1"/>
            </w14:solidFill>
          </w14:textFill>
        </w:rPr>
        <w:t>万元增加到2020年的</w:t>
      </w:r>
      <w:r>
        <w:rPr>
          <w:rFonts w:hint="eastAsia"/>
        </w:rPr>
        <w:t>317647万元，占一般公共预算支出的比重2018年最小为77.53%，2020年最高为87.45%，民生支出占一般公共预算支出的比重年均高于</w:t>
      </w:r>
      <w:r>
        <w:t>80%</w:t>
      </w:r>
      <w:r>
        <w:rPr>
          <w:rFonts w:hint="eastAsia"/>
        </w:rPr>
        <w:t>（详见图1-5），充分体现了财政对民生福祉的全面提高和改善，也是以人民为中心的财政支出效益的最好诠释。</w:t>
      </w:r>
    </w:p>
    <w:p>
      <w:pPr>
        <w:ind w:firstLine="0" w:firstLineChars="0"/>
        <w:jc w:val="center"/>
      </w:pPr>
      <w:r>
        <w:drawing>
          <wp:inline distT="0" distB="0" distL="0" distR="0">
            <wp:extent cx="4977130" cy="2178050"/>
            <wp:effectExtent l="0" t="0" r="13970" b="1270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ind w:firstLine="0" w:firstLineChars="0"/>
        <w:jc w:val="center"/>
        <w:rPr>
          <w:rFonts w:hAnsi="仿宋" w:cs="华文仿宋"/>
          <w:b/>
          <w:bCs/>
          <w:sz w:val="24"/>
          <w:szCs w:val="24"/>
        </w:rPr>
      </w:pPr>
      <w:r>
        <w:rPr>
          <w:rFonts w:hint="eastAsia" w:hAnsi="仿宋" w:cs="华文仿宋"/>
          <w:b/>
          <w:bCs/>
          <w:sz w:val="24"/>
          <w:szCs w:val="24"/>
        </w:rPr>
        <w:t>图1-5：2016-2020年澄江市民生支出规模和比重</w:t>
      </w:r>
    </w:p>
    <w:p>
      <w:pPr>
        <w:ind w:firstLine="562"/>
      </w:pPr>
      <w:r>
        <w:rPr>
          <w:rFonts w:hint="eastAsia"/>
          <w:b/>
        </w:rPr>
        <w:t>全面支持抚仙湖保护。</w:t>
      </w:r>
      <w:r>
        <w:rPr>
          <w:rFonts w:hint="eastAsia"/>
        </w:rPr>
        <w:t>澄江市积极探索“绿水青山”转化为“金山银山”的有效途径，加大以抚仙湖、帽天山化石地为重点的生态环境保护；全力推进15.17万亩“七彩.森林抚仙湖”建设，实施石漠化治理，面山绿化；统筹推进“十三五”规划和山水林田湖草生态保护修复工程试点项目。“十三五”期间，澄江市节能环保支出从2016年的6563万元快速增加至2020年的87110万元（详见图1-6），2017-2020年环保支出同比分别增长了</w:t>
      </w:r>
      <w:r>
        <w:t>199.79%、106.12%、73.03%</w:t>
      </w:r>
      <w:r>
        <w:rPr>
          <w:rFonts w:hint="eastAsia"/>
        </w:rPr>
        <w:t>和24.14%</w:t>
      </w:r>
      <w:r>
        <w:t>，</w:t>
      </w:r>
      <w:r>
        <w:rPr>
          <w:rFonts w:hint="eastAsia"/>
        </w:rPr>
        <w:t>占一般公共预算支出的比重也从2016年的</w:t>
      </w:r>
      <w:r>
        <w:t>4.60%快速</w:t>
      </w:r>
      <w:r>
        <w:rPr>
          <w:rFonts w:hint="eastAsia"/>
        </w:rPr>
        <w:t>上升到2020年的23.98%。2016-2020年，澄江市节能环保支出累计共达</w:t>
      </w:r>
      <w:r>
        <w:t>224076</w:t>
      </w:r>
      <w:r>
        <w:rPr>
          <w:rFonts w:hint="eastAsia"/>
        </w:rPr>
        <w:t>万元，为澄江市生态文明建设取得历史性成就提供了坚强的财力支持和保障。</w:t>
      </w:r>
    </w:p>
    <w:p>
      <w:pPr>
        <w:ind w:firstLine="0" w:firstLineChars="0"/>
        <w:jc w:val="center"/>
      </w:pPr>
      <w:r>
        <w:drawing>
          <wp:inline distT="0" distB="0" distL="0" distR="0">
            <wp:extent cx="4754880" cy="2170430"/>
            <wp:effectExtent l="0" t="0" r="26670" b="2032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ind w:firstLine="482"/>
        <w:jc w:val="center"/>
        <w:rPr>
          <w:rFonts w:hAnsi="仿宋" w:cs="华文仿宋"/>
          <w:b/>
          <w:bCs/>
          <w:sz w:val="24"/>
          <w:szCs w:val="24"/>
        </w:rPr>
      </w:pPr>
      <w:r>
        <w:rPr>
          <w:rFonts w:hint="eastAsia" w:hAnsi="仿宋" w:cs="华文仿宋"/>
          <w:b/>
          <w:bCs/>
          <w:sz w:val="24"/>
          <w:szCs w:val="24"/>
        </w:rPr>
        <w:t>图1-6：2016-2020年澄江市节能环保支出</w:t>
      </w:r>
    </w:p>
    <w:p>
      <w:pPr>
        <w:ind w:firstLine="562"/>
      </w:pPr>
      <w:r>
        <w:rPr>
          <w:rFonts w:hint="eastAsia"/>
          <w:b/>
        </w:rPr>
        <w:t>加大住房保障支出。</w:t>
      </w:r>
      <w:r>
        <w:rPr>
          <w:rFonts w:hint="eastAsia"/>
        </w:rPr>
        <w:t>为进一步避免抚仙湖水源污染，澄江市大力实施“四退三还”，有序推进抚仙湖沿湖</w:t>
      </w:r>
      <w:r>
        <w:t>2.2</w:t>
      </w:r>
      <w:r>
        <w:rPr>
          <w:rFonts w:hint="eastAsia"/>
        </w:rPr>
        <w:t>万人生态移民搬迁安置，抚仙湖沿湖</w:t>
      </w:r>
      <w:r>
        <w:t>22</w:t>
      </w:r>
      <w:r>
        <w:rPr>
          <w:rFonts w:hint="eastAsia"/>
        </w:rPr>
        <w:t>家中央省市县属企事业单位和</w:t>
      </w:r>
      <w:r>
        <w:t>16</w:t>
      </w:r>
      <w:r>
        <w:rPr>
          <w:rFonts w:hint="eastAsia"/>
        </w:rPr>
        <w:t>家私营企业单位全部退出一级保护区，退出土地面积</w:t>
      </w:r>
      <w:r>
        <w:t>909</w:t>
      </w:r>
      <w:r>
        <w:rPr>
          <w:rFonts w:hint="eastAsia"/>
        </w:rPr>
        <w:t>亩。为做好生态移民搬迁以及棚户区改造等工作，澄江市不断加大住房保障支出</w:t>
      </w:r>
      <w:r>
        <w:t>。</w:t>
      </w:r>
      <w:r>
        <w:rPr>
          <w:rFonts w:hint="eastAsia"/>
        </w:rPr>
        <w:t>“十三五”期间，澄江市住房保障支出呈快速扩张趋势，2016年仅为6846万元，2017-2019年分别增加至10262万元、10921万元和41533万元；2020年达到66944万元，相当于2016年的9.78倍（详见图1-7）。澄江市住房保障支出占一般公共预算支出的比重，也从2016年的4.8%上涨到2020年的18.43</w:t>
      </w:r>
      <w:r>
        <w:t>%，</w:t>
      </w:r>
      <w:r>
        <w:rPr>
          <w:rFonts w:hint="eastAsia"/>
        </w:rPr>
        <w:t>年均增速为</w:t>
      </w:r>
      <w:r>
        <w:t>79.85</w:t>
      </w:r>
      <w:r>
        <w:rPr>
          <w:rFonts w:hint="eastAsia"/>
        </w:rPr>
        <w:t>%，增长势头迅猛，有力地支持了抚仙湖保护工作的开展，有效改善和</w:t>
      </w:r>
      <w:r>
        <w:t>提高</w:t>
      </w:r>
      <w:r>
        <w:rPr>
          <w:rFonts w:hint="eastAsia"/>
        </w:rPr>
        <w:t>了人民</w:t>
      </w:r>
      <w:r>
        <w:t>基本生活和福利水平。</w:t>
      </w:r>
    </w:p>
    <w:p>
      <w:pPr>
        <w:ind w:firstLine="0" w:firstLineChars="0"/>
        <w:jc w:val="center"/>
        <w:rPr>
          <w:rFonts w:hAnsi="仿宋"/>
          <w:color w:val="FF0000"/>
          <w:szCs w:val="21"/>
        </w:rPr>
      </w:pPr>
      <w:r>
        <w:drawing>
          <wp:inline distT="0" distB="0" distL="0" distR="0">
            <wp:extent cx="4531995" cy="1677670"/>
            <wp:effectExtent l="0" t="0" r="20955" b="1778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ind w:firstLine="0" w:firstLineChars="0"/>
        <w:jc w:val="center"/>
        <w:rPr>
          <w:rFonts w:hAnsi="仿宋" w:cs="华文仿宋"/>
          <w:b/>
          <w:bCs/>
          <w:sz w:val="24"/>
          <w:szCs w:val="24"/>
        </w:rPr>
      </w:pPr>
      <w:r>
        <w:rPr>
          <w:rFonts w:hint="eastAsia" w:hAnsi="仿宋" w:cs="华文仿宋"/>
          <w:b/>
          <w:bCs/>
          <w:sz w:val="24"/>
          <w:szCs w:val="24"/>
        </w:rPr>
        <w:t>图1-7：2016-2020年澄江市住房保障支出</w:t>
      </w:r>
    </w:p>
    <w:p>
      <w:pPr>
        <w:ind w:firstLine="562"/>
        <w:rPr>
          <w:rFonts w:cs="华文仿宋"/>
          <w:b/>
          <w:bCs/>
          <w:sz w:val="30"/>
          <w:szCs w:val="30"/>
        </w:rPr>
      </w:pPr>
      <w:r>
        <w:rPr>
          <w:rFonts w:hint="eastAsia"/>
          <w:b/>
        </w:rPr>
        <w:t>着力打造山水澄江文化旅游。</w:t>
      </w:r>
      <w:r>
        <w:rPr>
          <w:rFonts w:hint="eastAsia"/>
        </w:rPr>
        <w:t>推进旅游观光转变为生态文化旅游，打造以荷藕、蓝莓作为载体之乡文化旅游业发展，将抚仙湖改造为四个旅游片区。“十三五”期间，澄江文化体育旅游与传媒支出也从2016年的2827万元增长到2017年的4900万元，虽然2019年回落到3112万元，但2020年又增长至</w:t>
      </w:r>
      <w:r>
        <w:t>6276</w:t>
      </w:r>
      <w:r>
        <w:rPr>
          <w:rFonts w:hint="eastAsia"/>
        </w:rPr>
        <w:t>万元，年均增速达到了58.68</w:t>
      </w:r>
      <w:r>
        <w:t>%</w:t>
      </w:r>
      <w:r>
        <w:rPr>
          <w:rFonts w:hint="eastAsia"/>
          <w:b/>
        </w:rPr>
        <w:t>。</w:t>
      </w:r>
      <w:r>
        <w:rPr>
          <w:rFonts w:hint="eastAsia"/>
        </w:rPr>
        <w:t>同时，澄江市</w:t>
      </w:r>
      <w:r>
        <w:rPr>
          <w:rFonts w:hint="eastAsia" w:cs="华文仿宋"/>
          <w:bCs/>
        </w:rPr>
        <w:t>加大城乡社区支出，促进城乡协调发展，为澄江文化旅游业的协调推进创造了重要条件。2016年，澄江城乡社区支出为3325万元，2017年和2018年分别为13366万元和28041万元，到2019年城乡社区支出达到了48666万元；2016-2020年城乡社区支出累计为</w:t>
      </w:r>
      <w:r>
        <w:rPr>
          <w:rFonts w:cs="华文仿宋"/>
          <w:bCs/>
        </w:rPr>
        <w:t>100254</w:t>
      </w:r>
      <w:r>
        <w:rPr>
          <w:rFonts w:hint="eastAsia" w:cs="华文仿宋"/>
          <w:bCs/>
        </w:rPr>
        <w:t>万元，年均增速达到了</w:t>
      </w:r>
      <w:r>
        <w:rPr>
          <w:rFonts w:cs="华文仿宋"/>
          <w:bCs/>
        </w:rPr>
        <w:t>71.69%</w:t>
      </w:r>
      <w:r>
        <w:rPr>
          <w:rFonts w:hint="eastAsia" w:cs="华文仿宋"/>
          <w:bCs/>
        </w:rPr>
        <w:t>；澄江城乡社区支出占一般公共预算支出比重，也从2016年的</w:t>
      </w:r>
      <w:r>
        <w:rPr>
          <w:rFonts w:cs="华文仿宋"/>
          <w:bCs/>
        </w:rPr>
        <w:t>2.33%快速</w:t>
      </w:r>
      <w:r>
        <w:rPr>
          <w:rFonts w:hint="eastAsia" w:cs="华文仿宋"/>
          <w:bCs/>
        </w:rPr>
        <w:t>增加</w:t>
      </w:r>
      <w:r>
        <w:rPr>
          <w:rFonts w:cs="华文仿宋"/>
          <w:bCs/>
        </w:rPr>
        <w:t>到</w:t>
      </w:r>
      <w:r>
        <w:rPr>
          <w:rFonts w:hint="eastAsia" w:cs="华文仿宋"/>
          <w:bCs/>
        </w:rPr>
        <w:t>2019年的</w:t>
      </w:r>
      <w:r>
        <w:rPr>
          <w:rFonts w:cs="华文仿宋"/>
          <w:bCs/>
        </w:rPr>
        <w:t>13.48%</w:t>
      </w:r>
      <w:r>
        <w:rPr>
          <w:rFonts w:hint="eastAsia" w:cs="华文仿宋"/>
          <w:bCs/>
        </w:rPr>
        <w:t>（详见图1-8）。</w:t>
      </w:r>
    </w:p>
    <w:p>
      <w:pPr>
        <w:ind w:firstLine="560"/>
        <w:jc w:val="center"/>
        <w:rPr>
          <w:rFonts w:cs="华文仿宋"/>
          <w:b/>
          <w:bCs/>
          <w:color w:val="FF0000"/>
        </w:rPr>
      </w:pPr>
      <w:r>
        <w:drawing>
          <wp:inline distT="0" distB="0" distL="0" distR="0">
            <wp:extent cx="4752975" cy="1876425"/>
            <wp:effectExtent l="0" t="0" r="9525" b="952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ind w:firstLine="0" w:firstLineChars="0"/>
        <w:jc w:val="center"/>
        <w:rPr>
          <w:rFonts w:hAnsi="仿宋" w:cs="华文仿宋"/>
          <w:b/>
          <w:bCs/>
          <w:sz w:val="24"/>
          <w:szCs w:val="24"/>
        </w:rPr>
      </w:pPr>
      <w:r>
        <w:rPr>
          <w:rFonts w:hint="eastAsia" w:hAnsi="仿宋" w:cs="华文仿宋"/>
          <w:b/>
          <w:bCs/>
          <w:sz w:val="24"/>
          <w:szCs w:val="24"/>
        </w:rPr>
        <w:t>图1-8：2016-2020年澄江市城乡社区支出</w:t>
      </w:r>
    </w:p>
    <w:p>
      <w:pPr>
        <w:ind w:firstLine="562"/>
      </w:pPr>
      <w:r>
        <w:rPr>
          <w:rFonts w:hint="eastAsia"/>
          <w:b/>
        </w:rPr>
        <w:t>持续推进教育发展。</w:t>
      </w:r>
      <w:r>
        <w:rPr>
          <w:rFonts w:hint="eastAsia"/>
        </w:rPr>
        <w:t>澄江财政在抚仙湖保护等支出压力不断加大前提下，持续加大教育发展投入，大力支持学前教育、普通教育、职业教育和高等教育的发展，稳步提升农村义务教育经费保障力度。2016年，澄江财政教育支出为29727万元，2020年增加到43403万元（详见图1-9），</w:t>
      </w:r>
      <w:r>
        <w:rPr>
          <w:rFonts w:hint="eastAsia"/>
          <w:color w:val="000000" w:themeColor="text1"/>
          <w14:textFill>
            <w14:solidFill>
              <w14:schemeClr w14:val="tx1"/>
            </w14:solidFill>
          </w14:textFill>
        </w:rPr>
        <w:t>年均增长速度为</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40%，</w:t>
      </w:r>
      <w:r>
        <w:rPr>
          <w:rFonts w:hint="eastAsia"/>
        </w:rPr>
        <w:t>远远高于同期澄江GDP增长速度（6.8%），总体实现了较快增长，为澄江教育水平的提高提供了强有力的支撑。</w:t>
      </w:r>
    </w:p>
    <w:p>
      <w:pPr>
        <w:ind w:firstLine="560"/>
        <w:jc w:val="center"/>
      </w:pPr>
      <w:r>
        <w:drawing>
          <wp:inline distT="0" distB="0" distL="0" distR="0">
            <wp:extent cx="4752975" cy="1914525"/>
            <wp:effectExtent l="0" t="0" r="9525" b="9525"/>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ind w:firstLine="0" w:firstLineChars="0"/>
        <w:jc w:val="center"/>
        <w:rPr>
          <w:rFonts w:hAnsi="仿宋" w:cs="华文仿宋"/>
          <w:b/>
          <w:bCs/>
          <w:sz w:val="24"/>
          <w:szCs w:val="24"/>
        </w:rPr>
      </w:pPr>
      <w:r>
        <w:rPr>
          <w:rFonts w:hint="eastAsia" w:hAnsi="仿宋" w:cs="华文仿宋"/>
          <w:b/>
          <w:bCs/>
          <w:sz w:val="24"/>
          <w:szCs w:val="24"/>
        </w:rPr>
        <w:t>图1-9：2016-2020年澄江市教育支出</w:t>
      </w:r>
    </w:p>
    <w:p>
      <w:pPr>
        <w:ind w:firstLine="562"/>
      </w:pPr>
      <w:r>
        <w:rPr>
          <w:rFonts w:hint="eastAsia"/>
          <w:b/>
        </w:rPr>
        <w:t>不断提高社会保障范围和水平。</w:t>
      </w:r>
      <w:r>
        <w:rPr>
          <w:rFonts w:hint="eastAsia"/>
        </w:rPr>
        <w:t>不断完善社会福利服务设施，社会救助体系实现城乡全覆盖；实行更加积极的就业政策，落实好就业培训支持；不断完善城乡社会保障体系建设，落实好优抚对象及军队移交地方政府的离退休人员、退伍士兵的生活补助政策；确保低保对象的基本生活和农村五保户供养、自然灾害救助及其他临时救济工作；做好企业、行政事业人员养老金保障工作。2016年，澄江社会保障和就业支出为22571万元，2020年增加到32009万元，年均增长速度为</w:t>
      </w:r>
      <w:r>
        <w:t>16.25%</w:t>
      </w:r>
      <w:r>
        <w:rPr>
          <w:rFonts w:hint="eastAsia"/>
        </w:rPr>
        <w:t>（详</w:t>
      </w:r>
      <w:r>
        <w:rPr>
          <w:rFonts w:hint="eastAsia"/>
          <w:color w:val="000000" w:themeColor="text1"/>
          <w14:textFill>
            <w14:solidFill>
              <w14:schemeClr w14:val="tx1"/>
            </w14:solidFill>
          </w14:textFill>
        </w:rPr>
        <w:t>见图</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10）</w:t>
      </w:r>
      <w:r>
        <w:rPr>
          <w:rFonts w:hint="eastAsia"/>
        </w:rPr>
        <w:t>，全面确保了澄江社会保障和就业工作的稳定和发展，有效地促进了全市经济社会的稳定、和谐发展。</w:t>
      </w:r>
    </w:p>
    <w:p>
      <w:pPr>
        <w:ind w:firstLine="198" w:firstLineChars="71"/>
        <w:jc w:val="center"/>
      </w:pPr>
      <w:r>
        <w:drawing>
          <wp:inline distT="0" distB="0" distL="0" distR="0">
            <wp:extent cx="4754880" cy="1788795"/>
            <wp:effectExtent l="0" t="0" r="26670" b="20955"/>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ind w:firstLine="0" w:firstLineChars="0"/>
        <w:jc w:val="center"/>
        <w:rPr>
          <w:rFonts w:hAnsi="仿宋" w:cs="华文仿宋"/>
          <w:b/>
          <w:bCs/>
          <w:sz w:val="24"/>
          <w:szCs w:val="24"/>
        </w:rPr>
      </w:pPr>
      <w:r>
        <w:rPr>
          <w:rFonts w:hint="eastAsia" w:hAnsi="仿宋" w:cs="华文仿宋"/>
          <w:b/>
          <w:bCs/>
          <w:sz w:val="24"/>
          <w:szCs w:val="24"/>
        </w:rPr>
        <w:t>图1-10：2016-2020年澄江市社会保障和就业支出</w:t>
      </w:r>
    </w:p>
    <w:p>
      <w:pPr>
        <w:ind w:firstLine="562"/>
        <w:rPr>
          <w:lang w:val="zh-TW"/>
        </w:rPr>
      </w:pPr>
      <w:r>
        <w:rPr>
          <w:rFonts w:hint="eastAsia"/>
          <w:b/>
        </w:rPr>
        <w:t>大幅提升医疗卫生服务水平。</w:t>
      </w:r>
      <w:r>
        <w:rPr>
          <w:rFonts w:hint="eastAsia"/>
        </w:rPr>
        <w:t>为满足人民医疗健康水平的提高和促进国际康养旅居城市建设的需要，澄江财政不断加大卫生健康服务投入。2016年，澄江市卫生健康支出为16036万元，2020年增加到35510万元，2016-2020年累计卫生健康支出达到</w:t>
      </w:r>
      <w:r>
        <w:t>104287</w:t>
      </w:r>
      <w:r>
        <w:rPr>
          <w:rFonts w:hint="eastAsia"/>
        </w:rPr>
        <w:t>万元</w:t>
      </w:r>
      <w:r>
        <w:rPr>
          <w:rFonts w:hint="eastAsia"/>
          <w:color w:val="000000" w:themeColor="text1"/>
          <w14:textFill>
            <w14:solidFill>
              <w14:schemeClr w14:val="tx1"/>
            </w14:solidFill>
          </w14:textFill>
        </w:rPr>
        <w:t>（详见图1-11），</w:t>
      </w:r>
      <w:r>
        <w:rPr>
          <w:rFonts w:hint="eastAsia"/>
        </w:rPr>
        <w:t>全市医疗卫生条件不断改善，医疗服务水平稳步提高，基本公共卫生服务保障能力大大增强。2020年初新冠疫情爆发以来，</w:t>
      </w:r>
      <w:r>
        <w:rPr>
          <w:lang w:val="zh-TW"/>
        </w:rPr>
        <w:t>澄江财政全面落实疫情防控的重要指示精神，积极落实疫情防控经费保障政策，统筹安排资金、加快拨付进度，强化资金管理。</w:t>
      </w:r>
      <w:r>
        <w:rPr>
          <w:rFonts w:hint="eastAsia"/>
          <w:lang w:val="zh-TW"/>
        </w:rPr>
        <w:t>2020年，</w:t>
      </w:r>
      <w:r>
        <w:rPr>
          <w:lang w:val="zh-TW"/>
        </w:rPr>
        <w:t>澄江财政共拨付</w:t>
      </w:r>
      <w:r>
        <w:rPr>
          <w:rFonts w:hint="eastAsia"/>
          <w:lang w:val="zh-TW"/>
        </w:rPr>
        <w:t>新冠肺炎疫情</w:t>
      </w:r>
      <w:r>
        <w:rPr>
          <w:lang w:val="zh-TW"/>
        </w:rPr>
        <w:t>防控经费</w:t>
      </w:r>
      <w:r>
        <w:t>1418.45</w:t>
      </w:r>
      <w:r>
        <w:rPr>
          <w:lang w:val="zh-TW"/>
        </w:rPr>
        <w:t>万元，</w:t>
      </w:r>
      <w:r>
        <w:rPr>
          <w:rFonts w:hAnsi="仿宋"/>
          <w:szCs w:val="28"/>
          <w:vertAlign w:val="superscript"/>
        </w:rPr>
        <w:footnoteReference w:id="2"/>
      </w:r>
      <w:r>
        <w:rPr>
          <w:rFonts w:hint="eastAsia"/>
          <w:lang w:val="zh-TW"/>
        </w:rPr>
        <w:t>对</w:t>
      </w:r>
      <w:r>
        <w:rPr>
          <w:lang w:val="zh-TW"/>
        </w:rPr>
        <w:t>疫情防控和社会稳定起到了重要保障作用。</w:t>
      </w:r>
    </w:p>
    <w:p>
      <w:pPr>
        <w:ind w:firstLine="198" w:firstLineChars="71"/>
        <w:jc w:val="center"/>
      </w:pPr>
      <w:r>
        <w:drawing>
          <wp:inline distT="0" distB="0" distL="0" distR="0">
            <wp:extent cx="4572000" cy="1908175"/>
            <wp:effectExtent l="0" t="0" r="19050" b="15875"/>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firstLine="0" w:firstLineChars="0"/>
        <w:jc w:val="center"/>
        <w:rPr>
          <w:rFonts w:hAnsi="仿宋" w:cs="华文仿宋"/>
          <w:b/>
          <w:bCs/>
          <w:sz w:val="24"/>
          <w:szCs w:val="24"/>
        </w:rPr>
      </w:pPr>
      <w:r>
        <w:rPr>
          <w:rFonts w:hint="eastAsia" w:hAnsi="仿宋" w:cs="华文仿宋"/>
          <w:b/>
          <w:bCs/>
          <w:sz w:val="24"/>
          <w:szCs w:val="24"/>
        </w:rPr>
        <w:t>图1-11：2016-2020年澄江市卫生健康支出</w:t>
      </w:r>
    </w:p>
    <w:p>
      <w:pPr>
        <w:pStyle w:val="4"/>
        <w:ind w:firstLine="562"/>
      </w:pPr>
      <w:bookmarkStart w:id="9" w:name="_Toc63005408"/>
      <w:r>
        <w:rPr>
          <w:rFonts w:hint="eastAsia"/>
        </w:rPr>
        <w:t>三、财政管理规范性不断加强，财政治理效能稳步改善</w:t>
      </w:r>
      <w:bookmarkEnd w:id="9"/>
    </w:p>
    <w:p>
      <w:pPr>
        <w:ind w:firstLine="560"/>
      </w:pPr>
      <w:r>
        <w:rPr>
          <w:rFonts w:hint="eastAsia"/>
        </w:rPr>
        <w:t>“十三五”期间，澄江财政从预算执行监控管理、国有资产管理、债务风险管理、预算绩效管理、“三公”经费管理、扶贫资金管理等方面着力提高财政管理水平，切实保证财政运行规范高效。</w:t>
      </w:r>
    </w:p>
    <w:p>
      <w:pPr>
        <w:pStyle w:val="5"/>
      </w:pPr>
      <w:r>
        <w:rPr>
          <w:rFonts w:hint="eastAsia"/>
        </w:rPr>
        <w:t>（一）严格预算执行监控管理，不断提升预算绩效水平</w:t>
      </w:r>
    </w:p>
    <w:p>
      <w:pPr>
        <w:ind w:firstLine="560"/>
        <w:rPr>
          <w:rFonts w:hint="eastAsia"/>
        </w:rPr>
      </w:pPr>
      <w:r>
        <w:rPr>
          <w:rFonts w:hint="eastAsia"/>
        </w:rPr>
        <w:t>澄江财政实施预算执行动态监控系统以来，严格按照系统自动预警与人工排查相结合的方式对财政资金活动进行事前、事中、事后的反映和监督。通过预算执行监控系统的实施，在化解财政资金支付风险，确保资金安全高效运行方面取得了初步成效。硬化支出预算执行管理，坚持先有预算后有支出，坚决杜绝超预算、无预算安排支出的情况。硬化预算约束，严格控制预算追加，提升绩效管理水平。</w:t>
      </w:r>
    </w:p>
    <w:p>
      <w:pPr>
        <w:ind w:firstLine="560"/>
      </w:pPr>
      <w:r>
        <w:rPr>
          <w:rFonts w:hint="eastAsia"/>
        </w:rPr>
        <w:t>紧紧围绕实现预算和绩效管理一体化，稳步推进“全方位、全过程、全覆盖”预算绩效管理体系建设，不断完善绩效管理制度体系和工作机制，积极组织实施绩效目标编制、绩效监控和评价等工作，推动实现预算申报实施事前绩效评估，项目入库编制和审核绩效目标，预算执行中开展预算执行情况和绩效目标实现程度“双监控”，事后自评和再评价的全流程、各环节绩效管理结果与预算管理和政策调整挂钩。</w:t>
      </w:r>
    </w:p>
    <w:p>
      <w:pPr>
        <w:pStyle w:val="5"/>
      </w:pPr>
      <w:r>
        <w:rPr>
          <w:rFonts w:hint="eastAsia"/>
        </w:rPr>
        <w:t>（二）加强国有资产管理，切实提升国有资产效益</w:t>
      </w:r>
    </w:p>
    <w:p>
      <w:pPr>
        <w:ind w:firstLine="560"/>
      </w:pPr>
      <w:r>
        <w:rPr>
          <w:rFonts w:hint="eastAsia"/>
        </w:rPr>
        <w:t>严格执行资产管理制度，进一步强化资产管理工作。“十三五”期间，澄江市财政严格执行各级资产管理的制度和办法，强化国有资产处置审批。认真开展专项工作，提高资产管理效益。全面完成企业国有资产统计报表及国有企业会计报表、国有企业决算报表、企业会计报表的编制和上报工作。2016-2020年，国有资本经营预算收入分别完成31万元、79万元、2525万元、0万元和2万元。</w:t>
      </w:r>
      <w:r>
        <w:rPr>
          <w:rFonts w:hint="eastAsia" w:hAnsi="仿宋" w:cs="仿宋"/>
          <w:color w:val="000000" w:themeColor="text1"/>
          <w:szCs w:val="28"/>
          <w14:textFill>
            <w14:solidFill>
              <w14:schemeClr w14:val="tx1"/>
            </w14:solidFill>
          </w14:textFill>
        </w:rPr>
        <w:t>2019年，全市共办理资产处置审批手续40宗，处置资产原值1619.46万元。2020年</w:t>
      </w:r>
      <w:r>
        <w:rPr>
          <w:rFonts w:hint="eastAsia" w:hAnsi="仿宋" w:cs="仿宋"/>
          <w:color w:val="000000" w:themeColor="text1"/>
          <w:szCs w:val="28"/>
          <w:lang w:eastAsia="zh-CN"/>
          <w14:textFill>
            <w14:solidFill>
              <w14:schemeClr w14:val="tx1"/>
            </w14:solidFill>
          </w14:textFill>
        </w:rPr>
        <w:t>截至</w:t>
      </w:r>
      <w:r>
        <w:rPr>
          <w:rFonts w:hint="eastAsia" w:hAnsi="仿宋" w:cs="仿宋"/>
          <w:color w:val="000000" w:themeColor="text1"/>
          <w:szCs w:val="28"/>
          <w14:textFill>
            <w14:solidFill>
              <w14:schemeClr w14:val="tx1"/>
            </w14:solidFill>
          </w14:textFill>
        </w:rPr>
        <w:t>9月底，全市共办理资产处置审批手续44宗，处置资产原值1767.44万元。</w:t>
      </w:r>
    </w:p>
    <w:p>
      <w:pPr>
        <w:pStyle w:val="5"/>
      </w:pPr>
      <w:r>
        <w:rPr>
          <w:rFonts w:hint="eastAsia"/>
        </w:rPr>
        <w:t>（三）高度重视政府债务管理，加大防范化解债务风险力度</w:t>
      </w:r>
    </w:p>
    <w:p>
      <w:pPr>
        <w:ind w:firstLine="560"/>
      </w:pPr>
      <w:r>
        <w:rPr>
          <w:rFonts w:hint="eastAsia"/>
        </w:rPr>
        <w:t>为加快构建澄江政府债务风险防控体系，建立健全政府性债务风险应急处置工作机制，制定了《澄江县加强政府性债务管理实施方案的通知》、《澄江县政府性债务风险应急处置预案》等制度办法，并将地方政府债务还本付息资金纳入财政预算，进一步加大对存量资产、资源的盘活力度，加大化解债务的力度，筹措化债资金，化解债务风险。政府债务只在限额内通过向省政府申请代发政府债券方式规范举借；严防杜绝可能产生新增地方政府隐性债务的项目；充分利用山水林田湖草项目和抚仙湖保护治理专项资金政策，置换化解一批隐性债务。</w:t>
      </w:r>
      <w:r>
        <w:rPr>
          <w:rFonts w:hint="eastAsia"/>
          <w:lang w:eastAsia="zh-CN"/>
        </w:rPr>
        <w:t>截至</w:t>
      </w:r>
      <w:r>
        <w:rPr>
          <w:rFonts w:hint="eastAsia"/>
        </w:rPr>
        <w:t>2020年12月31日，澄江市地方政府法定债务余额为75.58亿元，其中一般债务18.03亿元、专项债务57.55亿元；地方政府隐性债务余额53.86亿元。2020年，澄江地方政府债务还本额合计3.89亿元，未发生债务违约和债务风险情况。</w:t>
      </w:r>
    </w:p>
    <w:p>
      <w:pPr>
        <w:pStyle w:val="5"/>
      </w:pPr>
      <w:r>
        <w:rPr>
          <w:rFonts w:hint="eastAsia"/>
        </w:rPr>
        <w:t>（四）严格执行政府采购规范，不断提升财政支出效益</w:t>
      </w:r>
    </w:p>
    <w:p>
      <w:pPr>
        <w:ind w:firstLine="560"/>
      </w:pPr>
      <w:r>
        <w:rPr>
          <w:rFonts w:hint="eastAsia"/>
        </w:rPr>
        <w:t>认真执行</w:t>
      </w:r>
      <w:r>
        <w:rPr>
          <w:rFonts w:hint="eastAsia"/>
          <w:lang w:eastAsia="zh-CN"/>
        </w:rPr>
        <w:t>《中华人民共和国政府采购法》</w:t>
      </w:r>
      <w:r>
        <w:rPr>
          <w:rFonts w:hint="eastAsia"/>
        </w:rPr>
        <w:t>、《政府采购法实施条例》、《政府采购货物与服务招标投标管理办法》、《供应商投诉管理办法》等办法规定，规范内部运作规程，从制度上、机制上规范政府采购行为，保证政府采购各项工作依法运行。“十三五”期间，澄江市共完成采购预算</w:t>
      </w:r>
      <w:r>
        <w:t>120613.36</w:t>
      </w:r>
      <w:r>
        <w:rPr>
          <w:rFonts w:hint="eastAsia"/>
        </w:rPr>
        <w:t>万元和采购中标价</w:t>
      </w:r>
      <w:r>
        <w:t>116036</w:t>
      </w:r>
      <w:r>
        <w:rPr>
          <w:rFonts w:hint="eastAsia"/>
        </w:rPr>
        <w:t>万元，2016-2020年共节约采购资金</w:t>
      </w:r>
      <w:r>
        <w:t>4304.33</w:t>
      </w:r>
      <w:r>
        <w:rPr>
          <w:rFonts w:hint="eastAsia"/>
        </w:rPr>
        <w:t>万元，年平均采购节约率为</w:t>
      </w:r>
      <w:r>
        <w:t>6.24%。</w:t>
      </w:r>
      <w:r>
        <w:rPr>
          <w:rFonts w:hint="eastAsia"/>
        </w:rPr>
        <w:t>其中，2020年共完成采购预算16947.86万元，采购中标价16018.85万元，节约采购资金929.01万元，采购节约率5.5%。</w:t>
      </w:r>
    </w:p>
    <w:p>
      <w:pPr>
        <w:pStyle w:val="5"/>
      </w:pPr>
      <w:r>
        <w:rPr>
          <w:rFonts w:hint="eastAsia"/>
        </w:rPr>
        <w:t>（五）加强各项经费管理，切实提高经费使用效率</w:t>
      </w:r>
    </w:p>
    <w:p>
      <w:pPr>
        <w:ind w:firstLine="560"/>
      </w:pPr>
      <w:r>
        <w:rPr>
          <w:rFonts w:hint="eastAsia"/>
        </w:rPr>
        <w:t>一是加强“三公”经费管理，确保全市“三公经费”只减不增。2016-2018年，澄江“三公”经费分别为499.62万元、538.36万元和</w:t>
      </w:r>
      <w:r>
        <w:t>413.3</w:t>
      </w:r>
      <w:r>
        <w:rPr>
          <w:rFonts w:hint="eastAsia"/>
        </w:rPr>
        <w:t>万元，2019年“三公”经费压减91万元，下降14.92%</w:t>
      </w:r>
      <w:r>
        <w:rPr>
          <w:rFonts w:hAnsi="仿宋"/>
          <w:szCs w:val="28"/>
          <w:vertAlign w:val="superscript"/>
        </w:rPr>
        <w:footnoteReference w:id="3"/>
      </w:r>
      <w:r>
        <w:rPr>
          <w:rFonts w:hint="eastAsia"/>
        </w:rPr>
        <w:t>。2020年，澄江市认真贯彻落实各级政府必须真正过“紧日子”、大力压减非急需非刚性支出的要求，全市“三公”经费支出441.86万元，与上年同期611.22万元相比减少169.36万元，下降了27.71%。</w:t>
      </w:r>
    </w:p>
    <w:p>
      <w:pPr>
        <w:ind w:firstLine="560"/>
      </w:pPr>
      <w:r>
        <w:rPr>
          <w:rFonts w:hint="eastAsia"/>
        </w:rPr>
        <w:t>二是加强扶贫资金管理，支持脱贫攻坚工作。2017年-2020年，澄江累计使用各级财政专项扶贫资金8208.62万元，其中：中央4012万元，省级678.6万元，市级1461.61万元，县级财政配套2056.41万元，全部按照市政府批复下达各镇街道、项目各实施主管部门。</w:t>
      </w:r>
    </w:p>
    <w:p>
      <w:pPr>
        <w:ind w:firstLine="560"/>
      </w:pPr>
      <w:r>
        <w:rPr>
          <w:rFonts w:hint="eastAsia"/>
        </w:rPr>
        <w:t>三是加强高原湖泊保护治理生态系统保护和修复工程资金管理。2019年投入环保项目经费16141.54万元，主要用于抚仙湖水体保护及湖滨区生态恢复工程等项目投入7231.93万元；抚仙湖生态移民搬迁经费2005万元；退田还湖土地租金1414.9万元；节水灌溉系统等低碳示范工程340万元、农村饮水安全巩固提升及甸垛龙潭调水工程624万元；林业生态保护石漠化治理经费775.55万元；生态环境监察经费156.2万元。</w:t>
      </w:r>
    </w:p>
    <w:p>
      <w:pPr>
        <w:pStyle w:val="4"/>
        <w:ind w:firstLine="562"/>
      </w:pPr>
      <w:bookmarkStart w:id="10" w:name="_Toc63005409"/>
      <w:r>
        <w:rPr>
          <w:rFonts w:hint="eastAsia"/>
        </w:rPr>
        <w:t>四、财政改革持续推进，积极探索财政发展新路子</w:t>
      </w:r>
      <w:bookmarkEnd w:id="10"/>
    </w:p>
    <w:p>
      <w:pPr>
        <w:pStyle w:val="5"/>
      </w:pPr>
      <w:r>
        <w:rPr>
          <w:rFonts w:hint="eastAsia"/>
        </w:rPr>
        <w:t>（一）以财政事权与支出责任划分为契机，强化支出责任建设</w:t>
      </w:r>
    </w:p>
    <w:p>
      <w:pPr>
        <w:ind w:firstLine="560"/>
      </w:pPr>
      <w:r>
        <w:rPr>
          <w:rFonts w:hint="eastAsia"/>
        </w:rPr>
        <w:t>根据国务院中央与地方财政事权和支出责任划分改革指导意见及相关方案通知，积极探索形成完整规范、分工合理、高效协同的财政事权和支出责任划分模式。目前，澄江市财政支出主要承担：各行政事业单位正常运转所需的各项支出；根据中央和省已明确的基本公共服务领域中央与地方、省与各地共同财政事权划分范围的基本公共服务领域八大类19项事项，市与县按照4:6分担，澄江市配套支出60%部分；此外，还承担了应由县级财政承担的本辖区内公益性事业和农业、农村经济发展以及生态保护建设所需的各项支出；根据税收体制要求县级上划的税收支出和上解财政的支出。从目前安排支出情况来看，教育、社会保障与就业各级支出责任较为均衡，公共安全、医疗卫生、自然资源与环境保护支出责任也主要以本级财政承担为主。</w:t>
      </w:r>
    </w:p>
    <w:p>
      <w:pPr>
        <w:pStyle w:val="5"/>
      </w:pPr>
      <w:r>
        <w:rPr>
          <w:rFonts w:hint="eastAsia"/>
        </w:rPr>
        <w:t>（二）推进乡镇财政体制改革，激发经济发展潜能</w:t>
      </w:r>
    </w:p>
    <w:p>
      <w:pPr>
        <w:ind w:firstLine="560"/>
      </w:pPr>
      <w:r>
        <w:rPr>
          <w:rFonts w:hint="eastAsia"/>
        </w:rPr>
        <w:t>为理顺县乡财政管理体系，充分挖掘乡镇(街道)增收潜力，澄江财政制定和实施了《澄江县完善乡镇财政管理体制促进财政增收考核办法》，积极培植财源，调动乡镇(街道)增收的积极性和主动性，初步达到了增强县域经济发展，做大全市财政收入规模的目标。澄江市建立了乡镇(街道)和县本级税源清单，按属地原则划分县本级和各乡镇(街道)税源，并对特定事项单独进行再划分，每年按税源新增和退出情况进动态调整；建立乡镇(街道)财政增收考核激励机制，确定考核范围和考核基数，审核确认奖补标准，在保障各乡镇(街道)现有切块资金不减的前提下，对超额完成考核基数的乡镇(街道)进行奖补；提倡乡镇(街道)要高度重视财政干部队伍建设，严格落实履行乡镇财政所职能，加强乡镇财政资金监管。</w:t>
      </w:r>
    </w:p>
    <w:p>
      <w:pPr>
        <w:pStyle w:val="5"/>
      </w:pPr>
      <w:r>
        <w:rPr>
          <w:rFonts w:hint="eastAsia"/>
        </w:rPr>
        <w:t>（三）深入推进预算公开，提升预算透明度</w:t>
      </w:r>
    </w:p>
    <w:p>
      <w:pPr>
        <w:ind w:firstLine="560"/>
      </w:pPr>
      <w:r>
        <w:rPr>
          <w:rFonts w:hint="eastAsia"/>
        </w:rPr>
        <w:t>将预算公开作为一项利器，公开、透明推进预算改革，除涉密事项外，财政安排的所有资金全部向社会公开。同时，进一步强化预算信息公开统一平台建设，做到公开格式统一、公开时间统一、公开形式统一。2018年制定下发了《澄江县财政局关于开展地方预决算公开专项检查的通知》，明确了检查对象、检查内容、检查时间和检查要求。预算单位(除涉密单位外)在云南省财政厅网站和政府门户网站公开了2018年部门预算、2017年部门决算及“三公”经费等相关内容，自觉接受社会监督。此外，2019年县级政府预算和县级64个一级预算单位的部门预算、“三公”经费预算按规定时限集中在澄江政务信息公开网、玉溪网、省财政厅预算公开平台上公开，取得了较好的社会反响。</w:t>
      </w:r>
    </w:p>
    <w:p>
      <w:pPr>
        <w:pStyle w:val="5"/>
      </w:pPr>
      <w:r>
        <w:rPr>
          <w:rFonts w:hint="eastAsia"/>
        </w:rPr>
        <w:t>（四）积极探索和稳步推进PPP项目，加强社会资本合作</w:t>
      </w:r>
    </w:p>
    <w:p>
      <w:pPr>
        <w:ind w:firstLine="560"/>
        <w:rPr>
          <w:rFonts w:hint="eastAsia"/>
        </w:rPr>
      </w:pPr>
      <w:r>
        <w:rPr>
          <w:rFonts w:hint="eastAsia"/>
          <w:color w:val="000000" w:themeColor="text1"/>
          <w14:textFill>
            <w14:solidFill>
              <w14:schemeClr w14:val="tx1"/>
            </w14:solidFill>
          </w14:textFill>
        </w:rPr>
        <w:t>2016-2017年，</w:t>
      </w:r>
      <w:r>
        <w:rPr>
          <w:color w:val="000000" w:themeColor="text1"/>
          <w14:textFill>
            <w14:solidFill>
              <w14:schemeClr w14:val="tx1"/>
            </w14:solidFill>
          </w14:textFill>
        </w:rPr>
        <w:t>根据国家在公共服务领域大力推广运用PPP建设融资模式的精神及要求，</w:t>
      </w:r>
      <w:r>
        <w:rPr>
          <w:rFonts w:hint="eastAsia"/>
          <w:color w:val="000000" w:themeColor="text1"/>
          <w14:textFill>
            <w14:solidFill>
              <w14:schemeClr w14:val="tx1"/>
            </w14:solidFill>
          </w14:textFill>
        </w:rPr>
        <w:t>澄江</w:t>
      </w:r>
      <w:r>
        <w:rPr>
          <w:color w:val="000000" w:themeColor="text1"/>
          <w14:textFill>
            <w14:solidFill>
              <w14:schemeClr w14:val="tx1"/>
            </w14:solidFill>
          </w14:textFill>
        </w:rPr>
        <w:t>积极响应。</w:t>
      </w:r>
      <w:r>
        <w:rPr>
          <w:rFonts w:hint="eastAsia"/>
        </w:rPr>
        <w:t>2016年，澄江</w:t>
      </w:r>
      <w:r>
        <w:t>已落地和正在推进项目共有8个，总投资60亿。</w:t>
      </w:r>
      <w:r>
        <w:rPr>
          <w:rFonts w:hint="eastAsia"/>
        </w:rPr>
        <w:t>2017年，已经政府批准实施并通过财政承受能力论证的PPP项目10个，总投资约43.07亿元。2018年，澄江按照中央和省、市关于PPP清理整改工作的相关政策规定及会议精神，成立了专门的整改工作督促领导小组，制定了《澄江县社会资本合作（PPP）综合信息平台项目集中清理整改工作方案》，清理整改工作受到省市各级高度关注，清理整改工作情况信息选登于财政部网站。</w:t>
      </w:r>
    </w:p>
    <w:p>
      <w:pPr>
        <w:ind w:firstLine="560"/>
      </w:pPr>
      <w:r>
        <w:rPr>
          <w:rFonts w:hint="eastAsia"/>
        </w:rPr>
        <w:t>经过前期全面清理整改，澄江PPP项目原已入库5个PPP项目按照上级部门要求，通过财政厅规范性检查，并于2018年8月收到整改完成通知。2018年，澄江纳入PPP项目库且经财政部对外公布项目共8个，已入库数量在玉溪市县区排名第一。2019年，澄江进入全国PPP综合信息平台项目8个，总投资39.81亿元。经过2017、2018年的全面清理整改，澄江PPP项目运行的规范性进一步提升，尤其是在财政承受能力论证过程中，严守10%财政红线，按照审慎合理、可持续原则，创新性提出一般公共预算支出增长率阶梯式递减的测算方式，为防范政府债务风险未雨绸缪。</w:t>
      </w:r>
    </w:p>
    <w:p>
      <w:pPr>
        <w:pStyle w:val="3"/>
        <w:ind w:firstLine="602"/>
      </w:pPr>
      <w:bookmarkStart w:id="11" w:name="_Toc63005410"/>
      <w:bookmarkStart w:id="12" w:name="_Toc52057347"/>
      <w:r>
        <w:rPr>
          <w:rFonts w:hint="eastAsia"/>
        </w:rPr>
        <w:t>第二章  “十三五”财政运行存在的问题</w:t>
      </w:r>
      <w:bookmarkEnd w:id="11"/>
      <w:bookmarkEnd w:id="12"/>
    </w:p>
    <w:p>
      <w:pPr>
        <w:ind w:firstLine="560"/>
      </w:pPr>
      <w:r>
        <w:rPr>
          <w:rFonts w:hint="eastAsia"/>
        </w:rPr>
        <w:t>“十三五”期间，澄江财政充分发挥了对地方经济社会发展的强有力的支撑和保障作用，取得了突出的成就。但是，面对国内外严峻的经济形势，面对抚仙湖保护与开发的突出矛盾，澄江市财政运行依然存在着不少的困难和问题。</w:t>
      </w:r>
    </w:p>
    <w:p>
      <w:pPr>
        <w:pStyle w:val="4"/>
        <w:ind w:firstLine="562"/>
      </w:pPr>
      <w:bookmarkStart w:id="13" w:name="_Toc63005411"/>
      <w:r>
        <w:rPr>
          <w:rFonts w:hint="eastAsia"/>
        </w:rPr>
        <w:t>一、财政收支矛盾突出，财政平衡压力不断加大</w:t>
      </w:r>
      <w:bookmarkEnd w:id="13"/>
    </w:p>
    <w:p>
      <w:pPr>
        <w:pStyle w:val="5"/>
      </w:pPr>
      <w:r>
        <w:rPr>
          <w:rFonts w:hint="eastAsia"/>
        </w:rPr>
        <w:t>（一）财政收入波动加大，土地财政依赖加深</w:t>
      </w:r>
    </w:p>
    <w:p>
      <w:pPr>
        <w:ind w:firstLine="560"/>
      </w:pPr>
      <w:r>
        <w:rPr>
          <w:rFonts w:hint="eastAsia"/>
        </w:rPr>
        <w:t>“十三五”期间，澄江市一般公共预算收入虽然年均保持了超过7.25%的增长速度，但是分年度来看，2016年同比增幅最高，为24.87%；2017-2020年分别为</w:t>
      </w:r>
      <w:r>
        <w:t>19.55%</w:t>
      </w:r>
      <w:r>
        <w:rPr>
          <w:rFonts w:hint="eastAsia"/>
        </w:rPr>
        <w:t>、</w:t>
      </w:r>
      <w:r>
        <w:t>8.61%</w:t>
      </w:r>
      <w:r>
        <w:rPr>
          <w:rFonts w:hint="eastAsia"/>
        </w:rPr>
        <w:t>、</w:t>
      </w:r>
      <w:r>
        <w:t>-3.10%</w:t>
      </w:r>
      <w:r>
        <w:rPr>
          <w:rFonts w:hint="eastAsia"/>
        </w:rPr>
        <w:t>和</w:t>
      </w:r>
      <w:r>
        <w:t>-13.68%</w:t>
      </w:r>
      <w:r>
        <w:rPr>
          <w:rFonts w:hint="eastAsia"/>
        </w:rPr>
        <w:t>，总体呈连续下降趋势，且在2019年和2020年连续两年负增长。其中，税收收入在2017和2020年出现了负增长，非税收入在2018-2020年连续三年呈现为负增长。同时，受政策和体制等因素的影响，澄江市上级补助收入的波动也非常大，从各年度同比增速来看，最高的2019年为73.02%，而最低的2020年为下降19.39%。</w:t>
      </w:r>
    </w:p>
    <w:p>
      <w:pPr>
        <w:ind w:firstLine="560"/>
      </w:pPr>
      <w:r>
        <w:rPr>
          <w:rFonts w:hint="eastAsia"/>
        </w:rPr>
        <w:t>除一般公共预算收入外，政府性基金预算收入的高增长和大幅波动是造成澄江财政收入总体波动较大的主要原因。2016-2020年，澄江政府性基金预算收入同比增速分别为</w:t>
      </w:r>
      <w:r>
        <w:t>69.23%</w:t>
      </w:r>
      <w:r>
        <w:rPr>
          <w:rFonts w:hint="eastAsia"/>
        </w:rPr>
        <w:t>、</w:t>
      </w:r>
      <w:r>
        <w:t>441.81%</w:t>
      </w:r>
      <w:r>
        <w:rPr>
          <w:rFonts w:hint="eastAsia"/>
        </w:rPr>
        <w:t>、</w:t>
      </w:r>
      <w:r>
        <w:t>54.95%</w:t>
      </w:r>
      <w:r>
        <w:rPr>
          <w:rFonts w:hint="eastAsia"/>
        </w:rPr>
        <w:t>、</w:t>
      </w:r>
      <w:r>
        <w:t>-27.16%</w:t>
      </w:r>
      <w:r>
        <w:rPr>
          <w:rFonts w:hint="eastAsia"/>
        </w:rPr>
        <w:t>和</w:t>
      </w:r>
      <w:r>
        <w:t>230.20%</w:t>
      </w:r>
      <w:r>
        <w:rPr>
          <w:rFonts w:hint="eastAsia"/>
        </w:rPr>
        <w:t>（详见表1-2），</w:t>
      </w:r>
      <w:r>
        <w:t>各年度间增幅的差距极大</w:t>
      </w:r>
      <w:r>
        <w:rPr>
          <w:rFonts w:hint="eastAsia"/>
        </w:rPr>
        <w:t>。澄江财政收入的波动较大，既有近年来经济下行压力和减税降费政策等的原因，又与澄江全口径财政收入结构中上级补助收入和政府性基金收入占比较高有着密切的联系（这两项收入对政策和宏观经济形势的反映往往最为敏感）。</w:t>
      </w:r>
    </w:p>
    <w:p>
      <w:pPr>
        <w:ind w:firstLine="560"/>
      </w:pPr>
      <w:r>
        <w:rPr>
          <w:rFonts w:hint="eastAsia"/>
        </w:rPr>
        <w:t>在财政收入波动较大的同时，澄江市对土地财政的依赖度逐步加深。澄江国有土地使用权出让收入从2016年的17730万元，增加到2018年的158642万元和2020年的</w:t>
      </w:r>
      <w:r>
        <w:t>381235</w:t>
      </w:r>
      <w:r>
        <w:rPr>
          <w:rFonts w:hint="eastAsia"/>
        </w:rPr>
        <w:t>万元。2016-2020年，澄江市国有土地使用权出让收入占政府性基金预算收入的比重分别为</w:t>
      </w:r>
      <w:r>
        <w:t>93.64%</w:t>
      </w:r>
      <w:r>
        <w:rPr>
          <w:rFonts w:hint="eastAsia"/>
        </w:rPr>
        <w:t>、</w:t>
      </w:r>
      <w:r>
        <w:t>97.75%</w:t>
      </w:r>
      <w:r>
        <w:rPr>
          <w:rFonts w:hint="eastAsia"/>
        </w:rPr>
        <w:t>、</w:t>
      </w:r>
      <w:r>
        <w:t>99.80%</w:t>
      </w:r>
      <w:r>
        <w:rPr>
          <w:rFonts w:hint="eastAsia"/>
        </w:rPr>
        <w:t>、</w:t>
      </w:r>
      <w:r>
        <w:t>99.74%</w:t>
      </w:r>
      <w:r>
        <w:rPr>
          <w:rFonts w:hint="eastAsia"/>
        </w:rPr>
        <w:t>和</w:t>
      </w:r>
      <w:r>
        <w:t>99.72%%</w:t>
      </w:r>
      <w:r>
        <w:rPr>
          <w:rFonts w:hint="eastAsia"/>
        </w:rPr>
        <w:t>（详见表2-1）</w:t>
      </w:r>
      <w:r>
        <w:t>，而以土地出让收入为主要内容的政府性基金预算收入</w:t>
      </w:r>
      <w:r>
        <w:rPr>
          <w:rFonts w:hint="eastAsia"/>
        </w:rPr>
        <w:t>占全口径财政收入的比重也从14.34%迅速上升到70.76%。2020年，澄江市国有土地使用权土地出让收入为</w:t>
      </w:r>
      <w:r>
        <w:t>381235万元</w:t>
      </w:r>
      <w:r>
        <w:rPr>
          <w:rFonts w:hint="eastAsia"/>
        </w:rPr>
        <w:t>，远远超过当年上级补助收入（186002万元）与税收收入（58647万元）之和而成为最大的收入项目，土地财政的贡献度和依赖度不断提高。值得注意的是，短期内地方政府土地财政依赖度高的问题尚难得到缓解，土地财政难寻替代，去杠杆、减税等导致政府负担更重，土地财政成为城市发展基建的重要支撑，不断增加供地仍是地方政府和财政的不二选择。</w:t>
      </w:r>
    </w:p>
    <w:p>
      <w:pPr>
        <w:spacing w:before="190" w:beforeLines="50" w:after="190" w:afterLines="50"/>
        <w:ind w:firstLine="482"/>
        <w:jc w:val="center"/>
        <w:rPr>
          <w:rFonts w:hAnsi="仿宋"/>
          <w:b/>
          <w:color w:val="000000" w:themeColor="text1"/>
          <w:sz w:val="21"/>
          <w:szCs w:val="21"/>
          <w14:textFill>
            <w14:solidFill>
              <w14:schemeClr w14:val="tx1"/>
            </w14:solidFill>
          </w14:textFill>
        </w:rPr>
      </w:pPr>
      <w:r>
        <w:rPr>
          <w:rFonts w:hint="eastAsia" w:hAnsi="仿宋" w:cs="华文仿宋"/>
          <w:b/>
          <w:bCs/>
          <w:color w:val="000000" w:themeColor="text1"/>
          <w:sz w:val="24"/>
          <w:szCs w:val="24"/>
          <w14:textFill>
            <w14:solidFill>
              <w14:schemeClr w14:val="tx1"/>
            </w14:solidFill>
          </w14:textFill>
        </w:rPr>
        <w:t>表2-1：2016-2020年澄江国有土地使用权出让收入情况表</w:t>
      </w:r>
      <w:r>
        <w:rPr>
          <w:rFonts w:hint="eastAsia" w:hAnsi="仿宋" w:cs="华文仿宋"/>
          <w:b/>
          <w:bCs/>
          <w:color w:val="000000" w:themeColor="text1"/>
          <w:sz w:val="21"/>
          <w:szCs w:val="21"/>
          <w14:textFill>
            <w14:solidFill>
              <w14:schemeClr w14:val="tx1"/>
            </w14:solidFill>
          </w14:textFill>
        </w:rPr>
        <w:t>（单位：万元）</w:t>
      </w:r>
    </w:p>
    <w:tbl>
      <w:tblPr>
        <w:tblStyle w:val="23"/>
        <w:tblW w:w="8271" w:type="dxa"/>
        <w:tblInd w:w="25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956"/>
        <w:gridCol w:w="1193"/>
        <w:gridCol w:w="1193"/>
        <w:gridCol w:w="1189"/>
        <w:gridCol w:w="11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52"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年度</w:t>
            </w:r>
          </w:p>
        </w:tc>
        <w:tc>
          <w:tcPr>
            <w:tcW w:w="956"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2016</w:t>
            </w:r>
          </w:p>
        </w:tc>
        <w:tc>
          <w:tcPr>
            <w:tcW w:w="1193"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2017</w:t>
            </w:r>
          </w:p>
        </w:tc>
        <w:tc>
          <w:tcPr>
            <w:tcW w:w="1193"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2018</w:t>
            </w:r>
          </w:p>
        </w:tc>
        <w:tc>
          <w:tcPr>
            <w:tcW w:w="1189"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2019</w:t>
            </w:r>
          </w:p>
        </w:tc>
        <w:tc>
          <w:tcPr>
            <w:tcW w:w="1188" w:type="dxa"/>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552"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政府性基金收入</w:t>
            </w:r>
          </w:p>
        </w:tc>
        <w:tc>
          <w:tcPr>
            <w:tcW w:w="956" w:type="dxa"/>
            <w:shd w:val="clear" w:color="auto" w:fill="auto"/>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18934</w:t>
            </w:r>
          </w:p>
        </w:tc>
        <w:tc>
          <w:tcPr>
            <w:tcW w:w="1193" w:type="dxa"/>
            <w:shd w:val="clear" w:color="auto" w:fill="auto"/>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102586</w:t>
            </w:r>
          </w:p>
        </w:tc>
        <w:tc>
          <w:tcPr>
            <w:tcW w:w="1193" w:type="dxa"/>
            <w:shd w:val="clear" w:color="auto" w:fill="auto"/>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158954</w:t>
            </w:r>
          </w:p>
        </w:tc>
        <w:tc>
          <w:tcPr>
            <w:tcW w:w="1189" w:type="dxa"/>
            <w:shd w:val="clear" w:color="auto" w:fill="auto"/>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115775</w:t>
            </w:r>
          </w:p>
        </w:tc>
        <w:tc>
          <w:tcPr>
            <w:tcW w:w="1188" w:type="dxa"/>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382287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exact"/>
        </w:trPr>
        <w:tc>
          <w:tcPr>
            <w:tcW w:w="2552" w:type="dxa"/>
            <w:shd w:val="clear" w:color="auto" w:fill="auto"/>
            <w:vAlign w:val="center"/>
          </w:tcPr>
          <w:p>
            <w:pPr>
              <w:widowControl/>
              <w:spacing w:line="240" w:lineRule="auto"/>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国有土地使用权出让收入</w:t>
            </w:r>
          </w:p>
        </w:tc>
        <w:tc>
          <w:tcPr>
            <w:tcW w:w="956"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17730</w:t>
            </w:r>
          </w:p>
        </w:tc>
        <w:tc>
          <w:tcPr>
            <w:tcW w:w="1193"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100276</w:t>
            </w:r>
          </w:p>
        </w:tc>
        <w:tc>
          <w:tcPr>
            <w:tcW w:w="1193"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158642</w:t>
            </w:r>
          </w:p>
        </w:tc>
        <w:tc>
          <w:tcPr>
            <w:tcW w:w="1189"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115477</w:t>
            </w:r>
          </w:p>
        </w:tc>
        <w:tc>
          <w:tcPr>
            <w:tcW w:w="1188" w:type="dxa"/>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Times New Roman"/>
                <w:b/>
                <w:color w:val="000000" w:themeColor="text1"/>
                <w:sz w:val="21"/>
                <w:szCs w:val="21"/>
                <w14:textFill>
                  <w14:solidFill>
                    <w14:schemeClr w14:val="tx1"/>
                  </w14:solidFill>
                </w14:textFill>
              </w:rPr>
              <w:t>381235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exact"/>
        </w:trPr>
        <w:tc>
          <w:tcPr>
            <w:tcW w:w="2552" w:type="dxa"/>
            <w:shd w:val="clear" w:color="auto" w:fill="auto"/>
            <w:vAlign w:val="center"/>
          </w:tcPr>
          <w:p>
            <w:pPr>
              <w:widowControl/>
              <w:spacing w:line="240" w:lineRule="auto"/>
              <w:ind w:firstLine="0" w:firstLineChars="0"/>
              <w:jc w:val="center"/>
              <w:rPr>
                <w:rFonts w:hAnsi="仿宋" w:cs="宋体"/>
                <w:b/>
                <w:color w:val="000000" w:themeColor="text1"/>
                <w:kern w:val="0"/>
                <w:sz w:val="21"/>
                <w:szCs w:val="21"/>
                <w14:textFill>
                  <w14:solidFill>
                    <w14:schemeClr w14:val="tx1"/>
                  </w14:solidFill>
                </w14:textFill>
              </w:rPr>
            </w:pPr>
            <w:r>
              <w:rPr>
                <w:rFonts w:hint="eastAsia" w:hAnsi="仿宋" w:cs="宋体"/>
                <w:b/>
                <w:color w:val="000000" w:themeColor="text1"/>
                <w:kern w:val="0"/>
                <w:sz w:val="21"/>
                <w:szCs w:val="21"/>
                <w14:textFill>
                  <w14:solidFill>
                    <w14:schemeClr w14:val="tx1"/>
                  </w14:solidFill>
                </w14:textFill>
              </w:rPr>
              <w:t>国有土地使用权出让收入占政府性基金收入的比重</w:t>
            </w:r>
          </w:p>
        </w:tc>
        <w:tc>
          <w:tcPr>
            <w:tcW w:w="956"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93.64%</w:t>
            </w:r>
          </w:p>
        </w:tc>
        <w:tc>
          <w:tcPr>
            <w:tcW w:w="1193"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97.75%</w:t>
            </w:r>
          </w:p>
        </w:tc>
        <w:tc>
          <w:tcPr>
            <w:tcW w:w="1193"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99.80%</w:t>
            </w:r>
          </w:p>
        </w:tc>
        <w:tc>
          <w:tcPr>
            <w:tcW w:w="1189" w:type="dxa"/>
            <w:shd w:val="clear" w:color="auto" w:fill="auto"/>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99.74%</w:t>
            </w:r>
          </w:p>
        </w:tc>
        <w:tc>
          <w:tcPr>
            <w:tcW w:w="1188" w:type="dxa"/>
            <w:vAlign w:val="center"/>
          </w:tcPr>
          <w:p>
            <w:pPr>
              <w:widowControl/>
              <w:ind w:firstLine="0" w:firstLineChars="0"/>
              <w:jc w:val="center"/>
              <w:rPr>
                <w:rFonts w:hAnsi="仿宋" w:cs="宋体"/>
                <w:b/>
                <w:color w:val="000000" w:themeColor="text1"/>
                <w:kern w:val="0"/>
                <w:sz w:val="21"/>
                <w:szCs w:val="21"/>
                <w14:textFill>
                  <w14:solidFill>
                    <w14:schemeClr w14:val="tx1"/>
                  </w14:solidFill>
                </w14:textFill>
              </w:rPr>
            </w:pPr>
            <w:r>
              <w:rPr>
                <w:rFonts w:hAnsi="仿宋" w:cs="宋体"/>
                <w:b/>
                <w:color w:val="000000" w:themeColor="text1"/>
                <w:kern w:val="0"/>
                <w:sz w:val="21"/>
                <w:szCs w:val="21"/>
                <w14:textFill>
                  <w14:solidFill>
                    <w14:schemeClr w14:val="tx1"/>
                  </w14:solidFill>
                </w14:textFill>
              </w:rPr>
              <w:t>99.72%</w:t>
            </w:r>
          </w:p>
        </w:tc>
      </w:tr>
    </w:tbl>
    <w:p>
      <w:pPr>
        <w:ind w:firstLine="48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数据来源：根据澄江市财政局各年度财政决算表计算。</w:t>
      </w:r>
    </w:p>
    <w:p>
      <w:pPr>
        <w:pStyle w:val="5"/>
      </w:pPr>
      <w:r>
        <w:rPr>
          <w:rFonts w:hint="eastAsia"/>
        </w:rPr>
        <w:t>（二）税收增收潜力较小，“跑、帽、滴、漏”现象严重</w:t>
      </w:r>
    </w:p>
    <w:p>
      <w:pPr>
        <w:ind w:firstLine="560"/>
      </w:pPr>
      <w:r>
        <w:rPr>
          <w:rFonts w:hint="eastAsia"/>
        </w:rPr>
        <w:t>“十三五”期间，澄江市虽然在减税降费的背景下实现了税收收入的较快增长，但税收收入主要来源于与房地产开发相关的项目以及基础设施建设等一次性收入，税收增收的潜力较小。这也可以从“十三五”期间澄江位居前五位的税种（增值税、土地增值税、契税、烟叶税和企业所得税）与我国以增值税、企业所得税、个人所得税和消费税为主的税收结构存在较大差异得到说明。</w:t>
      </w:r>
    </w:p>
    <w:p>
      <w:pPr>
        <w:ind w:firstLine="560"/>
        <w:rPr>
          <w:b/>
          <w:color w:val="FF0000"/>
        </w:rPr>
      </w:pPr>
      <w:r>
        <w:rPr>
          <w:rFonts w:hint="eastAsia"/>
        </w:rPr>
        <w:t>由于多种原因，澄江市税收收入的征管漏洞也较大。澄江市政府于2017年12月份出台了《澄江县税收征管理障实施方案》，明确了相关职能部门协税护税的职能职责，但在执行过程中，部分职能部门向税务部门提供涉税信息存在不及时不准确的情况，加了税务部门征管难度，特别是“批、零、住、餐”行业，由于得不到涉税信息或涉税信息提供不及时，税收“跑、帽、滴、漏”情况严重。比如，房地产办证过程中所产生的契税等税费已在房屋买卖过程中由开发商代为收取，由于90%以上已销售房地产未及时办理产权证，长期由开发商占用不能及时及库。而“营改增”后，外地建筑安装企业通过外管证到澄江境内承建工程税负由3%降为1%，外地建筑企业在市内承建工程完成后直接回企业注册地纳税，导致澄江市工程建筑税款大量外流，针对此类情况，市政府制定了《澄江县人民政府办公室关于全面落实建筑业产值统计和依法征税工作的通知》及补充通知，但工程建设项目税收外流情况依然存在。又如，澄江在2016年、2017年的土地增值税均维持在2000万元左右，与房地产项目开发情况相不符，其中既有房地产开发商逃避清算的原因，又有土地增值税的清算政策性强、环节多、争议大等导致土地增值税清算工作滞后、征收不及时等情况的存在。</w:t>
      </w:r>
    </w:p>
    <w:p>
      <w:pPr>
        <w:pStyle w:val="5"/>
      </w:pPr>
      <w:r>
        <w:rPr>
          <w:rFonts w:hint="eastAsia"/>
        </w:rPr>
        <w:t>（三）财政对上依赖严重，后续财源培植滞后</w:t>
      </w:r>
    </w:p>
    <w:p>
      <w:pPr>
        <w:ind w:firstLine="560"/>
        <w:rPr>
          <w:b/>
        </w:rPr>
      </w:pPr>
      <w:r>
        <w:rPr>
          <w:rFonts w:hint="eastAsia"/>
        </w:rPr>
        <w:t>2016-2020年，澄江上级补助收入从</w:t>
      </w:r>
      <w:r>
        <w:t>93788</w:t>
      </w:r>
      <w:r>
        <w:rPr>
          <w:rFonts w:hint="eastAsia"/>
        </w:rPr>
        <w:t>万元增加到</w:t>
      </w:r>
      <w:r>
        <w:t>186002</w:t>
      </w:r>
      <w:r>
        <w:rPr>
          <w:rFonts w:hint="eastAsia"/>
        </w:rPr>
        <w:t>万元，上级补助收入占一般公共预算收入总计的比重在2016年和2020年分别为50.61%和48.06%，在一般公共预算收入总计中远远超过税收收入和非税收入之和而成为最大的收入项目，财政对上依赖度较高。</w:t>
      </w:r>
    </w:p>
    <w:p>
      <w:pPr>
        <w:ind w:firstLine="560"/>
        <w:rPr>
          <w:color w:val="FF0000"/>
        </w:rPr>
      </w:pPr>
      <w:r>
        <w:rPr>
          <w:rFonts w:hint="eastAsia"/>
        </w:rPr>
        <w:t>与此相应，后续财源培植却相对滞后。近年来，澄江市委、市政府把保护抚仙湖和帽天山化石地作为全市工作的重中之重，不断加大财政资金投入，加强生态环境保护和建设。但是，澄江市整个环境容量、土地存量都远远满足不了当前发展的需要，加之保护的压力十分巨大，第一产业能实现的增值、增收空间不大；第二产业以磷化工为主体的传统工业在不断缩量，提档升级过程漫长，加之受环境保护及土地利用指标限制，发展空间十分有限；虽然近年来澄江市在努力打造以旅游为主的第三产业，带动澄江市的经济发展，但是目前抚仙湖的旅游项目还未完全完工开放，多数旅游项目都处于免费开放状态，对财政增收贡献不大。澄江市自身经济总量小、财源结构单一、自身财力不足的现状短期内难有较大改变，后续财源培植相对滞后。</w:t>
      </w:r>
    </w:p>
    <w:p>
      <w:pPr>
        <w:pStyle w:val="5"/>
      </w:pPr>
      <w:r>
        <w:rPr>
          <w:rFonts w:hint="eastAsia"/>
        </w:rPr>
        <w:t>（四）非税收入目标任务形势严峻，管理难度大</w:t>
      </w:r>
    </w:p>
    <w:p>
      <w:pPr>
        <w:ind w:firstLine="560"/>
        <w:rPr>
          <w:bCs/>
          <w:color w:val="FF0000"/>
        </w:rPr>
      </w:pPr>
      <w:r>
        <w:t>按照上级要求，</w:t>
      </w:r>
      <w:r>
        <w:rPr>
          <w:rFonts w:hint="eastAsia"/>
        </w:rPr>
        <w:t>澄江市</w:t>
      </w:r>
      <w:r>
        <w:t>2017年出台《澄江县人民政府办公室关于印发深化非税收入管理改革实施意见的通知》（澄政办发〔2017〕170号），将所有非税收入纳入全口径预算管理，成本计入年初部门预算</w:t>
      </w:r>
      <w:r>
        <w:rPr>
          <w:rFonts w:hint="eastAsia"/>
        </w:rPr>
        <w:t>。</w:t>
      </w:r>
      <w:r>
        <w:t>但是，长期以来，执收单位注重的是支出预算，形成重支出轻收入局面，征收主动性不强，</w:t>
      </w:r>
      <w:r>
        <w:rPr>
          <w:rFonts w:hint="eastAsia"/>
        </w:rPr>
        <w:t>部分执收单位</w:t>
      </w:r>
      <w:r>
        <w:t>征收积极性不高的问题</w:t>
      </w:r>
      <w:r>
        <w:rPr>
          <w:rFonts w:hint="eastAsia"/>
        </w:rPr>
        <w:t>较为</w:t>
      </w:r>
      <w:r>
        <w:t>突出。再加之执收单位预算管理不到位，造成非税收入征管存在种种困难。</w:t>
      </w:r>
      <w:r>
        <w:rPr>
          <w:rFonts w:hint="eastAsia"/>
        </w:rPr>
        <w:t>根据2020年</w:t>
      </w:r>
      <w:r>
        <w:t>预算安排，</w:t>
      </w:r>
      <w:r>
        <w:rPr>
          <w:rFonts w:hint="eastAsia"/>
        </w:rPr>
        <w:t>澄江</w:t>
      </w:r>
      <w:r>
        <w:t>全年纳入一般公共预算管理的非税收入</w:t>
      </w:r>
      <w:r>
        <w:rPr>
          <w:rFonts w:hint="eastAsia"/>
        </w:rPr>
        <w:t>目标任务为</w:t>
      </w:r>
      <w:r>
        <w:t>33300万元</w:t>
      </w:r>
      <w:r>
        <w:rPr>
          <w:rFonts w:hint="eastAsia"/>
        </w:rPr>
        <w:t>，但实际只</w:t>
      </w:r>
      <w:r>
        <w:t>完成20938万元，</w:t>
      </w:r>
      <w:r>
        <w:rPr>
          <w:rFonts w:hint="eastAsia"/>
        </w:rPr>
        <w:t>仅完成</w:t>
      </w:r>
      <w:r>
        <w:t>预算的62.9%。</w:t>
      </w:r>
      <w:r>
        <w:rPr>
          <w:rFonts w:hint="eastAsia"/>
        </w:rPr>
        <w:t>由于</w:t>
      </w:r>
      <w:r>
        <w:t>非税收入和土地出让收入执行跟不上时间进度，</w:t>
      </w:r>
      <w:r>
        <w:rPr>
          <w:rFonts w:hint="eastAsia"/>
        </w:rPr>
        <w:t>一定程度又影响到政府支出责任的落实</w:t>
      </w:r>
      <w:r>
        <w:t>。</w:t>
      </w:r>
    </w:p>
    <w:p>
      <w:pPr>
        <w:pStyle w:val="5"/>
      </w:pPr>
      <w:r>
        <w:rPr>
          <w:rFonts w:hint="eastAsia"/>
        </w:rPr>
        <w:t>（四）刚性</w:t>
      </w:r>
      <w:r>
        <w:t>支出需求增长过快，预算平衡难度加剧</w:t>
      </w:r>
    </w:p>
    <w:p>
      <w:pPr>
        <w:ind w:firstLine="560"/>
      </w:pPr>
      <w:r>
        <w:rPr>
          <w:rFonts w:hint="eastAsia"/>
          <w:szCs w:val="28"/>
        </w:rPr>
        <w:t>“十三五”期间，澄江市一般公共预算支出</w:t>
      </w:r>
      <w:r>
        <w:rPr>
          <w:rFonts w:hint="eastAsia"/>
        </w:rPr>
        <w:t>总体保持着较快的增长趋势，</w:t>
      </w:r>
      <w:r>
        <w:rPr>
          <w:rFonts w:hint="eastAsia"/>
          <w:szCs w:val="28"/>
        </w:rPr>
        <w:t>从2016年的142621万元增长到2020年的</w:t>
      </w:r>
      <w:r>
        <w:rPr>
          <w:szCs w:val="28"/>
        </w:rPr>
        <w:t>363235</w:t>
      </w:r>
      <w:r>
        <w:rPr>
          <w:rFonts w:hint="eastAsia"/>
          <w:szCs w:val="28"/>
        </w:rPr>
        <w:t>万元，</w:t>
      </w:r>
      <w:r>
        <w:rPr>
          <w:rFonts w:hint="eastAsia"/>
        </w:rPr>
        <w:t>2016-2020</w:t>
      </w:r>
      <w:r>
        <w:rPr>
          <w:rFonts w:hint="eastAsia"/>
          <w:szCs w:val="28"/>
        </w:rPr>
        <w:t>年间年均增长速度高达</w:t>
      </w:r>
      <w:r>
        <w:rPr>
          <w:szCs w:val="28"/>
        </w:rPr>
        <w:t>24.68%，远远高于</w:t>
      </w:r>
      <w:r>
        <w:rPr>
          <w:rFonts w:hint="eastAsia"/>
          <w:szCs w:val="28"/>
        </w:rPr>
        <w:t>同期</w:t>
      </w:r>
      <w:r>
        <w:rPr>
          <w:rFonts w:hint="eastAsia"/>
        </w:rPr>
        <w:t>一般公共预算收入年均</w:t>
      </w:r>
      <w:r>
        <w:t>12.48%的</w:t>
      </w:r>
      <w:r>
        <w:rPr>
          <w:rFonts w:hint="eastAsia"/>
        </w:rPr>
        <w:t>增幅。从主要支出类别来看，“十三五”期间，用于保证行政运转的行政性支出（包括一般公共服务、国防、公共安全支出）占地方一般公共预算总支出的比重2016-2020年为别为</w:t>
      </w:r>
      <w:r>
        <w:t>17.45%、19.52%、22.29%</w:t>
      </w:r>
      <w:r>
        <w:rPr>
          <w:rFonts w:hint="eastAsia"/>
        </w:rPr>
        <w:t>、</w:t>
      </w:r>
      <w:r>
        <w:t>18.48%</w:t>
      </w:r>
      <w:r>
        <w:rPr>
          <w:rFonts w:hint="eastAsia"/>
        </w:rPr>
        <w:t>和</w:t>
      </w:r>
      <w:r>
        <w:t>10.57%</w:t>
      </w:r>
      <w:r>
        <w:rPr>
          <w:rFonts w:hint="eastAsia"/>
        </w:rPr>
        <w:t>，总体保持稳定并略有下降。这类支出作为政府提供基本公共服务的基本保障，其中大部分支出刚性和固化特征也日益明显，很难再继续压缩和优化。而用于教育、科学技术、文化体育与传媒、社会保障和就业、医疗卫生、节能环保、城乡社区事务和住房保障等各项社会事业发展支出占一般公共预算支出的比重从2016年的</w:t>
      </w:r>
      <w:r>
        <w:t>63.33%</w:t>
      </w:r>
      <w:r>
        <w:rPr>
          <w:rFonts w:hint="eastAsia"/>
        </w:rPr>
        <w:t>增长到2020年的</w:t>
      </w:r>
      <w:r>
        <w:t>79.51%，</w:t>
      </w:r>
      <w:r>
        <w:rPr>
          <w:rFonts w:hint="eastAsia"/>
        </w:rPr>
        <w:t>实现了较快的增长。这类支出是当前澄江财政的支持重点，是保障民生改善人民生活的重要支柱，也是经济社会不断发展的客观要求，支出的刚性特征和支出效率需进一步提升的问题并存。同期中，用于农林水事务、交通运输、资源勘探电力信息等事务、商业服务业等事务和国土海洋气象等经济性支出占一般公共财政预算支出的比重从2016年的17.76%逐步下降到2020年的</w:t>
      </w:r>
      <w:r>
        <w:t>7.74%</w:t>
      </w:r>
      <w:r>
        <w:rPr>
          <w:rFonts w:hint="eastAsia"/>
        </w:rPr>
        <w:t>（详见表2-2）。这类经济性支出多采取直接投入，撬动社会资本投入的能力较弱，存在着投资效率不高、对产业结构转型和高质量发展的促进作用有限等问题。此外，由于抚仙湖保护及相关移民搬迁补充等的全面推进，澄江财政</w:t>
      </w:r>
      <w:r>
        <w:rPr>
          <w:bCs/>
        </w:rPr>
        <w:t>新增支出的需求较大，保预算平衡难度加剧</w:t>
      </w:r>
      <w:r>
        <w:rPr>
          <w:rFonts w:hint="eastAsia"/>
          <w:bCs/>
        </w:rPr>
        <w:t>。</w:t>
      </w:r>
    </w:p>
    <w:p>
      <w:pPr>
        <w:ind w:firstLine="0" w:firstLineChars="0"/>
        <w:jc w:val="center"/>
        <w:rPr>
          <w:rFonts w:hAnsi="仿宋"/>
          <w:b/>
          <w:sz w:val="21"/>
          <w:szCs w:val="21"/>
        </w:rPr>
      </w:pPr>
      <w:r>
        <w:rPr>
          <w:rFonts w:hint="eastAsia" w:hAnsi="仿宋" w:cs="华文仿宋"/>
          <w:b/>
          <w:bCs/>
          <w:sz w:val="24"/>
          <w:szCs w:val="24"/>
        </w:rPr>
        <w:t>表2-2：2016-2020年澄江一般公共预算支出情况表</w:t>
      </w:r>
      <w:r>
        <w:rPr>
          <w:rFonts w:hint="eastAsia" w:hAnsi="仿宋" w:cs="华文仿宋"/>
          <w:b/>
          <w:bCs/>
          <w:sz w:val="21"/>
          <w:szCs w:val="21"/>
        </w:rPr>
        <w:t>（单位：万元）</w:t>
      </w:r>
    </w:p>
    <w:tbl>
      <w:tblPr>
        <w:tblStyle w:val="47"/>
        <w:tblW w:w="8273" w:type="dxa"/>
        <w:tblInd w:w="25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1116"/>
        <w:gridCol w:w="1116"/>
        <w:gridCol w:w="1116"/>
        <w:gridCol w:w="1116"/>
        <w:gridCol w:w="11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93"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年  度</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2016</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2017</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2018</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2019</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93"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一般公共预算支出</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142621</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218521</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272519</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361034</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363235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93"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一般公共预算财政支出增速</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12.38%</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53.22%</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24.71%</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32.48%</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0.61%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93" w:type="dxa"/>
            <w:noWrap/>
            <w:vAlign w:val="center"/>
          </w:tcPr>
          <w:p>
            <w:pPr>
              <w:snapToGrid w:val="0"/>
              <w:ind w:firstLine="0" w:firstLineChars="0"/>
              <w:jc w:val="center"/>
              <w:rPr>
                <w:rFonts w:hAnsi="仿宋" w:cs="Times New Roman"/>
                <w:b/>
                <w:kern w:val="0"/>
                <w:sz w:val="20"/>
                <w:szCs w:val="21"/>
              </w:rPr>
            </w:pPr>
            <w:bookmarkStart w:id="14" w:name="RANGE!A7"/>
            <w:r>
              <w:rPr>
                <w:rFonts w:hint="eastAsia" w:hAnsi="仿宋" w:cs="Times New Roman"/>
                <w:b/>
                <w:kern w:val="0"/>
                <w:sz w:val="20"/>
                <w:szCs w:val="21"/>
              </w:rPr>
              <w:t>行政性支出</w:t>
            </w:r>
            <w:bookmarkEnd w:id="14"/>
            <w:r>
              <w:rPr>
                <w:rFonts w:hAnsi="仿宋" w:cs="Times New Roman"/>
                <w:b/>
                <w:kern w:val="0"/>
                <w:sz w:val="20"/>
                <w:szCs w:val="21"/>
                <w:vertAlign w:val="superscript"/>
              </w:rPr>
              <w:footnoteReference w:id="4"/>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24882</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42653</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60746</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66732</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38384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93" w:type="dxa"/>
            <w:noWrap/>
            <w:vAlign w:val="center"/>
          </w:tcPr>
          <w:p>
            <w:pPr>
              <w:snapToGrid w:val="0"/>
              <w:ind w:firstLine="0" w:firstLineChars="0"/>
              <w:jc w:val="center"/>
              <w:rPr>
                <w:rFonts w:hAnsi="仿宋" w:cs="Times New Roman"/>
                <w:b/>
                <w:kern w:val="0"/>
                <w:sz w:val="20"/>
                <w:szCs w:val="21"/>
              </w:rPr>
            </w:pPr>
            <w:bookmarkStart w:id="15" w:name="RANGE!A8"/>
            <w:r>
              <w:rPr>
                <w:rFonts w:hint="eastAsia" w:hAnsi="仿宋" w:cs="Times New Roman"/>
                <w:b/>
                <w:kern w:val="0"/>
                <w:sz w:val="20"/>
                <w:szCs w:val="21"/>
              </w:rPr>
              <w:t>社会事业发展支出</w:t>
            </w:r>
            <w:bookmarkEnd w:id="15"/>
            <w:r>
              <w:rPr>
                <w:rFonts w:hAnsi="仿宋" w:cs="Times New Roman"/>
                <w:b/>
                <w:kern w:val="0"/>
                <w:sz w:val="20"/>
                <w:szCs w:val="21"/>
                <w:vertAlign w:val="superscript"/>
              </w:rPr>
              <w:footnoteReference w:id="5"/>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90316</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145131</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175062</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261567</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288825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93" w:type="dxa"/>
            <w:noWrap/>
            <w:vAlign w:val="center"/>
          </w:tcPr>
          <w:p>
            <w:pPr>
              <w:snapToGrid w:val="0"/>
              <w:ind w:firstLine="0" w:firstLineChars="0"/>
              <w:jc w:val="center"/>
              <w:rPr>
                <w:rFonts w:hAnsi="仿宋" w:cs="Times New Roman"/>
                <w:b/>
                <w:kern w:val="0"/>
                <w:sz w:val="20"/>
                <w:szCs w:val="21"/>
              </w:rPr>
            </w:pPr>
            <w:bookmarkStart w:id="16" w:name="RANGE!A9"/>
            <w:r>
              <w:rPr>
                <w:rFonts w:hint="eastAsia" w:hAnsi="仿宋" w:cs="Times New Roman"/>
                <w:b/>
                <w:kern w:val="0"/>
                <w:sz w:val="20"/>
                <w:szCs w:val="21"/>
              </w:rPr>
              <w:t>经济性支出</w:t>
            </w:r>
            <w:bookmarkEnd w:id="16"/>
            <w:r>
              <w:rPr>
                <w:rFonts w:hAnsi="仿宋" w:cs="Times New Roman"/>
                <w:b/>
                <w:kern w:val="0"/>
                <w:sz w:val="20"/>
                <w:szCs w:val="21"/>
                <w:vertAlign w:val="superscript"/>
              </w:rPr>
              <w:footnoteReference w:id="6"/>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25336</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28548</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32044</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25704</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28109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93"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行政性支出占比</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17.45%</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19.52%</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22.29%</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18.48%</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10.57%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93"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社会事业发展支出占比</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63.33%</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66.42%</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64.24%</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72.45%</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79.51%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693"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经济性支出占比</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17.76%</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13.06%</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11.76%</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7.12%</w:t>
            </w:r>
          </w:p>
        </w:tc>
        <w:tc>
          <w:tcPr>
            <w:tcW w:w="1116" w:type="dxa"/>
            <w:noWrap/>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7.74%</w:t>
            </w:r>
          </w:p>
        </w:tc>
      </w:tr>
    </w:tbl>
    <w:p>
      <w:pPr>
        <w:ind w:firstLine="480"/>
        <w:rPr>
          <w:sz w:val="24"/>
          <w:szCs w:val="24"/>
        </w:rPr>
      </w:pPr>
      <w:r>
        <w:rPr>
          <w:rFonts w:hint="eastAsia"/>
          <w:sz w:val="24"/>
          <w:szCs w:val="24"/>
        </w:rPr>
        <w:t>数据来源：根据澄江市财政局各年度财政决算表计算。</w:t>
      </w:r>
    </w:p>
    <w:p>
      <w:pPr>
        <w:pStyle w:val="4"/>
        <w:ind w:firstLine="562"/>
      </w:pPr>
      <w:bookmarkStart w:id="17" w:name="_Toc63005412"/>
      <w:r>
        <w:rPr>
          <w:rFonts w:hint="eastAsia"/>
        </w:rPr>
        <w:t>二、政府债务规模持续扩大，防范和化解风险压力剧增</w:t>
      </w:r>
      <w:bookmarkEnd w:id="17"/>
    </w:p>
    <w:p>
      <w:pPr>
        <w:pStyle w:val="5"/>
      </w:pPr>
      <w:r>
        <w:rPr>
          <w:rFonts w:hint="eastAsia"/>
        </w:rPr>
        <w:t>（一）政府债务规模持续上升，债务负担沉重</w:t>
      </w:r>
    </w:p>
    <w:p>
      <w:pPr>
        <w:ind w:firstLine="560"/>
        <w:jc w:val="left"/>
      </w:pPr>
      <w:r>
        <w:rPr>
          <w:rFonts w:hint="eastAsia"/>
        </w:rPr>
        <w:t>“十三五”期间，澄江市年末地方政府债务余额从2016年的249181万元，增加到2020年的</w:t>
      </w:r>
      <w:r>
        <w:t>755842</w:t>
      </w:r>
      <w:r>
        <w:rPr>
          <w:rFonts w:hint="eastAsia"/>
        </w:rPr>
        <w:t>万元，虽然2016年和2017年政府债务余额有小幅下降，但是2018年和2019年的年末地方政府债务余额的增长速度达到了</w:t>
      </w:r>
      <w:r>
        <w:t>23.01%</w:t>
      </w:r>
      <w:r>
        <w:rPr>
          <w:rFonts w:hint="eastAsia"/>
        </w:rPr>
        <w:t>和</w:t>
      </w:r>
      <w:r>
        <w:t>132.72%，</w:t>
      </w:r>
      <w:r>
        <w:rPr>
          <w:rFonts w:hint="eastAsia"/>
        </w:rPr>
        <w:t>2016-2020年的年均增速为</w:t>
      </w:r>
      <w:r>
        <w:t>32%（</w:t>
      </w:r>
      <w:r>
        <w:rPr>
          <w:rFonts w:hint="eastAsia"/>
        </w:rPr>
        <w:t>详见表2-3</w:t>
      </w:r>
      <w:r>
        <w:t>）。</w:t>
      </w:r>
      <w:r>
        <w:rPr>
          <w:rFonts w:hint="eastAsia"/>
        </w:rPr>
        <w:t>澄江市“十三五”期间政府债务规模逐步扩大的原因，主要是</w:t>
      </w:r>
      <w:r>
        <w:rPr>
          <w:rFonts w:cs="Times New Roman"/>
          <w:szCs w:val="32"/>
        </w:rPr>
        <w:t>以抚仙湖、帽天山化石地为重点的生态环境保护任务重、压力大直接带来的。</w:t>
      </w:r>
      <w:r>
        <w:rPr>
          <w:rFonts w:hint="eastAsia" w:cs="Times New Roman"/>
          <w:szCs w:val="32"/>
        </w:rPr>
        <w:t>“十三五”期间</w:t>
      </w:r>
      <w:r>
        <w:rPr>
          <w:rFonts w:cs="Times New Roman"/>
          <w:szCs w:val="32"/>
        </w:rPr>
        <w:t>，因抚仙湖和帽天山</w:t>
      </w:r>
      <w:r>
        <w:rPr>
          <w:rFonts w:hint="eastAsia" w:cs="Times New Roman"/>
          <w:szCs w:val="32"/>
        </w:rPr>
        <w:t>化石地</w:t>
      </w:r>
      <w:r>
        <w:rPr>
          <w:rFonts w:cs="Times New Roman"/>
          <w:szCs w:val="32"/>
        </w:rPr>
        <w:t>保护，澄江市形成地方政府债务59.53亿元，占系统债务总量的78.76%；形成隐性债务23.38亿元，占地方隐性债务总量的43.41%</w:t>
      </w:r>
      <w:r>
        <w:rPr>
          <w:rFonts w:hint="eastAsia" w:cs="Times New Roman"/>
          <w:szCs w:val="32"/>
        </w:rPr>
        <w:t>，化解</w:t>
      </w:r>
      <w:r>
        <w:rPr>
          <w:rFonts w:cs="Times New Roman"/>
          <w:szCs w:val="32"/>
        </w:rPr>
        <w:t>存量债务的压力巨大</w:t>
      </w:r>
      <w:r>
        <w:rPr>
          <w:rFonts w:hint="eastAsia" w:cs="Times New Roman"/>
          <w:szCs w:val="32"/>
        </w:rPr>
        <w:t>，</w:t>
      </w:r>
      <w:r>
        <w:rPr>
          <w:rFonts w:cs="Times New Roman"/>
          <w:szCs w:val="32"/>
        </w:rPr>
        <w:t>债务负担较为沉重</w:t>
      </w:r>
      <w:r>
        <w:rPr>
          <w:rFonts w:hint="eastAsia"/>
        </w:rPr>
        <w:t>。</w:t>
      </w:r>
    </w:p>
    <w:p>
      <w:pPr>
        <w:ind w:firstLine="482"/>
        <w:jc w:val="center"/>
        <w:rPr>
          <w:rFonts w:hAnsi="仿宋" w:cs="仿宋"/>
          <w:b/>
          <w:sz w:val="24"/>
          <w:szCs w:val="21"/>
        </w:rPr>
      </w:pPr>
      <w:r>
        <w:rPr>
          <w:rFonts w:hint="eastAsia" w:hAnsi="仿宋" w:cs="仿宋"/>
          <w:b/>
          <w:bCs/>
          <w:sz w:val="24"/>
          <w:szCs w:val="21"/>
        </w:rPr>
        <w:t>表2-3：2016-2020年澄江政府债务情况表（单位：万元）</w:t>
      </w:r>
    </w:p>
    <w:tbl>
      <w:tblPr>
        <w:tblStyle w:val="47"/>
        <w:tblW w:w="0" w:type="auto"/>
        <w:tblInd w:w="25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087"/>
        <w:gridCol w:w="1087"/>
        <w:gridCol w:w="1087"/>
        <w:gridCol w:w="1087"/>
        <w:gridCol w:w="10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35"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年   度</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2016</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2017</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2018</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2019</w:t>
            </w:r>
          </w:p>
        </w:tc>
        <w:tc>
          <w:tcPr>
            <w:tcW w:w="1088"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35"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年末地方政府债务余额</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249181</w:t>
            </w:r>
          </w:p>
        </w:tc>
        <w:tc>
          <w:tcPr>
            <w:tcW w:w="1087" w:type="dxa"/>
            <w:vAlign w:val="center"/>
          </w:tcPr>
          <w:p>
            <w:pPr>
              <w:snapToGrid w:val="0"/>
              <w:spacing w:line="240" w:lineRule="auto"/>
              <w:ind w:firstLine="0" w:firstLineChars="0"/>
              <w:jc w:val="center"/>
              <w:rPr>
                <w:rFonts w:hAnsi="仿宋" w:cs="仿宋"/>
                <w:b/>
                <w:kern w:val="0"/>
                <w:sz w:val="21"/>
                <w:szCs w:val="21"/>
              </w:rPr>
            </w:pPr>
            <w:r>
              <w:rPr>
                <w:rFonts w:hAnsi="仿宋" w:cs="仿宋"/>
                <w:b/>
                <w:kern w:val="0"/>
                <w:sz w:val="21"/>
                <w:szCs w:val="21"/>
              </w:rPr>
              <w:t>247394</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304329</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708239</w:t>
            </w:r>
          </w:p>
        </w:tc>
        <w:tc>
          <w:tcPr>
            <w:tcW w:w="1088"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755842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35"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年末地方政府债务余额增速</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-1.71%</w:t>
            </w:r>
          </w:p>
        </w:tc>
        <w:tc>
          <w:tcPr>
            <w:tcW w:w="1087" w:type="dxa"/>
            <w:vAlign w:val="center"/>
          </w:tcPr>
          <w:p>
            <w:pPr>
              <w:snapToGrid w:val="0"/>
              <w:spacing w:line="240" w:lineRule="auto"/>
              <w:ind w:firstLine="0" w:firstLineChars="0"/>
              <w:jc w:val="center"/>
              <w:rPr>
                <w:rFonts w:hAnsi="仿宋" w:cs="仿宋"/>
                <w:b/>
                <w:kern w:val="0"/>
                <w:sz w:val="21"/>
                <w:szCs w:val="21"/>
              </w:rPr>
            </w:pPr>
            <w:r>
              <w:rPr>
                <w:rFonts w:hAnsi="仿宋" w:cs="仿宋"/>
                <w:b/>
                <w:kern w:val="0"/>
                <w:sz w:val="21"/>
                <w:szCs w:val="21"/>
              </w:rPr>
              <w:t>-0.72%</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23.01%</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132.72%</w:t>
            </w:r>
          </w:p>
        </w:tc>
        <w:tc>
          <w:tcPr>
            <w:tcW w:w="1088"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6.72%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35"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一般债务</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171181</w:t>
            </w:r>
          </w:p>
        </w:tc>
        <w:tc>
          <w:tcPr>
            <w:tcW w:w="1087" w:type="dxa"/>
            <w:vAlign w:val="center"/>
          </w:tcPr>
          <w:p>
            <w:pPr>
              <w:snapToGrid w:val="0"/>
              <w:spacing w:line="240" w:lineRule="auto"/>
              <w:ind w:firstLine="0" w:firstLineChars="0"/>
              <w:jc w:val="center"/>
              <w:rPr>
                <w:rFonts w:hAnsi="仿宋" w:cs="仿宋"/>
                <w:b/>
                <w:kern w:val="0"/>
                <w:sz w:val="21"/>
                <w:szCs w:val="21"/>
              </w:rPr>
            </w:pPr>
            <w:r>
              <w:rPr>
                <w:rFonts w:hAnsi="仿宋" w:cs="仿宋"/>
                <w:b/>
                <w:kern w:val="0"/>
                <w:sz w:val="21"/>
                <w:szCs w:val="21"/>
              </w:rPr>
              <w:t>169394</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165329</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204239</w:t>
            </w:r>
          </w:p>
        </w:tc>
        <w:tc>
          <w:tcPr>
            <w:tcW w:w="1088"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180342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835"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专项债务</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78000</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78000</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139000</w:t>
            </w:r>
          </w:p>
        </w:tc>
        <w:tc>
          <w:tcPr>
            <w:tcW w:w="1087"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504000</w:t>
            </w:r>
          </w:p>
        </w:tc>
        <w:tc>
          <w:tcPr>
            <w:tcW w:w="1088" w:type="dxa"/>
            <w:vAlign w:val="center"/>
          </w:tcPr>
          <w:p>
            <w:pPr>
              <w:snapToGrid w:val="0"/>
              <w:spacing w:line="240" w:lineRule="auto"/>
              <w:ind w:firstLine="0" w:firstLineChars="0"/>
              <w:jc w:val="center"/>
              <w:rPr>
                <w:rFonts w:hAnsi="仿宋" w:cs="仿宋"/>
                <w:b/>
                <w:kern w:val="0"/>
                <w:sz w:val="21"/>
                <w:szCs w:val="21"/>
              </w:rPr>
            </w:pPr>
            <w:r>
              <w:rPr>
                <w:rFonts w:hint="eastAsia" w:hAnsi="仿宋" w:cs="仿宋"/>
                <w:b/>
                <w:kern w:val="0"/>
                <w:sz w:val="21"/>
                <w:szCs w:val="21"/>
              </w:rPr>
              <w:t>575500</w:t>
            </w:r>
          </w:p>
        </w:tc>
      </w:tr>
    </w:tbl>
    <w:p>
      <w:pPr>
        <w:pStyle w:val="5"/>
      </w:pPr>
      <w:r>
        <w:rPr>
          <w:rFonts w:hint="eastAsia"/>
        </w:rPr>
        <w:t>（二）自身财力不足，债务偿债压力较大</w:t>
      </w:r>
    </w:p>
    <w:p>
      <w:pPr>
        <w:ind w:firstLine="560"/>
        <w:rPr>
          <w:b/>
          <w:szCs w:val="28"/>
        </w:rPr>
      </w:pPr>
      <w:r>
        <w:rPr>
          <w:rFonts w:hint="eastAsia"/>
        </w:rPr>
        <w:t>“十三五”</w:t>
      </w:r>
      <w:r>
        <w:t>期间</w:t>
      </w:r>
      <w:r>
        <w:rPr>
          <w:rFonts w:hint="eastAsia"/>
        </w:rPr>
        <w:t>，澄江</w:t>
      </w:r>
      <w:r>
        <w:t>不断加大生态环境保护力度，因抚仙湖保护所需刚性支出逐年增加，由于保护项目多数属于公益性质，缺乏直接经济收益，入不敷出情况十分突出</w:t>
      </w:r>
      <w:r>
        <w:rPr>
          <w:rFonts w:hint="eastAsia"/>
        </w:rPr>
        <w:t>；</w:t>
      </w:r>
      <w:r>
        <w:t>地方债务不断加大，且化解困难，形成较大包袱，地方财政</w:t>
      </w:r>
      <w:r>
        <w:rPr>
          <w:rFonts w:hint="eastAsia"/>
        </w:rPr>
        <w:t>“</w:t>
      </w:r>
      <w:r>
        <w:t>小马拉大车</w:t>
      </w:r>
      <w:r>
        <w:rPr>
          <w:rFonts w:hint="eastAsia"/>
        </w:rPr>
        <w:t>”</w:t>
      </w:r>
      <w:r>
        <w:t>的问题突出。</w:t>
      </w:r>
      <w:r>
        <w:rPr>
          <w:rFonts w:hint="eastAsia"/>
          <w:bCs/>
        </w:rPr>
        <w:t>“十三五”期间，</w:t>
      </w:r>
      <w:r>
        <w:rPr>
          <w:rFonts w:hint="eastAsia"/>
        </w:rPr>
        <w:t>澄江市债务付息支出从2016年的1072万元增长到2020年的7855万元，2016-2020年债务付息支出的年均增速达到了</w:t>
      </w:r>
      <w:r>
        <w:t>157.29%，</w:t>
      </w:r>
      <w:r>
        <w:rPr>
          <w:rFonts w:hint="eastAsia"/>
        </w:rPr>
        <w:t>债务付息支出占一般公共预算支出的比重也从2016年的0.75%增长至2020年的2.16%（详见表2-4），可以看出，</w:t>
      </w:r>
      <w:r>
        <w:rPr>
          <w:rFonts w:hint="eastAsia"/>
          <w:szCs w:val="28"/>
        </w:rPr>
        <w:t>澄江市债务付息支出持续增长，偿债压力较大。特别是</w:t>
      </w:r>
      <w:r>
        <w:t>从2019年开始，抚仙湖保护一般债券的还本付息资金由原省级承担调整为县级自行承担，县级偿债压力剧增。按照现在保护治理现状，已远远不能满足投入的需要，债务风险和生态风险持续加剧。</w:t>
      </w:r>
    </w:p>
    <w:p>
      <w:pPr>
        <w:ind w:firstLine="482"/>
        <w:jc w:val="center"/>
        <w:rPr>
          <w:rFonts w:hAnsi="仿宋"/>
          <w:b/>
          <w:sz w:val="24"/>
          <w:szCs w:val="24"/>
        </w:rPr>
      </w:pPr>
      <w:r>
        <w:rPr>
          <w:rFonts w:hint="eastAsia" w:hAnsi="仿宋" w:cs="华文仿宋"/>
          <w:b/>
          <w:bCs/>
          <w:sz w:val="24"/>
          <w:szCs w:val="24"/>
        </w:rPr>
        <w:t>表2-4：2016-2020年澄江债务付息支出表</w:t>
      </w:r>
      <w:r>
        <w:rPr>
          <w:rFonts w:hint="eastAsia" w:hAnsi="仿宋" w:cs="华文仿宋"/>
          <w:b/>
          <w:bCs/>
          <w:sz w:val="21"/>
          <w:szCs w:val="21"/>
        </w:rPr>
        <w:t>（单位：万元）</w:t>
      </w:r>
    </w:p>
    <w:tbl>
      <w:tblPr>
        <w:tblStyle w:val="47"/>
        <w:tblW w:w="7936" w:type="dxa"/>
        <w:tblInd w:w="25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1135"/>
        <w:gridCol w:w="1135"/>
        <w:gridCol w:w="1135"/>
        <w:gridCol w:w="1135"/>
        <w:gridCol w:w="11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264"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年  度</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2016</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2017</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2018</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2019</w:t>
            </w:r>
          </w:p>
        </w:tc>
        <w:tc>
          <w:tcPr>
            <w:tcW w:w="1132" w:type="dxa"/>
            <w:vAlign w:val="center"/>
          </w:tcPr>
          <w:p>
            <w:pPr>
              <w:snapToGrid w:val="0"/>
              <w:ind w:firstLine="0" w:firstLineChars="0"/>
              <w:jc w:val="center"/>
              <w:rPr>
                <w:rFonts w:hAnsi="仿宋" w:cs="宋体"/>
                <w:b/>
                <w:color w:val="000000"/>
                <w:kern w:val="0"/>
                <w:sz w:val="20"/>
                <w:szCs w:val="21"/>
              </w:rPr>
            </w:pPr>
            <w:r>
              <w:rPr>
                <w:rFonts w:hint="eastAsia" w:hAnsi="仿宋" w:cs="Times New Roman"/>
                <w:b/>
                <w:color w:val="000000"/>
                <w:kern w:val="0"/>
                <w:sz w:val="20"/>
                <w:szCs w:val="21"/>
              </w:rPr>
              <w:t>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264"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一般公共预算支出</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142621</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218521</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272519</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361034</w:t>
            </w:r>
          </w:p>
        </w:tc>
        <w:tc>
          <w:tcPr>
            <w:tcW w:w="1132" w:type="dxa"/>
            <w:vAlign w:val="center"/>
          </w:tcPr>
          <w:p>
            <w:pPr>
              <w:snapToGrid w:val="0"/>
              <w:ind w:firstLine="0" w:firstLineChars="0"/>
              <w:jc w:val="center"/>
              <w:rPr>
                <w:rFonts w:hAnsi="仿宋" w:cs="宋体"/>
                <w:b/>
                <w:kern w:val="0"/>
                <w:sz w:val="20"/>
                <w:szCs w:val="21"/>
              </w:rPr>
            </w:pPr>
            <w:r>
              <w:rPr>
                <w:rFonts w:hint="eastAsia" w:hAnsi="仿宋" w:cs="Times New Roman"/>
                <w:b/>
                <w:kern w:val="0"/>
                <w:sz w:val="20"/>
                <w:szCs w:val="21"/>
              </w:rPr>
              <w:t>363235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264"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债务付息支出</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1072</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1814</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4550</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7055</w:t>
            </w:r>
          </w:p>
        </w:tc>
        <w:tc>
          <w:tcPr>
            <w:tcW w:w="1132" w:type="dxa"/>
            <w:vAlign w:val="center"/>
          </w:tcPr>
          <w:p>
            <w:pPr>
              <w:snapToGrid w:val="0"/>
              <w:ind w:firstLine="0" w:firstLineChars="0"/>
              <w:jc w:val="center"/>
              <w:rPr>
                <w:rFonts w:hAnsi="仿宋" w:cs="宋体"/>
                <w:b/>
                <w:kern w:val="0"/>
                <w:sz w:val="20"/>
                <w:szCs w:val="21"/>
              </w:rPr>
            </w:pPr>
            <w:r>
              <w:rPr>
                <w:rFonts w:hint="eastAsia" w:hAnsi="仿宋" w:cs="Times New Roman"/>
                <w:b/>
                <w:kern w:val="0"/>
                <w:sz w:val="20"/>
                <w:szCs w:val="21"/>
              </w:rPr>
              <w:t>7855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2264"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债务付息支出增速</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500.00%</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69.22%</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150.83%</w:t>
            </w:r>
          </w:p>
        </w:tc>
        <w:tc>
          <w:tcPr>
            <w:tcW w:w="1135" w:type="dxa"/>
            <w:vAlign w:val="center"/>
          </w:tcPr>
          <w:p>
            <w:pPr>
              <w:snapToGrid w:val="0"/>
              <w:ind w:firstLine="0" w:firstLineChars="0"/>
              <w:jc w:val="center"/>
              <w:rPr>
                <w:rFonts w:hAnsi="仿宋" w:cs="Times New Roman"/>
                <w:b/>
                <w:kern w:val="0"/>
                <w:sz w:val="20"/>
                <w:szCs w:val="21"/>
              </w:rPr>
            </w:pPr>
            <w:r>
              <w:rPr>
                <w:rFonts w:hint="eastAsia" w:hAnsi="仿宋" w:cs="Times New Roman"/>
                <w:b/>
                <w:kern w:val="0"/>
                <w:sz w:val="20"/>
                <w:szCs w:val="21"/>
              </w:rPr>
              <w:t>55.05%</w:t>
            </w:r>
          </w:p>
        </w:tc>
        <w:tc>
          <w:tcPr>
            <w:tcW w:w="1132" w:type="dxa"/>
            <w:vAlign w:val="center"/>
          </w:tcPr>
          <w:p>
            <w:pPr>
              <w:snapToGrid w:val="0"/>
              <w:ind w:firstLine="0" w:firstLineChars="0"/>
              <w:jc w:val="center"/>
              <w:rPr>
                <w:rFonts w:hAnsi="仿宋" w:cs="宋体"/>
                <w:b/>
                <w:kern w:val="0"/>
                <w:sz w:val="20"/>
                <w:szCs w:val="21"/>
              </w:rPr>
            </w:pPr>
            <w:r>
              <w:rPr>
                <w:rFonts w:hint="eastAsia" w:hAnsi="仿宋" w:cs="Times New Roman"/>
                <w:b/>
                <w:kern w:val="0"/>
                <w:sz w:val="20"/>
                <w:szCs w:val="21"/>
              </w:rPr>
              <w:t>11.34%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2264" w:type="dxa"/>
            <w:vAlign w:val="center"/>
          </w:tcPr>
          <w:p>
            <w:pPr>
              <w:snapToGrid w:val="0"/>
              <w:spacing w:line="240" w:lineRule="auto"/>
              <w:ind w:firstLine="0" w:firstLineChars="0"/>
              <w:jc w:val="center"/>
              <w:rPr>
                <w:rFonts w:hAnsi="仿宋" w:cs="Times New Roman"/>
                <w:b/>
                <w:kern w:val="0"/>
                <w:sz w:val="20"/>
                <w:szCs w:val="21"/>
              </w:rPr>
            </w:pPr>
            <w:r>
              <w:rPr>
                <w:rFonts w:hint="eastAsia" w:hAnsi="仿宋" w:cs="Times New Roman"/>
                <w:b/>
                <w:kern w:val="0"/>
                <w:sz w:val="20"/>
                <w:szCs w:val="21"/>
              </w:rPr>
              <w:t>债务付息支出占一般公共预算支出的比重</w:t>
            </w:r>
          </w:p>
        </w:tc>
        <w:tc>
          <w:tcPr>
            <w:tcW w:w="1135" w:type="dxa"/>
            <w:vAlign w:val="center"/>
          </w:tcPr>
          <w:p>
            <w:pPr>
              <w:snapToGrid w:val="0"/>
              <w:spacing w:line="240" w:lineRule="auto"/>
              <w:ind w:firstLine="0" w:firstLineChars="0"/>
              <w:jc w:val="center"/>
              <w:rPr>
                <w:rFonts w:hAnsi="仿宋" w:cs="Times New Roman"/>
                <w:b/>
                <w:kern w:val="0"/>
                <w:sz w:val="20"/>
                <w:szCs w:val="21"/>
              </w:rPr>
            </w:pPr>
            <w:r>
              <w:rPr>
                <w:rFonts w:hint="eastAsia" w:hAnsi="仿宋" w:cs="Times New Roman"/>
                <w:b/>
                <w:kern w:val="0"/>
                <w:sz w:val="20"/>
                <w:szCs w:val="21"/>
              </w:rPr>
              <w:t>0.75%</w:t>
            </w:r>
          </w:p>
        </w:tc>
        <w:tc>
          <w:tcPr>
            <w:tcW w:w="1135" w:type="dxa"/>
            <w:vAlign w:val="center"/>
          </w:tcPr>
          <w:p>
            <w:pPr>
              <w:snapToGrid w:val="0"/>
              <w:spacing w:line="240" w:lineRule="auto"/>
              <w:ind w:firstLine="0" w:firstLineChars="0"/>
              <w:jc w:val="center"/>
              <w:rPr>
                <w:rFonts w:hAnsi="仿宋" w:cs="Times New Roman"/>
                <w:b/>
                <w:kern w:val="0"/>
                <w:sz w:val="20"/>
                <w:szCs w:val="21"/>
              </w:rPr>
            </w:pPr>
            <w:r>
              <w:rPr>
                <w:rFonts w:hint="eastAsia" w:hAnsi="仿宋" w:cs="Times New Roman"/>
                <w:b/>
                <w:kern w:val="0"/>
                <w:sz w:val="20"/>
                <w:szCs w:val="21"/>
              </w:rPr>
              <w:t>0.83%</w:t>
            </w:r>
          </w:p>
        </w:tc>
        <w:tc>
          <w:tcPr>
            <w:tcW w:w="1135" w:type="dxa"/>
            <w:vAlign w:val="center"/>
          </w:tcPr>
          <w:p>
            <w:pPr>
              <w:snapToGrid w:val="0"/>
              <w:spacing w:line="240" w:lineRule="auto"/>
              <w:ind w:firstLine="0" w:firstLineChars="0"/>
              <w:jc w:val="center"/>
              <w:rPr>
                <w:rFonts w:hAnsi="仿宋" w:cs="Times New Roman"/>
                <w:b/>
                <w:kern w:val="0"/>
                <w:sz w:val="20"/>
                <w:szCs w:val="21"/>
              </w:rPr>
            </w:pPr>
            <w:r>
              <w:rPr>
                <w:rFonts w:hint="eastAsia" w:hAnsi="仿宋" w:cs="Times New Roman"/>
                <w:b/>
                <w:kern w:val="0"/>
                <w:sz w:val="20"/>
                <w:szCs w:val="21"/>
              </w:rPr>
              <w:t>1.67%</w:t>
            </w:r>
          </w:p>
        </w:tc>
        <w:tc>
          <w:tcPr>
            <w:tcW w:w="1135" w:type="dxa"/>
            <w:vAlign w:val="center"/>
          </w:tcPr>
          <w:p>
            <w:pPr>
              <w:snapToGrid w:val="0"/>
              <w:spacing w:line="240" w:lineRule="auto"/>
              <w:ind w:firstLine="0" w:firstLineChars="0"/>
              <w:jc w:val="center"/>
              <w:rPr>
                <w:rFonts w:hAnsi="仿宋" w:cs="Times New Roman"/>
                <w:b/>
                <w:kern w:val="0"/>
                <w:sz w:val="20"/>
                <w:szCs w:val="21"/>
              </w:rPr>
            </w:pPr>
            <w:r>
              <w:rPr>
                <w:rFonts w:hint="eastAsia" w:hAnsi="仿宋" w:cs="Times New Roman"/>
                <w:b/>
                <w:kern w:val="0"/>
                <w:sz w:val="20"/>
                <w:szCs w:val="21"/>
              </w:rPr>
              <w:t>1.95%</w:t>
            </w:r>
          </w:p>
        </w:tc>
        <w:tc>
          <w:tcPr>
            <w:tcW w:w="1132" w:type="dxa"/>
            <w:vAlign w:val="center"/>
          </w:tcPr>
          <w:p>
            <w:pPr>
              <w:snapToGrid w:val="0"/>
              <w:spacing w:line="240" w:lineRule="auto"/>
              <w:ind w:firstLine="0" w:firstLineChars="0"/>
              <w:jc w:val="center"/>
              <w:rPr>
                <w:rFonts w:hAnsi="仿宋" w:cs="宋体"/>
                <w:b/>
                <w:kern w:val="0"/>
                <w:sz w:val="20"/>
                <w:szCs w:val="21"/>
              </w:rPr>
            </w:pPr>
            <w:r>
              <w:rPr>
                <w:rFonts w:hint="eastAsia" w:hAnsi="仿宋" w:cs="Times New Roman"/>
                <w:b/>
                <w:kern w:val="0"/>
                <w:sz w:val="20"/>
                <w:szCs w:val="21"/>
              </w:rPr>
              <w:t>2.16%</w:t>
            </w:r>
          </w:p>
        </w:tc>
      </w:tr>
    </w:tbl>
    <w:p>
      <w:pPr>
        <w:pStyle w:val="4"/>
        <w:ind w:firstLine="562"/>
      </w:pPr>
      <w:bookmarkStart w:id="18" w:name="_Toc63005413"/>
      <w:r>
        <w:rPr>
          <w:rFonts w:hint="eastAsia"/>
        </w:rPr>
        <w:t>三、财政体制调整缓慢，财政管理有待完善</w:t>
      </w:r>
      <w:bookmarkEnd w:id="18"/>
    </w:p>
    <w:p>
      <w:pPr>
        <w:pStyle w:val="5"/>
      </w:pPr>
      <w:r>
        <w:rPr>
          <w:rFonts w:hint="eastAsia"/>
        </w:rPr>
        <w:t>（一）地方政府支出责任过大，财权事权不匹配</w:t>
      </w:r>
    </w:p>
    <w:p>
      <w:pPr>
        <w:ind w:firstLine="560"/>
      </w:pPr>
      <w:r>
        <w:rPr>
          <w:rFonts w:hint="eastAsia"/>
        </w:rPr>
        <w:t>一是澄江市财政支出承担了各行政事业单位运转支出、基本公共服务领域八大类事项的支出中需澄江市配套支出60%的部分，还承担了本辖区内公益性事业和农业、农村经济发展以及生态保护建设所需的等各项支出，支出责任过大。二是根据支出政策和需求情况统计，2020年澄江市各部门支出需求118.17亿元，依据“公共财政、厉行节约、量力而行、统筹兼顾”的预算编制原则，强化“保工资、保运转、保基本民生”，安排县级财政支出预算51.04亿元，各部门支出需求中仍有67.13亿元未纳入预算，需要通过部门争取上级资金和以后年度视财力情况安排。三是澄江一边面临30%的体制上解，</w:t>
      </w:r>
      <w:r>
        <w:rPr>
          <w:rFonts w:hint="eastAsia" w:cs="Times New Roman"/>
          <w:szCs w:val="32"/>
        </w:rPr>
        <w:t>另一边却是抚仙湖、帽天山等保护建设的专项资金存在较大缺口，地方政府需自掏腰包弥补缺口问题。由此，财政体制不合理，财权和事权严重不匹配是澄江财政亟待解决的问题。</w:t>
      </w:r>
    </w:p>
    <w:p>
      <w:pPr>
        <w:pStyle w:val="5"/>
      </w:pPr>
      <w:r>
        <w:rPr>
          <w:rFonts w:hint="eastAsia"/>
        </w:rPr>
        <w:t>（二）财政绩效管理有待完善和提高</w:t>
      </w:r>
    </w:p>
    <w:p>
      <w:pPr>
        <w:ind w:firstLine="560"/>
        <w:rPr>
          <w:b/>
        </w:rPr>
      </w:pPr>
      <w:r>
        <w:rPr>
          <w:rFonts w:hint="eastAsia"/>
        </w:rPr>
        <w:t>“十三五”期间，澄江市财政管理有了很大的提高，在规范政府购买行为、推行预算公开等方面有了明显的改善。但是，澄江现行的财政管理制度还存在不少有待完善的地方：全面实施预算绩效管理不到位，资金使用效益低；各单位对专项资金“重分配、轻管理、轻绩效”的现象依然存在；绩效意识薄弱，绩效评价体系不健全，绩效管理水平有待提高的问题还较为突出。特别是全面预算绩效管理是一项技术性较强的工作，与预算编制、预算执行、预算监督环节相比，其在理论研究、制度体系、管理队伍建设等方面均存在明显的不足。</w:t>
      </w:r>
    </w:p>
    <w:p>
      <w:pPr>
        <w:pStyle w:val="3"/>
        <w:ind w:firstLine="602"/>
      </w:pPr>
      <w:bookmarkStart w:id="19" w:name="_Toc63005414"/>
      <w:r>
        <w:rPr>
          <w:rFonts w:hint="eastAsia"/>
        </w:rPr>
        <w:t>第三章  “十四五”财政发展面临的形势</w:t>
      </w:r>
      <w:bookmarkEnd w:id="4"/>
      <w:bookmarkEnd w:id="19"/>
    </w:p>
    <w:p>
      <w:pPr>
        <w:ind w:firstLine="560"/>
      </w:pPr>
      <w:r>
        <w:rPr>
          <w:rFonts w:hint="eastAsia"/>
        </w:rPr>
        <w:t xml:space="preserve"> “十四五”时期是衔接“两个一百年”奋斗目标、开启我国全面建设社会主义现代化国家新征程的重要时期，是我国经济社会发展的重要历史性窗口期。在两个</w:t>
      </w:r>
      <w:r>
        <w:rPr>
          <w:rFonts w:hint="eastAsia"/>
          <w:lang w:eastAsia="zh-CN"/>
        </w:rPr>
        <w:t>一</w:t>
      </w:r>
      <w:bookmarkStart w:id="122" w:name="_GoBack"/>
      <w:bookmarkEnd w:id="122"/>
      <w:r>
        <w:rPr>
          <w:rFonts w:hint="eastAsia"/>
        </w:rPr>
        <w:t>百年历史交汇期，既要巩固、提升和奠定中国共产党成立一百周年全面建成小康社会的伟大成果，更要为实现第二个一百年第一阶段（2021-2035年）奋斗目标即基本实现社会主义现代化开好局、起好步打下坚实基础。</w:t>
      </w:r>
    </w:p>
    <w:p>
      <w:pPr>
        <w:pStyle w:val="4"/>
        <w:ind w:firstLine="562"/>
      </w:pPr>
      <w:bookmarkStart w:id="20" w:name="_Toc63005415"/>
      <w:r>
        <w:rPr>
          <w:rFonts w:hint="eastAsia"/>
        </w:rPr>
        <w:t>一、“十四五”财政发展的机遇</w:t>
      </w:r>
      <w:bookmarkEnd w:id="20"/>
    </w:p>
    <w:p>
      <w:pPr>
        <w:pStyle w:val="5"/>
      </w:pPr>
      <w:r>
        <w:rPr>
          <w:rFonts w:hint="eastAsia"/>
        </w:rPr>
        <w:t>（一）把握国内外经济发展新形势，主动融入国内国际双循环发展新格局</w:t>
      </w:r>
    </w:p>
    <w:p>
      <w:pPr>
        <w:ind w:firstLine="560"/>
      </w:pPr>
      <w:r>
        <w:rPr>
          <w:rFonts w:hint="eastAsia"/>
        </w:rPr>
        <w:t>习近平总书记深刻指出，世界发展环境正面临“百年未有之大变局”：国际形势多变急变、黑天鹅灰犀牛事件多出迭出，贸易保护主义单边主义涌动躁动，全球投资贸易格局、全球科技创新格局、全球金融货币格局、全球多元治理体系等都面临前所未有的大变革。同时，我国正处在转变发展方式、优化经济结构、转换增长动力的攻关期，结构性、体制性、周期性问题相互交织，增长速度换挡期、结构调整阵痛期、前期刺激政策消化期，“三期叠加”影响持续深化。澄江作为滇中城市经济圈“一区两带四城多点”发展布局的重要一点，应该紧紧抓住国际国内的战略机遇，抓住云南作为南亚东南亚辐射中心的战略定位和建设契机，主动融入国际化发展趋势和潮流。</w:t>
      </w:r>
    </w:p>
    <w:p>
      <w:pPr>
        <w:ind w:firstLine="560"/>
        <w:rPr>
          <w:rFonts w:asciiTheme="minorEastAsia" w:hAnsiTheme="minorEastAsia" w:cstheme="minorEastAsia"/>
          <w:color w:val="FF0000"/>
          <w:szCs w:val="28"/>
        </w:rPr>
      </w:pPr>
      <w:r>
        <w:rPr>
          <w:rFonts w:hint="eastAsia"/>
        </w:rPr>
        <w:t>与此同时，澄江还要主动服务和融入国内国际双循环，牢牢把握住深化供给侧结构性改革这条主线，在紧紧扩大内需的基础上主动增加供给侧结构性方面的改革力度，踊跃抓住新一轮国家扩大内需的重大战略机遇，积极融入以国内大循环为主体、</w:t>
      </w:r>
      <w:r>
        <w:rPr>
          <w:rFonts w:hint="eastAsia"/>
          <w:lang w:eastAsia="zh-CN"/>
        </w:rPr>
        <w:t>国内国际双循环</w:t>
      </w:r>
      <w:r>
        <w:rPr>
          <w:rFonts w:hint="eastAsia"/>
        </w:rPr>
        <w:t>相互促进的新发展格局，形成需求拉动供给、供给又进一步创造更高水平更有效的需求的动态平衡，畅通国内大循环，</w:t>
      </w:r>
      <w:r>
        <w:rPr>
          <w:rFonts w:ascii="Arial" w:hAnsi="Arial" w:cs="Arial"/>
          <w:color w:val="333333"/>
          <w:shd w:val="clear" w:color="auto" w:fill="FFFFFF"/>
        </w:rPr>
        <w:t>坚持开放合作的双循环，通过强化开放合作，更加紧密地同世界经济联系互动，提升国内大循环的效率和水平。</w:t>
      </w:r>
    </w:p>
    <w:p>
      <w:pPr>
        <w:pStyle w:val="5"/>
      </w:pPr>
      <w:r>
        <w:rPr>
          <w:rFonts w:hint="eastAsia"/>
        </w:rPr>
        <w:t>（二）抓住云南高质量跨越式发展契机，持续增强发展新动能</w:t>
      </w:r>
    </w:p>
    <w:p>
      <w:pPr>
        <w:ind w:firstLine="560"/>
      </w:pPr>
      <w:r>
        <w:rPr>
          <w:rFonts w:hint="eastAsia"/>
        </w:rPr>
        <w:t>云南省是我国连接南亚东南亚的重要大通道，国家“一带一路”、长江经济带、泛珠三角区域合作、大湄公河次区域合作、孟中印缅经济走廊、中国-中南半岛经济走廊等重大战略在云南交汇和聚集，将为澄江市主动服务和融入国家发展战略、凸显区位优势、拓展面向南亚东南亚辐射中心建设内涵、提升在国家开放大局中的重要战略地位带来重大机遇。就云南省内发展来讲，滇中城市群发展规划正式实施，昆明和玉溪签订同城化发展战略合作框架协议，标志着滇中城市经济圈一体化、昆玉一体化进程将全面提速，区域间将形成合理的基础设施、产业发展、公共服务、人才流动、环境保护、户籍管理等功能布局，这对澄江加快“三个国际城市”建设、推动城乡一体化也提供了重大的机遇。</w:t>
      </w:r>
    </w:p>
    <w:p>
      <w:pPr>
        <w:ind w:firstLine="560"/>
      </w:pPr>
      <w:r>
        <w:rPr>
          <w:rFonts w:hint="eastAsia"/>
        </w:rPr>
        <w:t>紧紧抓住云南高质量跨越式发展的契机，按照“保护第一、治理为要、科学规划、绿色发展”的思路和“生态立市、开放兴市、旅游强市”的战略，加快“三个国际城市”建设，推动城乡一体化进程，依托澄江地理、资源优势，形成澄江发展方式和经济高质量发展新动能，是澄江财政高质量发展的经济社会基础和财源保障。</w:t>
      </w:r>
    </w:p>
    <w:p>
      <w:pPr>
        <w:pStyle w:val="5"/>
      </w:pPr>
      <w:r>
        <w:rPr>
          <w:rFonts w:hint="eastAsia"/>
        </w:rPr>
        <w:t>（三）协调生态保护与开发利用关系，全力构建发展新业态</w:t>
      </w:r>
    </w:p>
    <w:p>
      <w:pPr>
        <w:ind w:firstLine="560"/>
      </w:pPr>
      <w:bookmarkStart w:id="21" w:name="_Toc517186572"/>
      <w:bookmarkStart w:id="22" w:name="_Toc498984790"/>
      <w:r>
        <w:rPr>
          <w:rFonts w:hint="eastAsia" w:asciiTheme="minorEastAsia" w:hAnsiTheme="minorEastAsia" w:cstheme="minorEastAsia"/>
          <w:szCs w:val="28"/>
        </w:rPr>
        <w:t>澄江拥有</w:t>
      </w:r>
      <w:r>
        <w:rPr>
          <w:rFonts w:hint="eastAsia"/>
        </w:rPr>
        <w:t>抚仙湖、帽天山等特有的生态环境资源。从生态保护方面来说，澄江在湖泊保护治理方面所面临的压力不小；但从开发利用的角度来看，若澄江能适时利用好这一优势资源，便能实现生态效益到经济效益的转变，能一定程度上增加澄江地区的财政收入。因此，有效协调生态保护与开发利用的矛盾，是澄江构建现代特色优势产业以及新业态的发展的重要契机。</w:t>
      </w:r>
      <w:r>
        <w:rPr>
          <w:rFonts w:hint="eastAsia"/>
          <w:snapToGrid w:val="0"/>
        </w:rPr>
        <w:t>抚仙湖的优良生态环境效益，是澄江实现跨越式发展最具本土特色的生态环境，也是澄江产业转型升级发展最值得强调的生态条件。澄江应抓住得天独厚的优势条件，高效协调好开发与保护二者之间的关系，更加全面有力的打造现代特色产业新型业态，</w:t>
      </w:r>
      <w:r>
        <w:rPr>
          <w:rFonts w:hint="eastAsia"/>
        </w:rPr>
        <w:t>重点发展特色文化旅游、现代高效农业和高品质现代服务业等现代化产业体系。</w:t>
      </w:r>
    </w:p>
    <w:p>
      <w:pPr>
        <w:ind w:firstLine="560"/>
      </w:pPr>
      <w:r>
        <w:rPr>
          <w:rFonts w:hint="eastAsia"/>
        </w:rPr>
        <w:t>“十四五”期间，云南省将着力打造世界一流绿色能源、绿色食品、健康生活目的地“三张牌”，玉溪市将打造云南社会主义现代化建设先行区、全国绿色创新发展示范区、国际高品质康养旅居新高地“两区一高地”，其中健康生活目的地牌和国际高品质康养旅居新高地的打造，与澄江市“国际健康养生城市”的目标定位完全契合，这是澄江充分发挥区位和资源优势，加快培育高端康养产业，加速世界级旅游景区和度假区建设的重大机遇。</w:t>
      </w:r>
    </w:p>
    <w:p>
      <w:pPr>
        <w:pStyle w:val="4"/>
        <w:ind w:firstLine="562"/>
        <w:rPr>
          <w:rFonts w:cs="宋体"/>
        </w:rPr>
      </w:pPr>
      <w:bookmarkStart w:id="23" w:name="_Toc63005416"/>
      <w:r>
        <w:rPr>
          <w:rFonts w:hint="eastAsia"/>
        </w:rPr>
        <w:t>二、“十四五”财政面临的挑战</w:t>
      </w:r>
      <w:bookmarkEnd w:id="21"/>
      <w:bookmarkEnd w:id="22"/>
      <w:bookmarkEnd w:id="23"/>
    </w:p>
    <w:p>
      <w:pPr>
        <w:pStyle w:val="5"/>
      </w:pPr>
      <w:r>
        <w:rPr>
          <w:rFonts w:hint="eastAsia"/>
        </w:rPr>
        <w:t>（一）国内外经济形势和宏观经济政策复杂多变带来的冲击</w:t>
      </w:r>
    </w:p>
    <w:p>
      <w:pPr>
        <w:ind w:firstLine="560"/>
        <w:rPr>
          <w:b/>
          <w:bCs/>
        </w:rPr>
      </w:pPr>
      <w:r>
        <w:rPr>
          <w:rFonts w:hint="eastAsia"/>
        </w:rPr>
        <w:t>国际局势特别是中美关系对我国现代化的发展进程和影响将趋于长期化，对国内经济的发展的影响和冲击也将长期存在。新冠肺炎疫情等不确定性事件对我国经济社会发展带来的不确定性和冲击也将在未来会以不同的形式和程度存在。同时，面对国际国内经济形势变化而随之不断调整的一系列宏观经济管理政策也将直接间接地影响和冲击着地方财政收支的稳定性。比如减税降费政策的实施范围、力度以及短期固化特征，导致财政收支矛盾可能会进一步扩大。土地管理政策以及地价随着宏观形势在一定程度上的波动，也将直接给当前的土地财政依赖造成很大的冲击，从而影响地方财政收支的稳定性。</w:t>
      </w:r>
    </w:p>
    <w:p>
      <w:pPr>
        <w:pStyle w:val="5"/>
      </w:pPr>
      <w:r>
        <w:rPr>
          <w:rFonts w:hint="eastAsia"/>
        </w:rPr>
        <w:t>（二）生态保护长期化，产业结构调整优化任务艰巨</w:t>
      </w:r>
    </w:p>
    <w:p>
      <w:pPr>
        <w:ind w:firstLine="560"/>
      </w:pPr>
      <w:r>
        <w:rPr>
          <w:rFonts w:hint="eastAsia"/>
        </w:rPr>
        <w:t>“十四五”时期，澄江生态建设和环境治理的任务将长期存在。一方面，生态保护和治理的长期化虽有利于地方经济社会的可持续发展，但短期的直接结果就是财政投入的持续增加，财政支出的刚性增加特征日益突出，不利于财政支出结构的调整和优化。另一方面，由于生态保护和治理任务的长期化，加之澄江原有工业、农业基础薄弱，第三产业虽有所发展但却大而不强，产业发展层次较低、发展方式粗放，一产增值空间有限、二产转型发展受限、三产基础设施建设不完备等问题十分突出，新旧动能转换不畅，支撑高质量发展的后劲不足。这虽然在一定程度上为经济发展方式转变提供了空间，但基于现代化经济体系的文化旅游、康养和会展等产业的培植升级和结构调整优化的任务异常艰巨，短期财政投入较大和财源建设成效不显著的问题将直接影响着财政对未来经济社会发展支撑和保障作用的实现程度。</w:t>
      </w:r>
    </w:p>
    <w:p>
      <w:pPr>
        <w:pStyle w:val="5"/>
      </w:pPr>
      <w:r>
        <w:rPr>
          <w:rFonts w:hint="eastAsia"/>
        </w:rPr>
        <w:t>（三）经济总量小，债务负担沉重，土地资源和环境约束趋紧</w:t>
      </w:r>
    </w:p>
    <w:p>
      <w:pPr>
        <w:ind w:firstLine="560"/>
      </w:pPr>
      <w:r>
        <w:rPr>
          <w:rFonts w:hint="eastAsia"/>
        </w:rPr>
        <w:t>经济决定财政。2019年，澄江市GDP为</w:t>
      </w:r>
      <w:r>
        <w:t>139.8亿元，在玉溪市排在红塔区</w:t>
      </w:r>
      <w:r>
        <w:rPr>
          <w:rFonts w:hint="eastAsia"/>
        </w:rPr>
        <w:t>、</w:t>
      </w:r>
      <w:r>
        <w:t>新平县</w:t>
      </w:r>
      <w:r>
        <w:rPr>
          <w:rFonts w:hint="eastAsia"/>
        </w:rPr>
        <w:t>、</w:t>
      </w:r>
      <w:r>
        <w:t>通海县之后居第</w:t>
      </w:r>
      <w:r>
        <w:rPr>
          <w:rFonts w:hint="eastAsia"/>
        </w:rPr>
        <w:t>4位，在</w:t>
      </w:r>
      <w:r>
        <w:t>全省129个县（市、区）GDP总量</w:t>
      </w:r>
      <w:r>
        <w:rPr>
          <w:rFonts w:hint="eastAsia"/>
        </w:rPr>
        <w:t>排名</w:t>
      </w:r>
      <w:r>
        <w:t>中居第47位</w:t>
      </w:r>
      <w:r>
        <w:rPr>
          <w:rFonts w:hint="eastAsia"/>
        </w:rPr>
        <w:t>，经济总量相对较小。特别是面对抚仙湖生态环境敏感脆弱、长期稳定保持抚仙湖</w:t>
      </w:r>
      <w:r>
        <w:fldChar w:fldCharType="begin"/>
      </w:r>
      <w:r>
        <w:instrText xml:space="preserve"> </w:instrText>
      </w:r>
      <w:r>
        <w:rPr>
          <w:rFonts w:hint="eastAsia"/>
        </w:rPr>
        <w:instrText xml:space="preserve">= 1 \* ROMAN</w:instrText>
      </w:r>
      <w:r>
        <w:instrText xml:space="preserve"> </w:instrText>
      </w:r>
      <w:r>
        <w:fldChar w:fldCharType="separate"/>
      </w:r>
      <w:r>
        <w:t>I</w:t>
      </w:r>
      <w:r>
        <w:fldChar w:fldCharType="end"/>
      </w:r>
      <w:r>
        <w:t>类水质的任务繁重</w:t>
      </w:r>
      <w:r>
        <w:rPr>
          <w:rFonts w:hint="eastAsia"/>
        </w:rPr>
        <w:t>，澄江经济基础和</w:t>
      </w:r>
      <w:r>
        <w:t>财政支撑能力显著不足</w:t>
      </w:r>
      <w:r>
        <w:rPr>
          <w:rFonts w:hint="eastAsia"/>
        </w:rPr>
        <w:t>。同时，澄江由于“十三五”期间债务规模的迅速扩大，化解债务风险的手段和能力十分有限，新增债务空间有限，潜在债务风险不断累积，较为沉重的债务负担不仅影响着财政的高质量发展，还是地方经济发展方式转变和高质量发展的突出制约因素。</w:t>
      </w:r>
    </w:p>
    <w:p>
      <w:pPr>
        <w:ind w:firstLine="560"/>
        <w:rPr>
          <w:rFonts w:asciiTheme="minorEastAsia" w:hAnsiTheme="minorEastAsia" w:cstheme="minorEastAsia"/>
          <w:szCs w:val="28"/>
        </w:rPr>
      </w:pPr>
      <w:r>
        <w:rPr>
          <w:rFonts w:asciiTheme="minorEastAsia" w:hAnsiTheme="minorEastAsia" w:cstheme="minorEastAsia"/>
          <w:szCs w:val="28"/>
        </w:rPr>
        <w:t>总体上</w:t>
      </w:r>
      <w:r>
        <w:rPr>
          <w:rFonts w:hint="eastAsia" w:asciiTheme="minorEastAsia" w:hAnsiTheme="minorEastAsia" w:cstheme="minorEastAsia"/>
          <w:szCs w:val="28"/>
        </w:rPr>
        <w:t>，</w:t>
      </w:r>
      <w:r>
        <w:rPr>
          <w:rFonts w:asciiTheme="minorEastAsia" w:hAnsiTheme="minorEastAsia" w:cstheme="minorEastAsia"/>
          <w:szCs w:val="28"/>
        </w:rPr>
        <w:t>澄江由于经济总量小</w:t>
      </w:r>
      <w:r>
        <w:rPr>
          <w:rFonts w:hint="eastAsia" w:asciiTheme="minorEastAsia" w:hAnsiTheme="minorEastAsia" w:cstheme="minorEastAsia"/>
          <w:szCs w:val="28"/>
        </w:rPr>
        <w:t>，</w:t>
      </w:r>
      <w:r>
        <w:rPr>
          <w:rFonts w:asciiTheme="minorEastAsia" w:hAnsiTheme="minorEastAsia" w:cstheme="minorEastAsia"/>
          <w:szCs w:val="28"/>
        </w:rPr>
        <w:t>高投入</w:t>
      </w:r>
      <w:r>
        <w:rPr>
          <w:rFonts w:hint="eastAsia" w:asciiTheme="minorEastAsia" w:hAnsiTheme="minorEastAsia" w:cstheme="minorEastAsia"/>
          <w:szCs w:val="28"/>
        </w:rPr>
        <w:t>、</w:t>
      </w:r>
      <w:r>
        <w:rPr>
          <w:rFonts w:asciiTheme="minorEastAsia" w:hAnsiTheme="minorEastAsia" w:cstheme="minorEastAsia"/>
          <w:szCs w:val="28"/>
        </w:rPr>
        <w:t>高消耗</w:t>
      </w:r>
      <w:r>
        <w:rPr>
          <w:rFonts w:hint="eastAsia" w:asciiTheme="minorEastAsia" w:hAnsiTheme="minorEastAsia" w:cstheme="minorEastAsia"/>
          <w:szCs w:val="28"/>
        </w:rPr>
        <w:t>、高排放、</w:t>
      </w:r>
      <w:r>
        <w:rPr>
          <w:rFonts w:asciiTheme="minorEastAsia" w:hAnsiTheme="minorEastAsia" w:cstheme="minorEastAsia"/>
          <w:szCs w:val="28"/>
        </w:rPr>
        <w:t>低效率的粗放式发展亟待转型和调整</w:t>
      </w:r>
      <w:r>
        <w:rPr>
          <w:rFonts w:hint="eastAsia" w:asciiTheme="minorEastAsia" w:hAnsiTheme="minorEastAsia" w:cstheme="minorEastAsia"/>
          <w:szCs w:val="28"/>
        </w:rPr>
        <w:t>，</w:t>
      </w:r>
      <w:r>
        <w:rPr>
          <w:rFonts w:asciiTheme="minorEastAsia" w:hAnsiTheme="minorEastAsia" w:cstheme="minorEastAsia"/>
          <w:szCs w:val="28"/>
        </w:rPr>
        <w:t>土地财政依赖度高</w:t>
      </w:r>
      <w:r>
        <w:rPr>
          <w:rFonts w:hint="eastAsia" w:asciiTheme="minorEastAsia" w:hAnsiTheme="minorEastAsia" w:cstheme="minorEastAsia"/>
          <w:szCs w:val="28"/>
        </w:rPr>
        <w:t>，但土地资源的有限性和政策约束不断趋紧，生态环境质量持续改善的基础尚不稳固，再加现代化产业体系优化调整的长期性和难度较大，土地财政的不可持续性和环境约束日趋突出。</w:t>
      </w:r>
    </w:p>
    <w:p>
      <w:pPr>
        <w:widowControl/>
        <w:spacing w:line="240" w:lineRule="auto"/>
        <w:ind w:firstLine="0" w:firstLineChars="0"/>
        <w:jc w:val="left"/>
        <w:rPr>
          <w:rFonts w:asciiTheme="minorEastAsia" w:hAnsiTheme="minorEastAsia" w:cstheme="minorEastAsia"/>
          <w:szCs w:val="28"/>
        </w:rPr>
      </w:pPr>
      <w:r>
        <w:rPr>
          <w:rFonts w:asciiTheme="minorEastAsia" w:hAnsiTheme="minorEastAsia" w:cstheme="minorEastAsia"/>
          <w:szCs w:val="28"/>
        </w:rPr>
        <w:br w:type="page"/>
      </w:r>
    </w:p>
    <w:p>
      <w:pPr>
        <w:pStyle w:val="2"/>
        <w:ind w:firstLine="643"/>
      </w:pPr>
      <w:bookmarkStart w:id="24" w:name="_Toc517186573"/>
      <w:bookmarkStart w:id="25" w:name="_Toc498984791"/>
      <w:bookmarkStart w:id="26" w:name="_Toc52057349"/>
      <w:bookmarkStart w:id="27" w:name="_Toc63005417"/>
      <w:r>
        <w:rPr>
          <w:rFonts w:hint="eastAsia"/>
          <w:lang w:val="zh-CN"/>
        </w:rPr>
        <w:t xml:space="preserve">第二篇  </w:t>
      </w:r>
      <w:bookmarkEnd w:id="24"/>
      <w:bookmarkEnd w:id="25"/>
      <w:r>
        <w:rPr>
          <w:rFonts w:hint="eastAsia"/>
        </w:rPr>
        <w:t>发展思路与主要任务</w:t>
      </w:r>
      <w:bookmarkEnd w:id="26"/>
      <w:bookmarkEnd w:id="27"/>
    </w:p>
    <w:p>
      <w:pPr>
        <w:pStyle w:val="3"/>
        <w:ind w:firstLine="602"/>
      </w:pPr>
      <w:bookmarkStart w:id="28" w:name="_Toc498984792"/>
      <w:bookmarkStart w:id="29" w:name="_Toc517186574"/>
      <w:bookmarkStart w:id="30" w:name="_Toc63005418"/>
      <w:bookmarkStart w:id="31" w:name="_Toc52057350"/>
      <w:r>
        <w:rPr>
          <w:rFonts w:hint="eastAsia"/>
        </w:rPr>
        <w:t>第四章</w:t>
      </w:r>
      <w:r>
        <w:t xml:space="preserve">  </w:t>
      </w:r>
      <w:r>
        <w:rPr>
          <w:rFonts w:hint="eastAsia"/>
        </w:rPr>
        <w:t>“十四五”财政发展思路</w:t>
      </w:r>
      <w:bookmarkEnd w:id="28"/>
      <w:bookmarkEnd w:id="29"/>
      <w:bookmarkEnd w:id="30"/>
      <w:bookmarkEnd w:id="31"/>
    </w:p>
    <w:p>
      <w:pPr>
        <w:ind w:firstLine="560"/>
      </w:pPr>
      <w:r>
        <w:rPr>
          <w:rFonts w:hint="eastAsia"/>
        </w:rPr>
        <w:t>澄江市“十四五”财政发展，要以澄江市经济社会发展基础和发展战略为基本出发点，以全面实现澄江经济社会高质量发展和方式转变为关键核心，以现代财政制度建设和财政高质量发展为主要目标，厚植财政发展基础，破解财政发展难题，统筹规划，谋篇布局未来财政改革与发展工作，为澄江市深入实施“生态立市、开放兴市、旅游强市”</w:t>
      </w:r>
      <w:r>
        <w:t>战略奋力</w:t>
      </w:r>
      <w:r>
        <w:rPr>
          <w:rFonts w:hint="eastAsia"/>
        </w:rPr>
        <w:t>打造国际旅游城市、国际健康养生城市和国际会议中心城市提供基础性保障和高质量支撑</w:t>
      </w:r>
      <w:r>
        <w:rPr>
          <w:szCs w:val="32"/>
        </w:rPr>
        <w:t>。</w:t>
      </w:r>
    </w:p>
    <w:p>
      <w:pPr>
        <w:pStyle w:val="4"/>
        <w:ind w:firstLine="562"/>
      </w:pPr>
      <w:bookmarkStart w:id="32" w:name="_Toc63005419"/>
      <w:bookmarkStart w:id="33" w:name="_Toc498984793"/>
      <w:bookmarkStart w:id="34" w:name="_Toc517186575"/>
      <w:r>
        <w:rPr>
          <w:rFonts w:hint="eastAsia"/>
        </w:rPr>
        <w:t>一、总体思路</w:t>
      </w:r>
      <w:bookmarkEnd w:id="32"/>
      <w:bookmarkEnd w:id="33"/>
      <w:bookmarkEnd w:id="34"/>
    </w:p>
    <w:p>
      <w:pPr>
        <w:ind w:firstLine="560"/>
      </w:pPr>
      <w:r>
        <w:rPr>
          <w:rFonts w:hint="eastAsia"/>
        </w:rPr>
        <w:t>坚持以习近平新时代中国特色社会主义思想为指导，全面贯彻落实习近平总书记考察云南重要讲话精神和党中央决策部署，增强“四个意识”</w:t>
      </w:r>
      <w:r>
        <w:rPr>
          <w:rFonts w:hint="eastAsia"/>
          <w:lang w:eastAsia="zh-CN"/>
        </w:rPr>
        <w:t>、</w:t>
      </w:r>
      <w:r>
        <w:rPr>
          <w:rFonts w:hint="eastAsia"/>
        </w:rPr>
        <w:t>坚定“四个自信”</w:t>
      </w:r>
      <w:r>
        <w:rPr>
          <w:rFonts w:hint="eastAsia"/>
          <w:lang w:eastAsia="zh-CN"/>
        </w:rPr>
        <w:t>、</w:t>
      </w:r>
      <w:r>
        <w:rPr>
          <w:rFonts w:hint="eastAsia"/>
        </w:rPr>
        <w:t>做到“两个维护”，</w:t>
      </w:r>
      <w:r>
        <w:t>提高推进</w:t>
      </w:r>
      <w:r>
        <w:rPr>
          <w:rFonts w:hint="eastAsia"/>
        </w:rPr>
        <w:t>“</w:t>
      </w:r>
      <w:r>
        <w:t>五位一体</w:t>
      </w:r>
      <w:r>
        <w:rPr>
          <w:rFonts w:hint="eastAsia"/>
        </w:rPr>
        <w:t>”</w:t>
      </w:r>
      <w:r>
        <w:t>总体布局和</w:t>
      </w:r>
      <w:r>
        <w:rPr>
          <w:rFonts w:hint="eastAsia"/>
        </w:rPr>
        <w:t>“</w:t>
      </w:r>
      <w:r>
        <w:t>四个全面</w:t>
      </w:r>
      <w:r>
        <w:rPr>
          <w:rFonts w:hint="eastAsia"/>
        </w:rPr>
        <w:t>”</w:t>
      </w:r>
      <w:r>
        <w:t>战略布局的能力和水平</w:t>
      </w:r>
      <w:r>
        <w:rPr>
          <w:rFonts w:hint="eastAsia"/>
        </w:rPr>
        <w:t>，围绕新发展理念、供给侧结构性改革和高质量发展这条主线，积极服务和融入以国内大循环为主体、国内国际双循环相互促进的新发展格局，围绕澄江“生态立市、开放兴市、旅游强市”的发展战略，围绕现代财政制度建设和提质增效这个目标，坚持依法理财和全面绩效管理，</w:t>
      </w:r>
      <w:r>
        <w:rPr>
          <w:rFonts w:hint="eastAsia" w:cs="仿宋"/>
        </w:rPr>
        <w:t>以事权与支出责任划分为契机促进财政体制的合理规范，全面提高财政收支质量和结构效益，有效促进债务利用和债务风险防范的协调统一，以重构现代化产业体系走出地方财源建设和地方税体系完善的新路子，为澄江市打造“国际旅游城市、国际健康养生城市、国际会议中心城市”提供稳固的财力支撑和制度保障，全面助力澄江发展方式转变和经济社会高质量发展。</w:t>
      </w:r>
    </w:p>
    <w:p>
      <w:pPr>
        <w:pStyle w:val="4"/>
        <w:ind w:firstLine="562"/>
      </w:pPr>
      <w:bookmarkStart w:id="35" w:name="_Toc63005420"/>
      <w:bookmarkStart w:id="36" w:name="_Toc498984794"/>
      <w:bookmarkStart w:id="37" w:name="_Toc517186576"/>
      <w:r>
        <w:rPr>
          <w:rFonts w:hint="eastAsia"/>
        </w:rPr>
        <w:t>二、基本原则</w:t>
      </w:r>
      <w:bookmarkEnd w:id="35"/>
      <w:bookmarkEnd w:id="36"/>
      <w:bookmarkEnd w:id="37"/>
    </w:p>
    <w:p>
      <w:pPr>
        <w:pStyle w:val="5"/>
      </w:pPr>
      <w:r>
        <w:rPr>
          <w:rFonts w:hint="eastAsia"/>
        </w:rPr>
        <w:t>（一）坚持依法理财</w:t>
      </w:r>
    </w:p>
    <w:p>
      <w:pPr>
        <w:ind w:firstLine="560"/>
      </w:pPr>
      <w:r>
        <w:rPr>
          <w:rFonts w:hint="eastAsia"/>
        </w:rPr>
        <w:t>推进法治财政建设，运用法律法规、制度约束和规范财税管理。通过全面规范透明、标准科学、约束有力的预算制度，合理配置政府各部门的事权和支出责任。全面实施预算绩效管理，加强财政监管，</w:t>
      </w:r>
      <w:r>
        <w:t>规范监督程序和手段，加强财政监督管理及绩效评价考核</w:t>
      </w:r>
      <w:r>
        <w:rPr>
          <w:rFonts w:hint="eastAsia"/>
        </w:rPr>
        <w:t>，构建内部控制与权力的约束机制，把权力关进制度的笼子。处理好事权与支出责任的关系，适应政府治理体系和治理现代化的新要求，建立权责对等、有效制衡、执行有力、互惠共赢的财税管理新机制。</w:t>
      </w:r>
    </w:p>
    <w:p>
      <w:pPr>
        <w:pStyle w:val="5"/>
        <w:rPr>
          <w:shd w:val="clear" w:color="auto" w:fill="FFFFFF"/>
        </w:rPr>
      </w:pPr>
      <w:r>
        <w:rPr>
          <w:rFonts w:hint="eastAsia" w:hAnsi="仿宋"/>
        </w:rPr>
        <w:t>（二）</w:t>
      </w:r>
      <w:r>
        <w:rPr>
          <w:rFonts w:hint="eastAsia"/>
          <w:shd w:val="clear" w:color="auto" w:fill="FFFFFF"/>
        </w:rPr>
        <w:t>坚持新发展理念</w:t>
      </w:r>
    </w:p>
    <w:p>
      <w:pPr>
        <w:ind w:firstLine="560"/>
      </w:pPr>
      <w:r>
        <w:rPr>
          <w:rFonts w:hint="eastAsia"/>
        </w:rPr>
        <w:t>发展是解决我国一切问题的基础和关键，发展必须是科学发展，必须坚定不移贯彻创新、协调、绿色、开放、共享的发展理念。财政必须坚持和完善我国社会主义基本经济制度和分配制度，毫不动摇巩固和发展公有制经济，毫不动摇鼓励、支持、引导非公有制经济发展，使市场在资源配置中起决定性作用，更好发挥政府作用，坚持</w:t>
      </w:r>
      <w:r>
        <w:t>实行最严格的生态环境保护制度</w:t>
      </w:r>
      <w:r>
        <w:rPr>
          <w:rFonts w:hint="eastAsia"/>
        </w:rPr>
        <w:t>，有效协调环境保护和开放利用的关系，努力推动生态文明建设和现代化化产业体系转型的同步发展，用世界眼光、国际标准主动开放和发展地方经济，全面促进高质量发展的实现。</w:t>
      </w:r>
    </w:p>
    <w:p>
      <w:pPr>
        <w:pStyle w:val="5"/>
      </w:pPr>
      <w:r>
        <w:rPr>
          <w:rFonts w:hint="eastAsia"/>
        </w:rPr>
        <w:t>（三）坚持高质量发展</w:t>
      </w:r>
    </w:p>
    <w:p>
      <w:pPr>
        <w:ind w:firstLine="560"/>
        <w:rPr>
          <w:shd w:val="clear" w:color="auto" w:fill="FFFFFF"/>
        </w:rPr>
      </w:pPr>
      <w:r>
        <w:rPr>
          <w:shd w:val="clear" w:color="auto" w:fill="FFFFFF"/>
        </w:rPr>
        <w:t>中国特色社会主义进入了新时代，我国经济发展也进入了新时代。推动高质量发展，既是保持经济持续健康发展的必然要求，也是适应我国社会主要矛盾变化和全面建成小康社会、全面建设社会主义现代化国家的必然要求</w:t>
      </w:r>
      <w:r>
        <w:rPr>
          <w:rFonts w:hint="eastAsia"/>
          <w:shd w:val="clear" w:color="auto" w:fill="FFFFFF"/>
        </w:rPr>
        <w:t>。坚持高质量发展，要求</w:t>
      </w:r>
      <w:r>
        <w:rPr>
          <w:shd w:val="clear" w:color="auto" w:fill="FFFFFF"/>
        </w:rPr>
        <w:t>正确把握好生态环境保护和经济发展的关系。生态环境保护的成败，与经济结构和经济发展方式息息相关。绿色发展是建设现代化经济体系的必然要求，要坚持在发展中保护、在保护中发展。财政要加大力度推进生态文明建设，正确处理好绿水青山和金山银山的关系，构建绿色产业体系和空间格局，引导形成绿色生产方式和生活方式。</w:t>
      </w:r>
    </w:p>
    <w:p>
      <w:pPr>
        <w:pStyle w:val="5"/>
      </w:pPr>
      <w:r>
        <w:rPr>
          <w:rFonts w:hint="eastAsia"/>
        </w:rPr>
        <w:t>（四）坚持以人民为中心</w:t>
      </w:r>
    </w:p>
    <w:p>
      <w:pPr>
        <w:ind w:firstLine="560"/>
      </w:pPr>
      <w:r>
        <w:rPr>
          <w:rFonts w:hint="eastAsia"/>
          <w:shd w:val="clear" w:color="auto" w:fill="FFFFFF"/>
        </w:rPr>
        <w:t>坚持以人民为中心是习近平新时代中国特色社会主义思想的重要内容。坚持以人民为中心，要求把增进人民福祉、促进人的全面发展、朝着共同富裕方向稳步前进作为经济社会发展的出发点和落脚点，在人民中寻找发展动力、依靠人民推动发展、使发展造福人民。</w:t>
      </w:r>
      <w:r>
        <w:rPr>
          <w:rFonts w:hint="eastAsia"/>
        </w:rPr>
        <w:t>坚持发展成果由人民共享和取之于民、用之于民的基本理念，切实保障和改善民生，重点围绕教育、医疗、文化、体育、保障性住房、社会保障和精准扶贫等人民群众最关心、最直接、最现实的利益问题，提升财政支持质量和效益，推进基本公共服务均等化，不断增强人民群众对全面小康的实现感、对美好生活的获得感和幸福感。</w:t>
      </w:r>
    </w:p>
    <w:p>
      <w:pPr>
        <w:pStyle w:val="5"/>
        <w:rPr>
          <w:szCs w:val="21"/>
        </w:rPr>
      </w:pPr>
      <w:r>
        <w:rPr>
          <w:rFonts w:hint="eastAsia"/>
        </w:rPr>
        <w:t>（五）坚持深化改革开放</w:t>
      </w:r>
    </w:p>
    <w:p>
      <w:pPr>
        <w:ind w:firstLine="560"/>
      </w:pPr>
      <w:r>
        <w:rPr>
          <w:rFonts w:hint="eastAsia"/>
        </w:rPr>
        <w:t>坚持与时俱进，深入解放思想，坚定不移推进改革、扩大开放，加强治理体系和治理能力现代化建设，破除制约高质量发展、高品质生活的体制机制障碍，强化有利于提高资源配置效率、有利于调动全社会积极性的重大改革开放举措，持续增强发展动力和活力。澄江财政发展要把深化改革开放摆在更加突出的位置，积极服务和融入以国内大循环为主体、国内国际双循环相互促进的新发展格局，主动服务和融入“滇中城市经济圈一体化”等发展战略，依托昆玉一体化、昆玉红旅游文化产业经济带建设，全力支持把澄江的区位优势、资源优势、环境优势转化为发展优势，</w:t>
      </w:r>
      <w:r>
        <w:rPr>
          <w:rFonts w:hint="eastAsia" w:cs="仿宋"/>
        </w:rPr>
        <w:t>全力支持“国际旅游城市、国际健康养生城市、国际会议中心城市”</w:t>
      </w:r>
      <w:r>
        <w:rPr>
          <w:rFonts w:hint="eastAsia"/>
        </w:rPr>
        <w:t>建设，以国际化发展带动创新、推动改革、提升质量。</w:t>
      </w:r>
    </w:p>
    <w:p>
      <w:pPr>
        <w:pStyle w:val="3"/>
        <w:ind w:firstLine="602"/>
      </w:pPr>
      <w:bookmarkStart w:id="38" w:name="_Toc63005421"/>
      <w:bookmarkStart w:id="39" w:name="_Toc52057351"/>
      <w:r>
        <w:rPr>
          <w:rFonts w:hint="eastAsia"/>
        </w:rPr>
        <w:t>第五章  “十四五”财政发展目标</w:t>
      </w:r>
      <w:bookmarkEnd w:id="38"/>
      <w:bookmarkEnd w:id="39"/>
    </w:p>
    <w:p>
      <w:pPr>
        <w:ind w:firstLine="560"/>
      </w:pPr>
      <w:r>
        <w:rPr>
          <w:rFonts w:hint="eastAsia"/>
        </w:rPr>
        <w:t>“十四五”时期是澄江市乘势而上开启</w:t>
      </w:r>
      <w:r>
        <w:rPr>
          <w:rFonts w:hint="eastAsia"/>
          <w:lang w:eastAsia="zh-CN"/>
        </w:rPr>
        <w:t>全面建设社会主义现代化国家新征程</w:t>
      </w:r>
      <w:r>
        <w:rPr>
          <w:rFonts w:hint="eastAsia"/>
        </w:rPr>
        <w:t>的重要时期，也是新时代全面建设现代化财政体系的重要机遇期。澄江财政发展要坚持稳中求进工作总基调，全面服务“生态立市、开放兴市、旅游强市”发展战略和奋力打造“三个国际城市”的目标，立足财政职能职责，深化财税体制改革，理顺地方政府间财政关系，优化财政收支结构，全面实施预算绩效管理，健全地方税收体系，防范管控财政风险，统筹经济社会各项事业发展，发挥好财政在国家治理中的基础和重要支柱作用。</w:t>
      </w:r>
    </w:p>
    <w:p>
      <w:pPr>
        <w:pStyle w:val="4"/>
        <w:ind w:firstLine="562"/>
      </w:pPr>
      <w:bookmarkStart w:id="40" w:name="_Toc63005422"/>
      <w:r>
        <w:rPr>
          <w:rFonts w:hint="eastAsia"/>
        </w:rPr>
        <w:t>一、全面建设高质量可持续发展的现代财政</w:t>
      </w:r>
      <w:bookmarkEnd w:id="40"/>
    </w:p>
    <w:p>
      <w:pPr>
        <w:ind w:firstLine="560"/>
      </w:pPr>
      <w:r>
        <w:rPr>
          <w:rFonts w:hint="eastAsia"/>
        </w:rPr>
        <w:t>“十四五”财政发展和财政工作要注重固本强基，将聚焦点对准财政制度建设，要围绕社会主要矛盾变化、经济发展方式转变和高质量发展等新特征，以更加务实有效的举措进一步深化财税体制改革，为开启</w:t>
      </w:r>
      <w:r>
        <w:rPr>
          <w:rFonts w:hint="eastAsia"/>
          <w:lang w:eastAsia="zh-CN"/>
        </w:rPr>
        <w:t>全面建设社会主义现代化国家新征程</w:t>
      </w:r>
      <w:r>
        <w:rPr>
          <w:rFonts w:hint="eastAsia"/>
        </w:rPr>
        <w:t>提供财政制度保障，为未来十五年基本实现现代化以及未来三十年全面建成社会主义现代化筑牢财政制度根基。</w:t>
      </w:r>
    </w:p>
    <w:p>
      <w:pPr>
        <w:ind w:firstLine="560"/>
      </w:pPr>
      <w:r>
        <w:rPr>
          <w:rFonts w:hint="eastAsia"/>
        </w:rPr>
        <w:t>“十四五”的财政制度建设，要从搭建具有基础性和支撑性作用的“四梁八柱”起步：优化地方政府间事权和财权划分，建立权责清晰、财力协调、区域均衡的财政关系，形成稳定的各级政府事权、支出责任和财力相适应的制度；完善标准科学、规范透明、约束有力的预算制度，全面实施预算绩效管理，提高财政资金使用效率；健全地方税体系，深化税收征管制度改革，形成结构均衡、功能完备、科学规范的现代税收制度新格局；完善政府债务制度，加强财政风险防范管控，依法构建管理规范、责任清晰、公开透明、风险可控的政府举债融资机制，建设高质量可持续发展的现代财政制度。</w:t>
      </w:r>
    </w:p>
    <w:p>
      <w:pPr>
        <w:pStyle w:val="4"/>
        <w:ind w:firstLine="562"/>
      </w:pPr>
      <w:bookmarkStart w:id="41" w:name="_Toc63005423"/>
      <w:r>
        <w:rPr>
          <w:rFonts w:hint="eastAsia"/>
        </w:rPr>
        <w:t>二、稳定财政收支，提高收入质量，不断优化支出结构</w:t>
      </w:r>
      <w:bookmarkEnd w:id="41"/>
    </w:p>
    <w:p>
      <w:pPr>
        <w:ind w:firstLine="560"/>
      </w:pPr>
      <w:r>
        <w:rPr>
          <w:rFonts w:hint="eastAsia"/>
        </w:rPr>
        <w:t>“十四五”期间，预计澄江市全口径财政收入年均增长率保持在2.98%左右，累计实现财政收入323.01亿元。</w:t>
      </w:r>
    </w:p>
    <w:p>
      <w:pPr>
        <w:ind w:firstLine="560"/>
      </w:pPr>
      <w:r>
        <w:rPr>
          <w:rFonts w:hint="eastAsia"/>
        </w:rPr>
        <w:t>2021-2025年，预计澄江一般公共预算本级收入年增速可保持在5%-8%之间，累计可完成一般公共预算本级收入46.17亿元</w:t>
      </w:r>
      <w:r>
        <w:rPr>
          <w:rFonts w:hint="eastAsia" w:hAnsi="仿宋"/>
        </w:rPr>
        <w:t>～</w:t>
      </w:r>
      <w:r>
        <w:rPr>
          <w:rFonts w:hint="eastAsia"/>
        </w:rPr>
        <w:t>50.42亿元；其中，2021年预计为8.38亿元，2025年预计为10.67亿元。</w:t>
      </w:r>
    </w:p>
    <w:p>
      <w:pPr>
        <w:ind w:firstLine="560"/>
      </w:pPr>
      <w:r>
        <w:rPr>
          <w:rFonts w:hint="eastAsia"/>
        </w:rPr>
        <w:t>2021-2025年，预计澄江上级补助收入年均增速9.96%，累计可完成上级补助收入124.68亿元；其中，2021年预计为20.43亿元，2025年预计为29.90亿元。</w:t>
      </w:r>
    </w:p>
    <w:p>
      <w:pPr>
        <w:ind w:firstLine="560"/>
      </w:pPr>
      <w:r>
        <w:rPr>
          <w:rFonts w:hint="eastAsia"/>
        </w:rPr>
        <w:t>2021-2025年，预计澄江政府性基金预算收入年均增速-9.98%，累计可完成政府性基金收入125.18亿元；其中，2021年预计为27.55亿元，2025年预计为21.89亿元。</w:t>
      </w:r>
    </w:p>
    <w:p>
      <w:pPr>
        <w:ind w:firstLine="560"/>
      </w:pPr>
      <w:r>
        <w:rPr>
          <w:rFonts w:hint="eastAsia"/>
        </w:rPr>
        <w:t>2021-2025年，预计澄江社会保险基金预算收入年均增速7.41%，累计可完成政府性基金收入25.65亿元；其中，2021年预计为4.42亿元，2025年预计为5.89亿元。</w:t>
      </w:r>
    </w:p>
    <w:p>
      <w:pPr>
        <w:ind w:firstLine="560"/>
      </w:pPr>
      <w:r>
        <w:rPr>
          <w:rFonts w:hint="eastAsia"/>
        </w:rPr>
        <w:t>“十四五”期间，财政高质量发展要与经济社会高质量发展有机结合，以高效益的财政支出全力支持澄江经济社会全面发展，预计全市一般公共预算支出年均增长6.29</w:t>
      </w:r>
      <w:r>
        <w:t>%，累计完成一般公共预算支出</w:t>
      </w:r>
      <w:r>
        <w:rPr>
          <w:rFonts w:hint="eastAsia"/>
        </w:rPr>
        <w:t>208.01</w:t>
      </w:r>
      <w:r>
        <w:t>亿元</w:t>
      </w:r>
      <w:r>
        <w:rPr>
          <w:rFonts w:hint="eastAsia"/>
        </w:rPr>
        <w:t>。</w:t>
      </w:r>
      <w:r>
        <w:t>其中，2021年，预计全市完成一般公共预算支出</w:t>
      </w:r>
      <w:r>
        <w:rPr>
          <w:rFonts w:hint="eastAsia"/>
        </w:rPr>
        <w:t>36.70</w:t>
      </w:r>
      <w:r>
        <w:t>亿元，到2025年，预计全市一般公共支出规模为</w:t>
      </w:r>
      <w:r>
        <w:rPr>
          <w:rFonts w:hint="eastAsia"/>
        </w:rPr>
        <w:t>46.40亿</w:t>
      </w:r>
      <w:r>
        <w:t>元。</w:t>
      </w:r>
      <w:r>
        <w:rPr>
          <w:rStyle w:val="29"/>
        </w:rPr>
        <w:footnoteReference w:id="7"/>
      </w:r>
      <w:r>
        <w:t xml:space="preserve"> </w:t>
      </w:r>
    </w:p>
    <w:p>
      <w:pPr>
        <w:ind w:firstLine="560"/>
        <w:rPr>
          <w:color w:val="FF0000"/>
        </w:rPr>
      </w:pPr>
      <w:r>
        <w:rPr>
          <w:rFonts w:hint="eastAsia"/>
        </w:rPr>
        <w:t>以进一步稳定财政收支为基础，着力提高财政收入质量，优化财政收支结构，全面实施预算绩效管理，提高财政支出效益，转变和创新财政投入方式及机制，破解支出结构僵化难题。持续提高财政对生态保护、教育、医疗卫生、社会保障和就业等民生领域的投入效益，维护社会和谐稳定，努力破解保护与发展难题。</w:t>
      </w:r>
    </w:p>
    <w:p>
      <w:pPr>
        <w:pStyle w:val="4"/>
        <w:ind w:firstLine="562"/>
      </w:pPr>
      <w:bookmarkStart w:id="42" w:name="_Toc63005424"/>
      <w:r>
        <w:rPr>
          <w:rFonts w:hint="eastAsia"/>
        </w:rPr>
        <w:t>三、统筹“五个重点”，保障经济社会高质量发展</w:t>
      </w:r>
      <w:bookmarkEnd w:id="42"/>
    </w:p>
    <w:p>
      <w:pPr>
        <w:ind w:firstLine="562"/>
      </w:pPr>
      <w:r>
        <w:rPr>
          <w:rFonts w:hint="eastAsia"/>
          <w:b/>
          <w:bCs/>
        </w:rPr>
        <w:t>一是保障生态文明建设持续推进。</w:t>
      </w:r>
      <w:r>
        <w:rPr>
          <w:rFonts w:hint="eastAsia"/>
        </w:rPr>
        <w:t>坚持人与自然和谐共生，深入践行绿水青山就是金山银山的理念，重点保障“一湖两山”为主体的生态保护格局，统筹山水林田湖草系统治理，实行严格的生态环境保护制度，持续改善生态环境质量。全面完善环境保护治理体系。完善生态文明建设目标评价考核体系，建立健全条块结合、各司其职、权责明确、保障有力、权威高效的生态环境保护管理体制。逐步形成政府主导、企业主体、全社会共同推进的抚仙湖保护工作格局，确保抚仙湖水环境安全，守好抚仙湖Ⅰ类水质，保护“三个国际城市”建设依赖的生态基础。</w:t>
      </w:r>
    </w:p>
    <w:p>
      <w:pPr>
        <w:ind w:firstLine="562"/>
      </w:pPr>
      <w:r>
        <w:rPr>
          <w:rFonts w:hint="eastAsia"/>
          <w:b/>
          <w:bCs/>
        </w:rPr>
        <w:t>二是全力支持“三个国际城市”建设。</w:t>
      </w:r>
      <w:r>
        <w:rPr>
          <w:rFonts w:hint="eastAsia"/>
        </w:rPr>
        <w:t>围绕“三个国际城市”目标，推动旅游产业国际化、标准化、信息化建设，着力构建生态观光、休闲度假、健康疗养、户外运动、文化体验五大产品体系，提升旅游产品品质，全方位塑造国际知名旅游品牌。全面构建以高端康养、会议会展、体育运动为主要业态的旅游品牌体系，发展集旅游、医疗、教育、体育、康养等产业为一体的高端医疗健康产业集群，建立“诊、疗、医、养”四位一体的生命健康基地，打造以康旅为核、医养为基的国际健康养生城市，切实把澄江建设成为高品质的康养城市和旅居城市。建设一批具备国际标准的会议会展设施，提升会议会展业态国际化、高端化、品牌化、专业化水平。</w:t>
      </w:r>
    </w:p>
    <w:p>
      <w:pPr>
        <w:ind w:firstLine="562"/>
      </w:pPr>
      <w:r>
        <w:rPr>
          <w:rFonts w:hint="eastAsia"/>
          <w:b/>
          <w:bCs/>
        </w:rPr>
        <w:t>三是优先支持教育科技文化事业发展。</w:t>
      </w:r>
      <w:r>
        <w:rPr>
          <w:rFonts w:hint="eastAsia"/>
        </w:rPr>
        <w:t>必须把支持教育事业放在优先位置，深化教育改革，加快教育现代化。提高教育质量，促进各类教育事业协调发展，持续推动优质教育均衡发展，发展素质教育，推进教育公平。加大技术改造和技术创新的支持力度，深化科技体制改革，建立以企业为主体、市场为导向、产学研深度融合的技术创新体系，加大对中小企业创新的支持，促进科技成果转化。积极培育和践行社会主义核心价值观，繁荣发展社会主义文艺，推动文化事业和产业发展，弘扬澄江文脉，丰富文化内涵。</w:t>
      </w:r>
    </w:p>
    <w:p>
      <w:pPr>
        <w:ind w:firstLine="562"/>
        <w:rPr>
          <w:rFonts w:hAnsi="仿宋" w:cs="仿宋"/>
          <w:szCs w:val="28"/>
        </w:rPr>
      </w:pPr>
      <w:r>
        <w:rPr>
          <w:rFonts w:hint="eastAsia" w:hAnsi="仿宋" w:cs="仿宋"/>
          <w:b/>
          <w:bCs/>
          <w:szCs w:val="28"/>
        </w:rPr>
        <w:t>四是确保社会保障和就业稳步发展。</w:t>
      </w:r>
      <w:r>
        <w:rPr>
          <w:rFonts w:hint="eastAsia" w:hAnsi="仿宋" w:cs="仿宋"/>
          <w:szCs w:val="28"/>
        </w:rPr>
        <w:t>继续支持社会保障体系建设和完善，进一步推进完善养老保险制度、医疗保险制度、失业保险制度、工伤保险制度，大力推进社会救助体系建设，按照兜底线、织密网、建机制的要求，全面建设覆盖全市、城乡统筹、权责清晰、保障适度、可持续的多层次社会保障体系。坚持支持就业优先战略和积极就业政策，支持开展职业技能培训，鼓励创业带动就业，探索就地转化就业的新路子，实现更高质量和更充分就业。</w:t>
      </w:r>
    </w:p>
    <w:p>
      <w:pPr>
        <w:ind w:firstLine="562"/>
      </w:pPr>
      <w:r>
        <w:rPr>
          <w:rFonts w:hint="eastAsia"/>
          <w:b/>
          <w:bCs/>
        </w:rPr>
        <w:t>五是</w:t>
      </w:r>
      <w:r>
        <w:rPr>
          <w:b/>
          <w:bCs/>
        </w:rPr>
        <w:t>重点支持</w:t>
      </w:r>
      <w:r>
        <w:rPr>
          <w:rFonts w:hint="eastAsia"/>
          <w:b/>
          <w:bCs/>
        </w:rPr>
        <w:t>卫生健康事业高质量发展。</w:t>
      </w:r>
      <w:r>
        <w:t>在做好新冠疫情防控工作的同时，放眼长远，抓紧补短板、堵漏洞、强弱项</w:t>
      </w:r>
      <w:r>
        <w:rPr>
          <w:rFonts w:hint="eastAsia"/>
        </w:rPr>
        <w:t>，进一步</w:t>
      </w:r>
      <w:r>
        <w:t>完善重大疫情防控体制机制、健全公共卫生体系、增强应对突发重大公共卫生事件的能力。完善基层医疗设施，筑牢公共卫生服务根基</w:t>
      </w:r>
      <w:r>
        <w:rPr>
          <w:rFonts w:hint="eastAsia"/>
        </w:rPr>
        <w:t>；</w:t>
      </w:r>
      <w:r>
        <w:t>加强</w:t>
      </w:r>
      <w:r>
        <w:rPr>
          <w:rFonts w:hint="eastAsia"/>
        </w:rPr>
        <w:t>医疗卫生</w:t>
      </w:r>
      <w:r>
        <w:t>人才培养引进，提高公共卫生服务能力</w:t>
      </w:r>
      <w:r>
        <w:rPr>
          <w:rFonts w:hint="eastAsia"/>
        </w:rPr>
        <w:t>；</w:t>
      </w:r>
      <w:r>
        <w:t>加快推进医疗卫生体制改革，建立居民医疗负担明显减少、各方关系进一步理顺的医疗卫生服务体系</w:t>
      </w:r>
      <w:r>
        <w:rPr>
          <w:rFonts w:hint="eastAsia"/>
        </w:rPr>
        <w:t>；</w:t>
      </w:r>
      <w:r>
        <w:t>构建现代医院管理体制，打造省、市、县、镇、村五级紧密型医共体</w:t>
      </w:r>
      <w:r>
        <w:rPr>
          <w:rFonts w:hint="eastAsia"/>
        </w:rPr>
        <w:t>，为“三个国际城市”建设提供坚实的公共卫生体系。</w:t>
      </w:r>
    </w:p>
    <w:p>
      <w:pPr>
        <w:pStyle w:val="4"/>
        <w:ind w:firstLine="562"/>
      </w:pPr>
      <w:bookmarkStart w:id="43" w:name="_Toc63005425"/>
      <w:r>
        <w:rPr>
          <w:rFonts w:hint="eastAsia"/>
        </w:rPr>
        <w:t>四、围绕“四个支柱”，构建财政高质量发展新格局</w:t>
      </w:r>
      <w:bookmarkEnd w:id="43"/>
    </w:p>
    <w:p>
      <w:pPr>
        <w:ind w:firstLine="562"/>
        <w:rPr>
          <w:b/>
          <w:bCs/>
        </w:rPr>
      </w:pPr>
      <w:r>
        <w:rPr>
          <w:rFonts w:hint="eastAsia"/>
          <w:b/>
          <w:bCs/>
        </w:rPr>
        <w:t>一是以事权与支出责任明晰为契机，促进财税体制的科学合理调整。</w:t>
      </w:r>
      <w:r>
        <w:rPr>
          <w:rFonts w:hint="eastAsia"/>
        </w:rPr>
        <w:t>近几年中央和地方财政事权和支出责任划分改革进展迅速，为省以下财政事权和支出责任划分提供了明确指导和参照，澄江财政应以此为契机，积极推动澄江与上下级财政事权与支出责任划分改革，努力形成权责清晰、财力协调、区域均衡的财政关系；全面落实实施更大规模减税降费后调整中央与地方收入划分改革推进方案；研究建立稳定、可持续的地方税体系，加快实现现代化税收分配格局；完善预算管理制度，提高国有资本经营预算调入一般公共预算比例；加快建立全方位、全过程、全覆盖的预算绩效管理体系；积极推动国企改革。充分发挥地方积极性，促进财政体制科学合理调整。</w:t>
      </w:r>
    </w:p>
    <w:p>
      <w:pPr>
        <w:ind w:firstLine="562"/>
        <w:rPr>
          <w:b/>
          <w:bCs/>
        </w:rPr>
      </w:pPr>
      <w:r>
        <w:rPr>
          <w:rFonts w:hint="eastAsia"/>
          <w:b/>
          <w:bCs/>
        </w:rPr>
        <w:t>二是以强化财政风险管理为核心，促进债务利用与债务规模的统一。</w:t>
      </w:r>
      <w:r>
        <w:rPr>
          <w:rFonts w:hint="eastAsia"/>
        </w:rPr>
        <w:t>防范化解债务风险是澄江财政的重点任务之一。对于防范化解债务风险，首先要辩证地看待债务：一方面，债务水平和债务规模增速可控，就不会发生债务风险；另一方面，管好用好债务是防范化解债务风险最有效的手段；要以风险管理为核心，强化债务资金管理，建立规范和公开的债务管理模式。建立债务资金统筹使用长效机制，推进预算公开透明化进程，完善财政支出问责机制。做好政府债券借用还各项工作，健全债务风险预警机制，推动融资平台公司市场化转型，提高应对和处置本地区债务风险事件的能力。</w:t>
      </w:r>
    </w:p>
    <w:p>
      <w:pPr>
        <w:ind w:firstLine="562"/>
      </w:pPr>
      <w:r>
        <w:rPr>
          <w:rFonts w:hint="eastAsia"/>
          <w:b/>
          <w:bCs/>
        </w:rPr>
        <w:t>三是以推进新型财源建设为载体，铸牢财政可持续发展的产业基础。</w:t>
      </w:r>
      <w:r>
        <w:rPr>
          <w:rFonts w:hint="eastAsia"/>
        </w:rPr>
        <w:t>加强财源建设是增加地方财政收入、增强经济综合实力和提高社会公共服务能力的根本途径。促进经济总量的不断增长，是稳定财政收入来源的基础。以培育地方主体税种和财源培植为核心，主动服务和融入国内国际双循环，紧紧围绕建设“国际旅游城市、国际健康养生城市、国际会议中心城市”三个国际城市的目标，全面推进财源培植与建设，集中力量抓主导产业培育，构建“主导+传统+新兴”的产业体系，发展壮大以文化旅游业为核心的现代服务业为支柱产业，巩固提升磷化工、建筑建材、现代生态观光农业等传统优势产业，培育壮大健康养生、会议会展、体育运动、现代物流等新兴产业，形成具有澄江特色的现代产业和财源体系。</w:t>
      </w:r>
    </w:p>
    <w:p>
      <w:pPr>
        <w:ind w:firstLine="562"/>
        <w:rPr>
          <w:b/>
          <w:bCs/>
          <w:sz w:val="30"/>
          <w:szCs w:val="30"/>
        </w:rPr>
      </w:pPr>
      <w:r>
        <w:rPr>
          <w:rFonts w:hint="eastAsia"/>
          <w:b/>
          <w:bCs/>
        </w:rPr>
        <w:t>四是以实施全面绩效管理为抓手，确保财政运行效率的稳步提升。</w:t>
      </w:r>
      <w:r>
        <w:rPr>
          <w:rFonts w:hint="eastAsia"/>
        </w:rPr>
        <w:t>全面实施预算绩效管理是推进国家治理体系和治理能力现代化、优化财政资源配置、提升公共服务质量的关键举措。融合预算管理和绩效管理，逐步建立权责清晰、约束有力、全方位、全过程、全覆盖的预算绩效管理体系。以实施全面绩效管理为抓手，加强财政资金管理，提高财政资源配置效益，把预算管理重点从要求加大财政投入转到提高财政资金使用绩效上来，提高预算绩效管理的科学性和规范性，健全预算绩效管理工作机制，确保财政运行效率的稳步提升。</w:t>
      </w:r>
    </w:p>
    <w:p>
      <w:pPr>
        <w:pStyle w:val="3"/>
        <w:ind w:firstLine="602"/>
      </w:pPr>
      <w:bookmarkStart w:id="44" w:name="_Toc63005426"/>
      <w:bookmarkStart w:id="45" w:name="_Toc52057352"/>
      <w:r>
        <w:rPr>
          <w:rFonts w:hint="eastAsia"/>
        </w:rPr>
        <w:t>第六章  “十四五”财政发展主要任务</w:t>
      </w:r>
      <w:bookmarkEnd w:id="44"/>
      <w:bookmarkEnd w:id="45"/>
    </w:p>
    <w:p>
      <w:pPr>
        <w:ind w:firstLine="560"/>
      </w:pPr>
      <w:r>
        <w:rPr>
          <w:rFonts w:hint="eastAsia"/>
        </w:rPr>
        <w:t>“十四五”时期，围绕建设“国际旅游城市、国际健康养生城市、国际会议中心城市”的目标，澄江财政将全面建设高质量可持续发展现代财政，加大力度支持生态环保建设和构建具有澄江特色的“主导+传统+新兴”的现代产业体系和财源体系，持续支持基础设施建设夯实经济社会发展的基石，统筹城乡发展推动新型城镇化，全面发展和改善民生，保障重点领域支出，严格控制政府债务，防范化解财政风险，确保澄江财政高效稳定运行。</w:t>
      </w:r>
    </w:p>
    <w:p>
      <w:pPr>
        <w:pStyle w:val="4"/>
        <w:ind w:firstLine="562"/>
      </w:pPr>
      <w:bookmarkStart w:id="46" w:name="_Toc63005427"/>
      <w:r>
        <w:rPr>
          <w:rFonts w:hint="eastAsia"/>
        </w:rPr>
        <w:t>一、以财政高质量发展为目标，深化财政体制改革</w:t>
      </w:r>
      <w:bookmarkEnd w:id="46"/>
    </w:p>
    <w:p>
      <w:pPr>
        <w:pStyle w:val="5"/>
      </w:pPr>
      <w:r>
        <w:rPr>
          <w:rFonts w:hint="eastAsia"/>
        </w:rPr>
        <w:t>（一）理顺地方政府间财政事权与支出责任关系</w:t>
      </w:r>
    </w:p>
    <w:p>
      <w:pPr>
        <w:ind w:firstLine="562"/>
      </w:pPr>
      <w:r>
        <w:rPr>
          <w:rFonts w:hint="eastAsia"/>
          <w:b/>
          <w:bCs/>
        </w:rPr>
        <w:t>理顺政府事权范围和支出责任。</w:t>
      </w:r>
      <w:r>
        <w:rPr>
          <w:rFonts w:hint="eastAsia"/>
        </w:rPr>
        <w:t>财政事权和支出责任划分改革，是深化财税体制改革的重中之重，也是建设现代财政最难啃的“硬骨头”，随着近几年我国中央和地方财政事权和支出责任划分改革进展迅速，为省以下财政事权和支出责任划分提供了明确指导和参照，澄江财政应乘势而上，推动澄江与上下级财政事权与支出责任划分改革。</w:t>
      </w:r>
    </w:p>
    <w:p>
      <w:pPr>
        <w:ind w:firstLine="560"/>
      </w:pPr>
      <w:r>
        <w:rPr>
          <w:rFonts w:hint="eastAsia"/>
        </w:rPr>
        <w:t>全面落实省政府已印发领域财政事权与支出责任划分改革实施方案，配合推进其他领域财政事权与支出责任划分改革，尤其是生态环境领域省以下财政事权与支出责任划分，积极主动向上级反映澄江在生态领域事权与支出责任存在的困难。</w:t>
      </w:r>
    </w:p>
    <w:p>
      <w:pPr>
        <w:ind w:firstLine="562"/>
      </w:pPr>
      <w:r>
        <w:rPr>
          <w:rFonts w:hint="eastAsia"/>
          <w:b/>
          <w:bCs/>
        </w:rPr>
        <w:t>完善市对乡镇财政管理。</w:t>
      </w:r>
      <w:r>
        <w:rPr>
          <w:rFonts w:hint="eastAsia"/>
        </w:rPr>
        <w:t>在保持现有全市财力格局总体稳定前提下，完善市对乡镇财政管理，稳步提高乡镇财政保障水平。全面实施和完善财政税收增收奖励机制，充分调动乡镇立足自身、通过加强税收征管获得奖补资金，增强服务本地经济社会发展的能力。深化市、乡镇财政综合改革，更好发挥乡镇基层财政面向基层群众、落实民生政策、提供公共服务等方面职能，形成因地制宜、灵活有序、法治规范、公开透明、高效运转的市、乡镇财政管理新局面。</w:t>
      </w:r>
    </w:p>
    <w:p>
      <w:pPr>
        <w:pStyle w:val="5"/>
      </w:pPr>
      <w:r>
        <w:rPr>
          <w:rFonts w:hint="eastAsia"/>
        </w:rPr>
        <w:t>（二）深化财政管理改革，提高财政资金效益</w:t>
      </w:r>
    </w:p>
    <w:p>
      <w:pPr>
        <w:ind w:firstLine="562"/>
      </w:pPr>
      <w:r>
        <w:rPr>
          <w:rFonts w:hint="eastAsia"/>
          <w:b/>
          <w:bCs/>
        </w:rPr>
        <w:t>加快完善现代预算制度。</w:t>
      </w:r>
      <w:r>
        <w:rPr>
          <w:rFonts w:hint="eastAsia"/>
        </w:rPr>
        <w:t>深入学习修订后的《中华人民共和国预算法实施条例》（以下简称《实施条例》），严格执行预算法和《实施条例》，及时修订和清理与《实施条例》不一致的预算管理规章制度，确保规章制度依法合规。实行全口径预算管理，完整编制一般公共预算、政府性基金预算、国有资本经营预算、社会保险基金预算“四本预算”，政府的收支全部纳入预算管理中，不断推进四本预算的统筹协调，促进预算管理一体化。</w:t>
      </w:r>
    </w:p>
    <w:p>
      <w:pPr>
        <w:ind w:firstLine="562"/>
      </w:pPr>
      <w:r>
        <w:rPr>
          <w:rFonts w:hint="eastAsia"/>
          <w:b/>
          <w:bCs/>
        </w:rPr>
        <w:t>全面实施预算绩效管理。</w:t>
      </w:r>
      <w:r>
        <w:rPr>
          <w:rFonts w:hint="eastAsia"/>
          <w:bCs/>
        </w:rPr>
        <w:t>切实按照</w:t>
      </w:r>
      <w:r>
        <w:rPr>
          <w:rFonts w:hint="eastAsia"/>
        </w:rPr>
        <w:t>《中共中央国务院关于全面实施预算绩效管理的意见》的要求，融合预算管理和绩效管理，逐步建立权责清晰、约束有力、全方位、全过程、全覆盖的预算绩效管理体系。进一步强化绩效评价结果的运用和反馈，将绩效评价结果作为改进管理和编制以后年度预算的依据。进一步构建全方位预算绩效管理格局，健全预算绩效管理制度，强化预算绩效管理监督和约束。持续推进预算公开，不断扩大预算公开的范围、内容，建立制度化的预算公开程序。要推进中期财政规划管理改革，建立跨年度预算平衡机制。促进中期财政规划与预算绩效管理的深度融合。</w:t>
      </w:r>
    </w:p>
    <w:p>
      <w:pPr>
        <w:ind w:firstLine="562"/>
      </w:pPr>
      <w:r>
        <w:rPr>
          <w:rFonts w:hint="eastAsia"/>
          <w:b/>
          <w:bCs/>
        </w:rPr>
        <w:t>编好用好中期财政规划。</w:t>
      </w:r>
      <w:r>
        <w:rPr>
          <w:rFonts w:hint="eastAsia"/>
        </w:rPr>
        <w:t>中期财政规划是贯彻落实新</w:t>
      </w:r>
      <w:r>
        <w:rPr>
          <w:rFonts w:hint="eastAsia"/>
          <w:lang w:eastAsia="zh-CN"/>
        </w:rPr>
        <w:t>《中华人民共和国预算法》</w:t>
      </w:r>
      <w:r>
        <w:rPr>
          <w:rFonts w:hint="eastAsia"/>
        </w:rPr>
        <w:t>和深化财税体制改革的重要举措之一，对增强财政政策的前瞻性和财政可持续性，改进预算管理和控制，建立跨年度预算平衡机制都具有重要意义。中期财政规划的核心在于总量控制，需要不断强化三年滚动财政规划编制，强化跨期预算约束，做好滚动项目库建设。严格项目评审管理和滚动安排管理。通过项目库建设，一方面完善项目决策的科学性，另一方面通过项目库、中期财政规划、预算层层递进的关系来形成约束，提高项目预算编制质量，减少资金结转结余、沉淀脱节问题。</w:t>
      </w:r>
    </w:p>
    <w:p>
      <w:pPr>
        <w:ind w:firstLine="562"/>
      </w:pPr>
      <w:r>
        <w:rPr>
          <w:rFonts w:hint="eastAsia"/>
          <w:b/>
          <w:bCs/>
        </w:rPr>
        <w:t>健全完善政府采购制度。</w:t>
      </w:r>
      <w:r>
        <w:rPr>
          <w:rFonts w:hint="eastAsia"/>
        </w:rPr>
        <w:t>严格遵循“依法采购、优质服务、规范操作、廉洁高效”的服务宗旨和“重服务、重效率、重规范”的工作要求，认真细致地做好集中采购工作，不断推进政府采购规范化，持续强化政府采购监督管理，加强政府采购指导管理。加强政府采购信息公开，加强与采购人、交易中心和供应商的协调，主动与有采购需求的部门对接，督促各预算单位做好年度政府采购预算。</w:t>
      </w:r>
    </w:p>
    <w:p>
      <w:pPr>
        <w:ind w:firstLine="562"/>
      </w:pPr>
      <w:r>
        <w:rPr>
          <w:rFonts w:hint="eastAsia"/>
          <w:b/>
          <w:bCs/>
        </w:rPr>
        <w:t>创新发展财政投融资体系。</w:t>
      </w:r>
      <w:r>
        <w:rPr>
          <w:rFonts w:hint="eastAsia"/>
        </w:rPr>
        <w:t>在基础设施、科技等领域推进投融资体制改革，推进多元化投入机制建设。处理好政府与市场的关系，将政府投入集中于市场失灵和具有战略意义的领域，引导金融社会资本进入，给予各类投资主体平等地位。建立规范合理的政府项目投资机制，构建包含政府项目投资规划、论证、决策、执行和绩效评价的全过程的体制机制。拓宽融资的渠道，综合运用直接融资和间接融资手段，通过资产证券化、政府和社会资本合作（PPP）模式等融资方式，构建和完善PPP隐性债务风险分担合理机制。</w:t>
      </w:r>
    </w:p>
    <w:p>
      <w:pPr>
        <w:pStyle w:val="4"/>
        <w:ind w:firstLine="562"/>
      </w:pPr>
      <w:bookmarkStart w:id="47" w:name="_Toc63005428"/>
      <w:r>
        <w:rPr>
          <w:rFonts w:hint="eastAsia"/>
        </w:rPr>
        <w:t>二、以增进财政可持续性为重点，持续推进生态建设</w:t>
      </w:r>
      <w:bookmarkEnd w:id="47"/>
    </w:p>
    <w:p>
      <w:pPr>
        <w:pStyle w:val="5"/>
      </w:pPr>
      <w:r>
        <w:rPr>
          <w:rFonts w:hint="eastAsia"/>
        </w:rPr>
        <w:t>（一）支持巩固提升抚仙湖保护治理水平</w:t>
      </w:r>
    </w:p>
    <w:p>
      <w:pPr>
        <w:ind w:firstLine="560"/>
      </w:pPr>
      <w:r>
        <w:rPr>
          <w:rFonts w:hint="eastAsia"/>
        </w:rPr>
        <w:t>守护好抚仙湖，是事关澄江发展的千年大计，是第一政治要务。澄江财政要深入践行习近平生态文明思想，牢固树立“绿水青山就是金山银山”的理念，坚持规划引导、生态优先、科学治理、绿色发展、铁肩担当，以湖泊保护治理统领流域社会经济发展全局，紧紧围绕抚仙湖Ⅰ类水质保护目标，以构建抚仙湖流域健康水循环体系为核心，全面实现抚仙湖水资源平衡及可持续利用。深入开展抚仙湖生态流域系统保护治理，实施生态修复、截污治污、面源污染防治、河道整治、管理体系能力等项目建设，全面提升生态系统服务功能，推动流域生态环境持续改善，促进抚仙湖流域经济、社会、环境全面协调发展。</w:t>
      </w:r>
    </w:p>
    <w:p>
      <w:pPr>
        <w:ind w:firstLine="560"/>
      </w:pPr>
      <w:r>
        <w:rPr>
          <w:rFonts w:hint="eastAsia"/>
        </w:rPr>
        <w:t>全面</w:t>
      </w:r>
      <w:r>
        <w:rPr>
          <w:rFonts w:hint="eastAsia"/>
          <w:bCs/>
        </w:rPr>
        <w:t>做好抚仙湖保护治理资金保障：</w:t>
      </w:r>
      <w:r>
        <w:rPr>
          <w:rFonts w:hint="eastAsia"/>
        </w:rPr>
        <w:t>（1）争取国家和省级项目资金支持。抓好项目的前期工作，积极争取国家和省级项目资金支持，加强向中央、省级部门请示汇报，加强与国家财政部、发改委、环保部、水利部的沟通协调，积极按要求申请各部委对口中央资金，如生态环境部的水污染防治专项资金、山水林田湖草专项资金、农业农村部的农村环境综合整治专项资金等。（2）加大市县资金配套力度。加强市级、区县级财政资金配套力度，充分发挥投融资平台公司的作用，积极引导社会资本投入，健全投资回报机制，进一步完善吸引社会资本投入生态环境保护的市场化机制，试行环境污染第三方治理，积极探索环保工程如污水处理设施、垃圾与清运处置工程等市场化运作。采取发行企业债券、发行基金、资产证券化等进行融资，吸纳社会、企业、个人资金及外资投入流域生态环境保护工作中。（3）采取政府专项债券保障。对规划内符合条件的项目，积极申报发行政府专项债券支持。（4）建立流域生态补偿机制。积极探索和建立流域生态补偿机制，制定生态补偿政策，将生态补偿资金落到实处。强化水资源开发利用有偿制度建设，保证资金用于当地的生态恢复和污染治理。（5）吸引社会资金参与。在争取财政资金的同时，积极吸引环保企业或环保组织支持，大力吸引社会资金的加入，形成可持续发展的保护治理规划资金保障格局。进一步完善项目和资金管理制度，强化项目跟踪评估和绩效评价，提高资金使用效益，确保资金使用安全。</w:t>
      </w:r>
    </w:p>
    <w:p>
      <w:pPr>
        <w:pStyle w:val="5"/>
      </w:pPr>
      <w:r>
        <w:rPr>
          <w:rFonts w:hint="eastAsia"/>
        </w:rPr>
        <w:t>（二）加强生态功能区转移支付制度建设</w:t>
      </w:r>
    </w:p>
    <w:p>
      <w:pPr>
        <w:ind w:firstLine="560"/>
      </w:pPr>
      <w:r>
        <w:rPr>
          <w:rFonts w:hint="eastAsia"/>
        </w:rPr>
        <w:t>澄江财政面对严峻的生态保护形势，</w:t>
      </w:r>
      <w:r>
        <w:rPr>
          <w:rFonts w:hint="eastAsia"/>
          <w:bCs/>
        </w:rPr>
        <w:t>一方面，</w:t>
      </w:r>
      <w:r>
        <w:rPr>
          <w:rFonts w:hint="eastAsia"/>
        </w:rPr>
        <w:t>要严格按照财政部《国家重点生态功能区转移支付办法》、《云南省生态功能区财政转移支付办法》的规定管理使用资金。严格控制生态功能区转移支付资金的使用范围；优化生态功能区转移支付资金的管理和分配；加强生态功能区转移支付资金的监督与检查等方面的内容。</w:t>
      </w:r>
      <w:r>
        <w:rPr>
          <w:rFonts w:hint="eastAsia"/>
          <w:bCs/>
        </w:rPr>
        <w:t>另一方面，</w:t>
      </w:r>
      <w:r>
        <w:rPr>
          <w:rFonts w:hint="eastAsia"/>
        </w:rPr>
        <w:t>要如实积极的向上级反映现状和困难，积极向上级部门寻求加大对澄江生态功能区转移支付补助力度和均衡性转移支付补助；积极主动推动在财政事权与支出责任划分改革中，将抚仙湖生态环境保护治理投入部分纳入中央、省级事权，建立抚仙湖保护的长效投入机制；积极向上级部门寻求加大对山区生态环境保护工作的支持力度，不断改善农村生态环境。</w:t>
      </w:r>
    </w:p>
    <w:p>
      <w:pPr>
        <w:pStyle w:val="4"/>
        <w:ind w:firstLine="562"/>
      </w:pPr>
      <w:bookmarkStart w:id="48" w:name="_Toc63005429"/>
      <w:r>
        <w:rPr>
          <w:rFonts w:hint="eastAsia"/>
        </w:rPr>
        <w:t>三、以现代化产业体系建设为基础，全面推进财源培植与建设</w:t>
      </w:r>
      <w:bookmarkEnd w:id="48"/>
    </w:p>
    <w:p>
      <w:pPr>
        <w:pStyle w:val="5"/>
      </w:pPr>
      <w:r>
        <w:rPr>
          <w:rFonts w:hint="eastAsia"/>
        </w:rPr>
        <w:t>（一）加强现代基础设施，有效提升发展能力</w:t>
      </w:r>
    </w:p>
    <w:p>
      <w:pPr>
        <w:ind w:firstLine="560"/>
      </w:pPr>
      <w:r>
        <w:rPr>
          <w:rFonts w:hint="eastAsia"/>
        </w:rPr>
        <w:t>支持以 “两新一重”为抓手的基础设施建设和短板补齐，加快形成互联互通、功能配套、安全高效、保障有利的现代化基础设施和现代综合交通运输体系建设，夯实高质量发展基础。加快信息基础设施建设，实施5G网络全覆盖工程，打造“5G+”生态系统，助力智慧医疗、智慧交通、智慧旅游等民生服务和社会治理 5G 应用。统筹各种运输方式发展，继续加快公路基础设施建设，不断优化综合交通网络结构，着力加强城市和城乡交通运输方式的有效衔接。以全域、全流程、全生命周期“三全理念”为统领，加快完善配套工程，形成布局合理、时空均衡的区域性梯次水网。不断推进能源基础设施建设，加快能源转型升级、推动能源高质量发展。</w:t>
      </w:r>
    </w:p>
    <w:p>
      <w:pPr>
        <w:pStyle w:val="5"/>
      </w:pPr>
      <w:r>
        <w:rPr>
          <w:rFonts w:hint="eastAsia"/>
        </w:rPr>
        <w:t>（二）坚持以绿色为底色，构建现代产业体系</w:t>
      </w:r>
    </w:p>
    <w:p>
      <w:pPr>
        <w:ind w:firstLine="560"/>
      </w:pPr>
      <w:r>
        <w:rPr>
          <w:rFonts w:hint="eastAsia"/>
        </w:rPr>
        <w:t>“十四五”时期，澄江财政要围绕“三个国际城市”建设，加大财政投入，有效发挥财政的基础和支柱作用，创新财税支持体制机制，着力转变财政投入方式，充分体现财政资金的引导作用，通过简政放权、产业发展基金、税收优惠、园区转型升级、政府采购等经济调控措施推动产业结构优化，构建现代化产业体系。</w:t>
      </w:r>
    </w:p>
    <w:p>
      <w:pPr>
        <w:ind w:firstLine="562"/>
      </w:pPr>
      <w:r>
        <w:rPr>
          <w:rFonts w:hint="eastAsia"/>
          <w:b/>
        </w:rPr>
        <w:t>发展壮大以文化旅游业为核心的现代服务业。</w:t>
      </w:r>
      <w:r>
        <w:rPr>
          <w:rFonts w:hint="eastAsia"/>
        </w:rPr>
        <w:t>始终坚持旅游强市战略不动摇，推动旅游产业国际化、标准化、信息化建设，着力构建生态观光、休闲度假、健康疗养、户外运动、文化体验五大产品体系，提升旅游产品品质，全方位塑造国际知名旅游品牌。扩大有效供给，吸引高端人群，增加境外游客数量，延长停留时间，提升消费水平，增加外汇收入，使旅游业真正成为澄江市未来的支柱产业。</w:t>
      </w:r>
    </w:p>
    <w:p>
      <w:pPr>
        <w:ind w:firstLine="562"/>
      </w:pPr>
      <w:r>
        <w:rPr>
          <w:rFonts w:hint="eastAsia"/>
          <w:b/>
          <w:bCs/>
        </w:rPr>
        <w:t>大力培植康养和会议会展产业。</w:t>
      </w:r>
      <w:r>
        <w:rPr>
          <w:rFonts w:hint="eastAsia"/>
        </w:rPr>
        <w:t>把康养和会议会展作为支撑“三个国际城市”的重点产业，科学统筹、重点谋划，确保一批项目落地落实。加快抚仙湖国际健康旅游谷、中山大学澄江市医院等重点项目建设，大力引进国内外优质医疗资源，加快建设健康养生综合体，推动高端医疗、养老养生服务业加快发展，打造高端健康养生示范基地。不断推进大型会展及相关配套设施建设，加大招商引会力度，积极引进培育高端国际品牌展会，培育会展龙头企业，完善会展产业链，打造具有国际影响力的会展品牌。</w:t>
      </w:r>
    </w:p>
    <w:p>
      <w:pPr>
        <w:ind w:firstLine="562"/>
        <w:rPr>
          <w:b/>
        </w:rPr>
      </w:pPr>
      <w:r>
        <w:rPr>
          <w:rFonts w:hint="eastAsia"/>
          <w:b/>
        </w:rPr>
        <w:t>依托园区建设，巩固提升磷化工和建筑建材产业。</w:t>
      </w:r>
      <w:r>
        <w:rPr>
          <w:rFonts w:hint="eastAsia"/>
        </w:rPr>
        <w:t>支持打造澄江产业园区，以澄江工业园区“一园四片区”架构为基础，加快产业转型升级。支持以磷化工加工为主导产业，辅以新型建筑材料生产的东溪哨片区建设，支持发展特色食品加工产业及物流配套产业的蛟龙潭片区建设，支持作为轻型机械组装区和冷链物流区的提古片区建设，支持打造全国领先的新型建材生产及加工基地的牛场片区建设，优化澄江生产力空间布局。</w:t>
      </w:r>
    </w:p>
    <w:p>
      <w:pPr>
        <w:ind w:firstLine="562"/>
      </w:pPr>
      <w:r>
        <w:rPr>
          <w:rFonts w:hint="eastAsia"/>
          <w:b/>
          <w:bCs/>
        </w:rPr>
        <w:t>助力构建高原特色生态观光现代农业体系。</w:t>
      </w:r>
      <w:r>
        <w:rPr>
          <w:rFonts w:hint="eastAsia"/>
        </w:rPr>
        <w:t>围绕全国农村产业融合发展和农业供给侧结构性改革，以工业化理念谋划农业现代化，突出标准化、规模化、产业化、品牌化，推进“大产业+新主体+新平台”模式，加快农业产业结构调整，扩大蓝莓、荷藕等作物种植，大力发展生园经济等高原特色现代生态休闲观光农业。依托植被恢复项目，突出“一村一品、一地一景”，推进林旅融合发展。全面推行农产品质量和食品安全信息建设，实现食品安全可追湖体系全覆盖。加强与高校和科研机构合作，为农业产业提供技术支撑。</w:t>
      </w:r>
    </w:p>
    <w:p>
      <w:pPr>
        <w:ind w:firstLine="562"/>
      </w:pPr>
      <w:r>
        <w:rPr>
          <w:rFonts w:hint="eastAsia"/>
          <w:b/>
        </w:rPr>
        <w:t>开拓科技创新引领产业发展新思路。</w:t>
      </w:r>
      <w:r>
        <w:rPr>
          <w:rFonts w:hint="eastAsia"/>
        </w:rPr>
        <w:t>深入实施创新驱动发展战略，增强科技创新对产业发展的引领作用，强化企业技术创新投入的主体地位，支持和鼓励企业积极申报专利；鼓励企业建立技术研发机构，积极创建企业技术中心、工程（技术研究）中心、重点实验室、院士专家工作站等研发机构；支持企业建立产学研战略联盟，与高等院校、科研机构紧密合作，创建自主知识产权、自主品牌、自主创新、核心竞争力强的技术创新型企业。加快发展数字经济，支持 5G 技术、云计算、人工智能技术的推广运用，突出数字赋能，协同推进产业数字化、数字产业化，促进工业、农业、服务业数字化转型。</w:t>
      </w:r>
    </w:p>
    <w:p>
      <w:pPr>
        <w:pStyle w:val="5"/>
      </w:pPr>
      <w:r>
        <w:rPr>
          <w:rFonts w:hint="eastAsia"/>
        </w:rPr>
        <w:t>（三）以房地产行业为中心，培植建设支柱财源</w:t>
      </w:r>
    </w:p>
    <w:p>
      <w:pPr>
        <w:ind w:firstLine="560"/>
      </w:pPr>
      <w:r>
        <w:rPr>
          <w:rFonts w:hint="eastAsia"/>
        </w:rPr>
        <w:t>基于澄江目前税收来源主要依靠第三产业特别是以旅游房地产业为支撑的现实，以房地产业为中心，加强相关联税源建设与征收管理，真正建设具有支柱作用的稳定可持续的税收来源。</w:t>
      </w:r>
    </w:p>
    <w:p>
      <w:pPr>
        <w:ind w:firstLine="560"/>
        <w:rPr>
          <w:b/>
          <w:bCs/>
        </w:rPr>
      </w:pPr>
      <w:r>
        <w:rPr>
          <w:rFonts w:hint="eastAsia"/>
        </w:rPr>
        <w:t>一是加强本土建筑业培植与税收征管，减少工程建设项目税收外流。二是加强房地产行业培植与税收征管，督促房地产项目企业按规定办理产权证书。三是加强土地增值税清算力度，创新方式方法，加快土地增值税清算，确保土地增值税征收及时。</w:t>
      </w:r>
    </w:p>
    <w:p>
      <w:pPr>
        <w:pStyle w:val="5"/>
      </w:pPr>
      <w:r>
        <w:rPr>
          <w:rFonts w:hint="eastAsia"/>
        </w:rPr>
        <w:t>（四）统筹税收非税收入，完善地方税收体系</w:t>
      </w:r>
    </w:p>
    <w:p>
      <w:pPr>
        <w:ind w:firstLine="562"/>
      </w:pPr>
      <w:r>
        <w:rPr>
          <w:rFonts w:hint="eastAsia"/>
          <w:b/>
          <w:bCs/>
        </w:rPr>
        <w:t>一是强化税收征收管理，逐步提高税收收入比重。</w:t>
      </w:r>
      <w:r>
        <w:rPr>
          <w:rFonts w:hint="eastAsia"/>
        </w:rPr>
        <w:t>不断强化组织领导，切实压实各级各部门税收征管的责任，堵塞税收征管漏洞。加强常规税源征管，特别是加强对“批、零、住、餐”业的管理，堵住税收流失漏洞，确保常规各项税收应收尽收。重点抓好建筑业、房地产相关行业、交通运输业等行业的税收征管和土地增值税的征管。税务机关应当充分运用信息化手段建立多元化办税体系，创新税源管理方式，简化申报征收程序，为纳税人提供高效便捷的办税服务，提高税收征收率，降低纳税成本。完善税收监督。财政、审计、监察部门应当依法对税务机关组织收入、税收征管以及税收征管保障落实情况进行财政、审计和行政监督。建立健全社会监督机制，主动接受纳税人、新闻媒体和社会团体对税收执法的评议和监督，及时公开改进措施和反馈改进结果。</w:t>
      </w:r>
    </w:p>
    <w:p>
      <w:pPr>
        <w:ind w:firstLine="562"/>
        <w:rPr>
          <w:rFonts w:hAnsi="仿宋" w:cs="仿宋"/>
          <w:szCs w:val="28"/>
        </w:rPr>
      </w:pPr>
      <w:r>
        <w:rPr>
          <w:rFonts w:hint="eastAsia" w:hAnsi="仿宋" w:cs="仿宋"/>
          <w:b/>
          <w:bCs/>
          <w:szCs w:val="28"/>
        </w:rPr>
        <w:t>二是完善非税收入管理制度建设。</w:t>
      </w:r>
      <w:r>
        <w:rPr>
          <w:rFonts w:hint="eastAsia" w:hAnsi="仿宋" w:cs="仿宋"/>
          <w:szCs w:val="28"/>
        </w:rPr>
        <w:t>以健全和完善的规章制度为依据，以精干高效的非税管理机构和征管人员为保证，以方便、高效、实用的网络征管系统为工具，以加强和规范非税收入管理为中心，通过编制和执行完整的部门预算，对政府非税收入实行全面分类管理，逐步建立与公共财政相适应的政府非税收入管理体系，促进非税收入制度化、规范化管理。</w:t>
      </w:r>
    </w:p>
    <w:p>
      <w:pPr>
        <w:pStyle w:val="4"/>
        <w:ind w:firstLine="562"/>
      </w:pPr>
      <w:bookmarkStart w:id="49" w:name="_Toc63005430"/>
      <w:r>
        <w:rPr>
          <w:rFonts w:hint="eastAsia"/>
        </w:rPr>
        <w:t>四、以财政风险管理为核心，有效防范和化解财政风险</w:t>
      </w:r>
      <w:bookmarkEnd w:id="49"/>
    </w:p>
    <w:p>
      <w:pPr>
        <w:ind w:firstLine="560"/>
      </w:pPr>
      <w:r>
        <w:rPr>
          <w:rFonts w:hint="eastAsia"/>
        </w:rPr>
        <w:t>推进澄江财政高质量可持续发展要有风险思维。财政要重视预防和消解风险，提前建立财政“防火墙”和“安全网”，特别是要通过现代财政制度建设，提高财政韧性，提升化解风险的综合能力。</w:t>
      </w:r>
    </w:p>
    <w:p>
      <w:pPr>
        <w:pStyle w:val="5"/>
      </w:pPr>
      <w:r>
        <w:rPr>
          <w:rFonts w:hint="eastAsia"/>
        </w:rPr>
        <w:t>（一）全力防范化解政府债务风险</w:t>
      </w:r>
    </w:p>
    <w:p>
      <w:pPr>
        <w:ind w:firstLine="560"/>
      </w:pPr>
      <w:r>
        <w:rPr>
          <w:rFonts w:hint="eastAsia"/>
        </w:rPr>
        <w:t>短时间内，澄江财政高质量可持续发展面临的最大问题是债务风险。从2020年开始，澄江进入偿债高峰期，限额内政府债务到期本息及隐性债务偿还规模较大。积极防范化解政府性债务，是澄江财政“十四五”期间工作的重中之重。</w:t>
      </w:r>
      <w:r>
        <w:rPr>
          <w:rFonts w:hint="eastAsia"/>
          <w:b/>
          <w:bCs/>
        </w:rPr>
        <w:t>首先，要严格控制新增政府债务。</w:t>
      </w:r>
      <w:r>
        <w:rPr>
          <w:rFonts w:hint="eastAsia"/>
        </w:rPr>
        <w:t>严格将新增地方政府债务纳入预算，接受同级人大审查和监督，不能在预算之外举债。全面掌握和清理核查全市债务情况，从债务成因、发生时间、规模结构、项目方向、资产状况及偿债能力等方面进行清理统计，在厘清锁定债务基础上，实行政府中长期支出事项的归口管理，严格项目建设的审批及报备，严控债务增量。</w:t>
      </w:r>
      <w:r>
        <w:rPr>
          <w:rFonts w:hint="eastAsia"/>
          <w:b/>
          <w:bCs/>
        </w:rPr>
        <w:t>其次，要积极稳妥化解存量债务。</w:t>
      </w:r>
      <w:r>
        <w:rPr>
          <w:rFonts w:hint="eastAsia"/>
        </w:rPr>
        <w:t>将化解存量政府债务目标任务分解到各乡镇和部门，落实到具体项目，综合运用财政预算安排、资产证券化、处置国有资产等方式，逐年消化政府债务。</w:t>
      </w:r>
      <w:r>
        <w:rPr>
          <w:rFonts w:hint="eastAsia"/>
          <w:b/>
          <w:bCs/>
        </w:rPr>
        <w:t>最后，要着力构建债务管理和风险防控长效机制。</w:t>
      </w:r>
      <w:r>
        <w:rPr>
          <w:rFonts w:hint="eastAsia"/>
        </w:rPr>
        <w:t>整合现有闲置存量土地、资产资源，充分发挥资产资源的效益，保障政府存量债务及地方政府未来支出责任的履行。在全面掌握政府资产负债、政府债务还本付息和本地经济财政运行等情况的基础上，要根据债务率、新增债务率、偿债率、逾期债务率、或有债务代偿率等指标，及时分析和评估政府债务风险状况，建立和完善政府债务风险预警和应急处置机制。</w:t>
      </w:r>
    </w:p>
    <w:p>
      <w:pPr>
        <w:pStyle w:val="5"/>
      </w:pPr>
      <w:r>
        <w:rPr>
          <w:rFonts w:hint="eastAsia"/>
        </w:rPr>
        <w:t>（二）重点防范财政运行压力风险</w:t>
      </w:r>
    </w:p>
    <w:p>
      <w:pPr>
        <w:ind w:firstLine="560"/>
      </w:pPr>
      <w:r>
        <w:rPr>
          <w:rFonts w:hint="eastAsia"/>
        </w:rPr>
        <w:t>澄江财政运行压力主要来自于政策和外部环境变化引起减收因素增多、一次性收入逐年减少、财源建设滞后等财政收入缺乏可持续性压力；生态环保支出、“三保”支出等刚性支出增加压力。有限的财力与过多的支出责任使财政运行风险剧增，特别是抚仙湖生态环境保护任重道远，需要与可能的矛盾愈益突出。</w:t>
      </w:r>
    </w:p>
    <w:p>
      <w:pPr>
        <w:ind w:firstLine="562"/>
      </w:pPr>
      <w:r>
        <w:rPr>
          <w:rFonts w:hint="eastAsia"/>
          <w:b/>
          <w:bCs/>
        </w:rPr>
        <w:t>一是要兜牢兜实财政底线。</w:t>
      </w:r>
      <w:r>
        <w:rPr>
          <w:rFonts w:hint="eastAsia"/>
          <w:bCs/>
        </w:rPr>
        <w:t>抓好“六稳”“六保”工作，在疫情防控、减税降费、政府偿债、重点支出等多方压力下，坚持“三保”在财政支出中的优先顺序，扛实“三保”主体责任，努力兜住“三保”底线。</w:t>
      </w:r>
      <w:r>
        <w:rPr>
          <w:rFonts w:hint="eastAsia"/>
          <w:b/>
          <w:bCs/>
        </w:rPr>
        <w:t>二是要更加积极争取上级支持。</w:t>
      </w:r>
      <w:r>
        <w:rPr>
          <w:rFonts w:hint="eastAsia"/>
        </w:rPr>
        <w:t>积极研究各项扶持政策，加强与中央、省、市相关部门对接，积极争取上级资金支持我市以抚仙湖和帽天山保护为重点的生态建设和经济建设。</w:t>
      </w:r>
      <w:r>
        <w:rPr>
          <w:rFonts w:hint="eastAsia"/>
          <w:b/>
          <w:bCs/>
        </w:rPr>
        <w:t>三是进一步提高澄江经济社会发展效益和质量。</w:t>
      </w:r>
      <w:r>
        <w:rPr>
          <w:rFonts w:hint="eastAsia"/>
        </w:rPr>
        <w:t>经济社会发展产生的贡献是解决财政风险的根本之策，不仅可以增加税收收入反哺经济社会发展，还可以用发展成果来化解地方政府债务，实现澄江财政的高质量可持续发展。</w:t>
      </w:r>
    </w:p>
    <w:p>
      <w:pPr>
        <w:pStyle w:val="4"/>
        <w:ind w:firstLine="562"/>
      </w:pPr>
      <w:bookmarkStart w:id="50" w:name="_Toc63005431"/>
      <w:r>
        <w:rPr>
          <w:rFonts w:hint="eastAsia"/>
        </w:rPr>
        <w:t>五、以财政提质增效为主旨，助推各项社会事业跨越发展</w:t>
      </w:r>
      <w:bookmarkEnd w:id="50"/>
    </w:p>
    <w:p>
      <w:pPr>
        <w:pStyle w:val="5"/>
      </w:pPr>
      <w:r>
        <w:rPr>
          <w:rFonts w:hint="eastAsia"/>
        </w:rPr>
        <w:t>（一）坚持优先教育、科技、文化体育投入</w:t>
      </w:r>
    </w:p>
    <w:p>
      <w:pPr>
        <w:ind w:firstLine="562"/>
      </w:pPr>
      <w:r>
        <w:rPr>
          <w:rFonts w:hint="eastAsia"/>
          <w:b/>
        </w:rPr>
        <w:t>支持推动教育综合改革，</w:t>
      </w:r>
      <w:r>
        <w:rPr>
          <w:rFonts w:hint="eastAsia"/>
        </w:rPr>
        <w:t>加快推进教育现代化。持续提高教育质量，促进各类教育事业协调发展，持续推动优质教育均衡发展。深入实施教育教学质量提升工程，办好公平优质教育。普及优质学前教育，加强“一镇一公办、一村一幼”建设。提升农村教育质量，推进义务教育均衡发展和城乡一体化。推进职业与成人教育健康发展，增强职业教育竞争力。支持和规范民办教育发展。重视和支持民族教育和特殊教育发展。加强教育基础设施建设，强化教育信息化建设，发挥在线教育优势，完善终身学习体系，建设学习型社会，提升澄江教育水平。</w:t>
      </w:r>
    </w:p>
    <w:p>
      <w:pPr>
        <w:ind w:firstLine="562"/>
      </w:pPr>
      <w:r>
        <w:rPr>
          <w:rFonts w:hint="eastAsia"/>
          <w:b/>
          <w:bCs/>
        </w:rPr>
        <w:t>加大支持科技创新的力度，</w:t>
      </w:r>
      <w:r>
        <w:rPr>
          <w:rFonts w:hint="eastAsia"/>
        </w:rPr>
        <w:t>强化科技对经济社会发展的支撑和引领，特别是围绕抚仙湖流域生态建设，围绕发展高原特色生态观光农业，积极开展对技术研究、引进和创新的财政支持，强化对农业科技创新的财政支持。支持构建以企业为主体、市场为导向、产学研相结合的技术创新体系。鼓励企业建立技术研发机构，支持企业建立产学研战略联盟，创建自主知识产权、自主品牌、自主创新、核心竞争力强的技术创新型企业。支持科学技术普及，加大科普基础设施建设，提高公众科学素质。</w:t>
      </w:r>
    </w:p>
    <w:p>
      <w:pPr>
        <w:ind w:firstLine="562"/>
      </w:pPr>
      <w:r>
        <w:rPr>
          <w:rFonts w:hint="eastAsia"/>
          <w:b/>
          <w:bCs/>
        </w:rPr>
        <w:t>积极支持发展文化体育事业，</w:t>
      </w:r>
      <w:r>
        <w:rPr>
          <w:rFonts w:hint="eastAsia"/>
        </w:rPr>
        <w:t>加强社会主义精神文明建设，以中国梦和社会主义核心价值观凝聚发展共识。广泛弘扬和践行社会主义核心价值观，实施文明创建工程，完善志愿服务体系，推动全市新时代文明实践中心（站、所、点）全覆盖，提高社会文明程度，持续巩固全国文明城市创建成果。创新实施文化惠民工程，优化城乡文化资源配置，健全文化公共设施。着力加强文化遗产传承保护的支持。建强用好融媒体中心，强化对外宣传。推动文化事业繁荣发展。进一步完善公共体育场馆和健身设施，广泛开展全民健身运动。继续支持七彩云南全民健身基础设施工程建设，支持改善全县中小学校体育场地设施，支持打造以抚仙湖为中心的体育精品赛事的组织和市场开发，支持推进体育产业各门类和业态全面发展。</w:t>
      </w:r>
    </w:p>
    <w:p>
      <w:pPr>
        <w:pStyle w:val="5"/>
      </w:pPr>
      <w:r>
        <w:rPr>
          <w:rFonts w:hint="eastAsia"/>
        </w:rPr>
        <w:t>（二）重点支持健全公共卫生体系</w:t>
      </w:r>
    </w:p>
    <w:p>
      <w:pPr>
        <w:ind w:firstLine="560"/>
      </w:pPr>
      <w:r>
        <w:rPr>
          <w:rFonts w:hint="eastAsia"/>
        </w:rPr>
        <w:t>重视持续增加对公共卫生的财政投入，从根本上保障把公共卫生作为一项公益事业来做。提高对专业公共卫生机构和基层医疗机构的财政补助，使其维持收支平衡和有效运转，从根基上保障公共卫生事业的有序开展。强化财政对公共卫生人才资源的支持。夯实财政投入对公共卫生体系的科学研究支撑，提升重大传染病救治能力和疾控机构核心能力，健全应急响应及预警机制，完善医疗救治和物资保障体系，提高应对突发公共卫生事件能力。为公共卫生机构和该领域的新型研发机构搭建合作桥梁，提升公共卫生体系的综合实力。深入开展爱国卫生“七个专项行动”，提升国家卫生城市建设水平。</w:t>
      </w:r>
    </w:p>
    <w:p>
      <w:pPr>
        <w:pStyle w:val="5"/>
      </w:pPr>
      <w:r>
        <w:rPr>
          <w:rFonts w:hint="eastAsia"/>
        </w:rPr>
        <w:t>（三）全面助力提高社会保障水平</w:t>
      </w:r>
    </w:p>
    <w:p>
      <w:pPr>
        <w:ind w:firstLine="560"/>
      </w:pPr>
      <w:r>
        <w:rPr>
          <w:rFonts w:hint="eastAsia"/>
        </w:rPr>
        <w:t>支持加大社会保障投入力度，着力构建覆盖全民、统筹城乡、公平统一、可持续的多层次社会保障体系。深入推进全面参保计划，推进社保转移接续，实现基本养老保险全国统筹、基本医疗保险、失业保险、工伤保险省级接轨。健全重大疾病医疗保险和救助制度，优化异地就医直接结算，积极发展商业健康保险。健全灵活就业人员社保制度，落实渐进式延迟退休年龄政策。健全医疗保险稳定可持续筹资和报销比例调整机制，实行职工退休人员医保缴费参保政策。落实医保支付方式改革，整合城乡居民医保政策和经办管理，重视和支持帮扶中心建设。推动养老事业和养老产业协同发展，健全老年人、残疾人关爱服务体系。完善社会救助、住房保障、社会福利、慈善事业、优抚安置等制度，全面提升社会保障能力。</w:t>
      </w:r>
    </w:p>
    <w:p>
      <w:pPr>
        <w:pStyle w:val="5"/>
      </w:pPr>
      <w:r>
        <w:rPr>
          <w:rFonts w:hint="eastAsia"/>
        </w:rPr>
        <w:t>（四）千方百计支持就业创业工作</w:t>
      </w:r>
    </w:p>
    <w:p>
      <w:pPr>
        <w:ind w:firstLine="560"/>
      </w:pPr>
      <w:r>
        <w:rPr>
          <w:rFonts w:hint="eastAsia"/>
        </w:rPr>
        <w:t>把稳定和扩大就业摆在更加突出的位置，积极支持实施就业优先战略和积极就业政策。高标准建设“双创”示范基地，加大“贷免扶补”、创业担保贷款等政策帮扶力度，鼓励引导自主创业。健全就业公共服务体系，着力解决结构性就业矛盾，加强重点群体就业工作。着力解决就业信息不对称问题，全力解决抚仙湖径流区土地流转区域农村劳动力转移就业，加强农村劳动力转移培训，更新维护农村劳动力转移就业信息系统，为劳动力转移就业提供精准服务。加强专项职业教育、继续教育、技能培训和创业培训，提升劳动者技能素质。加强农村居民择业观念和就业形势宣传教育，引导农村居民树立正确就业观念。鼓励抚仙湖保护重大工程和基础设施建设项目就近吸纳农村劳动力。强化就业服务，建立农村劳动力对象、用工需求、政府公益性岗位“三张清单”，构建一体化服务平台，促进土地流转家庭、零就业家庭、最低生活保障家庭就业。</w:t>
      </w:r>
    </w:p>
    <w:p>
      <w:pPr>
        <w:widowControl/>
        <w:spacing w:line="240" w:lineRule="auto"/>
        <w:ind w:firstLine="0" w:firstLineChars="0"/>
        <w:jc w:val="left"/>
      </w:pPr>
      <w:r>
        <w:br w:type="page"/>
      </w:r>
    </w:p>
    <w:p>
      <w:pPr>
        <w:pStyle w:val="2"/>
        <w:ind w:firstLine="643"/>
      </w:pPr>
      <w:bookmarkStart w:id="51" w:name="_Toc517186589"/>
      <w:bookmarkStart w:id="52" w:name="_Toc63005432"/>
      <w:bookmarkStart w:id="53" w:name="_Toc52057353"/>
      <w:bookmarkStart w:id="54" w:name="_Toc52057355"/>
      <w:bookmarkStart w:id="55" w:name="_Toc517186595"/>
      <w:bookmarkStart w:id="56" w:name="_Toc454462771"/>
      <w:r>
        <w:rPr>
          <w:rFonts w:hint="eastAsia"/>
        </w:rPr>
        <w:t>第三篇  收支预测与规划安排</w:t>
      </w:r>
      <w:bookmarkEnd w:id="51"/>
      <w:bookmarkEnd w:id="52"/>
      <w:bookmarkEnd w:id="53"/>
    </w:p>
    <w:p>
      <w:pPr>
        <w:pStyle w:val="3"/>
        <w:ind w:firstLine="602"/>
      </w:pPr>
      <w:bookmarkStart w:id="57" w:name="_Toc517186590"/>
      <w:bookmarkStart w:id="58" w:name="_Toc63005433"/>
      <w:bookmarkStart w:id="59" w:name="_Toc52057354"/>
      <w:r>
        <w:rPr>
          <w:rFonts w:hint="eastAsia"/>
        </w:rPr>
        <w:t>第七章</w:t>
      </w:r>
      <w:r>
        <w:t xml:space="preserve">  </w:t>
      </w:r>
      <w:r>
        <w:rPr>
          <w:rFonts w:hint="eastAsia"/>
        </w:rPr>
        <w:t>地方可用财力预测</w:t>
      </w:r>
      <w:bookmarkEnd w:id="57"/>
      <w:bookmarkEnd w:id="58"/>
      <w:bookmarkEnd w:id="59"/>
    </w:p>
    <w:p>
      <w:pPr>
        <w:ind w:firstLine="560"/>
      </w:pPr>
      <w:r>
        <w:rPr>
          <w:rFonts w:hint="eastAsia"/>
        </w:rPr>
        <w:t>地方可用财力是地方政府用于经济社会发展的可支配财政资金之和，主要包括地方一般公共预算收入中的税收收入、非税收入和上级补助收入，政府性基金收入，社会保险基金收入，国有资本经营预算收入</w:t>
      </w:r>
      <w:r>
        <w:rPr>
          <w:rFonts w:hint="eastAsia"/>
          <w:vertAlign w:val="superscript"/>
        </w:rPr>
        <w:footnoteReference w:id="8"/>
      </w:r>
      <w:r>
        <w:rPr>
          <w:rFonts w:hint="eastAsia"/>
        </w:rPr>
        <w:t>和地方政府债务收入等。</w:t>
      </w:r>
    </w:p>
    <w:p>
      <w:pPr>
        <w:pStyle w:val="4"/>
        <w:ind w:firstLine="562"/>
      </w:pPr>
      <w:bookmarkStart w:id="60" w:name="_Toc63005434"/>
      <w:bookmarkStart w:id="61" w:name="_Toc517186591"/>
      <w:r>
        <w:rPr>
          <w:rFonts w:hint="eastAsia"/>
        </w:rPr>
        <w:t>一、测算的模型与方法</w:t>
      </w:r>
      <w:bookmarkEnd w:id="60"/>
      <w:bookmarkEnd w:id="61"/>
    </w:p>
    <w:p>
      <w:pPr>
        <w:ind w:firstLine="560"/>
        <w:rPr>
          <w:b/>
        </w:rPr>
      </w:pPr>
      <w:r>
        <w:rPr>
          <w:rFonts w:hint="eastAsia"/>
        </w:rPr>
        <w:t>本章节采用了灰色模型进对地方可用财力的各项收入进行预测。地方可用财力在一定程度上决定了地方政府的支出规模及履行政府职能的边界，但由于地方可用财力的构成复杂多样，其影响可用财力的因素众多并且相互交织互相影响，难以全部掌握并考虑在内。因此，将保留主要构成部分和影响因素，剔除不可控因素。综上，决定采用灰色预测法建立GM（1，1）模型，对澄江市未来五年可用财力的各项指标变动进行预测。灰色预测法是一种预测灰色系统的预测方法，通过鉴别系统因素之间发展趋势的相异程度，即进行关联分析，并对原始数据进行生成处理来寻找系统变动的规律，生成有较强规律性的数据序列，然后建立相应的微分方程模型，从而预测事物未来发展趋势的状况，灰色系统理论可用来解决小样本的信息不完备系统的复杂问题。主要步骤为：（1）根据GM(1，1) 模型原理，同时借助程序的便捷性和效率性，运用GM(1，1) 模型和MATLAB算法，得到各年预测值；（2）根据相对误差检验、后验差比值及关联度检验对预测结果进行精度评判。当小误差概率检验P值&gt;0.95且方差比检验C值&lt;0.35时说明建立的灰色预测模型通过检验。当小误差概率检验P值&lt;0.95但&gt;0.8，方差比检验C值&gt;0.35但&lt;0.5时说明建立的灰色预测模型检验合格。</w:t>
      </w:r>
    </w:p>
    <w:p>
      <w:pPr>
        <w:pStyle w:val="4"/>
        <w:ind w:firstLine="562"/>
      </w:pPr>
      <w:bookmarkStart w:id="62" w:name="_Toc63005435"/>
      <w:bookmarkStart w:id="63" w:name="_Toc517186592"/>
      <w:r>
        <w:rPr>
          <w:rFonts w:hint="eastAsia"/>
        </w:rPr>
        <w:t>二、一般公共预算收入</w:t>
      </w:r>
      <w:bookmarkEnd w:id="62"/>
      <w:bookmarkEnd w:id="63"/>
    </w:p>
    <w:p>
      <w:pPr>
        <w:pStyle w:val="5"/>
      </w:pPr>
      <w:r>
        <w:rPr>
          <w:rFonts w:hint="eastAsia"/>
        </w:rPr>
        <w:t>（一）一般公共预算本级收入</w:t>
      </w:r>
      <w:r>
        <w:rPr>
          <w:vertAlign w:val="superscript"/>
        </w:rPr>
        <w:footnoteReference w:id="9"/>
      </w:r>
    </w:p>
    <w:p>
      <w:pPr>
        <w:ind w:firstLine="560"/>
      </w:pPr>
      <w:r>
        <w:rPr>
          <w:rFonts w:hint="eastAsia"/>
        </w:rPr>
        <w:t>“十三五”期间，澄江一般公共预算收入年均增速为7.25%，且近三年内增速逐渐放缓，2018年、2019年、2020年各年度增速分别为8.61%、-3.10%、-13.68%。综合考虑“十三五”期间澄江市各年度一般公共预算收入数据分析结果和未来五年宏观经济形势及国家宏观调控政策走向，预计澄江市未来五年一般公共预算收入增速相比“十三五”期间会有所下降，保持在5%～8%之间，“十四五”一般公共预算收入规模累计可达到46.17亿元～50.42亿元。其中， 2021-2025各年度预计分别完成一般公共预算收入8.3亿元、8.9亿元、9.5亿元、10.0亿元、10.6亿元。</w:t>
      </w:r>
    </w:p>
    <w:p>
      <w:pPr>
        <w:spacing w:line="240" w:lineRule="auto"/>
        <w:ind w:left="280" w:right="280" w:firstLine="482" w:firstLineChars="0"/>
        <w:jc w:val="center"/>
        <w:rPr>
          <w:b/>
          <w:sz w:val="24"/>
          <w:szCs w:val="24"/>
        </w:rPr>
      </w:pPr>
      <w:r>
        <w:rPr>
          <w:rFonts w:hint="eastAsia"/>
          <w:b/>
          <w:sz w:val="24"/>
          <w:szCs w:val="24"/>
        </w:rPr>
        <w:t>表7-1：澄江市“十四五”一般公共预算本级收入指标预测</w:t>
      </w:r>
    </w:p>
    <w:tbl>
      <w:tblPr>
        <w:tblStyle w:val="23"/>
        <w:tblW w:w="80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134"/>
        <w:gridCol w:w="1647"/>
        <w:gridCol w:w="2010"/>
        <w:gridCol w:w="18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gridSpan w:val="2"/>
            <w:vAlign w:val="center"/>
          </w:tcPr>
          <w:p>
            <w:pPr>
              <w:spacing w:line="240" w:lineRule="auto"/>
              <w:ind w:left="98" w:leftChars="35" w:right="280" w:firstLine="198" w:firstLineChars="94"/>
              <w:jc w:val="center"/>
              <w:rPr>
                <w:b/>
                <w:sz w:val="21"/>
                <w:szCs w:val="21"/>
              </w:rPr>
            </w:pPr>
            <w:r>
              <w:rPr>
                <w:rFonts w:hint="eastAsia"/>
                <w:b/>
                <w:sz w:val="21"/>
                <w:szCs w:val="21"/>
              </w:rPr>
              <w:t>指  标</w:t>
            </w:r>
          </w:p>
        </w:tc>
        <w:tc>
          <w:tcPr>
            <w:tcW w:w="1647" w:type="dxa"/>
            <w:vAlign w:val="center"/>
          </w:tcPr>
          <w:p>
            <w:pPr>
              <w:spacing w:line="240" w:lineRule="auto"/>
              <w:ind w:right="280" w:firstLine="0" w:firstLineChars="0"/>
              <w:jc w:val="center"/>
              <w:rPr>
                <w:b/>
                <w:sz w:val="21"/>
                <w:szCs w:val="21"/>
              </w:rPr>
            </w:pPr>
            <w:r>
              <w:rPr>
                <w:rFonts w:hint="eastAsia"/>
                <w:b/>
                <w:sz w:val="21"/>
                <w:szCs w:val="21"/>
              </w:rPr>
              <w:t>“十三五”期间基数</w:t>
            </w:r>
          </w:p>
        </w:tc>
        <w:tc>
          <w:tcPr>
            <w:tcW w:w="2010" w:type="dxa"/>
            <w:vAlign w:val="center"/>
          </w:tcPr>
          <w:p>
            <w:pPr>
              <w:spacing w:line="240" w:lineRule="auto"/>
              <w:ind w:right="280" w:firstLine="0" w:firstLineChars="0"/>
              <w:jc w:val="center"/>
              <w:rPr>
                <w:b/>
                <w:sz w:val="21"/>
                <w:szCs w:val="21"/>
              </w:rPr>
            </w:pPr>
            <w:r>
              <w:rPr>
                <w:rFonts w:hint="eastAsia"/>
                <w:b/>
                <w:sz w:val="21"/>
                <w:szCs w:val="21"/>
              </w:rPr>
              <w:t>“十四五”</w:t>
            </w:r>
          </w:p>
          <w:p>
            <w:pPr>
              <w:spacing w:line="240" w:lineRule="auto"/>
              <w:ind w:right="280" w:firstLine="0" w:firstLineChars="0"/>
              <w:jc w:val="center"/>
              <w:rPr>
                <w:b/>
                <w:sz w:val="21"/>
                <w:szCs w:val="21"/>
              </w:rPr>
            </w:pPr>
            <w:r>
              <w:rPr>
                <w:rFonts w:hint="eastAsia"/>
                <w:b/>
                <w:sz w:val="21"/>
                <w:szCs w:val="21"/>
              </w:rPr>
              <w:t>数据预测</w:t>
            </w:r>
          </w:p>
        </w:tc>
        <w:tc>
          <w:tcPr>
            <w:tcW w:w="1822" w:type="dxa"/>
            <w:vAlign w:val="center"/>
          </w:tcPr>
          <w:p>
            <w:pPr>
              <w:spacing w:line="240" w:lineRule="auto"/>
              <w:ind w:right="280" w:firstLine="0" w:firstLineChars="0"/>
              <w:jc w:val="center"/>
              <w:rPr>
                <w:b/>
                <w:sz w:val="21"/>
                <w:szCs w:val="21"/>
              </w:rPr>
            </w:pPr>
            <w:r>
              <w:rPr>
                <w:rFonts w:hint="eastAsia"/>
                <w:b/>
                <w:sz w:val="21"/>
                <w:szCs w:val="21"/>
              </w:rPr>
              <w:t>2025年</w:t>
            </w:r>
          </w:p>
          <w:p>
            <w:pPr>
              <w:spacing w:line="240" w:lineRule="auto"/>
              <w:ind w:right="280" w:firstLine="0" w:firstLineChars="0"/>
              <w:jc w:val="center"/>
              <w:rPr>
                <w:b/>
                <w:sz w:val="21"/>
                <w:szCs w:val="21"/>
              </w:rPr>
            </w:pPr>
            <w:r>
              <w:rPr>
                <w:rFonts w:hint="eastAsia"/>
                <w:b/>
                <w:sz w:val="21"/>
                <w:szCs w:val="21"/>
              </w:rPr>
              <w:t>目标值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427" w:type="dxa"/>
            <w:vMerge w:val="restart"/>
            <w:vAlign w:val="center"/>
          </w:tcPr>
          <w:p>
            <w:pPr>
              <w:spacing w:line="240" w:lineRule="auto"/>
              <w:ind w:right="280" w:firstLine="0" w:firstLineChars="0"/>
              <w:jc w:val="center"/>
              <w:rPr>
                <w:b/>
                <w:sz w:val="21"/>
                <w:szCs w:val="21"/>
              </w:rPr>
            </w:pPr>
            <w:r>
              <w:rPr>
                <w:rFonts w:hint="eastAsia"/>
                <w:b/>
                <w:sz w:val="21"/>
                <w:szCs w:val="21"/>
              </w:rPr>
              <w:t>一般公共预算本级收入</w:t>
            </w:r>
          </w:p>
        </w:tc>
        <w:tc>
          <w:tcPr>
            <w:tcW w:w="1134" w:type="dxa"/>
            <w:vAlign w:val="center"/>
          </w:tcPr>
          <w:p>
            <w:pPr>
              <w:spacing w:line="240" w:lineRule="auto"/>
              <w:ind w:right="280" w:firstLine="0" w:firstLineChars="0"/>
              <w:jc w:val="center"/>
              <w:rPr>
                <w:b/>
                <w:sz w:val="21"/>
                <w:szCs w:val="21"/>
              </w:rPr>
            </w:pPr>
            <w:r>
              <w:rPr>
                <w:rFonts w:hint="eastAsia"/>
                <w:b/>
                <w:sz w:val="21"/>
                <w:szCs w:val="21"/>
              </w:rPr>
              <w:t>增速</w:t>
            </w:r>
          </w:p>
        </w:tc>
        <w:tc>
          <w:tcPr>
            <w:tcW w:w="1647" w:type="dxa"/>
            <w:vAlign w:val="center"/>
          </w:tcPr>
          <w:p>
            <w:pPr>
              <w:widowControl/>
              <w:spacing w:line="240" w:lineRule="auto"/>
              <w:ind w:firstLine="0" w:firstLineChars="0"/>
              <w:jc w:val="center"/>
              <w:textAlignment w:val="center"/>
              <w:rPr>
                <w:rFonts w:ascii="宋体" w:hAnsi="宋体" w:eastAsia="宋体" w:cs="宋体"/>
                <w:b/>
                <w:sz w:val="21"/>
                <w:szCs w:val="21"/>
              </w:rPr>
            </w:pPr>
            <w:r>
              <w:rPr>
                <w:rFonts w:hint="eastAsia"/>
                <w:b/>
                <w:kern w:val="0"/>
                <w:sz w:val="21"/>
                <w:szCs w:val="21"/>
              </w:rPr>
              <w:t>年均7.25%</w:t>
            </w:r>
          </w:p>
        </w:tc>
        <w:tc>
          <w:tcPr>
            <w:tcW w:w="2010" w:type="dxa"/>
            <w:vAlign w:val="center"/>
          </w:tcPr>
          <w:p>
            <w:pPr>
              <w:spacing w:line="240" w:lineRule="auto"/>
              <w:ind w:right="280" w:firstLine="0" w:firstLineChars="0"/>
              <w:jc w:val="center"/>
              <w:rPr>
                <w:b/>
                <w:sz w:val="21"/>
                <w:szCs w:val="21"/>
              </w:rPr>
            </w:pPr>
            <w:r>
              <w:rPr>
                <w:rFonts w:hint="eastAsia"/>
                <w:b/>
                <w:kern w:val="0"/>
                <w:sz w:val="21"/>
                <w:szCs w:val="21"/>
              </w:rPr>
              <w:t>年均5%</w:t>
            </w:r>
            <w:r>
              <w:rPr>
                <w:rFonts w:hint="eastAsia"/>
                <w:b/>
                <w:sz w:val="21"/>
                <w:szCs w:val="21"/>
              </w:rPr>
              <w:t>～</w:t>
            </w:r>
            <w:r>
              <w:rPr>
                <w:rFonts w:hint="eastAsia"/>
                <w:b/>
                <w:kern w:val="0"/>
                <w:sz w:val="21"/>
                <w:szCs w:val="21"/>
              </w:rPr>
              <w:t>8%</w:t>
            </w:r>
          </w:p>
        </w:tc>
        <w:tc>
          <w:tcPr>
            <w:tcW w:w="1822" w:type="dxa"/>
            <w:vAlign w:val="center"/>
          </w:tcPr>
          <w:p>
            <w:pPr>
              <w:spacing w:line="240" w:lineRule="auto"/>
              <w:ind w:right="280" w:firstLine="0" w:firstLineChars="0"/>
              <w:jc w:val="center"/>
              <w:rPr>
                <w:b/>
                <w:sz w:val="21"/>
                <w:szCs w:val="21"/>
              </w:rPr>
            </w:pPr>
            <w:r>
              <w:rPr>
                <w:rFonts w:hint="eastAsia"/>
                <w:b/>
                <w:kern w:val="0"/>
                <w:sz w:val="21"/>
                <w:szCs w:val="21"/>
              </w:rPr>
              <w:t>6.07%左右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427" w:type="dxa"/>
            <w:vMerge w:val="continue"/>
            <w:vAlign w:val="center"/>
          </w:tcPr>
          <w:p>
            <w:pPr>
              <w:widowControl/>
              <w:spacing w:line="240" w:lineRule="auto"/>
              <w:ind w:firstLine="0" w:firstLineChars="0"/>
              <w:jc w:val="center"/>
              <w:rPr>
                <w:b/>
                <w:sz w:val="21"/>
                <w:szCs w:val="21"/>
              </w:rPr>
            </w:pPr>
          </w:p>
        </w:tc>
        <w:tc>
          <w:tcPr>
            <w:tcW w:w="1134" w:type="dxa"/>
            <w:vAlign w:val="center"/>
          </w:tcPr>
          <w:p>
            <w:pPr>
              <w:spacing w:line="240" w:lineRule="auto"/>
              <w:ind w:right="280" w:firstLine="0" w:firstLineChars="0"/>
              <w:jc w:val="center"/>
              <w:rPr>
                <w:b/>
                <w:sz w:val="21"/>
                <w:szCs w:val="21"/>
              </w:rPr>
            </w:pPr>
            <w:r>
              <w:rPr>
                <w:rFonts w:hint="eastAsia"/>
                <w:b/>
                <w:sz w:val="21"/>
                <w:szCs w:val="21"/>
              </w:rPr>
              <w:t>总规模</w:t>
            </w:r>
          </w:p>
        </w:tc>
        <w:tc>
          <w:tcPr>
            <w:tcW w:w="1647" w:type="dxa"/>
            <w:vAlign w:val="center"/>
          </w:tcPr>
          <w:p>
            <w:pPr>
              <w:spacing w:line="240" w:lineRule="auto"/>
              <w:ind w:right="280" w:firstLine="0" w:firstLineChars="0"/>
              <w:jc w:val="center"/>
              <w:rPr>
                <w:b/>
                <w:kern w:val="0"/>
                <w:sz w:val="21"/>
                <w:szCs w:val="21"/>
              </w:rPr>
            </w:pPr>
            <w:r>
              <w:rPr>
                <w:rFonts w:hint="eastAsia"/>
                <w:b/>
                <w:kern w:val="0"/>
                <w:sz w:val="21"/>
                <w:szCs w:val="21"/>
              </w:rPr>
              <w:t>42.78亿元</w:t>
            </w:r>
          </w:p>
        </w:tc>
        <w:tc>
          <w:tcPr>
            <w:tcW w:w="2010" w:type="dxa"/>
            <w:vAlign w:val="center"/>
          </w:tcPr>
          <w:p>
            <w:pPr>
              <w:spacing w:line="240" w:lineRule="auto"/>
              <w:ind w:right="280" w:firstLine="0" w:firstLineChars="0"/>
              <w:jc w:val="center"/>
              <w:rPr>
                <w:b/>
                <w:sz w:val="21"/>
                <w:szCs w:val="21"/>
              </w:rPr>
            </w:pPr>
            <w:r>
              <w:rPr>
                <w:rFonts w:hint="eastAsia"/>
                <w:b/>
                <w:sz w:val="21"/>
                <w:szCs w:val="21"/>
              </w:rPr>
              <w:t>46.17亿元</w:t>
            </w:r>
          </w:p>
          <w:p>
            <w:pPr>
              <w:spacing w:line="240" w:lineRule="auto"/>
              <w:ind w:left="98" w:leftChars="35" w:right="280" w:firstLine="0" w:firstLineChars="0"/>
              <w:jc w:val="center"/>
              <w:rPr>
                <w:b/>
                <w:sz w:val="21"/>
                <w:szCs w:val="21"/>
              </w:rPr>
            </w:pPr>
            <w:r>
              <w:rPr>
                <w:rFonts w:hint="eastAsia"/>
                <w:b/>
                <w:sz w:val="21"/>
                <w:szCs w:val="21"/>
              </w:rPr>
              <w:t>～50.42亿元</w:t>
            </w:r>
          </w:p>
        </w:tc>
        <w:tc>
          <w:tcPr>
            <w:tcW w:w="1822" w:type="dxa"/>
            <w:vAlign w:val="center"/>
          </w:tcPr>
          <w:p>
            <w:pPr>
              <w:spacing w:line="240" w:lineRule="auto"/>
              <w:ind w:right="280" w:firstLine="0" w:firstLineChars="0"/>
              <w:jc w:val="center"/>
              <w:rPr>
                <w:b/>
                <w:sz w:val="21"/>
                <w:szCs w:val="21"/>
              </w:rPr>
            </w:pPr>
            <w:r>
              <w:rPr>
                <w:rFonts w:hint="eastAsia"/>
                <w:b/>
                <w:kern w:val="0"/>
                <w:sz w:val="21"/>
                <w:szCs w:val="21"/>
              </w:rPr>
              <w:t>10.67亿元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27" w:type="dxa"/>
            <w:vMerge w:val="restart"/>
            <w:vAlign w:val="center"/>
          </w:tcPr>
          <w:p>
            <w:pPr>
              <w:spacing w:line="240" w:lineRule="auto"/>
              <w:ind w:left="280" w:right="280" w:firstLine="0" w:firstLineChars="0"/>
              <w:jc w:val="center"/>
              <w:rPr>
                <w:b/>
                <w:sz w:val="21"/>
                <w:szCs w:val="21"/>
              </w:rPr>
            </w:pPr>
            <w:r>
              <w:rPr>
                <w:rFonts w:hint="eastAsia"/>
                <w:b/>
                <w:sz w:val="21"/>
                <w:szCs w:val="21"/>
              </w:rPr>
              <w:t>税收收入</w:t>
            </w:r>
          </w:p>
        </w:tc>
        <w:tc>
          <w:tcPr>
            <w:tcW w:w="1134" w:type="dxa"/>
            <w:vAlign w:val="center"/>
          </w:tcPr>
          <w:p>
            <w:pPr>
              <w:spacing w:line="240" w:lineRule="auto"/>
              <w:ind w:right="280" w:firstLine="0" w:firstLineChars="0"/>
              <w:jc w:val="center"/>
              <w:rPr>
                <w:b/>
                <w:sz w:val="21"/>
                <w:szCs w:val="21"/>
              </w:rPr>
            </w:pPr>
            <w:r>
              <w:rPr>
                <w:rFonts w:hint="eastAsia"/>
                <w:b/>
                <w:sz w:val="21"/>
                <w:szCs w:val="21"/>
              </w:rPr>
              <w:t>增速</w:t>
            </w:r>
          </w:p>
        </w:tc>
        <w:tc>
          <w:tcPr>
            <w:tcW w:w="1647" w:type="dxa"/>
            <w:vAlign w:val="center"/>
          </w:tcPr>
          <w:p>
            <w:pPr>
              <w:spacing w:line="240" w:lineRule="auto"/>
              <w:ind w:right="280" w:firstLine="0" w:firstLineChars="0"/>
              <w:jc w:val="center"/>
              <w:rPr>
                <w:b/>
                <w:kern w:val="0"/>
                <w:sz w:val="21"/>
                <w:szCs w:val="21"/>
              </w:rPr>
            </w:pPr>
            <w:r>
              <w:rPr>
                <w:rFonts w:hint="eastAsia"/>
                <w:b/>
                <w:kern w:val="0"/>
                <w:sz w:val="21"/>
                <w:szCs w:val="21"/>
              </w:rPr>
              <w:t>年均10.52%</w:t>
            </w:r>
          </w:p>
        </w:tc>
        <w:tc>
          <w:tcPr>
            <w:tcW w:w="2010" w:type="dxa"/>
            <w:vAlign w:val="center"/>
          </w:tcPr>
          <w:p>
            <w:pPr>
              <w:spacing w:line="240" w:lineRule="auto"/>
              <w:ind w:right="280" w:firstLine="0" w:firstLineChars="0"/>
              <w:jc w:val="center"/>
              <w:rPr>
                <w:b/>
                <w:sz w:val="21"/>
                <w:szCs w:val="21"/>
              </w:rPr>
            </w:pPr>
            <w:r>
              <w:rPr>
                <w:rFonts w:hint="eastAsia"/>
                <w:b/>
                <w:kern w:val="0"/>
                <w:sz w:val="21"/>
                <w:szCs w:val="21"/>
              </w:rPr>
              <w:t>年均6%</w:t>
            </w:r>
            <w:r>
              <w:rPr>
                <w:rFonts w:hint="eastAsia"/>
                <w:b/>
                <w:sz w:val="21"/>
                <w:szCs w:val="21"/>
              </w:rPr>
              <w:t>～9</w:t>
            </w:r>
            <w:r>
              <w:rPr>
                <w:rFonts w:hint="eastAsia"/>
                <w:b/>
                <w:kern w:val="0"/>
                <w:sz w:val="21"/>
                <w:szCs w:val="21"/>
              </w:rPr>
              <w:t>%</w:t>
            </w:r>
          </w:p>
        </w:tc>
        <w:tc>
          <w:tcPr>
            <w:tcW w:w="1822" w:type="dxa"/>
            <w:vAlign w:val="center"/>
          </w:tcPr>
          <w:p>
            <w:pPr>
              <w:spacing w:line="240" w:lineRule="auto"/>
              <w:ind w:right="280" w:firstLine="0" w:firstLineChars="0"/>
              <w:jc w:val="center"/>
              <w:rPr>
                <w:b/>
                <w:sz w:val="21"/>
                <w:szCs w:val="21"/>
              </w:rPr>
            </w:pPr>
            <w:r>
              <w:rPr>
                <w:rFonts w:hint="eastAsia"/>
                <w:b/>
                <w:kern w:val="0"/>
                <w:sz w:val="21"/>
                <w:szCs w:val="21"/>
              </w:rPr>
              <w:t>6.87%左右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vAlign w:val="center"/>
          </w:tcPr>
          <w:p>
            <w:pPr>
              <w:widowControl/>
              <w:spacing w:line="240" w:lineRule="auto"/>
              <w:ind w:firstLine="0" w:firstLineChars="0"/>
              <w:jc w:val="center"/>
              <w:rPr>
                <w:b/>
                <w:sz w:val="21"/>
                <w:szCs w:val="21"/>
              </w:rPr>
            </w:pPr>
          </w:p>
        </w:tc>
        <w:tc>
          <w:tcPr>
            <w:tcW w:w="1134" w:type="dxa"/>
            <w:vAlign w:val="center"/>
          </w:tcPr>
          <w:p>
            <w:pPr>
              <w:spacing w:line="240" w:lineRule="auto"/>
              <w:ind w:right="280" w:firstLine="0" w:firstLineChars="0"/>
              <w:jc w:val="center"/>
              <w:rPr>
                <w:b/>
                <w:sz w:val="21"/>
                <w:szCs w:val="21"/>
              </w:rPr>
            </w:pPr>
            <w:r>
              <w:rPr>
                <w:rFonts w:hint="eastAsia"/>
                <w:b/>
                <w:sz w:val="21"/>
                <w:szCs w:val="21"/>
              </w:rPr>
              <w:t>总规模</w:t>
            </w:r>
          </w:p>
        </w:tc>
        <w:tc>
          <w:tcPr>
            <w:tcW w:w="1647" w:type="dxa"/>
            <w:vAlign w:val="center"/>
          </w:tcPr>
          <w:p>
            <w:pPr>
              <w:spacing w:line="240" w:lineRule="auto"/>
              <w:ind w:left="98" w:leftChars="35" w:right="280" w:firstLine="0" w:firstLineChars="0"/>
              <w:jc w:val="center"/>
              <w:rPr>
                <w:b/>
                <w:kern w:val="0"/>
                <w:sz w:val="21"/>
                <w:szCs w:val="21"/>
              </w:rPr>
            </w:pPr>
            <w:r>
              <w:rPr>
                <w:rFonts w:hint="eastAsia"/>
                <w:b/>
                <w:kern w:val="0"/>
                <w:sz w:val="21"/>
                <w:szCs w:val="21"/>
              </w:rPr>
              <w:t>26.46亿元</w:t>
            </w:r>
          </w:p>
        </w:tc>
        <w:tc>
          <w:tcPr>
            <w:tcW w:w="2010" w:type="dxa"/>
            <w:vAlign w:val="center"/>
          </w:tcPr>
          <w:p>
            <w:pPr>
              <w:spacing w:line="240" w:lineRule="auto"/>
              <w:ind w:right="280" w:firstLine="0" w:firstLineChars="0"/>
              <w:jc w:val="center"/>
              <w:rPr>
                <w:b/>
                <w:sz w:val="21"/>
                <w:szCs w:val="21"/>
              </w:rPr>
            </w:pPr>
            <w:r>
              <w:rPr>
                <w:rFonts w:hint="eastAsia"/>
                <w:b/>
                <w:kern w:val="0"/>
                <w:sz w:val="21"/>
                <w:szCs w:val="21"/>
              </w:rPr>
              <w:t>35.04亿元</w:t>
            </w:r>
            <w:r>
              <w:rPr>
                <w:rFonts w:hint="eastAsia"/>
                <w:b/>
                <w:sz w:val="21"/>
                <w:szCs w:val="21"/>
              </w:rPr>
              <w:t>～38.26</w:t>
            </w:r>
            <w:r>
              <w:rPr>
                <w:rFonts w:hint="eastAsia"/>
                <w:b/>
                <w:kern w:val="0"/>
                <w:sz w:val="21"/>
                <w:szCs w:val="21"/>
              </w:rPr>
              <w:t>亿元</w:t>
            </w:r>
          </w:p>
        </w:tc>
        <w:tc>
          <w:tcPr>
            <w:tcW w:w="1822" w:type="dxa"/>
            <w:vAlign w:val="center"/>
          </w:tcPr>
          <w:p>
            <w:pPr>
              <w:spacing w:line="240" w:lineRule="auto"/>
              <w:ind w:right="280" w:firstLine="0" w:firstLineChars="0"/>
              <w:jc w:val="center"/>
              <w:rPr>
                <w:b/>
                <w:sz w:val="21"/>
                <w:szCs w:val="21"/>
              </w:rPr>
            </w:pPr>
            <w:r>
              <w:rPr>
                <w:rFonts w:hint="eastAsia"/>
                <w:b/>
                <w:kern w:val="0"/>
                <w:sz w:val="21"/>
                <w:szCs w:val="21"/>
              </w:rPr>
              <w:t>8.20亿元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427" w:type="dxa"/>
            <w:vMerge w:val="restart"/>
            <w:vAlign w:val="center"/>
          </w:tcPr>
          <w:p>
            <w:pPr>
              <w:spacing w:line="240" w:lineRule="auto"/>
              <w:ind w:left="280" w:right="280" w:firstLine="0" w:firstLineChars="0"/>
              <w:jc w:val="center"/>
              <w:rPr>
                <w:b/>
                <w:sz w:val="21"/>
                <w:szCs w:val="21"/>
              </w:rPr>
            </w:pPr>
            <w:r>
              <w:rPr>
                <w:rFonts w:hint="eastAsia"/>
                <w:b/>
                <w:sz w:val="21"/>
                <w:szCs w:val="21"/>
              </w:rPr>
              <w:t>非税收入</w:t>
            </w:r>
          </w:p>
        </w:tc>
        <w:tc>
          <w:tcPr>
            <w:tcW w:w="1134" w:type="dxa"/>
            <w:vAlign w:val="center"/>
          </w:tcPr>
          <w:p>
            <w:pPr>
              <w:spacing w:line="240" w:lineRule="auto"/>
              <w:ind w:right="280" w:firstLine="0" w:firstLineChars="0"/>
              <w:jc w:val="center"/>
              <w:rPr>
                <w:b/>
                <w:sz w:val="21"/>
                <w:szCs w:val="21"/>
              </w:rPr>
            </w:pPr>
            <w:r>
              <w:rPr>
                <w:rFonts w:hint="eastAsia"/>
                <w:b/>
                <w:sz w:val="21"/>
                <w:szCs w:val="21"/>
              </w:rPr>
              <w:t>增速</w:t>
            </w:r>
          </w:p>
        </w:tc>
        <w:tc>
          <w:tcPr>
            <w:tcW w:w="1647" w:type="dxa"/>
            <w:vAlign w:val="center"/>
          </w:tcPr>
          <w:p>
            <w:pPr>
              <w:spacing w:line="240" w:lineRule="auto"/>
              <w:ind w:right="280" w:firstLine="0" w:firstLineChars="0"/>
              <w:jc w:val="center"/>
              <w:rPr>
                <w:b/>
                <w:kern w:val="0"/>
                <w:sz w:val="21"/>
                <w:szCs w:val="21"/>
              </w:rPr>
            </w:pPr>
            <w:r>
              <w:rPr>
                <w:rFonts w:hint="eastAsia"/>
                <w:b/>
                <w:kern w:val="0"/>
                <w:sz w:val="21"/>
                <w:szCs w:val="21"/>
              </w:rPr>
              <w:t>年均4.83%</w:t>
            </w:r>
          </w:p>
        </w:tc>
        <w:tc>
          <w:tcPr>
            <w:tcW w:w="2010" w:type="dxa"/>
            <w:vAlign w:val="center"/>
          </w:tcPr>
          <w:p>
            <w:pPr>
              <w:spacing w:line="240" w:lineRule="auto"/>
              <w:ind w:right="280" w:firstLine="0" w:firstLineChars="0"/>
              <w:jc w:val="center"/>
              <w:rPr>
                <w:b/>
                <w:sz w:val="21"/>
                <w:szCs w:val="21"/>
              </w:rPr>
            </w:pPr>
            <w:r>
              <w:rPr>
                <w:rFonts w:hint="eastAsia"/>
                <w:b/>
                <w:kern w:val="0"/>
                <w:sz w:val="21"/>
                <w:szCs w:val="21"/>
              </w:rPr>
              <w:t>年均3%</w:t>
            </w:r>
            <w:r>
              <w:rPr>
                <w:rFonts w:hint="eastAsia"/>
                <w:b/>
                <w:sz w:val="21"/>
                <w:szCs w:val="21"/>
              </w:rPr>
              <w:t>～4</w:t>
            </w:r>
            <w:r>
              <w:rPr>
                <w:rFonts w:hint="eastAsia"/>
                <w:b/>
                <w:kern w:val="0"/>
                <w:sz w:val="21"/>
                <w:szCs w:val="21"/>
              </w:rPr>
              <w:t>%</w:t>
            </w:r>
          </w:p>
        </w:tc>
        <w:tc>
          <w:tcPr>
            <w:tcW w:w="1822" w:type="dxa"/>
            <w:vAlign w:val="center"/>
          </w:tcPr>
          <w:p>
            <w:pPr>
              <w:spacing w:line="240" w:lineRule="auto"/>
              <w:ind w:right="280" w:firstLine="0" w:firstLineChars="0"/>
              <w:jc w:val="center"/>
              <w:rPr>
                <w:b/>
                <w:sz w:val="21"/>
                <w:szCs w:val="21"/>
              </w:rPr>
            </w:pPr>
            <w:r>
              <w:rPr>
                <w:rFonts w:hint="eastAsia"/>
                <w:b/>
                <w:kern w:val="0"/>
                <w:sz w:val="21"/>
                <w:szCs w:val="21"/>
              </w:rPr>
              <w:t>3.50%左右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27" w:type="dxa"/>
            <w:vMerge w:val="continue"/>
            <w:vAlign w:val="center"/>
          </w:tcPr>
          <w:p>
            <w:pPr>
              <w:widowControl/>
              <w:spacing w:line="240" w:lineRule="auto"/>
              <w:ind w:firstLine="0" w:firstLineChars="0"/>
              <w:jc w:val="center"/>
              <w:rPr>
                <w:b/>
                <w:sz w:val="21"/>
                <w:szCs w:val="21"/>
              </w:rPr>
            </w:pPr>
          </w:p>
        </w:tc>
        <w:tc>
          <w:tcPr>
            <w:tcW w:w="1134" w:type="dxa"/>
            <w:vAlign w:val="center"/>
          </w:tcPr>
          <w:p>
            <w:pPr>
              <w:spacing w:line="240" w:lineRule="auto"/>
              <w:ind w:right="280" w:firstLine="0" w:firstLineChars="0"/>
              <w:jc w:val="center"/>
              <w:rPr>
                <w:rFonts w:cstheme="minorEastAsia"/>
                <w:b/>
                <w:sz w:val="21"/>
                <w:szCs w:val="21"/>
              </w:rPr>
            </w:pPr>
            <w:r>
              <w:rPr>
                <w:rFonts w:hint="eastAsia" w:cstheme="minorEastAsia"/>
                <w:b/>
                <w:sz w:val="21"/>
                <w:szCs w:val="21"/>
              </w:rPr>
              <w:t>总规模</w:t>
            </w:r>
          </w:p>
        </w:tc>
        <w:tc>
          <w:tcPr>
            <w:tcW w:w="1647" w:type="dxa"/>
            <w:vAlign w:val="center"/>
          </w:tcPr>
          <w:p>
            <w:pPr>
              <w:spacing w:line="240" w:lineRule="auto"/>
              <w:ind w:right="280" w:firstLine="0" w:firstLineChars="0"/>
              <w:jc w:val="center"/>
              <w:rPr>
                <w:rFonts w:cstheme="minorEastAsia"/>
                <w:b/>
                <w:kern w:val="0"/>
                <w:sz w:val="21"/>
                <w:szCs w:val="21"/>
              </w:rPr>
            </w:pPr>
            <w:r>
              <w:rPr>
                <w:rFonts w:hint="eastAsia" w:cstheme="minorEastAsia"/>
                <w:b/>
                <w:kern w:val="0"/>
                <w:sz w:val="21"/>
                <w:szCs w:val="21"/>
              </w:rPr>
              <w:t>16.32亿元</w:t>
            </w:r>
          </w:p>
        </w:tc>
        <w:tc>
          <w:tcPr>
            <w:tcW w:w="2010" w:type="dxa"/>
            <w:vAlign w:val="center"/>
          </w:tcPr>
          <w:p>
            <w:pPr>
              <w:spacing w:line="240" w:lineRule="auto"/>
              <w:ind w:right="280" w:firstLine="0" w:firstLineChars="0"/>
              <w:jc w:val="center"/>
              <w:rPr>
                <w:rFonts w:cstheme="minorEastAsia"/>
                <w:b/>
                <w:sz w:val="21"/>
                <w:szCs w:val="21"/>
              </w:rPr>
            </w:pPr>
            <w:r>
              <w:rPr>
                <w:rFonts w:hint="eastAsia" w:cstheme="minorEastAsia"/>
                <w:b/>
                <w:kern w:val="0"/>
                <w:sz w:val="21"/>
                <w:szCs w:val="21"/>
              </w:rPr>
              <w:t>10.78亿元</w:t>
            </w:r>
            <w:r>
              <w:rPr>
                <w:rFonts w:hint="eastAsia"/>
                <w:b/>
                <w:sz w:val="21"/>
                <w:szCs w:val="21"/>
              </w:rPr>
              <w:t>～</w:t>
            </w:r>
            <w:r>
              <w:rPr>
                <w:rFonts w:hint="eastAsia" w:cstheme="minorEastAsia"/>
                <w:b/>
                <w:kern w:val="0"/>
                <w:sz w:val="21"/>
                <w:szCs w:val="21"/>
              </w:rPr>
              <w:t>11.45亿元</w:t>
            </w:r>
          </w:p>
        </w:tc>
        <w:tc>
          <w:tcPr>
            <w:tcW w:w="1822" w:type="dxa"/>
            <w:vAlign w:val="center"/>
          </w:tcPr>
          <w:p>
            <w:pPr>
              <w:spacing w:line="240" w:lineRule="auto"/>
              <w:ind w:right="280" w:firstLine="0" w:firstLineChars="0"/>
              <w:jc w:val="center"/>
              <w:rPr>
                <w:rFonts w:cstheme="minorEastAsia"/>
                <w:b/>
                <w:sz w:val="21"/>
                <w:szCs w:val="21"/>
              </w:rPr>
            </w:pPr>
            <w:r>
              <w:rPr>
                <w:rFonts w:hint="eastAsia" w:cstheme="minorEastAsia"/>
                <w:b/>
                <w:kern w:val="0"/>
                <w:sz w:val="21"/>
                <w:szCs w:val="21"/>
              </w:rPr>
              <w:t>2.47亿元</w:t>
            </w:r>
          </w:p>
        </w:tc>
      </w:tr>
    </w:tbl>
    <w:p>
      <w:pPr>
        <w:spacing w:line="240" w:lineRule="auto"/>
        <w:ind w:firstLine="480"/>
        <w:rPr>
          <w:b/>
          <w:sz w:val="24"/>
          <w:szCs w:val="24"/>
        </w:rPr>
      </w:pPr>
      <w:r>
        <w:rPr>
          <w:rFonts w:hint="eastAsia"/>
          <w:sz w:val="24"/>
          <w:szCs w:val="24"/>
        </w:rPr>
        <w:t>数据来源：2016-2020年数据来源于澄江市各年度财政决算报表；2025年数据为本规划测算数。</w:t>
      </w:r>
    </w:p>
    <w:p>
      <w:pPr>
        <w:spacing w:line="240" w:lineRule="auto"/>
        <w:ind w:firstLine="0" w:firstLineChars="0"/>
        <w:jc w:val="center"/>
        <w:rPr>
          <w:b/>
          <w:sz w:val="24"/>
          <w:szCs w:val="24"/>
        </w:rPr>
      </w:pPr>
      <w:r>
        <w:drawing>
          <wp:inline distT="0" distB="0" distL="0" distR="0">
            <wp:extent cx="4873625" cy="2687320"/>
            <wp:effectExtent l="0" t="0" r="22225" b="17780"/>
            <wp:docPr id="5" name="图表 5"/>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240" w:lineRule="auto"/>
        <w:ind w:firstLine="482"/>
        <w:jc w:val="center"/>
        <w:rPr>
          <w:sz w:val="24"/>
          <w:szCs w:val="24"/>
        </w:rPr>
      </w:pPr>
      <w:bookmarkStart w:id="64" w:name="_Toc517186593"/>
      <w:r>
        <w:rPr>
          <w:rFonts w:hint="eastAsia"/>
          <w:b/>
          <w:sz w:val="24"/>
          <w:szCs w:val="24"/>
        </w:rPr>
        <w:t>图7-1：“十四五”澄江市一般公共预算本级收入规模与增速</w:t>
      </w:r>
    </w:p>
    <w:p>
      <w:pPr>
        <w:ind w:firstLine="562"/>
        <w:rPr>
          <w:b/>
        </w:rPr>
      </w:pPr>
      <w:r>
        <w:rPr>
          <w:rFonts w:hint="eastAsia"/>
          <w:b/>
        </w:rPr>
        <w:t>1、税收收入</w:t>
      </w:r>
    </w:p>
    <w:p>
      <w:pPr>
        <w:ind w:firstLine="560"/>
      </w:pPr>
      <w:r>
        <w:rPr>
          <w:rFonts w:hint="eastAsia"/>
        </w:rPr>
        <w:t>自2018年起，全面实行普惠性减税降费政策，重点减轻制造业和小微企业税收负担，支持实体经济发展。随着减税降费效应的不断释放，预计澄江市未来五年税收收入增速与“十三五”的年均增速10.52%</w:t>
      </w:r>
      <w:r>
        <w:rPr>
          <w:rStyle w:val="29"/>
        </w:rPr>
        <w:footnoteReference w:id="10"/>
      </w:r>
      <w:r>
        <w:rPr>
          <w:rFonts w:hint="eastAsia"/>
        </w:rPr>
        <w:t>相比会稍有下降，年均增速将保持在6%～9%，累计完成税收收入35.04亿元</w:t>
      </w:r>
      <w:r>
        <w:rPr>
          <w:rFonts w:hint="eastAsia"/>
          <w:sz w:val="24"/>
          <w:szCs w:val="24"/>
        </w:rPr>
        <w:t>～</w:t>
      </w:r>
      <w:r>
        <w:rPr>
          <w:rFonts w:hint="eastAsia"/>
        </w:rPr>
        <w:t>38.26亿元。其中，2021-2025各年度预计实现税收收入分别为6.22亿元、6.66亿元、 7.16亿元、7.6亿元、8.20亿元，增速分别为6.01%、7.12%、7.54%、7.14%、6.8%。</w:t>
      </w:r>
    </w:p>
    <w:p>
      <w:pPr>
        <w:ind w:firstLine="560"/>
      </w:pPr>
      <w:r>
        <w:rPr>
          <w:rFonts w:hint="eastAsia"/>
        </w:rPr>
        <w:t>根据澄江市目前税收收入构成来看，增值税、土地增值税、契税、烟叶税、企业所得税是澄江市税收收入中的五大主要税种，因此，对目前收入占前五位的主要税种进行了预测分析。</w:t>
      </w:r>
    </w:p>
    <w:p>
      <w:pPr>
        <w:ind w:firstLine="560"/>
        <w:jc w:val="center"/>
        <w:rPr>
          <w:rFonts w:asciiTheme="minorHAnsi" w:eastAsiaTheme="minorEastAsia"/>
          <w:sz w:val="21"/>
        </w:rPr>
      </w:pPr>
      <w:r>
        <w:rPr>
          <w:rFonts w:hint="eastAsia"/>
        </w:rPr>
        <w:t>“十四五”期间，澄江市主要税种收入规模如下图所示：</w:t>
      </w:r>
    </w:p>
    <w:p>
      <w:pPr>
        <w:ind w:firstLine="560"/>
        <w:jc w:val="center"/>
      </w:pPr>
      <w:r>
        <w:drawing>
          <wp:inline distT="0" distB="0" distL="0" distR="0">
            <wp:extent cx="4929505" cy="2400935"/>
            <wp:effectExtent l="19050" t="19050" r="23495" b="1841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4931535" cy="2402135"/>
                    </a:xfrm>
                    <a:prstGeom prst="rect">
                      <a:avLst/>
                    </a:prstGeom>
                    <a:noFill/>
                    <a:ln>
                      <a:solidFill>
                        <a:schemeClr val="accent1"/>
                      </a:solidFill>
                    </a:ln>
                  </pic:spPr>
                </pic:pic>
              </a:graphicData>
            </a:graphic>
          </wp:inline>
        </w:drawing>
      </w:r>
    </w:p>
    <w:p>
      <w:pPr>
        <w:spacing w:line="240" w:lineRule="auto"/>
        <w:ind w:firstLine="482"/>
        <w:jc w:val="center"/>
        <w:rPr>
          <w:sz w:val="24"/>
          <w:szCs w:val="24"/>
        </w:rPr>
      </w:pPr>
      <w:r>
        <w:rPr>
          <w:rFonts w:hint="eastAsia"/>
          <w:b/>
          <w:sz w:val="24"/>
          <w:szCs w:val="24"/>
        </w:rPr>
        <w:t>图7-2:“十四五”澄江市主要税种收入规模与增速</w:t>
      </w:r>
    </w:p>
    <w:p>
      <w:pPr>
        <w:ind w:firstLine="560"/>
      </w:pPr>
      <w:r>
        <w:rPr>
          <w:rFonts w:hint="eastAsia"/>
        </w:rPr>
        <w:t>（1）增值税。“十三五”期间，澄江增值税收入年均增长率为17.33%</w:t>
      </w:r>
      <w:r>
        <w:rPr>
          <w:rStyle w:val="29"/>
        </w:rPr>
        <w:footnoteReference w:id="11"/>
      </w:r>
      <w:r>
        <w:rPr>
          <w:rFonts w:hint="eastAsia"/>
        </w:rPr>
        <w:t>。考虑到增值税是当前减税降费政策实施的重点，假定未来五年增值税税基与“十三五”保持一致，预计澄江市“十四五”期间增值税增长率将有所下降，年均增长率在9.65%左右</w:t>
      </w:r>
      <w:r>
        <w:rPr>
          <w:rFonts w:hint="eastAsia"/>
          <w:b/>
        </w:rPr>
        <w:t>，</w:t>
      </w:r>
      <w:r>
        <w:rPr>
          <w:rFonts w:hint="eastAsia"/>
        </w:rPr>
        <w:t xml:space="preserve">累计实现增值税规模12.68亿元，2021-2025各年度增值税目标收入分别为2.08亿元、2.29亿元、2.52亿元、2.77亿元、3.03亿元。 </w:t>
      </w:r>
    </w:p>
    <w:p>
      <w:pPr>
        <w:ind w:firstLine="560"/>
      </w:pPr>
      <w:r>
        <w:rPr>
          <w:rFonts w:hint="eastAsia"/>
        </w:rPr>
        <w:t>（2）烟叶税。澄江市全力打造生态观光农业且已初见雏形，“十三五”烟叶税年均增长率为7.26%</w:t>
      </w:r>
      <w:r>
        <w:rPr>
          <w:rFonts w:hint="eastAsia"/>
          <w:szCs w:val="28"/>
        </w:rPr>
        <w:t>。</w:t>
      </w:r>
      <w:r>
        <w:rPr>
          <w:rFonts w:hint="eastAsia"/>
        </w:rPr>
        <w:t>考虑我国目前对烟草行业的精准管控，烟叶面积在未来几年增长幅度放缓，预计澄江市未来五年烟叶税增长率将维持在7.76%左右</w:t>
      </w:r>
      <w:r>
        <w:rPr>
          <w:rFonts w:hint="eastAsia"/>
          <w:b/>
        </w:rPr>
        <w:t>，</w:t>
      </w:r>
      <w:r>
        <w:rPr>
          <w:rFonts w:hint="eastAsia"/>
        </w:rPr>
        <w:t>累计实现烟叶税收入规模2.96亿元，预计20210-2025年各年度烟叶税收入分别为0.51亿元、0.54亿元、0.58亿元、0.64亿元、0.70亿元。</w:t>
      </w:r>
    </w:p>
    <w:p>
      <w:pPr>
        <w:ind w:firstLine="560"/>
      </w:pPr>
      <w:r>
        <w:rPr>
          <w:rFonts w:hint="eastAsia"/>
        </w:rPr>
        <w:t>（3）契税。“十三五”期间，澄江市契税收入年均增速为66.98%</w:t>
      </w:r>
      <w:r>
        <w:rPr>
          <w:vertAlign w:val="superscript"/>
        </w:rPr>
        <w:footnoteReference w:id="12"/>
      </w:r>
      <w:r>
        <w:rPr>
          <w:rFonts w:hint="eastAsia"/>
        </w:rPr>
        <w:t>。考虑到澄江市“十四五”期间全力打造“三个国际化城市”以及与此直接相关的房地产业等的不断发展，契税收入也将逐步提高，预计澄江市未来五年契税收入年增长率将维持在11%</w:t>
      </w:r>
      <w:r>
        <w:rPr>
          <w:rFonts w:hint="eastAsia"/>
          <w:sz w:val="24"/>
          <w:szCs w:val="24"/>
        </w:rPr>
        <w:t>～</w:t>
      </w:r>
      <w:r>
        <w:rPr>
          <w:rFonts w:hint="eastAsia"/>
          <w:szCs w:val="28"/>
        </w:rPr>
        <w:t>12</w:t>
      </w:r>
      <w:r>
        <w:rPr>
          <w:rFonts w:hint="eastAsia"/>
        </w:rPr>
        <w:t>%左右，累计实现契税收入规模达到6.89亿元，预计2025年契税收入目标为1.71亿元。</w:t>
      </w:r>
    </w:p>
    <w:p>
      <w:pPr>
        <w:ind w:firstLine="560"/>
      </w:pPr>
      <w:r>
        <w:rPr>
          <w:rFonts w:hint="eastAsia"/>
        </w:rPr>
        <w:t>（4）土地增值税。“十三五”期间，澄江土地增值税收入年均增速为70.66%。</w:t>
      </w:r>
      <w:r>
        <w:rPr>
          <w:vertAlign w:val="superscript"/>
        </w:rPr>
        <w:footnoteReference w:id="13"/>
      </w:r>
      <w:r>
        <w:rPr>
          <w:rFonts w:hint="eastAsia"/>
        </w:rPr>
        <w:t>根据澄江市未来五年土地资源开发的预期发展，预计澄江市未来五年土地增值税收入年增长率为9.63%左右，2025年土地增值税预期规模目标为1.74亿元；预计“十四五”期间累计实现土地增值税收入规模达到7.31亿元。</w:t>
      </w:r>
    </w:p>
    <w:p>
      <w:pPr>
        <w:ind w:firstLine="560"/>
      </w:pPr>
      <w:r>
        <w:rPr>
          <w:rFonts w:hint="eastAsia"/>
        </w:rPr>
        <w:t>（5）企业所得税。“十三五”期间，澄江市企业所得税年均增速为4.33%。</w:t>
      </w:r>
      <w:r>
        <w:rPr>
          <w:rStyle w:val="29"/>
        </w:rPr>
        <w:footnoteReference w:id="14"/>
      </w:r>
      <w:r>
        <w:rPr>
          <w:rFonts w:hint="eastAsia"/>
        </w:rPr>
        <w:t>综合考虑减税降费等政策性因素对企业所得税增收的影响，通过计算企业所得税与其他税种在税收收入中的结构性变化，考虑未来发展方式转变和高质量发展对企业所得税收入的促进作用，预计澄江市“十四五”期间企业所得税增长率处在10%</w:t>
      </w:r>
      <w:r>
        <w:rPr>
          <w:rFonts w:hint="eastAsia"/>
          <w:sz w:val="24"/>
          <w:szCs w:val="24"/>
        </w:rPr>
        <w:t>～</w:t>
      </w:r>
      <w:r>
        <w:rPr>
          <w:rFonts w:hint="eastAsia"/>
          <w:szCs w:val="28"/>
        </w:rPr>
        <w:t>11</w:t>
      </w:r>
      <w:r>
        <w:rPr>
          <w:rFonts w:hint="eastAsia"/>
        </w:rPr>
        <w:t>%之间，累计完成企业所得税规模1.21亿元</w:t>
      </w:r>
      <w:r>
        <w:rPr>
          <w:rFonts w:hint="eastAsia"/>
          <w:sz w:val="24"/>
          <w:szCs w:val="24"/>
        </w:rPr>
        <w:t>～</w:t>
      </w:r>
      <w:r>
        <w:rPr>
          <w:rFonts w:hint="eastAsia"/>
        </w:rPr>
        <w:t>1.24亿元，2025年企业所得税的目标值预计为0.29亿元。</w:t>
      </w:r>
    </w:p>
    <w:p>
      <w:pPr>
        <w:ind w:firstLine="562"/>
        <w:rPr>
          <w:b/>
        </w:rPr>
      </w:pPr>
      <w:r>
        <w:rPr>
          <w:rFonts w:hint="eastAsia"/>
          <w:b/>
        </w:rPr>
        <w:t>2、非税收入</w:t>
      </w:r>
    </w:p>
    <w:p>
      <w:pPr>
        <w:ind w:firstLine="560"/>
      </w:pPr>
      <w:r>
        <w:rPr>
          <w:rFonts w:hint="eastAsia"/>
        </w:rPr>
        <w:t>“十三五”期间，澄江市非税收入年均增速为4.83%</w:t>
      </w:r>
      <w:r>
        <w:rPr>
          <w:rStyle w:val="29"/>
        </w:rPr>
        <w:footnoteReference w:id="15"/>
      </w:r>
      <w:r>
        <w:rPr>
          <w:rFonts w:hint="eastAsia"/>
        </w:rPr>
        <w:t>。非税收入由于收费项目多、环节复杂、政策因素强等特点，其波动性也较大，外加当前国际经济形势的影响，考虑到减税降费和提高财政收入质量等因素的影响，“十四五”期间，澄江非税收入年均增速将会略有下降，预计可保持在3%-4%，累计可完成非税收入10.78亿元～11.45亿元。2025年，预计全市非税收入为2.47亿元。</w:t>
      </w:r>
    </w:p>
    <w:p>
      <w:pPr>
        <w:pStyle w:val="5"/>
      </w:pPr>
      <w:bookmarkStart w:id="65" w:name="_Toc517186594"/>
      <w:r>
        <w:rPr>
          <w:rFonts w:hint="eastAsia"/>
        </w:rPr>
        <w:t>（二）上级补助收入</w:t>
      </w:r>
      <w:bookmarkEnd w:id="65"/>
    </w:p>
    <w:p>
      <w:pPr>
        <w:ind w:firstLine="560"/>
      </w:pPr>
      <w:r>
        <w:rPr>
          <w:rFonts w:hint="eastAsia"/>
        </w:rPr>
        <w:t>2016-2020年，澄江市上级补助收入年均增速为21.81%</w:t>
      </w:r>
      <w:r>
        <w:rPr>
          <w:rStyle w:val="29"/>
        </w:rPr>
        <w:footnoteReference w:id="16"/>
      </w:r>
      <w:r>
        <w:rPr>
          <w:rFonts w:hint="eastAsia"/>
        </w:rPr>
        <w:t>。通过分析“十三五”期间澄江市上级补助收入情况，考虑到澄江市在抚仙湖治理等生态环境保护建设中特殊性以及实现公共服务均等化需要大量资金支持等因素，澄江市上级补助收入将会继续增加，但平均增速会大幅度放缓，预计“十四五”期间年均增长率为9.96%，累计总金额为124.68亿元，2021-2025年各年度上级补助收入分别为20.43亿元、22.42亿元、24.69亿元、27.22亿元、29.90亿元。</w:t>
      </w:r>
    </w:p>
    <w:p>
      <w:pPr>
        <w:ind w:firstLine="560"/>
      </w:pPr>
      <w:r>
        <w:rPr>
          <w:rFonts w:hint="eastAsia"/>
        </w:rPr>
        <w:t>“十四五”期间，澄江市上级补助收入规模与增速如下图所示：</w:t>
      </w:r>
    </w:p>
    <w:p>
      <w:pPr>
        <w:spacing w:line="240" w:lineRule="auto"/>
        <w:ind w:right="280" w:firstLine="560"/>
        <w:jc w:val="center"/>
        <w:rPr>
          <w:rFonts w:cs="华文仿宋"/>
          <w:szCs w:val="28"/>
        </w:rPr>
      </w:pPr>
      <w:r>
        <w:drawing>
          <wp:inline distT="0" distB="0" distL="114300" distR="114300">
            <wp:extent cx="4905375" cy="2464435"/>
            <wp:effectExtent l="0" t="0" r="9525" b="12065"/>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240" w:lineRule="auto"/>
        <w:ind w:firstLine="482"/>
        <w:jc w:val="center"/>
        <w:rPr>
          <w:b/>
          <w:sz w:val="24"/>
          <w:szCs w:val="24"/>
        </w:rPr>
      </w:pPr>
      <w:r>
        <w:rPr>
          <w:rFonts w:hint="eastAsia"/>
          <w:b/>
          <w:sz w:val="24"/>
          <w:szCs w:val="24"/>
        </w:rPr>
        <w:t>图7-4：“十四五”澄江市上级补助收入规模与增速预测</w:t>
      </w:r>
    </w:p>
    <w:p>
      <w:pPr>
        <w:ind w:firstLine="560"/>
      </w:pPr>
      <w:r>
        <w:rPr>
          <w:rFonts w:hint="eastAsia"/>
        </w:rPr>
        <w:t>1、返还性收入。“十三五”期间，澄江返还性收入年均增速为72.77%。</w:t>
      </w:r>
      <w:r>
        <w:rPr>
          <w:rStyle w:val="29"/>
        </w:rPr>
        <w:footnoteReference w:id="17"/>
      </w:r>
      <w:r>
        <w:rPr>
          <w:rFonts w:hint="eastAsia"/>
        </w:rPr>
        <w:t>以“十三五”期间各年的返还性收入增长率和返还数额作为重要参考，以及对未来五年增值税消费税等税收的预测，预计澄江市“十四五”期间返还性收入增长率将保持在8.64%左右，累计总金额为3.37亿元。其中，2021-2025各年度返还性收入目标值分别为0.56亿元、0.62亿元、0.66亿元、0.72亿元、0.79亿元。</w:t>
      </w:r>
    </w:p>
    <w:p>
      <w:pPr>
        <w:ind w:firstLine="560"/>
      </w:pPr>
      <w:r>
        <w:rPr>
          <w:rFonts w:hint="eastAsia"/>
        </w:rPr>
        <w:t>2、一般性转移支付。“十三五”期间，澄江一般性转移支付年均增速为13.61%</w:t>
      </w:r>
      <w:r>
        <w:rPr>
          <w:rStyle w:val="29"/>
        </w:rPr>
        <w:footnoteReference w:id="18"/>
      </w:r>
      <w:r>
        <w:rPr>
          <w:rFonts w:hint="eastAsia"/>
        </w:rPr>
        <w:t>。考虑到近年来实施大规模减税降费以及疫情冲击等因素的影响，地方财政减收增支压力不断增加，上级财政逐步加大对基层的一般转移支付力度。因此，以“十三五”澄江市一般性转移支付历史数据为基础，综合考虑上述因素，预计未来五年一般性转移支付收入将继续增加，增速为6.32%左右，累计金额达到39.32亿元，2021-2025各年度一般性转移支付目标收入分别是6.90亿元、7.38亿元、7.81亿元、8.32亿元、8.90亿元。</w:t>
      </w:r>
    </w:p>
    <w:p>
      <w:pPr>
        <w:ind w:firstLine="560"/>
      </w:pPr>
      <w:r>
        <w:rPr>
          <w:rFonts w:hint="eastAsia"/>
        </w:rPr>
        <w:t>3、专项转移支付收入。澄江以抚仙湖流域生态环境保护为重点的生态文明建设作为立市之本、民生之要、发展之基，因此澄江市在生态保护治理领域的专项转移支付收入占相当大的比重，且在“十三五”期间，用于生态环境保护领域的专项资金大幅增加，平均增长率高达30.10%</w:t>
      </w:r>
      <w:r>
        <w:rPr>
          <w:rStyle w:val="29"/>
        </w:rPr>
        <w:footnoteReference w:id="19"/>
      </w:r>
      <w:r>
        <w:rPr>
          <w:rFonts w:hint="eastAsia"/>
        </w:rPr>
        <w:t>。以“十三五”澄江市生态保护建设得到的专项转移收入为基数，考虑到专项转移支付的性质以及转移支付制度改革趋势，“十四五”期间将难以继续保持高增长态势，因此，各年度专项转移支付收入将会有所增加，但增长速度可能会明显下降。预计“十四五”期间，澄江市专项转移支付年均增长率保持在10%</w:t>
      </w:r>
      <w:r>
        <w:rPr>
          <w:rFonts w:hint="eastAsia"/>
          <w:sz w:val="24"/>
          <w:szCs w:val="24"/>
        </w:rPr>
        <w:t>～</w:t>
      </w:r>
      <w:r>
        <w:rPr>
          <w:rFonts w:hint="eastAsia"/>
        </w:rPr>
        <w:t>12%左右，累计总额可达81.99亿元。其中，2021-2025年各年度分别为12.96亿元、14.42亿元、16.21亿元、18.18亿元、20.21亿元。</w:t>
      </w:r>
    </w:p>
    <w:p>
      <w:pPr>
        <w:ind w:left="560" w:firstLine="0" w:firstLineChars="0"/>
        <w:rPr>
          <w:b/>
          <w:sz w:val="24"/>
          <w:szCs w:val="24"/>
        </w:rPr>
      </w:pPr>
      <w:r>
        <w:rPr>
          <w:rFonts w:hint="eastAsia"/>
          <w:b/>
          <w:sz w:val="24"/>
          <w:szCs w:val="24"/>
        </w:rPr>
        <w:t>表7-2：澄江市上级补助收入预测（2021-2025年）（单位：亿元）、</w:t>
      </w:r>
    </w:p>
    <w:tbl>
      <w:tblPr>
        <w:tblStyle w:val="23"/>
        <w:tblpPr w:leftFromText="180" w:rightFromText="180" w:vertAnchor="text" w:horzAnchor="margin" w:tblpXSpec="center" w:tblpY="229"/>
        <w:tblOverlap w:val="never"/>
        <w:tblW w:w="808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127"/>
        <w:gridCol w:w="1842"/>
        <w:gridCol w:w="19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126" w:type="dxa"/>
            <w:vMerge w:val="restart"/>
            <w:vAlign w:val="center"/>
          </w:tcPr>
          <w:p>
            <w:pPr>
              <w:spacing w:line="240" w:lineRule="auto"/>
              <w:ind w:left="560" w:firstLine="0" w:firstLineChars="0"/>
              <w:jc w:val="center"/>
              <w:rPr>
                <w:b/>
                <w:sz w:val="21"/>
                <w:szCs w:val="21"/>
              </w:rPr>
            </w:pPr>
            <w:r>
              <w:rPr>
                <w:rFonts w:hint="eastAsia"/>
                <w:b/>
                <w:sz w:val="21"/>
                <w:szCs w:val="21"/>
              </w:rPr>
              <w:t>项目名称</w:t>
            </w:r>
          </w:p>
        </w:tc>
        <w:tc>
          <w:tcPr>
            <w:tcW w:w="3969" w:type="dxa"/>
            <w:gridSpan w:val="2"/>
            <w:vAlign w:val="center"/>
          </w:tcPr>
          <w:p>
            <w:pPr>
              <w:spacing w:line="240" w:lineRule="auto"/>
              <w:ind w:left="560" w:firstLine="0" w:firstLineChars="0"/>
              <w:jc w:val="center"/>
              <w:rPr>
                <w:b/>
                <w:sz w:val="21"/>
                <w:szCs w:val="21"/>
              </w:rPr>
            </w:pPr>
            <w:r>
              <w:rPr>
                <w:rFonts w:hint="eastAsia"/>
                <w:b/>
                <w:sz w:val="21"/>
                <w:szCs w:val="21"/>
              </w:rPr>
              <w:t>“十四五”期间</w:t>
            </w:r>
          </w:p>
        </w:tc>
        <w:tc>
          <w:tcPr>
            <w:tcW w:w="1985" w:type="dxa"/>
            <w:vMerge w:val="restart"/>
            <w:vAlign w:val="center"/>
          </w:tcPr>
          <w:p>
            <w:pPr>
              <w:spacing w:line="240" w:lineRule="auto"/>
              <w:ind w:firstLine="0" w:firstLineChars="0"/>
              <w:jc w:val="center"/>
              <w:rPr>
                <w:b/>
                <w:sz w:val="21"/>
                <w:szCs w:val="21"/>
              </w:rPr>
            </w:pPr>
            <w:r>
              <w:rPr>
                <w:rFonts w:hint="eastAsia"/>
                <w:b/>
                <w:sz w:val="21"/>
                <w:szCs w:val="21"/>
              </w:rPr>
              <w:t>2025年</w:t>
            </w:r>
          </w:p>
          <w:p>
            <w:pPr>
              <w:spacing w:line="240" w:lineRule="auto"/>
              <w:ind w:firstLine="0" w:firstLineChars="0"/>
              <w:jc w:val="center"/>
              <w:rPr>
                <w:b/>
                <w:sz w:val="21"/>
                <w:szCs w:val="21"/>
              </w:rPr>
            </w:pPr>
            <w:r>
              <w:rPr>
                <w:rFonts w:hint="eastAsia"/>
                <w:b/>
                <w:sz w:val="21"/>
                <w:szCs w:val="21"/>
              </w:rPr>
              <w:t>目标值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26" w:type="dxa"/>
            <w:vMerge w:val="continue"/>
            <w:vAlign w:val="center"/>
          </w:tcPr>
          <w:p>
            <w:pPr>
              <w:widowControl/>
              <w:spacing w:line="240" w:lineRule="auto"/>
              <w:ind w:firstLine="0" w:firstLineChars="0"/>
              <w:jc w:val="center"/>
              <w:rPr>
                <w:rFonts w:cs="仿宋"/>
                <w:b/>
                <w:sz w:val="21"/>
                <w:szCs w:val="21"/>
              </w:rPr>
            </w:pPr>
          </w:p>
        </w:tc>
        <w:tc>
          <w:tcPr>
            <w:tcW w:w="2127" w:type="dxa"/>
            <w:vAlign w:val="center"/>
          </w:tcPr>
          <w:p>
            <w:pPr>
              <w:snapToGrid w:val="0"/>
              <w:spacing w:line="240" w:lineRule="auto"/>
              <w:ind w:left="280" w:right="280" w:firstLine="0" w:firstLineChars="0"/>
              <w:jc w:val="center"/>
              <w:rPr>
                <w:rFonts w:cs="仿宋"/>
                <w:b/>
                <w:sz w:val="21"/>
                <w:szCs w:val="21"/>
              </w:rPr>
            </w:pPr>
            <w:r>
              <w:rPr>
                <w:rFonts w:hint="eastAsia" w:cs="仿宋"/>
                <w:b/>
                <w:sz w:val="21"/>
                <w:szCs w:val="21"/>
              </w:rPr>
              <w:t>累计额</w:t>
            </w:r>
          </w:p>
        </w:tc>
        <w:tc>
          <w:tcPr>
            <w:tcW w:w="1842" w:type="dxa"/>
            <w:vAlign w:val="center"/>
          </w:tcPr>
          <w:p>
            <w:pPr>
              <w:snapToGrid w:val="0"/>
              <w:spacing w:line="240" w:lineRule="auto"/>
              <w:ind w:left="280" w:right="280" w:firstLine="0" w:firstLineChars="0"/>
              <w:jc w:val="center"/>
              <w:rPr>
                <w:rFonts w:cs="仿宋"/>
                <w:b/>
                <w:sz w:val="21"/>
                <w:szCs w:val="21"/>
              </w:rPr>
            </w:pPr>
            <w:r>
              <w:rPr>
                <w:rFonts w:hint="eastAsia" w:cs="仿宋"/>
                <w:b/>
                <w:sz w:val="21"/>
                <w:szCs w:val="21"/>
              </w:rPr>
              <w:t>年均增长率</w:t>
            </w:r>
          </w:p>
        </w:tc>
        <w:tc>
          <w:tcPr>
            <w:tcW w:w="1985" w:type="dxa"/>
            <w:vMerge w:val="continue"/>
            <w:vAlign w:val="center"/>
          </w:tcPr>
          <w:p>
            <w:pPr>
              <w:widowControl/>
              <w:spacing w:line="240" w:lineRule="auto"/>
              <w:ind w:firstLine="0" w:firstLineChars="0"/>
              <w:jc w:val="center"/>
              <w:rPr>
                <w:rFonts w:cs="仿宋"/>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pPr>
              <w:spacing w:line="240" w:lineRule="auto"/>
              <w:ind w:right="280" w:firstLine="0" w:firstLineChars="0"/>
              <w:jc w:val="center"/>
              <w:rPr>
                <w:rFonts w:cs="仿宋"/>
                <w:b/>
                <w:sz w:val="21"/>
                <w:szCs w:val="21"/>
              </w:rPr>
            </w:pPr>
            <w:r>
              <w:rPr>
                <w:rFonts w:hint="eastAsia" w:cs="仿宋"/>
                <w:b/>
                <w:sz w:val="21"/>
                <w:szCs w:val="21"/>
              </w:rPr>
              <w:t>上级补助收入</w:t>
            </w:r>
          </w:p>
          <w:p>
            <w:pPr>
              <w:spacing w:line="240" w:lineRule="auto"/>
              <w:ind w:right="280" w:firstLine="0" w:firstLineChars="0"/>
              <w:jc w:val="center"/>
              <w:rPr>
                <w:rFonts w:cs="仿宋"/>
                <w:b/>
                <w:sz w:val="21"/>
                <w:szCs w:val="21"/>
              </w:rPr>
            </w:pPr>
            <w:r>
              <w:rPr>
                <w:rFonts w:hint="eastAsia" w:cs="仿宋"/>
                <w:b/>
                <w:sz w:val="21"/>
                <w:szCs w:val="21"/>
              </w:rPr>
              <w:t>合计</w:t>
            </w:r>
          </w:p>
        </w:tc>
        <w:tc>
          <w:tcPr>
            <w:tcW w:w="2127" w:type="dxa"/>
            <w:vAlign w:val="center"/>
          </w:tcPr>
          <w:p>
            <w:pPr>
              <w:spacing w:line="240" w:lineRule="auto"/>
              <w:ind w:left="280" w:right="280" w:firstLine="0" w:firstLineChars="0"/>
              <w:jc w:val="center"/>
              <w:rPr>
                <w:rFonts w:cs="仿宋"/>
                <w:b/>
                <w:sz w:val="21"/>
                <w:szCs w:val="21"/>
              </w:rPr>
            </w:pPr>
            <w:r>
              <w:rPr>
                <w:rFonts w:hint="eastAsia" w:cs="仿宋"/>
                <w:b/>
                <w:sz w:val="21"/>
                <w:szCs w:val="21"/>
              </w:rPr>
              <w:t>124.68</w:t>
            </w:r>
          </w:p>
        </w:tc>
        <w:tc>
          <w:tcPr>
            <w:tcW w:w="1842" w:type="dxa"/>
            <w:vAlign w:val="center"/>
          </w:tcPr>
          <w:p>
            <w:pPr>
              <w:spacing w:line="240" w:lineRule="auto"/>
              <w:ind w:left="280" w:right="280" w:firstLine="0" w:firstLineChars="0"/>
              <w:jc w:val="center"/>
              <w:rPr>
                <w:rFonts w:cs="仿宋"/>
                <w:b/>
                <w:sz w:val="21"/>
                <w:szCs w:val="21"/>
              </w:rPr>
            </w:pPr>
            <w:r>
              <w:rPr>
                <w:rFonts w:hint="eastAsia" w:cs="仿宋"/>
                <w:b/>
                <w:sz w:val="21"/>
                <w:szCs w:val="21"/>
              </w:rPr>
              <w:t>9.96%</w:t>
            </w:r>
          </w:p>
        </w:tc>
        <w:tc>
          <w:tcPr>
            <w:tcW w:w="1985" w:type="dxa"/>
            <w:vAlign w:val="center"/>
          </w:tcPr>
          <w:p>
            <w:pPr>
              <w:spacing w:line="240" w:lineRule="auto"/>
              <w:ind w:left="280" w:right="280" w:firstLine="0" w:firstLineChars="0"/>
              <w:jc w:val="center"/>
              <w:rPr>
                <w:rFonts w:cs="仿宋"/>
                <w:b/>
                <w:sz w:val="21"/>
                <w:szCs w:val="21"/>
              </w:rPr>
            </w:pPr>
            <w:r>
              <w:rPr>
                <w:rFonts w:hint="eastAsia" w:cs="仿宋"/>
                <w:b/>
                <w:sz w:val="21"/>
                <w:szCs w:val="21"/>
              </w:rPr>
              <w:t>29.90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pPr>
              <w:spacing w:line="240" w:lineRule="auto"/>
              <w:ind w:left="98" w:leftChars="35" w:right="280" w:firstLine="0" w:firstLineChars="0"/>
              <w:jc w:val="center"/>
              <w:rPr>
                <w:rFonts w:cs="仿宋"/>
                <w:b/>
                <w:sz w:val="21"/>
                <w:szCs w:val="21"/>
              </w:rPr>
            </w:pPr>
            <w:r>
              <w:rPr>
                <w:rFonts w:hint="eastAsia" w:cs="仿宋"/>
                <w:b/>
                <w:sz w:val="21"/>
                <w:szCs w:val="21"/>
              </w:rPr>
              <w:t>一、返还性收入</w:t>
            </w:r>
          </w:p>
        </w:tc>
        <w:tc>
          <w:tcPr>
            <w:tcW w:w="2127" w:type="dxa"/>
            <w:vAlign w:val="center"/>
          </w:tcPr>
          <w:p>
            <w:pPr>
              <w:spacing w:line="240" w:lineRule="auto"/>
              <w:ind w:left="280" w:right="280" w:firstLine="0" w:firstLineChars="0"/>
              <w:jc w:val="center"/>
              <w:rPr>
                <w:rFonts w:cs="仿宋"/>
                <w:b/>
                <w:sz w:val="21"/>
                <w:szCs w:val="21"/>
              </w:rPr>
            </w:pPr>
            <w:r>
              <w:rPr>
                <w:rFonts w:hint="eastAsia" w:cs="仿宋"/>
                <w:b/>
                <w:sz w:val="21"/>
                <w:szCs w:val="21"/>
              </w:rPr>
              <w:t>3.37</w:t>
            </w:r>
          </w:p>
        </w:tc>
        <w:tc>
          <w:tcPr>
            <w:tcW w:w="1842" w:type="dxa"/>
            <w:vAlign w:val="center"/>
          </w:tcPr>
          <w:p>
            <w:pPr>
              <w:spacing w:line="240" w:lineRule="auto"/>
              <w:ind w:left="280" w:right="280" w:firstLine="0" w:firstLineChars="0"/>
              <w:jc w:val="center"/>
              <w:rPr>
                <w:rFonts w:cs="仿宋"/>
                <w:b/>
                <w:sz w:val="21"/>
                <w:szCs w:val="21"/>
              </w:rPr>
            </w:pPr>
            <w:r>
              <w:rPr>
                <w:rFonts w:hint="eastAsia" w:cs="仿宋"/>
                <w:b/>
                <w:sz w:val="21"/>
                <w:szCs w:val="21"/>
              </w:rPr>
              <w:t>8.64%</w:t>
            </w:r>
          </w:p>
        </w:tc>
        <w:tc>
          <w:tcPr>
            <w:tcW w:w="1985" w:type="dxa"/>
            <w:vAlign w:val="center"/>
          </w:tcPr>
          <w:p>
            <w:pPr>
              <w:spacing w:line="240" w:lineRule="auto"/>
              <w:ind w:left="280" w:right="280" w:firstLine="0" w:firstLineChars="0"/>
              <w:jc w:val="center"/>
              <w:rPr>
                <w:rFonts w:cs="仿宋"/>
                <w:b/>
                <w:sz w:val="21"/>
                <w:szCs w:val="21"/>
              </w:rPr>
            </w:pPr>
            <w:r>
              <w:rPr>
                <w:rFonts w:hint="eastAsia" w:cs="仿宋"/>
                <w:b/>
                <w:sz w:val="21"/>
                <w:szCs w:val="21"/>
              </w:rPr>
              <w:t>0.79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pPr>
              <w:spacing w:line="240" w:lineRule="auto"/>
              <w:ind w:right="280" w:firstLine="0" w:firstLineChars="0"/>
              <w:jc w:val="center"/>
              <w:rPr>
                <w:rFonts w:cs="仿宋"/>
                <w:b/>
                <w:sz w:val="21"/>
                <w:szCs w:val="21"/>
              </w:rPr>
            </w:pPr>
            <w:r>
              <w:rPr>
                <w:rFonts w:hint="eastAsia" w:cs="仿宋"/>
                <w:b/>
                <w:sz w:val="21"/>
                <w:szCs w:val="21"/>
              </w:rPr>
              <w:t>二、一般性转移支付收入</w:t>
            </w:r>
          </w:p>
        </w:tc>
        <w:tc>
          <w:tcPr>
            <w:tcW w:w="2127" w:type="dxa"/>
            <w:vAlign w:val="center"/>
          </w:tcPr>
          <w:p>
            <w:pPr>
              <w:spacing w:line="240" w:lineRule="auto"/>
              <w:ind w:left="280" w:right="280" w:firstLine="0" w:firstLineChars="0"/>
              <w:jc w:val="center"/>
              <w:rPr>
                <w:rFonts w:cs="仿宋"/>
                <w:b/>
                <w:sz w:val="21"/>
                <w:szCs w:val="21"/>
              </w:rPr>
            </w:pPr>
            <w:r>
              <w:rPr>
                <w:rFonts w:hint="eastAsia" w:cs="仿宋"/>
                <w:b/>
                <w:sz w:val="21"/>
                <w:szCs w:val="21"/>
              </w:rPr>
              <w:t>39.32</w:t>
            </w:r>
          </w:p>
        </w:tc>
        <w:tc>
          <w:tcPr>
            <w:tcW w:w="1842" w:type="dxa"/>
            <w:vAlign w:val="center"/>
          </w:tcPr>
          <w:p>
            <w:pPr>
              <w:spacing w:line="240" w:lineRule="auto"/>
              <w:ind w:left="280" w:right="280" w:firstLine="0" w:firstLineChars="0"/>
              <w:jc w:val="center"/>
              <w:rPr>
                <w:rFonts w:cs="仿宋"/>
                <w:b/>
                <w:sz w:val="21"/>
                <w:szCs w:val="21"/>
              </w:rPr>
            </w:pPr>
            <w:r>
              <w:rPr>
                <w:rFonts w:hint="eastAsia" w:cs="仿宋"/>
                <w:b/>
                <w:sz w:val="21"/>
                <w:szCs w:val="21"/>
              </w:rPr>
              <w:t>6.32%</w:t>
            </w:r>
          </w:p>
        </w:tc>
        <w:tc>
          <w:tcPr>
            <w:tcW w:w="1985" w:type="dxa"/>
            <w:vAlign w:val="center"/>
          </w:tcPr>
          <w:p>
            <w:pPr>
              <w:spacing w:line="240" w:lineRule="auto"/>
              <w:ind w:left="280" w:right="280" w:firstLine="0" w:firstLineChars="0"/>
              <w:jc w:val="center"/>
              <w:rPr>
                <w:rFonts w:cs="仿宋"/>
                <w:b/>
                <w:sz w:val="21"/>
                <w:szCs w:val="21"/>
              </w:rPr>
            </w:pPr>
            <w:r>
              <w:rPr>
                <w:rFonts w:hint="eastAsia" w:cs="仿宋"/>
                <w:b/>
                <w:sz w:val="21"/>
                <w:szCs w:val="21"/>
              </w:rPr>
              <w:t>8.90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26" w:type="dxa"/>
            <w:vAlign w:val="center"/>
          </w:tcPr>
          <w:p>
            <w:pPr>
              <w:spacing w:line="240" w:lineRule="auto"/>
              <w:ind w:right="280" w:firstLine="0" w:firstLineChars="0"/>
              <w:jc w:val="center"/>
              <w:rPr>
                <w:rFonts w:cs="仿宋"/>
                <w:b/>
                <w:sz w:val="21"/>
                <w:szCs w:val="21"/>
              </w:rPr>
            </w:pPr>
            <w:r>
              <w:rPr>
                <w:rFonts w:hint="eastAsia" w:cs="仿宋"/>
                <w:b/>
                <w:sz w:val="21"/>
                <w:szCs w:val="21"/>
              </w:rPr>
              <w:t>三、专项转移支付收入</w:t>
            </w:r>
          </w:p>
        </w:tc>
        <w:tc>
          <w:tcPr>
            <w:tcW w:w="2127" w:type="dxa"/>
            <w:vAlign w:val="center"/>
          </w:tcPr>
          <w:p>
            <w:pPr>
              <w:spacing w:line="240" w:lineRule="auto"/>
              <w:ind w:left="280" w:right="280" w:firstLine="0" w:firstLineChars="0"/>
              <w:jc w:val="center"/>
              <w:rPr>
                <w:rFonts w:cs="仿宋"/>
                <w:b/>
                <w:sz w:val="21"/>
                <w:szCs w:val="21"/>
              </w:rPr>
            </w:pPr>
            <w:r>
              <w:rPr>
                <w:rFonts w:hint="eastAsia" w:cs="仿宋"/>
                <w:b/>
                <w:sz w:val="21"/>
                <w:szCs w:val="21"/>
              </w:rPr>
              <w:t>81.99</w:t>
            </w:r>
          </w:p>
        </w:tc>
        <w:tc>
          <w:tcPr>
            <w:tcW w:w="1842" w:type="dxa"/>
            <w:vAlign w:val="center"/>
          </w:tcPr>
          <w:p>
            <w:pPr>
              <w:spacing w:line="240" w:lineRule="auto"/>
              <w:ind w:right="280" w:firstLine="0" w:firstLineChars="0"/>
              <w:jc w:val="center"/>
              <w:rPr>
                <w:rFonts w:cs="仿宋"/>
                <w:b/>
                <w:sz w:val="21"/>
                <w:szCs w:val="21"/>
              </w:rPr>
            </w:pPr>
            <w:r>
              <w:rPr>
                <w:rFonts w:hint="eastAsia" w:cs="仿宋"/>
                <w:b/>
                <w:sz w:val="21"/>
                <w:szCs w:val="21"/>
              </w:rPr>
              <w:t>11.81%</w:t>
            </w:r>
          </w:p>
        </w:tc>
        <w:tc>
          <w:tcPr>
            <w:tcW w:w="1985" w:type="dxa"/>
            <w:vAlign w:val="center"/>
          </w:tcPr>
          <w:p>
            <w:pPr>
              <w:spacing w:line="240" w:lineRule="auto"/>
              <w:ind w:left="280" w:right="280" w:firstLine="0" w:firstLineChars="0"/>
              <w:jc w:val="center"/>
              <w:rPr>
                <w:rFonts w:cs="仿宋"/>
                <w:b/>
                <w:sz w:val="21"/>
                <w:szCs w:val="21"/>
              </w:rPr>
            </w:pPr>
            <w:r>
              <w:rPr>
                <w:rFonts w:hint="eastAsia" w:cs="仿宋"/>
                <w:b/>
                <w:sz w:val="21"/>
                <w:szCs w:val="21"/>
              </w:rPr>
              <w:t>20.21</w:t>
            </w:r>
          </w:p>
        </w:tc>
      </w:tr>
    </w:tbl>
    <w:p>
      <w:pPr>
        <w:pStyle w:val="4"/>
        <w:ind w:firstLine="562"/>
      </w:pPr>
      <w:bookmarkStart w:id="66" w:name="_Toc63005436"/>
      <w:r>
        <w:rPr>
          <w:rFonts w:hint="eastAsia"/>
        </w:rPr>
        <w:t>三、政府性基金收入</w:t>
      </w:r>
      <w:bookmarkEnd w:id="64"/>
      <w:bookmarkEnd w:id="66"/>
    </w:p>
    <w:p>
      <w:pPr>
        <w:ind w:firstLine="560"/>
      </w:pPr>
      <w:r>
        <w:rPr>
          <w:rFonts w:hint="eastAsia"/>
        </w:rPr>
        <w:t>在政府性基金收入中，国有土地使用权出让收入占绝对主体部分。因此，这里对政府性基金收入的预测，实际上就主要是对土地出让收入的测算。“十三五”期间，澄江市国有土地出让面积逐年增加，政府性基金收入年均增长率高达153.80%，</w:t>
      </w:r>
      <w:r>
        <w:rPr>
          <w:rStyle w:val="29"/>
        </w:rPr>
        <w:footnoteReference w:id="20"/>
      </w:r>
      <w:r>
        <w:rPr>
          <w:rFonts w:hint="eastAsia"/>
        </w:rPr>
        <w:t>但年度之间波动较大。考虑未来五年受土地报批政策等的影响，特别是土地报批不便且由于未来供地面积基本固定，按照“十四五”前期土地需求大，土地出让多，后期土地供给和出让会趋于下降的趋势考虑，未来五年澄江市国有土地使用权出让收入将呈现逐渐下降的趋势。预计“十四五”期间，澄江市累计完成政府性基金收入约125.18亿元</w:t>
      </w:r>
      <w:r>
        <w:rPr>
          <w:rFonts w:hint="eastAsia"/>
          <w:vertAlign w:val="superscript"/>
        </w:rPr>
        <w:footnoteReference w:id="21"/>
      </w:r>
      <w:r>
        <w:rPr>
          <w:rFonts w:hint="eastAsia"/>
        </w:rPr>
        <w:t>，其中，2021-2025年，全市政府性基金收入分别为27.55亿元、27.04亿元、25.53亿元、23.16亿元、21.89亿元，增速分别为-27.73%、-1.86%、-5.56%、-9.31%、-5.46%。</w:t>
      </w:r>
    </w:p>
    <w:p>
      <w:pPr>
        <w:ind w:firstLine="560"/>
      </w:pPr>
      <w:r>
        <w:rPr>
          <w:rFonts w:hint="eastAsia"/>
        </w:rPr>
        <w:t>“十四五”期间，澄江市政府性基金收入规模与增速如下图所示：</w:t>
      </w:r>
    </w:p>
    <w:p>
      <w:pPr>
        <w:spacing w:line="240" w:lineRule="auto"/>
        <w:ind w:firstLine="420"/>
        <w:jc w:val="center"/>
      </w:pPr>
      <w:r>
        <w:rPr>
          <w:rFonts w:asciiTheme="minorHAnsi" w:eastAsiaTheme="minorEastAsia"/>
          <w:sz w:val="21"/>
        </w:rPr>
        <w:drawing>
          <wp:inline distT="0" distB="0" distL="114300" distR="114300">
            <wp:extent cx="4977130" cy="2687320"/>
            <wp:effectExtent l="0" t="0" r="13970" b="17780"/>
            <wp:docPr id="5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spacing w:line="240" w:lineRule="auto"/>
        <w:ind w:firstLine="482"/>
        <w:jc w:val="center"/>
        <w:rPr>
          <w:b/>
          <w:sz w:val="24"/>
          <w:szCs w:val="24"/>
        </w:rPr>
      </w:pPr>
      <w:r>
        <w:rPr>
          <w:rFonts w:hint="eastAsia"/>
          <w:b/>
          <w:sz w:val="24"/>
          <w:szCs w:val="24"/>
        </w:rPr>
        <w:t>图7-3:“十四五”澄江市政府性基金收入规模与增速预测</w:t>
      </w:r>
    </w:p>
    <w:p>
      <w:pPr>
        <w:pStyle w:val="4"/>
        <w:ind w:firstLine="562"/>
      </w:pPr>
      <w:bookmarkStart w:id="67" w:name="_Toc63005437"/>
      <w:r>
        <w:rPr>
          <w:rFonts w:hint="eastAsia"/>
        </w:rPr>
        <w:t>四、社会保险基金收入</w:t>
      </w:r>
      <w:bookmarkEnd w:id="67"/>
    </w:p>
    <w:p>
      <w:pPr>
        <w:ind w:firstLine="560"/>
      </w:pPr>
      <w:r>
        <w:rPr>
          <w:rFonts w:hint="eastAsia"/>
        </w:rPr>
        <w:t>“十三五”期间，澄江市社保基金收入年均增长率为16.35%</w:t>
      </w:r>
      <w:r>
        <w:rPr>
          <w:rStyle w:val="29"/>
        </w:rPr>
        <w:footnoteReference w:id="22"/>
      </w:r>
      <w:r>
        <w:rPr>
          <w:rFonts w:hint="eastAsia"/>
        </w:rPr>
        <w:t>。近年来，我国明确了提高社保基金统筹层次的方向，并且持续推进社保精准扩面和加大征缴工作，增强基金保障能力，稳步提高人民生活水平。因此，结合澄江市“十三五”期间社保基金收入增长趋势，预计“十四五”期间全市的社保基金收入增长将继续保持平稳上升的趋势。“十四五”期间，预计澄江市社保基金收入增长速度将保持在7.41%左右，累计实现社保基金收入25.65亿元，2021-2025各年度完成社保基金收入目标分别为4.42亿元、4.75亿元、5.11亿元、5.48亿元、5.89亿元。</w:t>
      </w:r>
    </w:p>
    <w:p>
      <w:pPr>
        <w:ind w:firstLine="560"/>
      </w:pPr>
      <w:r>
        <w:rPr>
          <w:rFonts w:hint="eastAsia"/>
        </w:rPr>
        <w:t>“</w:t>
      </w:r>
      <w:r>
        <w:t>十</w:t>
      </w:r>
      <w:r>
        <w:rPr>
          <w:rFonts w:hint="eastAsia"/>
        </w:rPr>
        <w:t>四</w:t>
      </w:r>
      <w:r>
        <w:t>五</w:t>
      </w:r>
      <w:r>
        <w:rPr>
          <w:rFonts w:hint="eastAsia"/>
        </w:rPr>
        <w:t>”</w:t>
      </w:r>
      <w:r>
        <w:t>期间，澄江</w:t>
      </w:r>
      <w:r>
        <w:rPr>
          <w:rFonts w:hint="eastAsia"/>
        </w:rPr>
        <w:t>市社保基金</w:t>
      </w:r>
      <w:r>
        <w:t>收入规模与增速如下图所示：</w:t>
      </w:r>
    </w:p>
    <w:p>
      <w:pPr>
        <w:ind w:firstLine="560"/>
        <w:jc w:val="center"/>
      </w:pPr>
      <w:r>
        <w:drawing>
          <wp:inline distT="0" distB="0" distL="114300" distR="114300">
            <wp:extent cx="4921250" cy="2639695"/>
            <wp:effectExtent l="0" t="0" r="12700" b="27305"/>
            <wp:docPr id="5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line="240" w:lineRule="auto"/>
        <w:ind w:firstLine="482"/>
        <w:jc w:val="center"/>
        <w:rPr>
          <w:b/>
          <w:sz w:val="24"/>
          <w:szCs w:val="24"/>
        </w:rPr>
      </w:pPr>
      <w:r>
        <w:rPr>
          <w:rFonts w:hint="eastAsia"/>
          <w:b/>
          <w:sz w:val="24"/>
          <w:szCs w:val="24"/>
        </w:rPr>
        <w:t>图7-5：“十四五”澄江市社保基金收入规模与增速预测</w:t>
      </w:r>
    </w:p>
    <w:p>
      <w:pPr>
        <w:ind w:firstLine="560"/>
      </w:pPr>
      <w:r>
        <w:rPr>
          <w:rFonts w:hint="eastAsia"/>
        </w:rPr>
        <w:t>总体上，从地方可用财力</w:t>
      </w:r>
      <w:r>
        <w:rPr>
          <w:vertAlign w:val="superscript"/>
        </w:rPr>
        <w:footnoteReference w:id="23"/>
      </w:r>
      <w:r>
        <w:rPr>
          <w:rFonts w:hint="eastAsia"/>
        </w:rPr>
        <w:t>的角度，预计“十四五”期间，澄江财政收入累计将达到323.01亿，</w:t>
      </w:r>
      <w:r>
        <w:rPr>
          <w:rFonts w:hint="eastAsia"/>
          <w:b/>
        </w:rPr>
        <w:t>年均增速将保持在2.98%左右</w:t>
      </w:r>
      <w:r>
        <w:rPr>
          <w:rFonts w:hint="eastAsia"/>
        </w:rPr>
        <w:t>；其中，2021-2025年各年度财政收入规模分别为60.78亿、63.11亿、64.82亿、65.92亿和68.35亿元。</w:t>
      </w:r>
    </w:p>
    <w:p>
      <w:pPr>
        <w:snapToGrid w:val="0"/>
        <w:spacing w:line="240" w:lineRule="auto"/>
        <w:ind w:firstLine="0" w:firstLineChars="0"/>
        <w:jc w:val="center"/>
        <w:rPr>
          <w:rFonts w:cs="宋体"/>
          <w:b/>
          <w:bCs/>
          <w:sz w:val="21"/>
          <w:szCs w:val="21"/>
        </w:rPr>
      </w:pPr>
      <w:r>
        <w:rPr>
          <w:rFonts w:hint="eastAsia"/>
          <w:b/>
          <w:sz w:val="24"/>
          <w:szCs w:val="24"/>
        </w:rPr>
        <w:t>表7</w:t>
      </w:r>
      <w:r>
        <w:rPr>
          <w:b/>
          <w:sz w:val="24"/>
          <w:szCs w:val="24"/>
        </w:rPr>
        <w:t>-</w:t>
      </w:r>
      <w:r>
        <w:rPr>
          <w:rFonts w:hint="eastAsia" w:cs="宋体"/>
          <w:b/>
          <w:bCs/>
          <w:sz w:val="24"/>
          <w:szCs w:val="24"/>
        </w:rPr>
        <w:t>3：</w:t>
      </w:r>
      <w:r>
        <w:rPr>
          <w:rFonts w:cs="宋体"/>
          <w:b/>
          <w:bCs/>
          <w:sz w:val="24"/>
          <w:szCs w:val="24"/>
        </w:rPr>
        <w:t xml:space="preserve"> </w:t>
      </w:r>
      <w:r>
        <w:rPr>
          <w:rFonts w:hint="eastAsia" w:cs="宋体"/>
          <w:b/>
          <w:bCs/>
          <w:sz w:val="24"/>
          <w:szCs w:val="24"/>
        </w:rPr>
        <w:t>澄江市地方可用财力预测（</w:t>
      </w:r>
      <w:r>
        <w:rPr>
          <w:rFonts w:cs="宋体"/>
          <w:b/>
          <w:bCs/>
          <w:sz w:val="24"/>
          <w:szCs w:val="24"/>
        </w:rPr>
        <w:t>20</w:t>
      </w:r>
      <w:r>
        <w:rPr>
          <w:rFonts w:hint="eastAsia" w:cs="宋体"/>
          <w:b/>
          <w:bCs/>
          <w:sz w:val="24"/>
          <w:szCs w:val="24"/>
        </w:rPr>
        <w:t>21</w:t>
      </w:r>
      <w:r>
        <w:rPr>
          <w:rFonts w:cs="宋体"/>
          <w:b/>
          <w:bCs/>
          <w:sz w:val="24"/>
          <w:szCs w:val="24"/>
        </w:rPr>
        <w:t>-20</w:t>
      </w:r>
      <w:r>
        <w:rPr>
          <w:rFonts w:hint="eastAsia" w:cs="宋体"/>
          <w:b/>
          <w:bCs/>
          <w:sz w:val="24"/>
          <w:szCs w:val="24"/>
        </w:rPr>
        <w:t>25年）</w:t>
      </w:r>
      <w:r>
        <w:rPr>
          <w:rFonts w:hint="eastAsia" w:cs="宋体"/>
          <w:b/>
          <w:bCs/>
          <w:sz w:val="21"/>
          <w:szCs w:val="21"/>
        </w:rPr>
        <w:t>（单位：亿元）</w:t>
      </w:r>
    </w:p>
    <w:tbl>
      <w:tblPr>
        <w:tblStyle w:val="23"/>
        <w:tblW w:w="84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035"/>
        <w:gridCol w:w="1083"/>
        <w:gridCol w:w="1083"/>
        <w:gridCol w:w="1083"/>
        <w:gridCol w:w="1083"/>
        <w:gridCol w:w="1083"/>
        <w:gridCol w:w="10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项目</w:t>
            </w:r>
          </w:p>
        </w:tc>
        <w:tc>
          <w:tcPr>
            <w:tcW w:w="1035" w:type="dxa"/>
            <w:vAlign w:val="center"/>
          </w:tcPr>
          <w:p>
            <w:pPr>
              <w:snapToGrid w:val="0"/>
              <w:spacing w:line="240" w:lineRule="auto"/>
              <w:ind w:firstLine="0" w:firstLineChars="0"/>
              <w:jc w:val="center"/>
              <w:rPr>
                <w:rFonts w:cs="宋体"/>
                <w:b/>
                <w:bCs/>
                <w:sz w:val="21"/>
                <w:szCs w:val="21"/>
              </w:rPr>
            </w:pPr>
            <w:r>
              <w:rPr>
                <w:rFonts w:cs="宋体"/>
                <w:b/>
                <w:bCs/>
                <w:sz w:val="21"/>
                <w:szCs w:val="21"/>
              </w:rPr>
              <w:t>20</w:t>
            </w:r>
            <w:r>
              <w:rPr>
                <w:rFonts w:hint="eastAsia" w:cs="宋体"/>
                <w:b/>
                <w:bCs/>
                <w:sz w:val="21"/>
                <w:szCs w:val="21"/>
              </w:rPr>
              <w:t>21年</w:t>
            </w:r>
          </w:p>
        </w:tc>
        <w:tc>
          <w:tcPr>
            <w:tcW w:w="1083" w:type="dxa"/>
            <w:vAlign w:val="center"/>
          </w:tcPr>
          <w:p>
            <w:pPr>
              <w:snapToGrid w:val="0"/>
              <w:spacing w:line="240" w:lineRule="auto"/>
              <w:ind w:firstLine="0" w:firstLineChars="0"/>
              <w:jc w:val="center"/>
              <w:rPr>
                <w:rFonts w:cs="宋体"/>
                <w:b/>
                <w:bCs/>
                <w:sz w:val="21"/>
                <w:szCs w:val="21"/>
              </w:rPr>
            </w:pPr>
            <w:r>
              <w:rPr>
                <w:rFonts w:cs="宋体"/>
                <w:b/>
                <w:bCs/>
                <w:sz w:val="21"/>
                <w:szCs w:val="21"/>
              </w:rPr>
              <w:t>20</w:t>
            </w:r>
            <w:r>
              <w:rPr>
                <w:rFonts w:hint="eastAsia" w:cs="宋体"/>
                <w:b/>
                <w:bCs/>
                <w:sz w:val="21"/>
                <w:szCs w:val="21"/>
              </w:rPr>
              <w:t>22年</w:t>
            </w:r>
          </w:p>
        </w:tc>
        <w:tc>
          <w:tcPr>
            <w:tcW w:w="1083" w:type="dxa"/>
            <w:vAlign w:val="center"/>
          </w:tcPr>
          <w:p>
            <w:pPr>
              <w:snapToGrid w:val="0"/>
              <w:spacing w:line="240" w:lineRule="auto"/>
              <w:ind w:firstLine="0" w:firstLineChars="0"/>
              <w:jc w:val="center"/>
              <w:rPr>
                <w:rFonts w:cs="宋体"/>
                <w:b/>
                <w:bCs/>
                <w:sz w:val="21"/>
                <w:szCs w:val="21"/>
              </w:rPr>
            </w:pPr>
            <w:r>
              <w:rPr>
                <w:rFonts w:cs="宋体"/>
                <w:b/>
                <w:bCs/>
                <w:sz w:val="21"/>
                <w:szCs w:val="21"/>
              </w:rPr>
              <w:t>20</w:t>
            </w:r>
            <w:r>
              <w:rPr>
                <w:rFonts w:hint="eastAsia" w:cs="宋体"/>
                <w:b/>
                <w:bCs/>
                <w:sz w:val="21"/>
                <w:szCs w:val="21"/>
              </w:rPr>
              <w:t>23年</w:t>
            </w:r>
          </w:p>
        </w:tc>
        <w:tc>
          <w:tcPr>
            <w:tcW w:w="1083" w:type="dxa"/>
            <w:vAlign w:val="center"/>
          </w:tcPr>
          <w:p>
            <w:pPr>
              <w:snapToGrid w:val="0"/>
              <w:spacing w:line="240" w:lineRule="auto"/>
              <w:ind w:firstLine="0" w:firstLineChars="0"/>
              <w:jc w:val="center"/>
              <w:rPr>
                <w:rFonts w:cs="宋体"/>
                <w:b/>
                <w:bCs/>
                <w:sz w:val="21"/>
                <w:szCs w:val="21"/>
              </w:rPr>
            </w:pPr>
            <w:r>
              <w:rPr>
                <w:rFonts w:cs="宋体"/>
                <w:b/>
                <w:bCs/>
                <w:sz w:val="21"/>
                <w:szCs w:val="21"/>
              </w:rPr>
              <w:t>20</w:t>
            </w:r>
            <w:r>
              <w:rPr>
                <w:rFonts w:hint="eastAsia" w:cs="宋体"/>
                <w:b/>
                <w:bCs/>
                <w:sz w:val="21"/>
                <w:szCs w:val="21"/>
              </w:rPr>
              <w:t>24年</w:t>
            </w:r>
          </w:p>
        </w:tc>
        <w:tc>
          <w:tcPr>
            <w:tcW w:w="1083" w:type="dxa"/>
            <w:vAlign w:val="center"/>
          </w:tcPr>
          <w:p>
            <w:pPr>
              <w:snapToGrid w:val="0"/>
              <w:spacing w:line="240" w:lineRule="auto"/>
              <w:ind w:firstLine="0" w:firstLineChars="0"/>
              <w:jc w:val="center"/>
              <w:rPr>
                <w:rFonts w:cs="宋体"/>
                <w:b/>
                <w:bCs/>
                <w:sz w:val="21"/>
                <w:szCs w:val="21"/>
              </w:rPr>
            </w:pPr>
            <w:r>
              <w:rPr>
                <w:rFonts w:cs="宋体"/>
                <w:b/>
                <w:bCs/>
                <w:sz w:val="21"/>
                <w:szCs w:val="21"/>
              </w:rPr>
              <w:t>202</w:t>
            </w:r>
            <w:r>
              <w:rPr>
                <w:rFonts w:hint="eastAsia" w:cs="宋体"/>
                <w:b/>
                <w:bCs/>
                <w:sz w:val="21"/>
                <w:szCs w:val="21"/>
              </w:rPr>
              <w:t>5年</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年均增长率</w:t>
            </w:r>
            <w:r>
              <w:rPr>
                <w:rFonts w:cs="宋体"/>
                <w:b/>
                <w:bCs/>
                <w:sz w:val="21"/>
                <w:szCs w:val="21"/>
              </w:rPr>
              <w:t xml:space="preserve"> (%)</w:t>
            </w:r>
          </w:p>
        </w:tc>
        <w:tc>
          <w:tcPr>
            <w:tcW w:w="1084"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“十四五”累计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930"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一般公共预算本级收入</w:t>
            </w:r>
          </w:p>
        </w:tc>
        <w:tc>
          <w:tcPr>
            <w:tcW w:w="1035"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8.38</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8.90</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9.49</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10.06</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10.67</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6.04</w:t>
            </w:r>
          </w:p>
        </w:tc>
        <w:tc>
          <w:tcPr>
            <w:tcW w:w="1084"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47.50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30"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上级补助收入</w:t>
            </w:r>
          </w:p>
        </w:tc>
        <w:tc>
          <w:tcPr>
            <w:tcW w:w="1035"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20.43</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22.42</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24.69</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27.22</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29.90</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9.96</w:t>
            </w:r>
          </w:p>
        </w:tc>
        <w:tc>
          <w:tcPr>
            <w:tcW w:w="1084"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124.68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930"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政府性基金收入</w:t>
            </w:r>
          </w:p>
        </w:tc>
        <w:tc>
          <w:tcPr>
            <w:tcW w:w="1035"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27.55</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27.04</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25.53</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23.16</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21.89</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-9.98</w:t>
            </w:r>
          </w:p>
        </w:tc>
        <w:tc>
          <w:tcPr>
            <w:tcW w:w="1084"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125.18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930"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社保基金收入</w:t>
            </w:r>
          </w:p>
        </w:tc>
        <w:tc>
          <w:tcPr>
            <w:tcW w:w="1035"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4.42</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4.75</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5.11</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5.48</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5.89</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7.41</w:t>
            </w:r>
          </w:p>
        </w:tc>
        <w:tc>
          <w:tcPr>
            <w:tcW w:w="1084"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25.65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30"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合计</w:t>
            </w:r>
          </w:p>
        </w:tc>
        <w:tc>
          <w:tcPr>
            <w:tcW w:w="1035"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60.78</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63.11</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64.82</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65.92</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68.35</w:t>
            </w:r>
          </w:p>
        </w:tc>
        <w:tc>
          <w:tcPr>
            <w:tcW w:w="1083"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2.98</w:t>
            </w:r>
          </w:p>
        </w:tc>
        <w:tc>
          <w:tcPr>
            <w:tcW w:w="1084" w:type="dxa"/>
            <w:vAlign w:val="center"/>
          </w:tcPr>
          <w:p>
            <w:pPr>
              <w:snapToGrid w:val="0"/>
              <w:spacing w:line="240" w:lineRule="auto"/>
              <w:ind w:firstLine="0" w:firstLineChars="0"/>
              <w:jc w:val="center"/>
              <w:rPr>
                <w:rFonts w:cs="宋体"/>
                <w:b/>
                <w:bCs/>
                <w:sz w:val="21"/>
                <w:szCs w:val="21"/>
              </w:rPr>
            </w:pPr>
            <w:r>
              <w:rPr>
                <w:rFonts w:hint="eastAsia" w:cs="宋体"/>
                <w:b/>
                <w:bCs/>
                <w:sz w:val="21"/>
                <w:szCs w:val="21"/>
              </w:rPr>
              <w:t>323.01</w:t>
            </w:r>
          </w:p>
        </w:tc>
      </w:tr>
    </w:tbl>
    <w:p>
      <w:pPr>
        <w:ind w:firstLine="420"/>
        <w:jc w:val="center"/>
      </w:pPr>
      <w:r>
        <w:rPr>
          <w:rFonts w:asciiTheme="minorHAnsi" w:eastAsiaTheme="minorEastAsia"/>
          <w:sz w:val="21"/>
        </w:rPr>
        <w:drawing>
          <wp:inline distT="0" distB="0" distL="114300" distR="114300">
            <wp:extent cx="4643120" cy="2512060"/>
            <wp:effectExtent l="0" t="0" r="24130" b="21590"/>
            <wp:docPr id="5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line="240" w:lineRule="auto"/>
        <w:ind w:firstLine="1204" w:firstLineChars="500"/>
        <w:jc w:val="center"/>
        <w:rPr>
          <w:b/>
          <w:sz w:val="24"/>
          <w:szCs w:val="24"/>
        </w:rPr>
      </w:pPr>
      <w:r>
        <w:rPr>
          <w:rFonts w:hint="eastAsia"/>
          <w:b/>
          <w:sz w:val="24"/>
          <w:szCs w:val="24"/>
        </w:rPr>
        <w:t>图7-6：“十四五”澄江市可用财力收入规模预测</w:t>
      </w:r>
    </w:p>
    <w:p>
      <w:pPr>
        <w:pStyle w:val="4"/>
        <w:ind w:firstLine="562"/>
      </w:pPr>
      <w:bookmarkStart w:id="68" w:name="_Toc63005438"/>
      <w:r>
        <w:rPr>
          <w:rFonts w:hint="eastAsia"/>
        </w:rPr>
        <w:t>五、债务余额管理</w:t>
      </w:r>
      <w:bookmarkEnd w:id="68"/>
    </w:p>
    <w:p>
      <w:pPr>
        <w:ind w:firstLine="560"/>
      </w:pPr>
      <w:r>
        <w:rPr>
          <w:rFonts w:hint="eastAsia"/>
        </w:rPr>
        <w:t>由于抚仙湖生态环境治理领域的投入巨大，澄江市多次申请专项债券和特别国债，又因偿债资金来源有限，财政收入增长缺乏可持续性，抚仙湖保护治理力度的不断加大，后续治理保护投入资金将逐年剧增，导致了财政缺口加大，年末政府债务规模庞大。“十三五”期间，澄江市债务率</w:t>
      </w:r>
      <w:r>
        <w:rPr>
          <w:rFonts w:hint="eastAsia"/>
          <w:vertAlign w:val="superscript"/>
        </w:rPr>
        <w:footnoteReference w:id="24"/>
      </w:r>
      <w:r>
        <w:rPr>
          <w:rFonts w:hint="eastAsia"/>
        </w:rPr>
        <w:t>分别为132.76%、81.0%、77.86%、160.60%、和106.03%，多次超过国际公认的90%-150%的安全警戒线。</w:t>
      </w:r>
    </w:p>
    <w:p>
      <w:pPr>
        <w:ind w:right="280" w:firstLine="482"/>
        <w:jc w:val="center"/>
        <w:rPr>
          <w:sz w:val="24"/>
          <w:szCs w:val="24"/>
        </w:rPr>
      </w:pPr>
      <w:r>
        <w:rPr>
          <w:rFonts w:hint="eastAsia"/>
          <w:b/>
          <w:sz w:val="24"/>
          <w:szCs w:val="24"/>
        </w:rPr>
        <w:t>表7</w:t>
      </w:r>
      <w:r>
        <w:rPr>
          <w:b/>
          <w:sz w:val="24"/>
          <w:szCs w:val="24"/>
        </w:rPr>
        <w:t>-</w:t>
      </w:r>
      <w:r>
        <w:rPr>
          <w:rFonts w:hint="eastAsia"/>
          <w:b/>
          <w:sz w:val="24"/>
          <w:szCs w:val="24"/>
        </w:rPr>
        <w:t>4：</w:t>
      </w:r>
      <w:r>
        <w:rPr>
          <w:b/>
          <w:sz w:val="24"/>
          <w:szCs w:val="24"/>
        </w:rPr>
        <w:t xml:space="preserve"> </w:t>
      </w:r>
      <w:r>
        <w:rPr>
          <w:rFonts w:hint="eastAsia"/>
          <w:b/>
          <w:sz w:val="24"/>
          <w:szCs w:val="24"/>
        </w:rPr>
        <w:t>“十三五”澄江市债务规模情况（</w:t>
      </w:r>
      <w:r>
        <w:rPr>
          <w:rFonts w:hint="eastAsia" w:cs="宋体"/>
          <w:b/>
          <w:sz w:val="24"/>
          <w:szCs w:val="24"/>
        </w:rPr>
        <w:t>单位：万元</w:t>
      </w:r>
      <w:r>
        <w:rPr>
          <w:rFonts w:hint="eastAsia"/>
          <w:b/>
          <w:sz w:val="24"/>
          <w:szCs w:val="24"/>
        </w:rPr>
        <w:t>）</w:t>
      </w:r>
    </w:p>
    <w:tbl>
      <w:tblPr>
        <w:tblStyle w:val="24"/>
        <w:tblW w:w="775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1860"/>
        <w:gridCol w:w="2235"/>
        <w:gridCol w:w="17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5" w:type="dxa"/>
          </w:tcPr>
          <w:p>
            <w:pPr>
              <w:ind w:firstLine="0" w:firstLineChars="0"/>
              <w:jc w:val="center"/>
              <w:rPr>
                <w:rFonts w:hAnsi="Times New Roman" w:cs="仿宋"/>
                <w:b/>
                <w:kern w:val="0"/>
                <w:sz w:val="20"/>
                <w:szCs w:val="21"/>
              </w:rPr>
            </w:pPr>
            <w:r>
              <w:rPr>
                <w:rFonts w:hint="eastAsia" w:hAnsi="仿宋" w:cs="仿宋"/>
                <w:b/>
                <w:kern w:val="0"/>
                <w:sz w:val="20"/>
                <w:szCs w:val="21"/>
              </w:rPr>
              <w:t>年份</w:t>
            </w:r>
          </w:p>
        </w:tc>
        <w:tc>
          <w:tcPr>
            <w:tcW w:w="1860" w:type="dxa"/>
          </w:tcPr>
          <w:p>
            <w:pPr>
              <w:ind w:firstLine="0" w:firstLineChars="0"/>
              <w:jc w:val="center"/>
              <w:rPr>
                <w:rFonts w:hAnsi="Times New Roman" w:cs="仿宋"/>
                <w:b/>
                <w:kern w:val="0"/>
                <w:sz w:val="20"/>
                <w:szCs w:val="21"/>
              </w:rPr>
            </w:pPr>
            <w:r>
              <w:rPr>
                <w:rFonts w:hint="eastAsia" w:hAnsi="仿宋" w:cs="仿宋"/>
                <w:b/>
                <w:kern w:val="0"/>
                <w:sz w:val="20"/>
                <w:szCs w:val="21"/>
              </w:rPr>
              <w:t>政府综合财力</w:t>
            </w:r>
          </w:p>
        </w:tc>
        <w:tc>
          <w:tcPr>
            <w:tcW w:w="2235" w:type="dxa"/>
          </w:tcPr>
          <w:p>
            <w:pPr>
              <w:ind w:firstLine="0" w:firstLineChars="0"/>
              <w:jc w:val="center"/>
              <w:rPr>
                <w:rFonts w:hAnsi="Times New Roman" w:cs="仿宋"/>
                <w:b/>
                <w:kern w:val="0"/>
                <w:sz w:val="20"/>
                <w:szCs w:val="21"/>
              </w:rPr>
            </w:pPr>
            <w:r>
              <w:rPr>
                <w:rFonts w:hint="eastAsia" w:hAnsi="仿宋" w:cs="仿宋"/>
                <w:b/>
                <w:kern w:val="0"/>
                <w:sz w:val="20"/>
                <w:szCs w:val="21"/>
              </w:rPr>
              <w:t>年末政府债务余额</w:t>
            </w:r>
          </w:p>
        </w:tc>
        <w:tc>
          <w:tcPr>
            <w:tcW w:w="1770" w:type="dxa"/>
          </w:tcPr>
          <w:p>
            <w:pPr>
              <w:ind w:firstLine="0" w:firstLineChars="0"/>
              <w:jc w:val="center"/>
              <w:rPr>
                <w:rFonts w:hAnsi="Times New Roman" w:cs="仿宋"/>
                <w:b/>
                <w:kern w:val="0"/>
                <w:sz w:val="20"/>
                <w:szCs w:val="21"/>
              </w:rPr>
            </w:pPr>
            <w:r>
              <w:rPr>
                <w:rFonts w:hint="eastAsia" w:hAnsi="仿宋" w:cs="仿宋"/>
                <w:b/>
                <w:kern w:val="0"/>
                <w:sz w:val="20"/>
                <w:szCs w:val="21"/>
              </w:rPr>
              <w:t>债务率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5" w:type="dxa"/>
          </w:tcPr>
          <w:p>
            <w:pPr>
              <w:ind w:firstLine="0" w:firstLineChars="0"/>
              <w:jc w:val="center"/>
              <w:rPr>
                <w:rFonts w:hAnsi="Times New Roman" w:cs="仿宋"/>
                <w:b/>
                <w:kern w:val="0"/>
                <w:sz w:val="20"/>
                <w:szCs w:val="21"/>
              </w:rPr>
            </w:pPr>
            <w:r>
              <w:rPr>
                <w:rFonts w:hint="eastAsia" w:hAnsi="仿宋" w:cs="仿宋"/>
                <w:b/>
                <w:kern w:val="0"/>
                <w:sz w:val="20"/>
                <w:szCs w:val="21"/>
              </w:rPr>
              <w:t>2016年</w:t>
            </w:r>
          </w:p>
        </w:tc>
        <w:tc>
          <w:tcPr>
            <w:tcW w:w="1860"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187687</w:t>
            </w:r>
          </w:p>
        </w:tc>
        <w:tc>
          <w:tcPr>
            <w:tcW w:w="2235"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249181</w:t>
            </w:r>
          </w:p>
        </w:tc>
        <w:tc>
          <w:tcPr>
            <w:tcW w:w="1770"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132.76%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5" w:type="dxa"/>
          </w:tcPr>
          <w:p>
            <w:pPr>
              <w:ind w:firstLine="0" w:firstLineChars="0"/>
              <w:jc w:val="center"/>
              <w:rPr>
                <w:rFonts w:hAnsi="Times New Roman" w:cs="仿宋"/>
                <w:b/>
                <w:kern w:val="0"/>
                <w:sz w:val="20"/>
                <w:szCs w:val="21"/>
              </w:rPr>
            </w:pPr>
            <w:r>
              <w:rPr>
                <w:rFonts w:hint="eastAsia" w:hAnsi="仿宋" w:cs="仿宋"/>
                <w:b/>
                <w:kern w:val="0"/>
                <w:sz w:val="20"/>
                <w:szCs w:val="21"/>
              </w:rPr>
              <w:t>2017年</w:t>
            </w:r>
          </w:p>
        </w:tc>
        <w:tc>
          <w:tcPr>
            <w:tcW w:w="1860"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305382</w:t>
            </w:r>
          </w:p>
        </w:tc>
        <w:tc>
          <w:tcPr>
            <w:tcW w:w="2235"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247394</w:t>
            </w:r>
          </w:p>
        </w:tc>
        <w:tc>
          <w:tcPr>
            <w:tcW w:w="1770"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81.01%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885" w:type="dxa"/>
          </w:tcPr>
          <w:p>
            <w:pPr>
              <w:ind w:firstLine="0" w:firstLineChars="0"/>
              <w:jc w:val="center"/>
              <w:rPr>
                <w:rFonts w:hAnsi="Times New Roman" w:cs="仿宋"/>
                <w:b/>
                <w:kern w:val="0"/>
                <w:sz w:val="20"/>
                <w:szCs w:val="21"/>
              </w:rPr>
            </w:pPr>
            <w:r>
              <w:rPr>
                <w:rFonts w:hint="eastAsia" w:hAnsi="仿宋" w:cs="仿宋"/>
                <w:b/>
                <w:kern w:val="0"/>
                <w:sz w:val="20"/>
                <w:szCs w:val="21"/>
              </w:rPr>
              <w:t>2018年</w:t>
            </w:r>
          </w:p>
        </w:tc>
        <w:tc>
          <w:tcPr>
            <w:tcW w:w="1860"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390864</w:t>
            </w:r>
          </w:p>
        </w:tc>
        <w:tc>
          <w:tcPr>
            <w:tcW w:w="2235"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304329</w:t>
            </w:r>
          </w:p>
        </w:tc>
        <w:tc>
          <w:tcPr>
            <w:tcW w:w="1770"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77.86%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5" w:type="dxa"/>
          </w:tcPr>
          <w:p>
            <w:pPr>
              <w:ind w:firstLine="0" w:firstLineChars="0"/>
              <w:jc w:val="center"/>
              <w:rPr>
                <w:rFonts w:hAnsi="Times New Roman" w:cs="仿宋"/>
                <w:b/>
                <w:kern w:val="0"/>
                <w:sz w:val="20"/>
                <w:szCs w:val="21"/>
              </w:rPr>
            </w:pPr>
            <w:r>
              <w:rPr>
                <w:rFonts w:hint="eastAsia" w:hAnsi="仿宋" w:cs="仿宋"/>
                <w:b/>
                <w:kern w:val="0"/>
                <w:sz w:val="20"/>
                <w:szCs w:val="21"/>
              </w:rPr>
              <w:t>2019年</w:t>
            </w:r>
          </w:p>
        </w:tc>
        <w:tc>
          <w:tcPr>
            <w:tcW w:w="1860"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441003</w:t>
            </w:r>
          </w:p>
        </w:tc>
        <w:tc>
          <w:tcPr>
            <w:tcW w:w="2235"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708239</w:t>
            </w:r>
          </w:p>
        </w:tc>
        <w:tc>
          <w:tcPr>
            <w:tcW w:w="1770" w:type="dxa"/>
            <w:vAlign w:val="center"/>
          </w:tcPr>
          <w:p>
            <w:pPr>
              <w:widowControl/>
              <w:ind w:firstLine="0" w:firstLineChars="0"/>
              <w:jc w:val="center"/>
              <w:textAlignment w:val="center"/>
              <w:rPr>
                <w:rFonts w:hAnsi="Times New Roman" w:cs="仿宋"/>
                <w:b/>
                <w:kern w:val="0"/>
                <w:sz w:val="20"/>
                <w:szCs w:val="21"/>
              </w:rPr>
            </w:pPr>
            <w:r>
              <w:rPr>
                <w:rFonts w:hint="eastAsia" w:hAnsi="仿宋" w:cs="仿宋"/>
                <w:b/>
                <w:kern w:val="0"/>
                <w:sz w:val="20"/>
                <w:szCs w:val="21"/>
                <w:lang w:bidi="ar"/>
              </w:rPr>
              <w:t>160.60%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85" w:type="dxa"/>
          </w:tcPr>
          <w:p>
            <w:pPr>
              <w:ind w:firstLine="0" w:firstLineChars="0"/>
              <w:jc w:val="center"/>
              <w:rPr>
                <w:rFonts w:hAnsi="仿宋" w:cs="仿宋"/>
                <w:b/>
                <w:kern w:val="0"/>
                <w:sz w:val="20"/>
                <w:szCs w:val="21"/>
              </w:rPr>
            </w:pPr>
            <w:r>
              <w:rPr>
                <w:rFonts w:hint="eastAsia" w:hAnsi="仿宋" w:cs="仿宋"/>
                <w:b/>
                <w:kern w:val="0"/>
                <w:sz w:val="20"/>
                <w:szCs w:val="21"/>
              </w:rPr>
              <w:t>2020年</w:t>
            </w:r>
          </w:p>
        </w:tc>
        <w:tc>
          <w:tcPr>
            <w:tcW w:w="1860" w:type="dxa"/>
            <w:vAlign w:val="center"/>
          </w:tcPr>
          <w:p>
            <w:pPr>
              <w:widowControl/>
              <w:ind w:firstLine="0" w:firstLineChars="0"/>
              <w:jc w:val="center"/>
              <w:textAlignment w:val="center"/>
              <w:rPr>
                <w:rFonts w:hAnsi="仿宋" w:cs="仿宋"/>
                <w:b/>
                <w:kern w:val="0"/>
                <w:sz w:val="20"/>
                <w:szCs w:val="21"/>
                <w:lang w:bidi="ar"/>
              </w:rPr>
            </w:pPr>
            <w:r>
              <w:rPr>
                <w:rFonts w:hint="eastAsia" w:hAnsi="仿宋" w:cs="仿宋"/>
                <w:b/>
                <w:kern w:val="0"/>
                <w:sz w:val="20"/>
                <w:szCs w:val="21"/>
                <w:lang w:bidi="ar"/>
              </w:rPr>
              <w:t>712840</w:t>
            </w:r>
          </w:p>
        </w:tc>
        <w:tc>
          <w:tcPr>
            <w:tcW w:w="2235" w:type="dxa"/>
            <w:vAlign w:val="center"/>
          </w:tcPr>
          <w:p>
            <w:pPr>
              <w:widowControl/>
              <w:ind w:firstLine="0" w:firstLineChars="0"/>
              <w:jc w:val="center"/>
              <w:textAlignment w:val="center"/>
              <w:rPr>
                <w:rFonts w:hAnsi="仿宋" w:cs="仿宋"/>
                <w:b/>
                <w:kern w:val="0"/>
                <w:sz w:val="20"/>
                <w:szCs w:val="21"/>
                <w:lang w:bidi="ar"/>
              </w:rPr>
            </w:pPr>
            <w:r>
              <w:rPr>
                <w:rFonts w:hAnsi="仿宋" w:cs="仿宋"/>
                <w:b/>
                <w:kern w:val="0"/>
                <w:sz w:val="20"/>
                <w:szCs w:val="21"/>
                <w:lang w:bidi="ar"/>
              </w:rPr>
              <w:t>755842</w:t>
            </w:r>
          </w:p>
        </w:tc>
        <w:tc>
          <w:tcPr>
            <w:tcW w:w="1770" w:type="dxa"/>
            <w:vAlign w:val="center"/>
          </w:tcPr>
          <w:p>
            <w:pPr>
              <w:widowControl/>
              <w:ind w:firstLine="0" w:firstLineChars="0"/>
              <w:jc w:val="center"/>
              <w:textAlignment w:val="center"/>
              <w:rPr>
                <w:rFonts w:hAnsi="仿宋" w:cs="仿宋"/>
                <w:b/>
                <w:kern w:val="0"/>
                <w:sz w:val="20"/>
                <w:szCs w:val="21"/>
                <w:lang w:bidi="ar"/>
              </w:rPr>
            </w:pPr>
            <w:r>
              <w:rPr>
                <w:rFonts w:hAnsi="仿宋" w:cs="仿宋"/>
                <w:b/>
                <w:kern w:val="0"/>
                <w:sz w:val="20"/>
                <w:szCs w:val="21"/>
                <w:lang w:bidi="ar"/>
              </w:rPr>
              <w:t>106.03%</w:t>
            </w:r>
          </w:p>
        </w:tc>
      </w:tr>
    </w:tbl>
    <w:p>
      <w:pPr>
        <w:ind w:firstLine="0" w:firstLineChars="0"/>
        <w:jc w:val="center"/>
      </w:pPr>
      <w:r>
        <w:drawing>
          <wp:inline distT="0" distB="0" distL="114300" distR="114300">
            <wp:extent cx="4802505" cy="2520315"/>
            <wp:effectExtent l="0" t="0" r="17145" b="13335"/>
            <wp:docPr id="5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line="240" w:lineRule="auto"/>
        <w:ind w:firstLine="1204" w:firstLineChars="500"/>
        <w:jc w:val="center"/>
        <w:rPr>
          <w:b/>
          <w:sz w:val="24"/>
          <w:szCs w:val="24"/>
        </w:rPr>
      </w:pPr>
      <w:r>
        <w:rPr>
          <w:rFonts w:hint="eastAsia"/>
          <w:b/>
          <w:sz w:val="24"/>
          <w:szCs w:val="24"/>
        </w:rPr>
        <w:t>图7-7：2016-2020年澄江市债务规模及债务率</w:t>
      </w:r>
    </w:p>
    <w:p>
      <w:pPr>
        <w:ind w:firstLine="560"/>
      </w:pPr>
      <w:r>
        <w:rPr>
          <w:rFonts w:hint="eastAsia"/>
        </w:rPr>
        <w:t>“十四五”期间，澄江市为防范地方政府债务风险，保证债务到期足额偿还，债务风险防控化解将是财政的重点工作之一。在不断提高债务利用效率和经济效益的前提下，应持续加强债务监管，积极化解债务，控制政府债务规模，争取将债务率降低至警戒线以下。</w:t>
      </w:r>
    </w:p>
    <w:p>
      <w:pPr>
        <w:ind w:firstLine="560"/>
        <w:rPr>
          <w:rFonts w:asciiTheme="minorHAnsi" w:eastAsiaTheme="minorEastAsia"/>
          <w:sz w:val="21"/>
        </w:rPr>
      </w:pPr>
      <w:r>
        <w:rPr>
          <w:rFonts w:hint="eastAsia"/>
        </w:rPr>
        <w:t>“十四五”</w:t>
      </w:r>
      <w:r>
        <w:t>期间，</w:t>
      </w:r>
      <w:r>
        <w:rPr>
          <w:rFonts w:hint="eastAsia"/>
        </w:rPr>
        <w:t>预计</w:t>
      </w:r>
      <w:r>
        <w:t>澄江</w:t>
      </w:r>
      <w:r>
        <w:rPr>
          <w:rFonts w:hint="eastAsia"/>
        </w:rPr>
        <w:t>市政府债务情况</w:t>
      </w:r>
      <w:r>
        <w:t>如下</w:t>
      </w:r>
      <w:r>
        <w:rPr>
          <w:rFonts w:hint="eastAsia"/>
        </w:rPr>
        <w:t>表</w:t>
      </w:r>
      <w:r>
        <w:t>所示：</w:t>
      </w:r>
    </w:p>
    <w:bookmarkEnd w:id="54"/>
    <w:bookmarkEnd w:id="55"/>
    <w:bookmarkEnd w:id="56"/>
    <w:p>
      <w:pPr>
        <w:ind w:right="280" w:firstLine="0" w:firstLineChars="0"/>
        <w:jc w:val="center"/>
        <w:rPr>
          <w:rFonts w:cs="宋体"/>
          <w:b/>
          <w:sz w:val="21"/>
          <w:szCs w:val="21"/>
        </w:rPr>
      </w:pPr>
      <w:bookmarkStart w:id="69" w:name="_Toc52313236"/>
      <w:bookmarkStart w:id="70" w:name="_Toc52057356"/>
      <w:bookmarkStart w:id="71" w:name="_Toc517186610"/>
      <w:r>
        <w:rPr>
          <w:rFonts w:hint="eastAsia"/>
          <w:b/>
          <w:sz w:val="24"/>
          <w:szCs w:val="24"/>
        </w:rPr>
        <w:t>表7</w:t>
      </w:r>
      <w:r>
        <w:rPr>
          <w:b/>
          <w:sz w:val="24"/>
          <w:szCs w:val="24"/>
        </w:rPr>
        <w:t>-</w:t>
      </w:r>
      <w:r>
        <w:rPr>
          <w:rFonts w:hint="eastAsia"/>
          <w:b/>
          <w:sz w:val="24"/>
          <w:szCs w:val="24"/>
        </w:rPr>
        <w:t>5：</w:t>
      </w:r>
      <w:r>
        <w:rPr>
          <w:b/>
          <w:sz w:val="24"/>
          <w:szCs w:val="24"/>
        </w:rPr>
        <w:t xml:space="preserve"> </w:t>
      </w:r>
      <w:r>
        <w:rPr>
          <w:rFonts w:hint="eastAsia"/>
          <w:b/>
          <w:sz w:val="24"/>
          <w:szCs w:val="24"/>
        </w:rPr>
        <w:t>“十四五”预计澄江市债务规模情况</w:t>
      </w:r>
      <w:r>
        <w:rPr>
          <w:rFonts w:hint="eastAsia"/>
          <w:b/>
          <w:sz w:val="21"/>
          <w:szCs w:val="21"/>
        </w:rPr>
        <w:t>（</w:t>
      </w:r>
      <w:r>
        <w:rPr>
          <w:rFonts w:hint="eastAsia" w:cs="宋体"/>
          <w:b/>
          <w:sz w:val="21"/>
          <w:szCs w:val="21"/>
        </w:rPr>
        <w:t>单位：万元）</w:t>
      </w:r>
    </w:p>
    <w:tbl>
      <w:tblPr>
        <w:tblStyle w:val="23"/>
        <w:tblW w:w="8880" w:type="dxa"/>
        <w:jc w:val="center"/>
        <w:tblLayout w:type="fixed"/>
        <w:tblCellMar>
          <w:top w:w="0" w:type="dxa"/>
          <w:left w:w="0" w:type="dxa"/>
          <w:bottom w:w="0" w:type="dxa"/>
          <w:right w:w="0" w:type="dxa"/>
        </w:tblCellMar>
      </w:tblPr>
      <w:tblGrid>
        <w:gridCol w:w="1138"/>
        <w:gridCol w:w="1290"/>
        <w:gridCol w:w="1290"/>
        <w:gridCol w:w="1291"/>
        <w:gridCol w:w="1290"/>
        <w:gridCol w:w="1290"/>
        <w:gridCol w:w="1291"/>
      </w:tblGrid>
      <w:tr>
        <w:tblPrEx>
          <w:tblCellMar>
            <w:top w:w="0" w:type="dxa"/>
            <w:left w:w="0" w:type="dxa"/>
            <w:bottom w:w="0" w:type="dxa"/>
            <w:right w:w="0" w:type="dxa"/>
          </w:tblCellMar>
        </w:tblPrEx>
        <w:trPr>
          <w:trHeight w:val="485" w:hRule="atLeast"/>
          <w:jc w:val="center"/>
        </w:trPr>
        <w:tc>
          <w:tcPr>
            <w:tcW w:w="1138" w:type="dxa"/>
            <w:tcBorders>
              <w:top w:val="single" w:color="auto" w:sz="4" w:space="0"/>
              <w:bottom w:val="single" w:color="auto" w:sz="4" w:space="0"/>
              <w:right w:val="single" w:color="auto"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sz w:val="21"/>
                <w:szCs w:val="21"/>
              </w:rPr>
              <w:t>项目</w:t>
            </w:r>
          </w:p>
        </w:tc>
        <w:tc>
          <w:tcPr>
            <w:tcW w:w="1290"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2021年</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2022年</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2023年</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2024年</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2025年</w:t>
            </w:r>
          </w:p>
        </w:tc>
        <w:tc>
          <w:tcPr>
            <w:tcW w:w="1291" w:type="dxa"/>
            <w:tcBorders>
              <w:top w:val="single" w:color="000000" w:sz="4" w:space="0"/>
              <w:left w:val="single" w:color="000000" w:sz="4" w:space="0"/>
              <w:bottom w:val="nil"/>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小计</w:t>
            </w:r>
          </w:p>
        </w:tc>
      </w:tr>
      <w:tr>
        <w:tblPrEx>
          <w:tblCellMar>
            <w:top w:w="0" w:type="dxa"/>
            <w:left w:w="0" w:type="dxa"/>
            <w:bottom w:w="0" w:type="dxa"/>
            <w:right w:w="0" w:type="dxa"/>
          </w:tblCellMar>
        </w:tblPrEx>
        <w:trPr>
          <w:trHeight w:val="556" w:hRule="atLeast"/>
          <w:jc w:val="center"/>
        </w:trPr>
        <w:tc>
          <w:tcPr>
            <w:tcW w:w="1138" w:type="dxa"/>
            <w:tcBorders>
              <w:top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债务本金期初数</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755842.4</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724862.4</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684662.4</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586322.4</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569997.4</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3321687</w:t>
            </w:r>
          </w:p>
        </w:tc>
      </w:tr>
      <w:tr>
        <w:tblPrEx>
          <w:tblCellMar>
            <w:top w:w="0" w:type="dxa"/>
            <w:left w:w="0" w:type="dxa"/>
            <w:bottom w:w="0" w:type="dxa"/>
            <w:right w:w="0" w:type="dxa"/>
          </w:tblCellMar>
        </w:tblPrEx>
        <w:trPr>
          <w:trHeight w:val="556" w:hRule="atLeast"/>
          <w:jc w:val="center"/>
        </w:trPr>
        <w:tc>
          <w:tcPr>
            <w:tcW w:w="1138"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本期还本数</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30980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40200</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98340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16325</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30950</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216795</w:t>
            </w:r>
          </w:p>
        </w:tc>
      </w:tr>
      <w:tr>
        <w:tblPrEx>
          <w:tblCellMar>
            <w:top w:w="0" w:type="dxa"/>
            <w:left w:w="0" w:type="dxa"/>
            <w:bottom w:w="0" w:type="dxa"/>
            <w:right w:w="0" w:type="dxa"/>
          </w:tblCellMar>
        </w:tblPrEx>
        <w:trPr>
          <w:trHeight w:val="556" w:hRule="atLeast"/>
          <w:jc w:val="center"/>
        </w:trPr>
        <w:tc>
          <w:tcPr>
            <w:tcW w:w="1138"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债务本金期末数</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724862.4</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684662.4</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586322.4</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569997.4</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539047.4</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3104892</w:t>
            </w:r>
          </w:p>
        </w:tc>
      </w:tr>
      <w:tr>
        <w:tblPrEx>
          <w:tblCellMar>
            <w:top w:w="0" w:type="dxa"/>
            <w:left w:w="0" w:type="dxa"/>
            <w:bottom w:w="0" w:type="dxa"/>
            <w:right w:w="0" w:type="dxa"/>
          </w:tblCellMar>
        </w:tblPrEx>
        <w:trPr>
          <w:trHeight w:val="566" w:hRule="atLeast"/>
          <w:jc w:val="center"/>
        </w:trPr>
        <w:tc>
          <w:tcPr>
            <w:tcW w:w="1138"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本期付息数</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26278.2</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kern w:val="0"/>
                <w:sz w:val="21"/>
                <w:szCs w:val="21"/>
                <w:lang w:bidi="ar"/>
              </w:rPr>
            </w:pPr>
            <w:r>
              <w:rPr>
                <w:rFonts w:hint="eastAsia" w:hAnsi="仿宋" w:cs="仿宋"/>
                <w:b/>
                <w:kern w:val="0"/>
                <w:sz w:val="21"/>
                <w:szCs w:val="21"/>
                <w:lang w:bidi="ar"/>
              </w:rPr>
              <w:t>25224.00</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23743.04</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20008.62</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19323.43</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spacing w:line="240" w:lineRule="auto"/>
              <w:ind w:firstLine="0" w:firstLineChars="0"/>
              <w:jc w:val="center"/>
              <w:textAlignment w:val="center"/>
              <w:rPr>
                <w:rFonts w:hAnsi="仿宋" w:cs="仿宋"/>
                <w:b/>
                <w:sz w:val="21"/>
                <w:szCs w:val="21"/>
              </w:rPr>
            </w:pPr>
            <w:r>
              <w:rPr>
                <w:rFonts w:hint="eastAsia" w:hAnsi="仿宋" w:cs="仿宋"/>
                <w:b/>
                <w:kern w:val="0"/>
                <w:sz w:val="21"/>
                <w:szCs w:val="21"/>
                <w:lang w:bidi="ar"/>
              </w:rPr>
              <w:t>114577.29</w:t>
            </w:r>
          </w:p>
        </w:tc>
      </w:tr>
      <w:tr>
        <w:tblPrEx>
          <w:tblCellMar>
            <w:top w:w="0" w:type="dxa"/>
            <w:left w:w="0" w:type="dxa"/>
            <w:bottom w:w="0" w:type="dxa"/>
            <w:right w:w="0" w:type="dxa"/>
          </w:tblCellMar>
        </w:tblPrEx>
        <w:trPr>
          <w:trHeight w:val="566" w:hRule="atLeast"/>
          <w:jc w:val="center"/>
        </w:trPr>
        <w:tc>
          <w:tcPr>
            <w:tcW w:w="1138" w:type="dxa"/>
            <w:tcBorders>
              <w:top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Ansi="仿宋" w:cs="仿宋"/>
                <w:b/>
                <w:kern w:val="0"/>
                <w:sz w:val="21"/>
                <w:szCs w:val="21"/>
                <w:lang w:bidi="ar"/>
              </w:rPr>
            </w:pPr>
            <w:r>
              <w:rPr>
                <w:rFonts w:hint="eastAsia" w:hAnsi="仿宋" w:cs="仿宋"/>
                <w:b/>
                <w:kern w:val="0"/>
                <w:sz w:val="21"/>
                <w:szCs w:val="21"/>
                <w:lang w:bidi="ar"/>
              </w:rPr>
              <w:t>债务率</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Ansi="仿宋" w:cs="仿宋"/>
                <w:b/>
                <w:kern w:val="0"/>
                <w:sz w:val="21"/>
                <w:szCs w:val="21"/>
                <w:lang w:bidi="ar"/>
              </w:rPr>
            </w:pPr>
            <w:r>
              <w:rPr>
                <w:rFonts w:hint="eastAsia" w:hAnsi="仿宋" w:cs="仿宋"/>
                <w:b/>
                <w:kern w:val="0"/>
                <w:sz w:val="21"/>
                <w:szCs w:val="21"/>
                <w:lang w:bidi="ar"/>
              </w:rPr>
              <w:t>128.61%</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Ansi="仿宋" w:cs="仿宋"/>
                <w:b/>
                <w:kern w:val="0"/>
                <w:sz w:val="21"/>
                <w:szCs w:val="21"/>
                <w:lang w:bidi="ar"/>
              </w:rPr>
            </w:pPr>
            <w:r>
              <w:rPr>
                <w:rFonts w:hint="eastAsia" w:hAnsi="仿宋" w:cs="仿宋"/>
                <w:b/>
                <w:kern w:val="0"/>
                <w:sz w:val="21"/>
                <w:szCs w:val="21"/>
                <w:lang w:bidi="ar"/>
              </w:rPr>
              <w:t>117.32%</w:t>
            </w:r>
          </w:p>
        </w:tc>
        <w:tc>
          <w:tcPr>
            <w:tcW w:w="129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Ansi="仿宋" w:cs="仿宋"/>
                <w:b/>
                <w:kern w:val="0"/>
                <w:sz w:val="21"/>
                <w:szCs w:val="21"/>
                <w:lang w:bidi="ar"/>
              </w:rPr>
            </w:pPr>
            <w:r>
              <w:rPr>
                <w:rFonts w:hint="eastAsia" w:hAnsi="仿宋" w:cs="仿宋"/>
                <w:b/>
                <w:kern w:val="0"/>
                <w:sz w:val="21"/>
                <w:szCs w:val="21"/>
                <w:lang w:bidi="ar"/>
              </w:rPr>
              <w:t>98.20%</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Ansi="仿宋" w:cs="仿宋"/>
                <w:b/>
                <w:kern w:val="0"/>
                <w:sz w:val="21"/>
                <w:szCs w:val="21"/>
                <w:lang w:bidi="ar"/>
              </w:rPr>
            </w:pPr>
            <w:r>
              <w:rPr>
                <w:rFonts w:hint="eastAsia" w:hAnsi="仿宋" w:cs="仿宋"/>
                <w:b/>
                <w:kern w:val="0"/>
                <w:sz w:val="21"/>
                <w:szCs w:val="21"/>
                <w:lang w:bidi="ar"/>
              </w:rPr>
              <w:t>94.31%</w:t>
            </w:r>
          </w:p>
        </w:tc>
        <w:tc>
          <w:tcPr>
            <w:tcW w:w="12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0" w:firstLineChars="0"/>
              <w:jc w:val="center"/>
              <w:textAlignment w:val="center"/>
              <w:rPr>
                <w:rFonts w:hAnsi="仿宋" w:cs="仿宋"/>
                <w:b/>
                <w:kern w:val="0"/>
                <w:sz w:val="21"/>
                <w:szCs w:val="21"/>
                <w:lang w:bidi="ar"/>
              </w:rPr>
            </w:pPr>
            <w:r>
              <w:rPr>
                <w:rFonts w:hint="eastAsia" w:hAnsi="仿宋" w:cs="仿宋"/>
                <w:b/>
                <w:kern w:val="0"/>
                <w:sz w:val="21"/>
                <w:szCs w:val="21"/>
                <w:lang w:bidi="ar"/>
              </w:rPr>
              <w:t>86.30%</w:t>
            </w:r>
          </w:p>
        </w:tc>
        <w:tc>
          <w:tcPr>
            <w:tcW w:w="1291" w:type="dxa"/>
            <w:tcBorders>
              <w:top w:val="single" w:color="000000" w:sz="4" w:space="0"/>
              <w:left w:val="single" w:color="000000" w:sz="4" w:space="0"/>
              <w:bottom w:val="single" w:color="000000" w:sz="4" w:space="0"/>
            </w:tcBorders>
            <w:tcMar>
              <w:top w:w="15" w:type="dxa"/>
              <w:left w:w="15" w:type="dxa"/>
              <w:right w:w="15" w:type="dxa"/>
            </w:tcMar>
            <w:vAlign w:val="center"/>
          </w:tcPr>
          <w:p>
            <w:pPr>
              <w:widowControl/>
              <w:ind w:firstLine="0" w:firstLineChars="0"/>
              <w:jc w:val="center"/>
              <w:textAlignment w:val="center"/>
              <w:rPr>
                <w:rFonts w:hAnsi="仿宋" w:cs="仿宋"/>
                <w:b/>
                <w:kern w:val="0"/>
                <w:sz w:val="21"/>
                <w:szCs w:val="21"/>
                <w:lang w:bidi="ar"/>
              </w:rPr>
            </w:pPr>
            <w:r>
              <w:rPr>
                <w:rFonts w:hint="eastAsia" w:hAnsi="仿宋" w:cs="仿宋"/>
                <w:b/>
                <w:kern w:val="0"/>
                <w:sz w:val="21"/>
                <w:szCs w:val="21"/>
                <w:lang w:bidi="ar"/>
              </w:rPr>
              <w:t>104.43%</w:t>
            </w:r>
          </w:p>
        </w:tc>
      </w:tr>
    </w:tbl>
    <w:p>
      <w:pPr>
        <w:ind w:right="280" w:firstLine="0" w:firstLineChars="0"/>
        <w:jc w:val="center"/>
        <w:rPr>
          <w:rFonts w:cs="宋体"/>
          <w:b/>
          <w:sz w:val="21"/>
          <w:szCs w:val="21"/>
        </w:rPr>
      </w:pPr>
    </w:p>
    <w:p>
      <w:pPr>
        <w:ind w:firstLine="0" w:firstLineChars="0"/>
        <w:jc w:val="center"/>
      </w:pPr>
      <w:r>
        <w:drawing>
          <wp:inline distT="0" distB="0" distL="114300" distR="114300">
            <wp:extent cx="5057775" cy="2904490"/>
            <wp:effectExtent l="4445" t="4445" r="5080" b="571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240" w:lineRule="auto"/>
        <w:ind w:firstLine="482"/>
        <w:jc w:val="center"/>
        <w:rPr>
          <w:b/>
          <w:sz w:val="24"/>
          <w:szCs w:val="24"/>
        </w:rPr>
      </w:pPr>
      <w:r>
        <w:rPr>
          <w:rFonts w:hint="eastAsia"/>
          <w:b/>
          <w:sz w:val="24"/>
          <w:szCs w:val="24"/>
        </w:rPr>
        <w:t>图7-8：“十四五”澄江市债务规模及债务率预测</w:t>
      </w:r>
    </w:p>
    <w:p>
      <w:pPr>
        <w:pStyle w:val="3"/>
        <w:ind w:firstLine="602"/>
      </w:pPr>
      <w:bookmarkStart w:id="72" w:name="_Toc63005439"/>
      <w:r>
        <w:rPr>
          <w:rFonts w:hint="eastAsia"/>
        </w:rPr>
        <w:t>第八章</w:t>
      </w:r>
      <w:r>
        <w:t xml:space="preserve">  </w:t>
      </w:r>
      <w:r>
        <w:rPr>
          <w:rFonts w:hint="eastAsia"/>
        </w:rPr>
        <w:t>财政支出规划</w:t>
      </w:r>
      <w:bookmarkEnd w:id="69"/>
      <w:bookmarkEnd w:id="72"/>
    </w:p>
    <w:p>
      <w:pPr>
        <w:ind w:firstLine="560"/>
        <w:rPr>
          <w:highlight w:val="red"/>
          <w:shd w:val="clear" w:color="auto" w:fill="FFFFFF"/>
        </w:rPr>
      </w:pPr>
      <w:r>
        <w:rPr>
          <w:rFonts w:hint="eastAsia"/>
          <w:shd w:val="clear" w:color="auto" w:fill="FFFFFF"/>
        </w:rPr>
        <w:t>根据</w:t>
      </w:r>
      <w:r>
        <w:rPr>
          <w:rFonts w:hint="eastAsia"/>
        </w:rPr>
        <w:t>澄江</w:t>
      </w:r>
      <w:r>
        <w:rPr>
          <w:rFonts w:hint="eastAsia"/>
          <w:shd w:val="clear" w:color="auto" w:fill="FFFFFF"/>
        </w:rPr>
        <w:t>市政府“十四五”期间财政支出的重点以及“六稳”“六保”工作任务要求，优化支出结构，增强财政支出安排的前瞻性、灵活性、有效性，加强统筹协调，形成合力，进一步提升创新能力、培育发展动力、释放内需潜力，促进经济社会实现高质量发展。本支出规划在一般公共预算收支基线控制目标范围内，确保公共预算支出中主要任务和目标的顺利实现，设定分类别的支出上限。</w:t>
      </w:r>
    </w:p>
    <w:p>
      <w:pPr>
        <w:pStyle w:val="4"/>
        <w:ind w:firstLine="562"/>
      </w:pPr>
      <w:bookmarkStart w:id="73" w:name="_Toc63005440"/>
      <w:bookmarkStart w:id="74" w:name="_Toc52313237"/>
      <w:bookmarkStart w:id="75" w:name="_Toc517186597"/>
      <w:r>
        <w:rPr>
          <w:rFonts w:hint="eastAsia"/>
        </w:rPr>
        <w:t>一、一般公共预算支出基线</w:t>
      </w:r>
      <w:bookmarkEnd w:id="73"/>
      <w:bookmarkEnd w:id="74"/>
      <w:bookmarkEnd w:id="75"/>
    </w:p>
    <w:p>
      <w:pPr>
        <w:ind w:firstLine="560"/>
      </w:pPr>
      <w:r>
        <w:rPr>
          <w:rFonts w:hint="eastAsia"/>
        </w:rPr>
        <w:t>按照</w:t>
      </w:r>
      <w:r>
        <w:rPr>
          <w:rFonts w:hint="eastAsia"/>
          <w:lang w:eastAsia="zh-CN"/>
        </w:rPr>
        <w:t>《中华人民共和国预算法》</w:t>
      </w:r>
      <w:r>
        <w:rPr>
          <w:rFonts w:hint="eastAsia"/>
        </w:rPr>
        <w:t>和全面深化财税体制改革要求，以第七章地方可用财力预测的澄江市一般公共预算中的税收收入、非税收入和上级补助收入等为基础，根据澄江市“十三五”财政收支的历史数据综合考虑了调入一般公共预算的资金规模。预计“十四五”期间，澄江市一般公共预算支出基线规模为208.01亿元</w:t>
      </w:r>
      <w:bookmarkStart w:id="76" w:name="_Toc454462772"/>
      <w:bookmarkStart w:id="77" w:name="_Toc448853489"/>
      <w:r>
        <w:rPr>
          <w:rFonts w:hint="eastAsia"/>
        </w:rPr>
        <w:t>；预计2021-2025年各年度一般公共预算支出分别为36.70亿元、39.06亿元、41.49亿元、43.91亿元和46.4亿元，年均增长率为6.29%。</w:t>
      </w:r>
    </w:p>
    <w:p>
      <w:pPr>
        <w:pStyle w:val="4"/>
        <w:ind w:firstLine="562"/>
      </w:pPr>
      <w:bookmarkStart w:id="78" w:name="_Toc63005441"/>
      <w:bookmarkStart w:id="79" w:name="_Toc517186598"/>
      <w:bookmarkStart w:id="80" w:name="_Toc52313238"/>
      <w:r>
        <w:rPr>
          <w:rFonts w:hint="eastAsia"/>
        </w:rPr>
        <w:t>二、主要支出规划</w:t>
      </w:r>
      <w:bookmarkEnd w:id="78"/>
      <w:bookmarkEnd w:id="79"/>
      <w:bookmarkEnd w:id="80"/>
    </w:p>
    <w:p>
      <w:pPr>
        <w:pStyle w:val="5"/>
      </w:pPr>
      <w:r>
        <w:rPr>
          <w:rFonts w:hint="eastAsia"/>
        </w:rPr>
        <w:t>（一）</w:t>
      </w:r>
      <w:bookmarkEnd w:id="76"/>
      <w:bookmarkEnd w:id="77"/>
      <w:r>
        <w:rPr>
          <w:rFonts w:hint="eastAsia"/>
        </w:rPr>
        <w:t>节能环保支出</w:t>
      </w:r>
    </w:p>
    <w:p>
      <w:pPr>
        <w:ind w:firstLine="560"/>
      </w:pPr>
      <w:r>
        <w:rPr>
          <w:rFonts w:hint="eastAsia"/>
        </w:rPr>
        <w:t>1、绩效目标</w:t>
      </w:r>
    </w:p>
    <w:p>
      <w:pPr>
        <w:ind w:firstLine="560"/>
        <w:rPr>
          <w:shd w:val="clear" w:color="auto" w:fill="FFFFFF"/>
        </w:rPr>
      </w:pPr>
      <w:r>
        <w:rPr>
          <w:rFonts w:hint="eastAsia"/>
          <w:shd w:val="clear" w:color="auto" w:fill="FFFFFF"/>
        </w:rPr>
        <w:t>“十四五”期间，以习近平生态文明思想为指导，始终坚持“生态立市”战略不动摇，统筹山水林田湖草系统治理，全面完成“三个一次性”工程建设，守住自然生态安全边界，加快建设人与自然和谐共生的现代化。支持生态建设取得新成果。“三区”主导功能划分更加明晰、“三线”边界刚性管控更加有力，山水林田湖草系统治理水平不断提升，森林覆盖率明显提高，生产生活方式绿色转型成效显著，能源资源利用效率大幅提升，主要污染物排放总量持续减少，城乡人居环境更加优美，抚仙湖总体水质保持Ⅰ类。</w:t>
      </w:r>
    </w:p>
    <w:p>
      <w:pPr>
        <w:ind w:firstLine="560"/>
      </w:pPr>
      <w:r>
        <w:rPr>
          <w:rFonts w:hint="eastAsia"/>
        </w:rPr>
        <w:t>2、支出限额</w:t>
      </w:r>
    </w:p>
    <w:p>
      <w:pPr>
        <w:spacing w:line="500" w:lineRule="exact"/>
        <w:ind w:firstLine="0" w:firstLineChars="0"/>
        <w:jc w:val="center"/>
        <w:rPr>
          <w:b/>
          <w:sz w:val="21"/>
          <w:szCs w:val="21"/>
        </w:rPr>
      </w:pPr>
      <w:r>
        <w:rPr>
          <w:rFonts w:hint="eastAsia"/>
          <w:b/>
          <w:sz w:val="24"/>
          <w:szCs w:val="24"/>
        </w:rPr>
        <w:t>表8-1：2021-2025年节能环保支出限额</w:t>
      </w:r>
      <w:r>
        <w:rPr>
          <w:rFonts w:hint="eastAsia"/>
          <w:b/>
          <w:sz w:val="21"/>
          <w:szCs w:val="21"/>
        </w:rPr>
        <w:t>（单位：万元）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76"/>
        <w:gridCol w:w="746"/>
        <w:gridCol w:w="934"/>
        <w:gridCol w:w="942"/>
        <w:gridCol w:w="977"/>
        <w:gridCol w:w="1095"/>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709"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976"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746"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93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942"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977"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1095"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709"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节能环保支出</w:t>
            </w:r>
          </w:p>
        </w:tc>
        <w:tc>
          <w:tcPr>
            <w:tcW w:w="976"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90.87%</w:t>
            </w:r>
          </w:p>
        </w:tc>
        <w:tc>
          <w:tcPr>
            <w:tcW w:w="746"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89596</w:t>
            </w:r>
          </w:p>
        </w:tc>
        <w:tc>
          <w:tcPr>
            <w:tcW w:w="93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91667</w:t>
            </w:r>
          </w:p>
        </w:tc>
        <w:tc>
          <w:tcPr>
            <w:tcW w:w="942"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97623</w:t>
            </w:r>
          </w:p>
        </w:tc>
        <w:tc>
          <w:tcPr>
            <w:tcW w:w="977"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104014</w:t>
            </w:r>
          </w:p>
        </w:tc>
        <w:tc>
          <w:tcPr>
            <w:tcW w:w="1095"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124157</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507057</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8.50</w:t>
            </w:r>
            <w:r>
              <w:rPr>
                <w:rFonts w:hint="eastAsia" w:hAnsi="Times New Roman" w:cs="Times New Roman"/>
                <w:b/>
                <w:kern w:val="0"/>
                <w:sz w:val="21"/>
                <w:szCs w:val="21"/>
              </w:rPr>
              <w:t>%</w:t>
            </w:r>
          </w:p>
        </w:tc>
      </w:tr>
    </w:tbl>
    <w:p>
      <w:pPr>
        <w:pStyle w:val="5"/>
      </w:pPr>
      <w:bookmarkStart w:id="81" w:name="_Toc448853490"/>
      <w:bookmarkStart w:id="82" w:name="_Toc454462773"/>
      <w:r>
        <w:rPr>
          <w:rFonts w:hint="eastAsia"/>
        </w:rPr>
        <w:t>（二）</w:t>
      </w:r>
      <w:bookmarkEnd w:id="81"/>
      <w:bookmarkEnd w:id="82"/>
      <w:r>
        <w:rPr>
          <w:rFonts w:hint="eastAsia"/>
        </w:rPr>
        <w:t>文化体育旅游与传媒支出</w:t>
      </w:r>
    </w:p>
    <w:p>
      <w:pPr>
        <w:ind w:firstLine="560"/>
      </w:pPr>
      <w:r>
        <w:rPr>
          <w:rFonts w:hint="eastAsia"/>
        </w:rPr>
        <w:t>1、绩效目标</w:t>
      </w:r>
    </w:p>
    <w:p>
      <w:pPr>
        <w:ind w:firstLine="560"/>
      </w:pPr>
      <w:r>
        <w:rPr>
          <w:rFonts w:hint="eastAsia"/>
        </w:rPr>
        <w:t>“十四五”期间，始终坚持旅游强市战略不动摇，推动旅游产</w:t>
      </w:r>
    </w:p>
    <w:p>
      <w:pPr>
        <w:ind w:firstLine="0" w:firstLineChars="0"/>
      </w:pPr>
      <w:r>
        <w:rPr>
          <w:rFonts w:hint="eastAsia"/>
        </w:rPr>
        <w:t>业国际化、标准化、信息化建设，着力构建生态观光、休闲度假、健康疗养、户外运动、文化体验五大产品体系，提升旅游产品品质，全方位塑造国际知名旅游品牌。加快旅游业转型升级，形成一批旅游新业态、新热点。推进广龙小镇、星空小镇商业区建设并投入运营，基本完成寒武纪省级特色小镇创建工作。继续深化旅游革命，启动环湖旅游资源和业态重组，全面提升旅游形象和产业品质。坚持规划引领，按照闭合式景区的思路，推进抚仙湖5A级景区创建与发展工作，鼓励支持“半山酒店”、特色民宿和星级农家乐发展。培植康养和会展产业，把康养和会展作为支撑“三个国际城市”的重点产业。启动并推进览海抚仙湖国际健康旅游谷项目。</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表8-2：2021-2025年文化体育旅游与传媒支出限额（单位：万元）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850"/>
        <w:gridCol w:w="851"/>
        <w:gridCol w:w="849"/>
        <w:gridCol w:w="851"/>
        <w:gridCol w:w="851"/>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13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993"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50"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134" w:type="dxa"/>
            <w:vAlign w:val="center"/>
          </w:tcPr>
          <w:p>
            <w:pPr>
              <w:spacing w:before="120" w:after="120" w:line="240" w:lineRule="auto"/>
              <w:ind w:firstLine="0" w:firstLineChars="0"/>
              <w:rPr>
                <w:rFonts w:hAnsi="Times New Roman" w:cs="Times New Roman"/>
                <w:b/>
                <w:kern w:val="0"/>
                <w:sz w:val="21"/>
                <w:szCs w:val="21"/>
              </w:rPr>
            </w:pPr>
            <w:r>
              <w:rPr>
                <w:rFonts w:hint="eastAsia" w:hAnsi="Times New Roman" w:cs="Times New Roman"/>
                <w:b/>
                <w:kern w:val="0"/>
                <w:sz w:val="21"/>
                <w:szCs w:val="21"/>
              </w:rPr>
              <w:t>文化体育旅游与传媒支出</w:t>
            </w:r>
          </w:p>
        </w:tc>
        <w:tc>
          <w:tcPr>
            <w:tcW w:w="993"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22.06%</w:t>
            </w:r>
          </w:p>
        </w:tc>
        <w:tc>
          <w:tcPr>
            <w:tcW w:w="85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7157</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7944</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8375</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8604</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8784</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40864</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5.26</w:t>
            </w:r>
            <w:r>
              <w:rPr>
                <w:rFonts w:hint="eastAsia" w:hAnsi="Times New Roman" w:cs="Times New Roman"/>
                <w:b/>
                <w:kern w:val="0"/>
                <w:sz w:val="21"/>
                <w:szCs w:val="21"/>
              </w:rPr>
              <w:t>%</w:t>
            </w:r>
          </w:p>
        </w:tc>
      </w:tr>
    </w:tbl>
    <w:p>
      <w:pPr>
        <w:pStyle w:val="5"/>
      </w:pPr>
      <w:bookmarkStart w:id="83" w:name="_Toc454462774"/>
      <w:bookmarkStart w:id="84" w:name="_Toc448853491"/>
      <w:r>
        <w:rPr>
          <w:rFonts w:hint="eastAsia"/>
        </w:rPr>
        <w:t>（三）</w:t>
      </w:r>
      <w:bookmarkEnd w:id="83"/>
      <w:bookmarkEnd w:id="84"/>
      <w:r>
        <w:rPr>
          <w:rFonts w:hint="eastAsia"/>
        </w:rPr>
        <w:t>一般公共服务支出</w:t>
      </w:r>
    </w:p>
    <w:p>
      <w:pPr>
        <w:ind w:firstLine="560"/>
      </w:pPr>
      <w:r>
        <w:rPr>
          <w:rFonts w:hint="eastAsia"/>
        </w:rPr>
        <w:t>1、绩效目标</w:t>
      </w:r>
    </w:p>
    <w:p>
      <w:pPr>
        <w:ind w:firstLine="560"/>
      </w:pPr>
      <w:r>
        <w:rPr>
          <w:rFonts w:hint="eastAsia"/>
          <w:shd w:val="clear" w:color="auto" w:fill="FFFFFF"/>
        </w:rPr>
        <w:t>“十四五”期间，考虑</w:t>
      </w:r>
      <w:r>
        <w:rPr>
          <w:rFonts w:hint="eastAsia"/>
        </w:rPr>
        <w:t>到保工资保运转的压力较大和支出结构调整优化方向</w:t>
      </w:r>
      <w:r>
        <w:rPr>
          <w:rFonts w:hint="eastAsia"/>
          <w:shd w:val="clear" w:color="auto" w:fill="FFFFFF"/>
        </w:rPr>
        <w:t>，进一步深化行政管理体制改革，构建协调一致的管理机制，优化公共服务设施资源配置，政府治理能力显著提高，宏观调控能力不断增强；强化政治建设，认真贯彻党的十九届四中全会精神和习近平总书记考察云南重要讲话精神，政府部门“四个意识”更加牢固，“四个自信”更加坚定，“两个维护”更加自觉。</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表8-3：2021-2022年一般公共服务支出限额（单位：万元）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850"/>
        <w:gridCol w:w="851"/>
        <w:gridCol w:w="849"/>
        <w:gridCol w:w="851"/>
        <w:gridCol w:w="851"/>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13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993"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50"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134"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一般公共服务支出</w:t>
            </w:r>
          </w:p>
        </w:tc>
        <w:tc>
          <w:tcPr>
            <w:tcW w:w="993"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12.86%</w:t>
            </w:r>
          </w:p>
        </w:tc>
        <w:tc>
          <w:tcPr>
            <w:tcW w:w="85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 xml:space="preserve">30917 </w:t>
            </w:r>
            <w:r>
              <w:rPr>
                <w:rFonts w:hint="eastAsia" w:hAnsi="Times New Roman" w:cs="Times New Roman"/>
                <w:b/>
                <w:kern w:val="0"/>
                <w:sz w:val="21"/>
                <w:szCs w:val="21"/>
              </w:rPr>
              <w:t xml:space="preserve"> </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 xml:space="preserve">33761  </w:t>
            </w:r>
            <w:r>
              <w:rPr>
                <w:rFonts w:hint="eastAsia" w:hAnsi="Times New Roman" w:cs="Times New Roman"/>
                <w:b/>
                <w:kern w:val="0"/>
                <w:sz w:val="21"/>
                <w:szCs w:val="21"/>
              </w:rPr>
              <w:t xml:space="preserve"> </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35264</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36245</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 xml:space="preserve">36346  </w:t>
            </w:r>
            <w:r>
              <w:rPr>
                <w:rFonts w:hint="eastAsia" w:hAnsi="Times New Roman" w:cs="Times New Roman"/>
                <w:b/>
                <w:kern w:val="0"/>
                <w:sz w:val="21"/>
                <w:szCs w:val="21"/>
              </w:rPr>
              <w:t xml:space="preserve"> </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 xml:space="preserve">172533  </w:t>
            </w:r>
            <w:r>
              <w:rPr>
                <w:rFonts w:hint="eastAsia" w:hAnsi="Times New Roman" w:cs="Times New Roman"/>
                <w:b/>
                <w:kern w:val="0"/>
                <w:sz w:val="21"/>
                <w:szCs w:val="21"/>
              </w:rPr>
              <w:t xml:space="preserve"> </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4.</w:t>
            </w:r>
            <w:r>
              <w:rPr>
                <w:rFonts w:hAnsi="Times New Roman" w:cs="Times New Roman"/>
                <w:b/>
                <w:kern w:val="0"/>
                <w:sz w:val="21"/>
                <w:szCs w:val="21"/>
              </w:rPr>
              <w:t>1</w:t>
            </w:r>
            <w:r>
              <w:rPr>
                <w:rFonts w:hint="eastAsia" w:hAnsi="Times New Roman" w:cs="Times New Roman"/>
                <w:b/>
                <w:kern w:val="0"/>
                <w:sz w:val="21"/>
                <w:szCs w:val="21"/>
              </w:rPr>
              <w:t>3%</w:t>
            </w:r>
          </w:p>
        </w:tc>
      </w:tr>
    </w:tbl>
    <w:p>
      <w:pPr>
        <w:pStyle w:val="5"/>
      </w:pPr>
      <w:bookmarkStart w:id="85" w:name="_Toc454462775"/>
      <w:bookmarkStart w:id="86" w:name="_Toc448853492"/>
      <w:r>
        <w:rPr>
          <w:rFonts w:hint="eastAsia"/>
        </w:rPr>
        <w:t>（四）</w:t>
      </w:r>
      <w:bookmarkEnd w:id="85"/>
      <w:bookmarkEnd w:id="86"/>
      <w:r>
        <w:rPr>
          <w:rFonts w:hint="eastAsia"/>
        </w:rPr>
        <w:t>教育支出</w:t>
      </w:r>
    </w:p>
    <w:p>
      <w:pPr>
        <w:ind w:firstLine="560"/>
        <w:rPr>
          <w:b/>
        </w:rPr>
      </w:pPr>
      <w:r>
        <w:rPr>
          <w:rFonts w:hint="eastAsia"/>
        </w:rPr>
        <w:t>1、绩效目标</w:t>
      </w:r>
    </w:p>
    <w:p>
      <w:pPr>
        <w:ind w:firstLine="560"/>
      </w:pPr>
      <w:r>
        <w:rPr>
          <w:rFonts w:hint="eastAsia"/>
        </w:rPr>
        <w:t>“十四五”期间，教育支出要保障好教育重点支出，支持教育优先发展。大力支持学前教育、普通教育、职业教育和高等教育的发展。不断加大农村义务教育经费保障力度，支持教育综合改革，区分教育的公共性层次，完善针对不同教育类型的财政支持政策。优化教育资源配置，推进基本公共教育服务均等化。做好“控辍保学”工作。</w:t>
      </w:r>
    </w:p>
    <w:p>
      <w:pPr>
        <w:ind w:firstLine="560"/>
      </w:pPr>
      <w:r>
        <w:rPr>
          <w:rFonts w:hint="eastAsia"/>
        </w:rPr>
        <w:t>提升教育发展质量，持续推动优质教育均衡发展。完成村级幼儿园、足球场等教育设施建设工作。完成凤小扩校提档工程建设，解决城区小学学位紧张问题。推动澄江职业高级中学与云南晨农集团合作办学，提升澄江职业教育质量。</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表8-4：2021-2025教育支出限额（单位：万元）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76"/>
        <w:gridCol w:w="746"/>
        <w:gridCol w:w="934"/>
        <w:gridCol w:w="942"/>
        <w:gridCol w:w="977"/>
        <w:gridCol w:w="1095"/>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709"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976"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746"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93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942"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977"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1095"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709"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教育支出</w:t>
            </w:r>
          </w:p>
        </w:tc>
        <w:tc>
          <w:tcPr>
            <w:tcW w:w="976"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9.92%</w:t>
            </w:r>
          </w:p>
        </w:tc>
        <w:tc>
          <w:tcPr>
            <w:tcW w:w="746"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48952</w:t>
            </w:r>
          </w:p>
        </w:tc>
        <w:tc>
          <w:tcPr>
            <w:tcW w:w="93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52875</w:t>
            </w:r>
          </w:p>
        </w:tc>
        <w:tc>
          <w:tcPr>
            <w:tcW w:w="942"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58943</w:t>
            </w:r>
          </w:p>
        </w:tc>
        <w:tc>
          <w:tcPr>
            <w:tcW w:w="977"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60831</w:t>
            </w:r>
          </w:p>
        </w:tc>
        <w:tc>
          <w:tcPr>
            <w:tcW w:w="1095"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66179</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287780</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7.83</w:t>
            </w:r>
            <w:r>
              <w:rPr>
                <w:rFonts w:hint="eastAsia" w:hAnsi="Times New Roman" w:cs="Times New Roman"/>
                <w:b/>
                <w:kern w:val="0"/>
                <w:sz w:val="21"/>
                <w:szCs w:val="21"/>
              </w:rPr>
              <w:t>%</w:t>
            </w:r>
          </w:p>
        </w:tc>
      </w:tr>
    </w:tbl>
    <w:p>
      <w:pPr>
        <w:pStyle w:val="5"/>
      </w:pPr>
      <w:bookmarkStart w:id="87" w:name="_Toc454462776"/>
      <w:bookmarkStart w:id="88" w:name="_Toc448853493"/>
      <w:r>
        <w:rPr>
          <w:rFonts w:hint="eastAsia"/>
        </w:rPr>
        <w:t>（五）</w:t>
      </w:r>
      <w:bookmarkEnd w:id="87"/>
      <w:bookmarkEnd w:id="88"/>
      <w:bookmarkStart w:id="89" w:name="_Hlk51003374"/>
      <w:r>
        <w:rPr>
          <w:rFonts w:hint="eastAsia"/>
        </w:rPr>
        <w:t>社会保障和就业支出</w:t>
      </w:r>
      <w:bookmarkEnd w:id="89"/>
    </w:p>
    <w:p>
      <w:pPr>
        <w:ind w:firstLine="560"/>
      </w:pPr>
      <w:r>
        <w:rPr>
          <w:rFonts w:hint="eastAsia"/>
        </w:rPr>
        <w:t>1、绩效目标</w:t>
      </w:r>
    </w:p>
    <w:p>
      <w:pPr>
        <w:ind w:firstLine="560"/>
        <w:rPr>
          <w:shd w:val="clear" w:color="auto" w:fill="FFFFFF"/>
        </w:rPr>
      </w:pPr>
      <w:r>
        <w:rPr>
          <w:rFonts w:hint="eastAsia"/>
          <w:shd w:val="clear" w:color="auto" w:fill="FFFFFF"/>
        </w:rPr>
        <w:t>“十四五”期间，坚持以人民为中心的发展思想，提高保障和改善民生水平。支持构建覆盖全民、统筹城乡、公平统一、可持续的多层次社会保障体系。深入实施全民参保计划。健全重大疾病医疗保险和救助制度，健全灵活就业人员社保制度，完善分层分类的社会救助体系。加快建设居家社区机构相协调、医养康养相结合的养老服务体系。</w:t>
      </w:r>
    </w:p>
    <w:p>
      <w:pPr>
        <w:ind w:firstLine="560"/>
        <w:rPr>
          <w:shd w:val="clear" w:color="auto" w:fill="FFFFFF"/>
        </w:rPr>
      </w:pPr>
      <w:r>
        <w:rPr>
          <w:rFonts w:hint="eastAsia"/>
          <w:shd w:val="clear" w:color="auto" w:fill="FFFFFF"/>
        </w:rPr>
        <w:t>支持实施积极就业政策，扩大就业容量，提升就业质量。积极鼓励引导自主创业。健全就业公共服务体系，着力解决就业信息不对称问题，全力解决抚仙湖径流区土地流转区域农村劳动力转移就业。加强专项职业教育、继续教育、技能培训和创业培训。加强农村居民择业观念和就业形势宣传教育。鼓励抚仙湖保护重大工程和基础设施建设项目就近吸纳农村劳动力。强化就业服务，构建一体化服务平台。</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表8-5：2021-2025年社会保障和就业支出限额（单位：万元）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51"/>
        <w:gridCol w:w="850"/>
        <w:gridCol w:w="851"/>
        <w:gridCol w:w="849"/>
        <w:gridCol w:w="851"/>
        <w:gridCol w:w="851"/>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276"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8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50"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276"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社会保障和就业支出</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9.13%</w:t>
            </w:r>
          </w:p>
        </w:tc>
        <w:tc>
          <w:tcPr>
            <w:tcW w:w="85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37203</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40361</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41505</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47984</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50908</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217961</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8.16</w:t>
            </w:r>
            <w:r>
              <w:rPr>
                <w:rFonts w:hint="eastAsia" w:hAnsi="Times New Roman" w:cs="Times New Roman"/>
                <w:b/>
                <w:kern w:val="0"/>
                <w:sz w:val="21"/>
                <w:szCs w:val="21"/>
              </w:rPr>
              <w:t>%</w:t>
            </w:r>
          </w:p>
        </w:tc>
      </w:tr>
    </w:tbl>
    <w:p>
      <w:pPr>
        <w:pStyle w:val="5"/>
      </w:pPr>
      <w:bookmarkStart w:id="90" w:name="_Toc454462777"/>
      <w:bookmarkStart w:id="91" w:name="_Toc448853494"/>
      <w:r>
        <w:rPr>
          <w:rFonts w:hint="eastAsia"/>
        </w:rPr>
        <w:t>（六）</w:t>
      </w:r>
      <w:bookmarkEnd w:id="90"/>
      <w:bookmarkEnd w:id="91"/>
      <w:r>
        <w:rPr>
          <w:rFonts w:hint="eastAsia"/>
        </w:rPr>
        <w:t>卫生健康支出</w:t>
      </w:r>
    </w:p>
    <w:p>
      <w:pPr>
        <w:ind w:firstLine="560"/>
      </w:pPr>
      <w:r>
        <w:rPr>
          <w:rFonts w:hint="eastAsia"/>
        </w:rPr>
        <w:t>1、绩效目标</w:t>
      </w:r>
    </w:p>
    <w:p>
      <w:pPr>
        <w:ind w:firstLine="560"/>
      </w:pPr>
      <w:r>
        <w:rPr>
          <w:rFonts w:hint="eastAsia"/>
        </w:rPr>
        <w:t>“十四五”期间，推进健康澄江建设，打造国际健康养生城市。完善城镇医疗卫生设施，提升医疗公共卫生服务水平，全方位、全周期保障居民健康，增进群众健康福祉。深化医药卫生体制改革，推动健康信息服务和智慧医疗服务。提升卫生健康服务质量，促进健康与医疗、养生等深度融合，加快中山大学澄江市医院和抚仙湖国际健康旅游谷建设。提升重大传染病救治能力和疾控机构核心能力，健全应急响应及预警机制，提高应对突发公共卫生事件能力，健全城乡居民公共卫生均等化服务体系。</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表8-6：2021-2025年卫生健康支出限额（单位：万元）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134"/>
        <w:gridCol w:w="850"/>
        <w:gridCol w:w="851"/>
        <w:gridCol w:w="849"/>
        <w:gridCol w:w="851"/>
        <w:gridCol w:w="851"/>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993"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1134"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50"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993"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卫生健康支出</w:t>
            </w:r>
          </w:p>
        </w:tc>
        <w:tc>
          <w:tcPr>
            <w:tcW w:w="1134"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21.99%</w:t>
            </w:r>
          </w:p>
        </w:tc>
        <w:tc>
          <w:tcPr>
            <w:tcW w:w="85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39281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40894</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45281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51627</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51765</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230168</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7.14</w:t>
            </w:r>
            <w:r>
              <w:rPr>
                <w:rFonts w:hint="eastAsia" w:hAnsi="Times New Roman" w:cs="Times New Roman"/>
                <w:b/>
                <w:kern w:val="0"/>
                <w:sz w:val="21"/>
                <w:szCs w:val="21"/>
              </w:rPr>
              <w:t>%</w:t>
            </w:r>
          </w:p>
        </w:tc>
      </w:tr>
    </w:tbl>
    <w:p>
      <w:pPr>
        <w:pStyle w:val="5"/>
      </w:pPr>
      <w:bookmarkStart w:id="92" w:name="_Toc448853495"/>
      <w:bookmarkStart w:id="93" w:name="_Toc454462778"/>
      <w:r>
        <w:rPr>
          <w:rFonts w:hint="eastAsia"/>
        </w:rPr>
        <w:t>（七）</w:t>
      </w:r>
      <w:bookmarkEnd w:id="92"/>
      <w:bookmarkEnd w:id="93"/>
      <w:r>
        <w:rPr>
          <w:rFonts w:hint="eastAsia"/>
        </w:rPr>
        <w:t>公共安全支出</w:t>
      </w:r>
    </w:p>
    <w:p>
      <w:pPr>
        <w:ind w:firstLine="560"/>
      </w:pPr>
      <w:r>
        <w:rPr>
          <w:rFonts w:hint="eastAsia"/>
        </w:rPr>
        <w:t>1、绩效目标</w:t>
      </w:r>
    </w:p>
    <w:p>
      <w:pPr>
        <w:ind w:firstLine="560"/>
      </w:pPr>
      <w:r>
        <w:rPr>
          <w:rFonts w:hint="eastAsia"/>
        </w:rPr>
        <w:t>“十四五”期间，进一步落实安全生产责任制，完善食品药品、道路交通、消防等重点公共安全领域监管机制，筑牢人民群众生命财产安全防护网。坚决打赢扫黑除恶专项斗争，实现长治久安目标。不断深化内部管理，狠抓平安建设工作目标责任制的落实。</w:t>
      </w:r>
      <w:r>
        <w:rPr>
          <w:rFonts w:hint="eastAsia"/>
          <w:shd w:val="clear" w:color="auto" w:fill="FFFFFF"/>
        </w:rPr>
        <w:t>提高防灾减灾和综合处置能力，构建全方位、立体化公共安全保障网。构建完成全面依法治县的法治体系和相应的现代公共安全运行机制，坚决遏制重特大安全事故发生，保障社会环境安全有序运行。</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表8-7：2021-2025年公共安全支出限额（单位：万元）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134"/>
        <w:gridCol w:w="850"/>
        <w:gridCol w:w="851"/>
        <w:gridCol w:w="849"/>
        <w:gridCol w:w="851"/>
        <w:gridCol w:w="851"/>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993"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1134"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50"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993"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公共安全支出</w:t>
            </w:r>
          </w:p>
        </w:tc>
        <w:tc>
          <w:tcPr>
            <w:tcW w:w="1134"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7.95%</w:t>
            </w:r>
          </w:p>
        </w:tc>
        <w:tc>
          <w:tcPr>
            <w:tcW w:w="85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10960</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11260</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11947</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12662</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12739</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59568</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3.83</w:t>
            </w:r>
            <w:r>
              <w:rPr>
                <w:rFonts w:hint="eastAsia" w:hAnsi="Times New Roman" w:cs="Times New Roman"/>
                <w:b/>
                <w:kern w:val="0"/>
                <w:sz w:val="21"/>
                <w:szCs w:val="21"/>
              </w:rPr>
              <w:t>%</w:t>
            </w:r>
          </w:p>
        </w:tc>
      </w:tr>
    </w:tbl>
    <w:p>
      <w:pPr>
        <w:pStyle w:val="5"/>
      </w:pPr>
      <w:bookmarkStart w:id="94" w:name="_Toc448853496"/>
      <w:bookmarkStart w:id="95" w:name="_Toc454462779"/>
      <w:r>
        <w:rPr>
          <w:rFonts w:hint="eastAsia"/>
        </w:rPr>
        <w:t>（八）</w:t>
      </w:r>
      <w:bookmarkEnd w:id="94"/>
      <w:bookmarkEnd w:id="95"/>
      <w:r>
        <w:rPr>
          <w:rFonts w:hint="eastAsia"/>
        </w:rPr>
        <w:t>农林水支出</w:t>
      </w:r>
    </w:p>
    <w:p>
      <w:pPr>
        <w:ind w:firstLine="560"/>
      </w:pPr>
      <w:r>
        <w:rPr>
          <w:rFonts w:hint="eastAsia"/>
        </w:rPr>
        <w:t>1、绩效目标</w:t>
      </w:r>
    </w:p>
    <w:p>
      <w:pPr>
        <w:ind w:firstLine="560"/>
      </w:pPr>
      <w:r>
        <w:rPr>
          <w:rFonts w:hint="eastAsia"/>
        </w:rPr>
        <w:t xml:space="preserve">“十四五”期间，深入实施乡村振兴战略。分类推进“五类”村庄乡村振兴示范村建设，加快推进小湾、马房村、朱家山、梁王、三百亩、路居镇南片区 6 个乡村振兴示范点建设。加快产业融合发展，结合土地流转休耕和“森林抚仙湖”建设，打造兼具农业生产功能的区域景观。实施农村一二三产业融合发展示范工程。支持发展庄园经济。推动城乡人口转移和全域旅游协同互补，构建一三产融合发展的现代农业体系。实现巩固拓展脱贫攻坚成果同乡村振兴有效衔接。以乡村振兴巩固拓展脱贫攻坚成果，深入巩固生态保护脱贫，加强易地扶贫搬迁后续帮扶，推动产业扶贫向产业振兴提升，持续加大公共服务设施建设，建立农村低收入人口帮扶机制，培育壮大相对贫困村集体经济。 </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表8-8：2021-2025年农林水支出限额（单位：万元）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992"/>
        <w:gridCol w:w="992"/>
        <w:gridCol w:w="851"/>
        <w:gridCol w:w="849"/>
        <w:gridCol w:w="851"/>
        <w:gridCol w:w="851"/>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993"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992"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992"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993"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农林水支出</w:t>
            </w:r>
          </w:p>
        </w:tc>
        <w:tc>
          <w:tcPr>
            <w:tcW w:w="992"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1.54%</w:t>
            </w:r>
          </w:p>
        </w:tc>
        <w:tc>
          <w:tcPr>
            <w:tcW w:w="992"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20584</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21190</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22318</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22917</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22996</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110005</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w:t>
            </w:r>
            <w:r>
              <w:rPr>
                <w:rFonts w:hint="eastAsia" w:hAnsi="Times New Roman" w:cs="Times New Roman"/>
                <w:b/>
                <w:kern w:val="0"/>
                <w:sz w:val="21"/>
                <w:szCs w:val="21"/>
              </w:rPr>
              <w:t>.81%</w:t>
            </w:r>
          </w:p>
        </w:tc>
      </w:tr>
    </w:tbl>
    <w:p>
      <w:pPr>
        <w:pStyle w:val="5"/>
      </w:pPr>
      <w:bookmarkStart w:id="96" w:name="_Toc454462780"/>
      <w:bookmarkStart w:id="97" w:name="_Toc448853497"/>
      <w:r>
        <w:rPr>
          <w:rFonts w:hint="eastAsia"/>
        </w:rPr>
        <w:t>（九）城乡社区支出</w:t>
      </w:r>
      <w:bookmarkEnd w:id="96"/>
      <w:bookmarkEnd w:id="97"/>
    </w:p>
    <w:p>
      <w:pPr>
        <w:ind w:firstLine="560"/>
      </w:pPr>
      <w:r>
        <w:rPr>
          <w:rFonts w:hint="eastAsia"/>
        </w:rPr>
        <w:t>1、绩效目标</w:t>
      </w:r>
    </w:p>
    <w:p>
      <w:pPr>
        <w:ind w:firstLine="560"/>
        <w:rPr>
          <w:shd w:val="clear" w:color="auto" w:fill="FFFFFF"/>
        </w:rPr>
      </w:pPr>
      <w:r>
        <w:rPr>
          <w:rFonts w:hint="eastAsia"/>
          <w:shd w:val="clear" w:color="auto" w:fill="FFFFFF"/>
        </w:rPr>
        <w:t>“十四五”期间，始终坚持“三个国际城市”目标定位不动摇，统筹城乡发展，扎实推进以人为核心的新型城镇化，建好城市、建特小镇、建美村庄，加快形成主体功能明显、优势互补、高质量发展的国土空间开发保护新格局，切实将澄江建设成为气候宜人、环境优美、宜居宜游的现代化城市。</w:t>
      </w:r>
    </w:p>
    <w:p>
      <w:pPr>
        <w:ind w:firstLine="560"/>
        <w:rPr>
          <w:shd w:val="clear" w:color="auto" w:fill="FFFFFF"/>
        </w:rPr>
      </w:pPr>
      <w:r>
        <w:rPr>
          <w:rFonts w:hint="eastAsia"/>
          <w:shd w:val="clear" w:color="auto" w:fill="FFFFFF"/>
        </w:rPr>
        <w:t>不断提升小城镇和特色小镇发展水平，健全城乡融合发展机制。加快城乡产业发展、设施建设、公共服务、能源保障、生态环保等一体化进程，建立健全农业转移人口市民化、城市人才入乡激励等体制机制，促进乡村经济多元化和农业全产业链发展。</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表8-9：2021-2025年城乡社区支出限额（单位：万元）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6"/>
        <w:gridCol w:w="850"/>
        <w:gridCol w:w="851"/>
        <w:gridCol w:w="849"/>
        <w:gridCol w:w="851"/>
        <w:gridCol w:w="851"/>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851"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1276"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50"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城乡社区支出</w:t>
            </w:r>
          </w:p>
        </w:tc>
        <w:tc>
          <w:tcPr>
            <w:tcW w:w="1276"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19.83%</w:t>
            </w:r>
          </w:p>
        </w:tc>
        <w:tc>
          <w:tcPr>
            <w:tcW w:w="85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7227</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8094</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8756</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9309</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9369</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42755</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6.70</w:t>
            </w:r>
            <w:r>
              <w:rPr>
                <w:rFonts w:hint="eastAsia" w:hAnsi="Times New Roman" w:cs="Times New Roman"/>
                <w:b/>
                <w:kern w:val="0"/>
                <w:sz w:val="21"/>
                <w:szCs w:val="21"/>
              </w:rPr>
              <w:t>%</w:t>
            </w:r>
          </w:p>
        </w:tc>
      </w:tr>
    </w:tbl>
    <w:p>
      <w:pPr>
        <w:pStyle w:val="5"/>
      </w:pPr>
      <w:bookmarkStart w:id="98" w:name="_Toc448853499"/>
      <w:bookmarkStart w:id="99" w:name="_Toc454462782"/>
      <w:r>
        <w:rPr>
          <w:rFonts w:hint="eastAsia"/>
        </w:rPr>
        <w:t>（十）交通运输</w:t>
      </w:r>
      <w:bookmarkEnd w:id="98"/>
      <w:bookmarkEnd w:id="99"/>
      <w:r>
        <w:rPr>
          <w:rFonts w:hint="eastAsia"/>
        </w:rPr>
        <w:t>支出</w:t>
      </w:r>
    </w:p>
    <w:p>
      <w:pPr>
        <w:ind w:firstLine="560"/>
      </w:pPr>
      <w:r>
        <w:rPr>
          <w:rFonts w:hint="eastAsia"/>
        </w:rPr>
        <w:t>1、绩效目标</w:t>
      </w:r>
    </w:p>
    <w:p>
      <w:pPr>
        <w:ind w:firstLine="560"/>
      </w:pPr>
      <w:r>
        <w:rPr>
          <w:rFonts w:hint="eastAsia"/>
        </w:rPr>
        <w:t>“十四五”期间，加大基础设施建设投入水平。加快现代综合交通运输体系建设。不断优化综合交通网络结构，着力加强城市和城乡交通运输方式的有效衔接，基本建成布局合理、功能完善、衔接顺畅、便捷高效的现代化综合交通运输体系。</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表8-11：2021-2025年交通运输支出限额（单位：万元）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134"/>
        <w:gridCol w:w="850"/>
        <w:gridCol w:w="851"/>
        <w:gridCol w:w="849"/>
        <w:gridCol w:w="851"/>
        <w:gridCol w:w="851"/>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993"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1134"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50"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993"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交通运输支出</w:t>
            </w:r>
          </w:p>
        </w:tc>
        <w:tc>
          <w:tcPr>
            <w:tcW w:w="1134"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1.26%</w:t>
            </w:r>
          </w:p>
        </w:tc>
        <w:tc>
          <w:tcPr>
            <w:tcW w:w="85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2787</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2991</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3195</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3214</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3265</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15452</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4.04</w:t>
            </w:r>
            <w:r>
              <w:rPr>
                <w:rFonts w:hint="eastAsia" w:hAnsi="Times New Roman" w:cs="Times New Roman"/>
                <w:b/>
                <w:kern w:val="0"/>
                <w:sz w:val="21"/>
                <w:szCs w:val="21"/>
              </w:rPr>
              <w:t>%</w:t>
            </w:r>
          </w:p>
        </w:tc>
      </w:tr>
    </w:tbl>
    <w:p>
      <w:pPr>
        <w:pStyle w:val="5"/>
      </w:pPr>
      <w:bookmarkStart w:id="100" w:name="_Toc448853501"/>
      <w:bookmarkStart w:id="101" w:name="_Toc454462784"/>
      <w:r>
        <w:rPr>
          <w:rFonts w:hint="eastAsia"/>
        </w:rPr>
        <w:t>（十一）商业服务业等</w:t>
      </w:r>
      <w:bookmarkEnd w:id="100"/>
      <w:bookmarkEnd w:id="101"/>
      <w:r>
        <w:rPr>
          <w:rFonts w:hint="eastAsia"/>
        </w:rPr>
        <w:t>支出</w:t>
      </w:r>
    </w:p>
    <w:p>
      <w:pPr>
        <w:ind w:firstLine="560"/>
      </w:pPr>
      <w:r>
        <w:rPr>
          <w:rFonts w:hint="eastAsia"/>
        </w:rPr>
        <w:t>1、绩效目标</w:t>
      </w:r>
    </w:p>
    <w:p>
      <w:pPr>
        <w:ind w:firstLine="560"/>
      </w:pPr>
      <w:r>
        <w:rPr>
          <w:rFonts w:hint="eastAsia"/>
        </w:rPr>
        <w:t>“十四五”期间，继续深化旅游业革命，培植康养和会展产业，着力实施工业振兴计划，筹集资金支持工业发展。启动工业园区规划修编工作，拓展园区发展空间。收储土地1450亩，保障项目用地。加快磷化工企业整改，完成东溪哨片区环境综合整治，打造优良的园区发展环境。启动宇培冷链物流、巨力集团云南浙商产业园项目建设。建成东南亚食品商贸仓储物流港等3个项目。</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表8-12：2021-2025年商业服务业等支出限额（单位：万元）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134"/>
        <w:gridCol w:w="850"/>
        <w:gridCol w:w="851"/>
        <w:gridCol w:w="849"/>
        <w:gridCol w:w="851"/>
        <w:gridCol w:w="851"/>
        <w:gridCol w:w="984"/>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993"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1134"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50"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51"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993"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商业服务业等支出</w:t>
            </w:r>
          </w:p>
        </w:tc>
        <w:tc>
          <w:tcPr>
            <w:tcW w:w="1134"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-31.52%</w:t>
            </w:r>
          </w:p>
        </w:tc>
        <w:tc>
          <w:tcPr>
            <w:tcW w:w="85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316</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344</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378</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398</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413</w:t>
            </w:r>
          </w:p>
        </w:tc>
        <w:tc>
          <w:tcPr>
            <w:tcW w:w="98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1849</w:t>
            </w:r>
          </w:p>
        </w:tc>
        <w:tc>
          <w:tcPr>
            <w:tcW w:w="10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6.92</w:t>
            </w:r>
            <w:r>
              <w:rPr>
                <w:rFonts w:hint="eastAsia" w:hAnsi="Times New Roman" w:cs="Times New Roman"/>
                <w:b/>
                <w:kern w:val="0"/>
                <w:sz w:val="21"/>
                <w:szCs w:val="21"/>
              </w:rPr>
              <w:t>%</w:t>
            </w:r>
          </w:p>
        </w:tc>
      </w:tr>
    </w:tbl>
    <w:p>
      <w:pPr>
        <w:pStyle w:val="5"/>
      </w:pPr>
      <w:bookmarkStart w:id="102" w:name="_Toc448853503"/>
      <w:bookmarkStart w:id="103" w:name="_Toc454462786"/>
      <w:r>
        <w:rPr>
          <w:rFonts w:hint="eastAsia"/>
        </w:rPr>
        <w:t>（十二）自然资源海洋气象等</w:t>
      </w:r>
      <w:bookmarkEnd w:id="102"/>
      <w:bookmarkEnd w:id="103"/>
      <w:r>
        <w:rPr>
          <w:rFonts w:hint="eastAsia"/>
        </w:rPr>
        <w:t>支出</w:t>
      </w:r>
    </w:p>
    <w:p>
      <w:pPr>
        <w:ind w:firstLine="560"/>
      </w:pPr>
      <w:r>
        <w:rPr>
          <w:rFonts w:hint="eastAsia"/>
        </w:rPr>
        <w:t>1、绩效目标</w:t>
      </w:r>
    </w:p>
    <w:p>
      <w:pPr>
        <w:ind w:firstLine="560"/>
      </w:pPr>
      <w:r>
        <w:rPr>
          <w:rFonts w:hint="eastAsia"/>
        </w:rPr>
        <w:t>“十四五”期间，用世界眼光、国际标准启动国土空间规划，形成“一城三镇八村”总体布局。努力把澄江建设成全国文明城市、云南省“美丽县城”。坚持以“绿色”为底色，科学处理保护与发展的辩证关系，改造提升传统行业，培育壮大新兴产业，加速绿水青山向金山银山的华丽蜕变。</w:t>
      </w:r>
      <w:r>
        <w:rPr>
          <w:rFonts w:hint="eastAsia"/>
          <w:shd w:val="clear" w:color="auto" w:fill="FFFFFF"/>
        </w:rPr>
        <w:t>同时，提高地震、地质、气象、生物等自然灾害的防灾减灾和综合处置能力。</w:t>
      </w:r>
    </w:p>
    <w:p>
      <w:pPr>
        <w:ind w:firstLine="560"/>
      </w:pPr>
      <w:r>
        <w:rPr>
          <w:rFonts w:hint="eastAsia"/>
        </w:rPr>
        <w:t>2、支出限额</w:t>
      </w:r>
      <w:r>
        <w:tab/>
      </w:r>
    </w:p>
    <w:p>
      <w:pPr>
        <w:spacing w:line="500" w:lineRule="exact"/>
        <w:ind w:firstLine="0" w:firstLineChars="0"/>
        <w:jc w:val="center"/>
        <w:rPr>
          <w:b/>
          <w:sz w:val="24"/>
          <w:szCs w:val="24"/>
        </w:rPr>
      </w:pPr>
      <w:r>
        <w:rPr>
          <w:rFonts w:hint="eastAsia"/>
          <w:b/>
          <w:sz w:val="24"/>
          <w:szCs w:val="24"/>
        </w:rPr>
        <w:t>表8-13：2021-2025年自然资源海洋气象等支出限额（单位：万元）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850"/>
        <w:gridCol w:w="864"/>
        <w:gridCol w:w="847"/>
        <w:gridCol w:w="851"/>
        <w:gridCol w:w="851"/>
        <w:gridCol w:w="981"/>
        <w:gridCol w:w="10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134"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993"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50"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6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7"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51"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81"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43"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1134"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自然资源海洋气象等支出</w:t>
            </w:r>
          </w:p>
        </w:tc>
        <w:tc>
          <w:tcPr>
            <w:tcW w:w="993"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29.21%</w:t>
            </w:r>
          </w:p>
        </w:tc>
        <w:tc>
          <w:tcPr>
            <w:tcW w:w="85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4916</w:t>
            </w:r>
          </w:p>
        </w:tc>
        <w:tc>
          <w:tcPr>
            <w:tcW w:w="864"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5317</w:t>
            </w:r>
          </w:p>
        </w:tc>
        <w:tc>
          <w:tcPr>
            <w:tcW w:w="847"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5653</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5743</w:t>
            </w:r>
          </w:p>
        </w:tc>
        <w:tc>
          <w:tcPr>
            <w:tcW w:w="85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5769</w:t>
            </w:r>
          </w:p>
        </w:tc>
        <w:tc>
          <w:tcPr>
            <w:tcW w:w="981"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27398</w:t>
            </w:r>
          </w:p>
        </w:tc>
        <w:tc>
          <w:tcPr>
            <w:tcW w:w="1043"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4.08</w:t>
            </w:r>
            <w:r>
              <w:rPr>
                <w:rFonts w:hint="eastAsia" w:hAnsi="Times New Roman" w:cs="Times New Roman"/>
                <w:b/>
                <w:kern w:val="0"/>
                <w:sz w:val="21"/>
                <w:szCs w:val="21"/>
              </w:rPr>
              <w:t>%</w:t>
            </w:r>
          </w:p>
        </w:tc>
      </w:tr>
    </w:tbl>
    <w:p>
      <w:pPr>
        <w:pStyle w:val="5"/>
      </w:pPr>
      <w:bookmarkStart w:id="104" w:name="_Toc448853504"/>
      <w:bookmarkStart w:id="105" w:name="_Toc454462787"/>
      <w:r>
        <w:rPr>
          <w:rFonts w:hint="eastAsia"/>
        </w:rPr>
        <w:t>（十三）住房保障</w:t>
      </w:r>
      <w:bookmarkEnd w:id="104"/>
      <w:bookmarkEnd w:id="105"/>
      <w:r>
        <w:rPr>
          <w:rFonts w:hint="eastAsia"/>
        </w:rPr>
        <w:t>支出</w:t>
      </w:r>
    </w:p>
    <w:p>
      <w:pPr>
        <w:ind w:firstLine="560"/>
      </w:pPr>
      <w:r>
        <w:rPr>
          <w:rFonts w:hint="eastAsia"/>
        </w:rPr>
        <w:t>1、绩效目标</w:t>
      </w:r>
    </w:p>
    <w:p>
      <w:pPr>
        <w:ind w:firstLine="560"/>
      </w:pPr>
      <w:r>
        <w:rPr>
          <w:rFonts w:hint="eastAsia"/>
        </w:rPr>
        <w:t>“十四五”期间，要推进农村抗震安居工程建设，完成农户动态新增危房改造。加强创新和社会治理。推进市域社会综合治理。下大力气、大决心切实解决一批房地产规划验收、不动产登记等一批历史遗留问题，让购房群众安心放心。同时，全面开展农村不动产登记颁证。启动立昌片区生态移民搬迁并做好一次性生态移民后续工作，兑现政府不让任何一户群众落下的庄严承诺。</w:t>
      </w:r>
    </w:p>
    <w:p>
      <w:pPr>
        <w:ind w:firstLine="560"/>
      </w:pPr>
      <w:r>
        <w:rPr>
          <w:rFonts w:hint="eastAsia"/>
        </w:rPr>
        <w:t>2、支出限额</w:t>
      </w:r>
    </w:p>
    <w:p>
      <w:pPr>
        <w:spacing w:line="500" w:lineRule="exact"/>
        <w:ind w:firstLine="0" w:firstLineChars="0"/>
        <w:jc w:val="center"/>
        <w:rPr>
          <w:b/>
          <w:sz w:val="24"/>
          <w:szCs w:val="24"/>
        </w:rPr>
      </w:pPr>
      <w:r>
        <w:rPr>
          <w:rFonts w:hint="eastAsia"/>
          <w:b/>
          <w:sz w:val="24"/>
          <w:szCs w:val="24"/>
        </w:rPr>
        <w:t>表8-14：2021-2025年住房保障支出限额（单位：万元）</w:t>
      </w:r>
    </w:p>
    <w:tbl>
      <w:tblPr>
        <w:tblStyle w:val="24"/>
        <w:tblW w:w="8414"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0"/>
        <w:gridCol w:w="1130"/>
        <w:gridCol w:w="848"/>
        <w:gridCol w:w="849"/>
        <w:gridCol w:w="847"/>
        <w:gridCol w:w="849"/>
        <w:gridCol w:w="876"/>
        <w:gridCol w:w="990"/>
        <w:gridCol w:w="10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980"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年 度</w:t>
            </w:r>
          </w:p>
        </w:tc>
        <w:tc>
          <w:tcPr>
            <w:tcW w:w="1130"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w:t>
            </w:r>
            <w:r>
              <w:rPr>
                <w:rFonts w:hAnsi="Times New Roman" w:cs="Times New Roman"/>
                <w:b/>
                <w:kern w:val="0"/>
                <w:sz w:val="21"/>
                <w:szCs w:val="21"/>
              </w:rPr>
              <w:t>十三五</w:t>
            </w:r>
            <w:r>
              <w:rPr>
                <w:rFonts w:hint="eastAsia" w:hAnsi="Times New Roman" w:cs="Times New Roman"/>
                <w:b/>
                <w:kern w:val="0"/>
                <w:sz w:val="21"/>
                <w:szCs w:val="21"/>
              </w:rPr>
              <w:t>”年</w:t>
            </w:r>
            <w:r>
              <w:rPr>
                <w:rFonts w:hAnsi="Times New Roman" w:cs="Times New Roman"/>
                <w:b/>
                <w:kern w:val="0"/>
                <w:sz w:val="21"/>
                <w:szCs w:val="21"/>
              </w:rPr>
              <w:t>均增</w:t>
            </w:r>
            <w:r>
              <w:rPr>
                <w:rFonts w:hint="eastAsia" w:hAnsi="Times New Roman" w:cs="Times New Roman"/>
                <w:b/>
                <w:kern w:val="0"/>
                <w:sz w:val="21"/>
                <w:szCs w:val="21"/>
              </w:rPr>
              <w:t>速</w:t>
            </w:r>
          </w:p>
        </w:tc>
        <w:tc>
          <w:tcPr>
            <w:tcW w:w="848"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21</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22</w:t>
            </w:r>
          </w:p>
        </w:tc>
        <w:tc>
          <w:tcPr>
            <w:tcW w:w="847"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23</w:t>
            </w:r>
          </w:p>
        </w:tc>
        <w:tc>
          <w:tcPr>
            <w:tcW w:w="849"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w:t>
            </w:r>
            <w:r>
              <w:rPr>
                <w:rFonts w:hint="eastAsia" w:hAnsi="Times New Roman" w:cs="Times New Roman"/>
                <w:b/>
                <w:kern w:val="0"/>
                <w:sz w:val="21"/>
                <w:szCs w:val="21"/>
              </w:rPr>
              <w:t>24</w:t>
            </w:r>
          </w:p>
        </w:tc>
        <w:tc>
          <w:tcPr>
            <w:tcW w:w="876" w:type="dxa"/>
            <w:vAlign w:val="center"/>
          </w:tcPr>
          <w:p>
            <w:pPr>
              <w:spacing w:line="240" w:lineRule="auto"/>
              <w:ind w:firstLine="0" w:firstLineChars="0"/>
              <w:jc w:val="center"/>
              <w:rPr>
                <w:rFonts w:hAnsi="Times New Roman" w:cs="Times New Roman"/>
                <w:b/>
                <w:kern w:val="0"/>
                <w:sz w:val="21"/>
                <w:szCs w:val="21"/>
              </w:rPr>
            </w:pPr>
            <w:r>
              <w:rPr>
                <w:rFonts w:hAnsi="Times New Roman" w:cs="Times New Roman"/>
                <w:b/>
                <w:kern w:val="0"/>
                <w:sz w:val="21"/>
                <w:szCs w:val="21"/>
              </w:rPr>
              <w:t>202</w:t>
            </w:r>
            <w:r>
              <w:rPr>
                <w:rFonts w:hint="eastAsia" w:hAnsi="Times New Roman" w:cs="Times New Roman"/>
                <w:b/>
                <w:kern w:val="0"/>
                <w:sz w:val="21"/>
                <w:szCs w:val="21"/>
              </w:rPr>
              <w:t>5</w:t>
            </w:r>
          </w:p>
        </w:tc>
        <w:tc>
          <w:tcPr>
            <w:tcW w:w="990" w:type="dxa"/>
            <w:vAlign w:val="center"/>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w:t>
            </w:r>
            <w:r>
              <w:rPr>
                <w:rFonts w:hAnsi="Times New Roman" w:cs="Times New Roman"/>
                <w:b/>
                <w:kern w:val="0"/>
                <w:sz w:val="21"/>
                <w:szCs w:val="21"/>
              </w:rPr>
              <w:t>累计</w:t>
            </w:r>
          </w:p>
        </w:tc>
        <w:tc>
          <w:tcPr>
            <w:tcW w:w="1045" w:type="dxa"/>
          </w:tcPr>
          <w:p>
            <w:pPr>
              <w:spacing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“十四五”年均增速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980"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住房保障支出</w:t>
            </w:r>
          </w:p>
        </w:tc>
        <w:tc>
          <w:tcPr>
            <w:tcW w:w="1130" w:type="dxa"/>
            <w:vAlign w:val="center"/>
          </w:tcPr>
          <w:p>
            <w:pPr>
              <w:spacing w:before="120" w:after="120" w:line="240" w:lineRule="auto"/>
              <w:ind w:firstLine="0" w:firstLineChars="0"/>
              <w:jc w:val="center"/>
              <w:rPr>
                <w:rFonts w:hAnsi="Times New Roman" w:cs="Times New Roman"/>
                <w:b/>
                <w:kern w:val="0"/>
                <w:sz w:val="21"/>
                <w:szCs w:val="21"/>
              </w:rPr>
            </w:pPr>
            <w:r>
              <w:rPr>
                <w:rFonts w:hint="eastAsia" w:hAnsi="Times New Roman" w:cs="Times New Roman"/>
                <w:b/>
                <w:kern w:val="0"/>
                <w:sz w:val="21"/>
                <w:szCs w:val="21"/>
              </w:rPr>
              <w:t>76.84%</w:t>
            </w:r>
          </w:p>
        </w:tc>
        <w:tc>
          <w:tcPr>
            <w:tcW w:w="848"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67123</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73940</w:t>
            </w:r>
          </w:p>
        </w:tc>
        <w:tc>
          <w:tcPr>
            <w:tcW w:w="847"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75687</w:t>
            </w:r>
          </w:p>
        </w:tc>
        <w:tc>
          <w:tcPr>
            <w:tcW w:w="849"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75567</w:t>
            </w:r>
          </w:p>
        </w:tc>
        <w:tc>
          <w:tcPr>
            <w:tcW w:w="876"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75656</w:t>
            </w:r>
          </w:p>
        </w:tc>
        <w:tc>
          <w:tcPr>
            <w:tcW w:w="990"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367973</w:t>
            </w:r>
          </w:p>
        </w:tc>
        <w:tc>
          <w:tcPr>
            <w:tcW w:w="1045" w:type="dxa"/>
            <w:vAlign w:val="center"/>
          </w:tcPr>
          <w:p>
            <w:pPr>
              <w:spacing w:before="120" w:after="120" w:line="240" w:lineRule="auto"/>
              <w:ind w:firstLine="0" w:firstLineChars="0"/>
              <w:jc w:val="center"/>
              <w:rPr>
                <w:rFonts w:hAnsi="Times New Roman" w:cs="Times New Roman"/>
                <w:b/>
                <w:kern w:val="0"/>
                <w:sz w:val="21"/>
                <w:szCs w:val="21"/>
              </w:rPr>
            </w:pPr>
            <w:r>
              <w:rPr>
                <w:rFonts w:hAnsi="Times New Roman" w:cs="Times New Roman"/>
                <w:b/>
                <w:kern w:val="0"/>
                <w:sz w:val="21"/>
                <w:szCs w:val="21"/>
              </w:rPr>
              <w:t>3.04</w:t>
            </w:r>
            <w:r>
              <w:rPr>
                <w:rFonts w:hint="eastAsia" w:hAnsi="Times New Roman" w:cs="Times New Roman"/>
                <w:b/>
                <w:kern w:val="0"/>
                <w:sz w:val="21"/>
                <w:szCs w:val="21"/>
              </w:rPr>
              <w:t>%</w:t>
            </w:r>
          </w:p>
        </w:tc>
      </w:tr>
    </w:tbl>
    <w:p>
      <w:pPr>
        <w:pStyle w:val="5"/>
      </w:pPr>
      <w:r>
        <w:rPr>
          <w:rFonts w:hint="eastAsia"/>
        </w:rPr>
        <w:t>（十四）债务支出</w:t>
      </w:r>
      <w:r>
        <w:tab/>
      </w:r>
    </w:p>
    <w:p>
      <w:pPr>
        <w:ind w:firstLine="560"/>
      </w:pPr>
      <w:r>
        <w:rPr>
          <w:rFonts w:hint="eastAsia"/>
        </w:rPr>
        <w:t>1、绩效目标</w:t>
      </w:r>
    </w:p>
    <w:p>
      <w:pPr>
        <w:ind w:firstLine="560"/>
      </w:pPr>
      <w:r>
        <w:rPr>
          <w:rFonts w:hint="eastAsia"/>
        </w:rPr>
        <w:t>根据中央、省、市关于防范和化解债务风险相关工作要求，澄江财政要加大投入，健全政府债务管理和风险预警应急处置机制，隐性债务比目前有明显减少，减少数额以省、市化解方案和各级签订的目标责任书为准。</w:t>
      </w:r>
    </w:p>
    <w:p>
      <w:pPr>
        <w:ind w:firstLine="560"/>
        <w:rPr>
          <w:rFonts w:hAnsi="仿宋" w:cs="仿宋"/>
          <w:szCs w:val="28"/>
        </w:rPr>
      </w:pPr>
      <w:r>
        <w:rPr>
          <w:rFonts w:hint="eastAsia" w:hAnsi="仿宋" w:cs="仿宋"/>
          <w:szCs w:val="28"/>
        </w:rPr>
        <w:t>2、支出限额</w:t>
      </w:r>
    </w:p>
    <w:p>
      <w:pPr>
        <w:spacing w:line="500" w:lineRule="exact"/>
        <w:ind w:firstLine="422"/>
        <w:jc w:val="center"/>
        <w:rPr>
          <w:rFonts w:hAnsi="仿宋" w:cs="仿宋"/>
          <w:b/>
          <w:szCs w:val="21"/>
        </w:rPr>
      </w:pPr>
      <w:r>
        <w:rPr>
          <w:rFonts w:hint="eastAsia" w:hAnsi="仿宋" w:cs="仿宋"/>
          <w:b/>
          <w:sz w:val="21"/>
          <w:szCs w:val="21"/>
        </w:rPr>
        <w:t>表8-15：2021-2025年澄江债务还本付息支出安排（单位：万元）</w:t>
      </w:r>
    </w:p>
    <w:tbl>
      <w:tblPr>
        <w:tblStyle w:val="23"/>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134"/>
        <w:gridCol w:w="1134"/>
        <w:gridCol w:w="1134"/>
        <w:gridCol w:w="1134"/>
        <w:gridCol w:w="1134"/>
        <w:gridCol w:w="11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091" w:type="dxa"/>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年  度</w:t>
            </w:r>
          </w:p>
        </w:tc>
        <w:tc>
          <w:tcPr>
            <w:tcW w:w="1134" w:type="dxa"/>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2021</w:t>
            </w:r>
          </w:p>
        </w:tc>
        <w:tc>
          <w:tcPr>
            <w:tcW w:w="1134" w:type="dxa"/>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2022</w:t>
            </w:r>
          </w:p>
        </w:tc>
        <w:tc>
          <w:tcPr>
            <w:tcW w:w="1134" w:type="dxa"/>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2023</w:t>
            </w:r>
          </w:p>
        </w:tc>
        <w:tc>
          <w:tcPr>
            <w:tcW w:w="1134" w:type="dxa"/>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2024</w:t>
            </w:r>
          </w:p>
        </w:tc>
        <w:tc>
          <w:tcPr>
            <w:tcW w:w="1134" w:type="dxa"/>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2025</w:t>
            </w:r>
          </w:p>
        </w:tc>
        <w:tc>
          <w:tcPr>
            <w:tcW w:w="1174" w:type="dxa"/>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1091" w:type="dxa"/>
            <w:shd w:val="clear" w:color="auto" w:fill="auto"/>
            <w:vAlign w:val="center"/>
          </w:tcPr>
          <w:p>
            <w:pPr>
              <w:spacing w:before="120" w:after="120"/>
              <w:ind w:firstLine="0" w:firstLineChars="0"/>
              <w:jc w:val="center"/>
              <w:rPr>
                <w:rFonts w:hAnsi="仿宋" w:cs="仿宋"/>
                <w:b/>
                <w:kern w:val="0"/>
                <w:szCs w:val="21"/>
              </w:rPr>
            </w:pPr>
            <w:r>
              <w:rPr>
                <w:rFonts w:hint="eastAsia" w:hAnsi="仿宋" w:cs="仿宋"/>
                <w:b/>
                <w:sz w:val="21"/>
                <w:szCs w:val="21"/>
              </w:rPr>
              <w:t>到期本金</w:t>
            </w:r>
          </w:p>
        </w:tc>
        <w:tc>
          <w:tcPr>
            <w:tcW w:w="1134" w:type="dxa"/>
            <w:shd w:val="clear" w:color="auto" w:fill="FFFFFF"/>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30980</w:t>
            </w:r>
          </w:p>
        </w:tc>
        <w:tc>
          <w:tcPr>
            <w:tcW w:w="1134" w:type="dxa"/>
            <w:shd w:val="clear" w:color="auto" w:fill="FFFFFF"/>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40200</w:t>
            </w:r>
          </w:p>
        </w:tc>
        <w:tc>
          <w:tcPr>
            <w:tcW w:w="1134" w:type="dxa"/>
            <w:shd w:val="clear" w:color="auto" w:fill="FFFFFF"/>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98340</w:t>
            </w:r>
          </w:p>
        </w:tc>
        <w:tc>
          <w:tcPr>
            <w:tcW w:w="1134" w:type="dxa"/>
            <w:shd w:val="clear" w:color="auto" w:fill="FFFFFF"/>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16325</w:t>
            </w:r>
          </w:p>
        </w:tc>
        <w:tc>
          <w:tcPr>
            <w:tcW w:w="1134" w:type="dxa"/>
            <w:shd w:val="clear" w:color="auto" w:fill="FFFFFF"/>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30950</w:t>
            </w:r>
          </w:p>
        </w:tc>
        <w:tc>
          <w:tcPr>
            <w:tcW w:w="1174" w:type="dxa"/>
            <w:shd w:val="clear" w:color="auto" w:fill="FFFFFF"/>
            <w:vAlign w:val="center"/>
          </w:tcPr>
          <w:p>
            <w:pPr>
              <w:spacing w:before="120" w:after="120"/>
              <w:ind w:firstLine="0" w:firstLineChars="0"/>
              <w:jc w:val="center"/>
              <w:rPr>
                <w:rFonts w:hAnsi="仿宋" w:cs="仿宋"/>
                <w:b/>
                <w:kern w:val="0"/>
                <w:szCs w:val="21"/>
              </w:rPr>
            </w:pPr>
            <w:r>
              <w:rPr>
                <w:rFonts w:hint="eastAsia" w:hAnsi="仿宋" w:cs="仿宋"/>
                <w:b/>
                <w:kern w:val="0"/>
                <w:sz w:val="21"/>
                <w:szCs w:val="21"/>
              </w:rPr>
              <w:t>216795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1091" w:type="dxa"/>
            <w:shd w:val="clear" w:color="auto" w:fill="auto"/>
            <w:vAlign w:val="center"/>
          </w:tcPr>
          <w:p>
            <w:pPr>
              <w:spacing w:before="120" w:after="120"/>
              <w:ind w:firstLine="0" w:firstLineChars="0"/>
              <w:jc w:val="center"/>
              <w:rPr>
                <w:rFonts w:hAnsi="仿宋" w:cs="仿宋"/>
                <w:b/>
                <w:kern w:val="0"/>
                <w:szCs w:val="21"/>
              </w:rPr>
            </w:pPr>
            <w:r>
              <w:rPr>
                <w:rFonts w:hint="eastAsia" w:hAnsi="仿宋" w:cs="仿宋"/>
                <w:b/>
                <w:sz w:val="21"/>
                <w:szCs w:val="21"/>
              </w:rPr>
              <w:t>应付利息</w:t>
            </w:r>
          </w:p>
        </w:tc>
        <w:tc>
          <w:tcPr>
            <w:tcW w:w="1134" w:type="dxa"/>
            <w:shd w:val="clear" w:color="auto" w:fill="FFFFFF"/>
            <w:vAlign w:val="center"/>
          </w:tcPr>
          <w:p>
            <w:pPr>
              <w:widowControl/>
              <w:ind w:firstLine="0" w:firstLineChars="0"/>
              <w:jc w:val="center"/>
              <w:textAlignment w:val="center"/>
              <w:rPr>
                <w:rFonts w:hAnsi="仿宋" w:cs="仿宋"/>
                <w:b/>
                <w:szCs w:val="21"/>
              </w:rPr>
            </w:pPr>
            <w:r>
              <w:rPr>
                <w:rFonts w:hint="eastAsia" w:hAnsi="仿宋" w:cs="仿宋"/>
                <w:b/>
                <w:kern w:val="0"/>
                <w:sz w:val="21"/>
                <w:szCs w:val="21"/>
                <w:lang w:bidi="ar"/>
              </w:rPr>
              <w:t>26278.2</w:t>
            </w:r>
          </w:p>
        </w:tc>
        <w:tc>
          <w:tcPr>
            <w:tcW w:w="1134" w:type="dxa"/>
            <w:shd w:val="clear" w:color="auto" w:fill="FFFFFF"/>
            <w:vAlign w:val="center"/>
          </w:tcPr>
          <w:p>
            <w:pPr>
              <w:widowControl/>
              <w:ind w:firstLine="0" w:firstLineChars="0"/>
              <w:jc w:val="center"/>
              <w:textAlignment w:val="center"/>
              <w:rPr>
                <w:rFonts w:hAnsi="仿宋" w:cs="仿宋"/>
                <w:b/>
                <w:szCs w:val="21"/>
              </w:rPr>
            </w:pPr>
            <w:r>
              <w:rPr>
                <w:rFonts w:hint="eastAsia" w:hAnsi="仿宋" w:cs="仿宋"/>
                <w:b/>
                <w:kern w:val="0"/>
                <w:sz w:val="21"/>
                <w:szCs w:val="21"/>
                <w:lang w:bidi="ar"/>
              </w:rPr>
              <w:t>25224</w:t>
            </w:r>
          </w:p>
        </w:tc>
        <w:tc>
          <w:tcPr>
            <w:tcW w:w="1134" w:type="dxa"/>
            <w:shd w:val="clear" w:color="auto" w:fill="FFFFFF"/>
            <w:vAlign w:val="center"/>
          </w:tcPr>
          <w:p>
            <w:pPr>
              <w:widowControl/>
              <w:ind w:firstLine="0" w:firstLineChars="0"/>
              <w:jc w:val="center"/>
              <w:textAlignment w:val="center"/>
              <w:rPr>
                <w:rFonts w:hAnsi="仿宋" w:cs="仿宋"/>
                <w:b/>
                <w:szCs w:val="21"/>
              </w:rPr>
            </w:pPr>
            <w:r>
              <w:rPr>
                <w:rFonts w:hint="eastAsia" w:hAnsi="仿宋" w:cs="仿宋"/>
                <w:b/>
                <w:kern w:val="0"/>
                <w:sz w:val="21"/>
                <w:szCs w:val="21"/>
                <w:lang w:bidi="ar"/>
              </w:rPr>
              <w:t>23743.04</w:t>
            </w:r>
          </w:p>
        </w:tc>
        <w:tc>
          <w:tcPr>
            <w:tcW w:w="1134" w:type="dxa"/>
            <w:shd w:val="clear" w:color="auto" w:fill="FFFFFF"/>
            <w:vAlign w:val="center"/>
          </w:tcPr>
          <w:p>
            <w:pPr>
              <w:widowControl/>
              <w:ind w:firstLine="0" w:firstLineChars="0"/>
              <w:jc w:val="center"/>
              <w:textAlignment w:val="center"/>
              <w:rPr>
                <w:rFonts w:hAnsi="仿宋" w:cs="仿宋"/>
                <w:b/>
                <w:szCs w:val="21"/>
              </w:rPr>
            </w:pPr>
            <w:r>
              <w:rPr>
                <w:rFonts w:hint="eastAsia" w:hAnsi="仿宋" w:cs="仿宋"/>
                <w:b/>
                <w:kern w:val="0"/>
                <w:sz w:val="21"/>
                <w:szCs w:val="21"/>
                <w:lang w:bidi="ar"/>
              </w:rPr>
              <w:t>20008.62</w:t>
            </w:r>
          </w:p>
        </w:tc>
        <w:tc>
          <w:tcPr>
            <w:tcW w:w="1134" w:type="dxa"/>
            <w:shd w:val="clear" w:color="auto" w:fill="FFFFFF"/>
            <w:vAlign w:val="center"/>
          </w:tcPr>
          <w:p>
            <w:pPr>
              <w:widowControl/>
              <w:ind w:firstLine="0" w:firstLineChars="0"/>
              <w:jc w:val="center"/>
              <w:textAlignment w:val="center"/>
              <w:rPr>
                <w:rFonts w:hAnsi="仿宋" w:cs="仿宋"/>
                <w:b/>
                <w:szCs w:val="21"/>
              </w:rPr>
            </w:pPr>
            <w:r>
              <w:rPr>
                <w:rFonts w:hint="eastAsia" w:hAnsi="仿宋" w:cs="仿宋"/>
                <w:b/>
                <w:kern w:val="0"/>
                <w:sz w:val="21"/>
                <w:szCs w:val="21"/>
                <w:lang w:bidi="ar"/>
              </w:rPr>
              <w:t>19323.43</w:t>
            </w:r>
          </w:p>
        </w:tc>
        <w:tc>
          <w:tcPr>
            <w:tcW w:w="1174" w:type="dxa"/>
            <w:shd w:val="clear" w:color="auto" w:fill="FFFFFF"/>
            <w:vAlign w:val="center"/>
          </w:tcPr>
          <w:p>
            <w:pPr>
              <w:widowControl/>
              <w:ind w:firstLine="0" w:firstLineChars="0"/>
              <w:jc w:val="center"/>
              <w:textAlignment w:val="center"/>
              <w:rPr>
                <w:rFonts w:hAnsi="仿宋" w:cs="仿宋"/>
                <w:b/>
                <w:szCs w:val="21"/>
              </w:rPr>
            </w:pPr>
            <w:r>
              <w:rPr>
                <w:rFonts w:hint="eastAsia" w:hAnsi="仿宋" w:cs="仿宋"/>
                <w:b/>
                <w:kern w:val="0"/>
                <w:sz w:val="21"/>
                <w:szCs w:val="21"/>
                <w:lang w:bidi="ar"/>
              </w:rPr>
              <w:t>114577.29</w:t>
            </w:r>
          </w:p>
        </w:tc>
      </w:tr>
    </w:tbl>
    <w:p>
      <w:pPr>
        <w:ind w:firstLine="560"/>
      </w:pPr>
    </w:p>
    <w:p>
      <w:pPr>
        <w:widowControl/>
        <w:spacing w:line="240" w:lineRule="auto"/>
        <w:ind w:firstLine="0" w:firstLineChars="0"/>
        <w:jc w:val="left"/>
        <w:rPr>
          <w:rFonts w:eastAsia="黑体"/>
          <w:b/>
          <w:bCs/>
          <w:kern w:val="44"/>
          <w:sz w:val="32"/>
          <w:szCs w:val="44"/>
        </w:rPr>
      </w:pPr>
      <w:r>
        <w:br w:type="page"/>
      </w:r>
    </w:p>
    <w:p>
      <w:pPr>
        <w:pStyle w:val="2"/>
        <w:ind w:firstLine="643"/>
      </w:pPr>
      <w:bookmarkStart w:id="106" w:name="_Toc63005442"/>
      <w:r>
        <w:rPr>
          <w:rFonts w:hint="eastAsia"/>
        </w:rPr>
        <w:t>第四篇  组织实施与保障措施</w:t>
      </w:r>
      <w:bookmarkEnd w:id="70"/>
      <w:bookmarkEnd w:id="106"/>
    </w:p>
    <w:p>
      <w:pPr>
        <w:pStyle w:val="3"/>
        <w:ind w:firstLine="602"/>
      </w:pPr>
      <w:bookmarkStart w:id="107" w:name="_Toc52057357"/>
      <w:bookmarkStart w:id="108" w:name="_Toc63005443"/>
      <w:r>
        <w:rPr>
          <w:rFonts w:hint="eastAsia"/>
        </w:rPr>
        <w:t>第九章  党的全面领导和队伍建设</w:t>
      </w:r>
      <w:bookmarkEnd w:id="107"/>
      <w:bookmarkEnd w:id="108"/>
    </w:p>
    <w:p>
      <w:pPr>
        <w:ind w:firstLine="560"/>
        <w:rPr>
          <w:lang w:val="zh-CN"/>
        </w:rPr>
      </w:pPr>
      <w:r>
        <w:rPr>
          <w:rFonts w:hint="eastAsia"/>
          <w:lang w:val="zh-CN"/>
        </w:rPr>
        <w:t xml:space="preserve"> “</w:t>
      </w:r>
      <w:r>
        <w:rPr>
          <w:lang w:val="zh-CN"/>
        </w:rPr>
        <w:t>十四五</w:t>
      </w:r>
      <w:r>
        <w:rPr>
          <w:rFonts w:hint="eastAsia"/>
          <w:lang w:val="zh-CN"/>
        </w:rPr>
        <w:t>”</w:t>
      </w:r>
      <w:r>
        <w:rPr>
          <w:lang w:val="zh-CN"/>
        </w:rPr>
        <w:t>时期</w:t>
      </w:r>
      <w:r>
        <w:rPr>
          <w:rFonts w:hint="eastAsia"/>
          <w:lang w:val="zh-CN"/>
        </w:rPr>
        <w:t>，</w:t>
      </w:r>
      <w:r>
        <w:rPr>
          <w:lang w:val="zh-CN"/>
        </w:rPr>
        <w:t>我国经济社会发展</w:t>
      </w:r>
      <w:r>
        <w:rPr>
          <w:shd w:val="clear" w:color="auto" w:fill="FFFFFF"/>
        </w:rPr>
        <w:t>要以推动高质量发展为主题</w:t>
      </w:r>
      <w:r>
        <w:rPr>
          <w:lang w:val="zh-CN"/>
        </w:rPr>
        <w:t>，要完成</w:t>
      </w:r>
      <w:r>
        <w:rPr>
          <w:rFonts w:hint="eastAsia"/>
          <w:lang w:val="zh-CN"/>
        </w:rPr>
        <w:t>澄江市“十四五”</w:t>
      </w:r>
      <w:r>
        <w:rPr>
          <w:lang w:val="zh-CN"/>
        </w:rPr>
        <w:t>财政发展规划确定的各项目标任务，关键在党，重在落实</w:t>
      </w:r>
      <w:r>
        <w:rPr>
          <w:rFonts w:hint="eastAsia"/>
          <w:lang w:val="zh-CN"/>
        </w:rPr>
        <w:t>，责任</w:t>
      </w:r>
      <w:r>
        <w:rPr>
          <w:lang w:val="zh-CN"/>
        </w:rPr>
        <w:t>在人。</w:t>
      </w:r>
      <w:r>
        <w:rPr>
          <w:rFonts w:hint="eastAsia"/>
          <w:lang w:val="zh-CN"/>
        </w:rPr>
        <w:t>因此，</w:t>
      </w:r>
      <w:r>
        <w:rPr>
          <w:lang w:val="zh-CN"/>
        </w:rPr>
        <w:t>必须</w:t>
      </w:r>
      <w:r>
        <w:rPr>
          <w:rFonts w:hint="eastAsia"/>
          <w:lang w:val="zh-CN"/>
        </w:rPr>
        <w:t>坚持和加强</w:t>
      </w:r>
      <w:r>
        <w:rPr>
          <w:lang w:val="zh-CN"/>
        </w:rPr>
        <w:t>党的全面领导，不断提高科学</w:t>
      </w:r>
      <w:r>
        <w:rPr>
          <w:rFonts w:hint="eastAsia"/>
          <w:lang w:val="zh-CN"/>
        </w:rPr>
        <w:t>理财</w:t>
      </w:r>
      <w:r>
        <w:rPr>
          <w:lang w:val="zh-CN"/>
        </w:rPr>
        <w:t>、民主</w:t>
      </w:r>
      <w:r>
        <w:rPr>
          <w:rFonts w:hint="eastAsia"/>
          <w:lang w:val="zh-CN"/>
        </w:rPr>
        <w:t>理财</w:t>
      </w:r>
      <w:r>
        <w:rPr>
          <w:lang w:val="zh-CN"/>
        </w:rPr>
        <w:t>、依法</w:t>
      </w:r>
      <w:r>
        <w:rPr>
          <w:rFonts w:hint="eastAsia"/>
          <w:lang w:val="zh-CN"/>
        </w:rPr>
        <w:t>理财的</w:t>
      </w:r>
      <w:r>
        <w:rPr>
          <w:lang w:val="zh-CN"/>
        </w:rPr>
        <w:t>水平</w:t>
      </w:r>
      <w:r>
        <w:rPr>
          <w:rFonts w:hint="eastAsia"/>
          <w:lang w:val="zh-CN"/>
        </w:rPr>
        <w:t>，充分发挥</w:t>
      </w:r>
      <w:r>
        <w:rPr>
          <w:lang w:val="zh-CN"/>
        </w:rPr>
        <w:t>党在</w:t>
      </w:r>
      <w:r>
        <w:rPr>
          <w:rFonts w:hint="eastAsia"/>
          <w:lang w:val="zh-CN"/>
        </w:rPr>
        <w:t>澄江市</w:t>
      </w:r>
      <w:r>
        <w:rPr>
          <w:lang w:val="zh-CN"/>
        </w:rPr>
        <w:t>财政发展中的坚强领导核心作用</w:t>
      </w:r>
      <w:r>
        <w:rPr>
          <w:rFonts w:hint="eastAsia"/>
          <w:lang w:val="zh-CN"/>
        </w:rPr>
        <w:t>；</w:t>
      </w:r>
      <w:r>
        <w:rPr>
          <w:lang w:val="zh-CN"/>
        </w:rPr>
        <w:t>必须</w:t>
      </w:r>
      <w:r>
        <w:rPr>
          <w:rFonts w:hint="eastAsia"/>
          <w:lang w:val="zh-CN"/>
        </w:rPr>
        <w:t>着力</w:t>
      </w:r>
      <w:r>
        <w:rPr>
          <w:lang w:val="zh-CN"/>
        </w:rPr>
        <w:t>打造一支高素质的财政干部队伍，为实现</w:t>
      </w:r>
      <w:r>
        <w:rPr>
          <w:rFonts w:hint="eastAsia"/>
          <w:lang w:val="zh-CN"/>
        </w:rPr>
        <w:t>“十四五”</w:t>
      </w:r>
      <w:r>
        <w:rPr>
          <w:lang w:val="zh-CN"/>
        </w:rPr>
        <w:t>各项目标提供坚实的人才保障。</w:t>
      </w:r>
    </w:p>
    <w:p>
      <w:pPr>
        <w:pStyle w:val="4"/>
        <w:ind w:firstLine="562"/>
      </w:pPr>
      <w:bookmarkStart w:id="109" w:name="_Toc63005444"/>
      <w:r>
        <w:rPr>
          <w:rFonts w:hint="eastAsia"/>
          <w:lang w:val="zh-CN"/>
        </w:rPr>
        <w:t>一、</w:t>
      </w:r>
      <w:r>
        <w:rPr>
          <w:rFonts w:hint="eastAsia"/>
        </w:rPr>
        <w:t>坚持和加强党的全面领导</w:t>
      </w:r>
      <w:bookmarkEnd w:id="109"/>
      <w:r>
        <w:rPr>
          <w:rFonts w:hint="eastAsia"/>
        </w:rPr>
        <w:t xml:space="preserve"> </w:t>
      </w:r>
    </w:p>
    <w:p>
      <w:pPr>
        <w:ind w:firstLine="560"/>
        <w:rPr>
          <w:shd w:val="clear" w:color="auto" w:fill="FFFFFF"/>
        </w:rPr>
      </w:pPr>
      <w:r>
        <w:rPr>
          <w:rFonts w:hint="eastAsia"/>
          <w:shd w:val="clear" w:color="auto" w:fill="FFFFFF"/>
        </w:rPr>
        <w:t>中国特色社会主义进入新时代，必须毫不动摇坚持和完善党的全面领导，毫不动摇把党建设得更加坚强有力。</w:t>
      </w:r>
    </w:p>
    <w:p>
      <w:pPr>
        <w:ind w:firstLine="560"/>
        <w:rPr>
          <w:shd w:val="clear" w:color="auto" w:fill="FFFFFF"/>
        </w:rPr>
      </w:pPr>
      <w:r>
        <w:rPr>
          <w:rFonts w:hint="eastAsia"/>
          <w:shd w:val="clear" w:color="auto" w:fill="FFFFFF"/>
        </w:rPr>
        <w:t>一是要始终坚持党对财政工作的全面领导。</w:t>
      </w:r>
      <w:r>
        <w:rPr>
          <w:shd w:val="clear" w:color="auto" w:fill="FFFFFF"/>
        </w:rPr>
        <w:t>推动全党增强</w:t>
      </w:r>
      <w:r>
        <w:rPr>
          <w:rFonts w:hint="eastAsia"/>
          <w:shd w:val="clear" w:color="auto" w:fill="FFFFFF"/>
        </w:rPr>
        <w:t>“</w:t>
      </w:r>
      <w:r>
        <w:rPr>
          <w:shd w:val="clear" w:color="auto" w:fill="FFFFFF"/>
        </w:rPr>
        <w:t>四个意识</w:t>
      </w:r>
      <w:r>
        <w:rPr>
          <w:rFonts w:hint="eastAsia"/>
          <w:shd w:val="clear" w:color="auto" w:fill="FFFFFF"/>
        </w:rPr>
        <w:t>”</w:t>
      </w:r>
      <w:r>
        <w:rPr>
          <w:shd w:val="clear" w:color="auto" w:fill="FFFFFF"/>
        </w:rPr>
        <w:t>、坚定</w:t>
      </w:r>
      <w:r>
        <w:rPr>
          <w:rFonts w:hint="eastAsia"/>
          <w:shd w:val="clear" w:color="auto" w:fill="FFFFFF"/>
        </w:rPr>
        <w:t>“</w:t>
      </w:r>
      <w:r>
        <w:rPr>
          <w:shd w:val="clear" w:color="auto" w:fill="FFFFFF"/>
        </w:rPr>
        <w:t>四个自信</w:t>
      </w:r>
      <w:r>
        <w:rPr>
          <w:rFonts w:hint="eastAsia"/>
          <w:shd w:val="clear" w:color="auto" w:fill="FFFFFF"/>
        </w:rPr>
        <w:t>”</w:t>
      </w:r>
      <w:r>
        <w:rPr>
          <w:shd w:val="clear" w:color="auto" w:fill="FFFFFF"/>
        </w:rPr>
        <w:t>、做到</w:t>
      </w:r>
      <w:r>
        <w:rPr>
          <w:rFonts w:hint="eastAsia"/>
          <w:shd w:val="clear" w:color="auto" w:fill="FFFFFF"/>
        </w:rPr>
        <w:t>“</w:t>
      </w:r>
      <w:r>
        <w:rPr>
          <w:shd w:val="clear" w:color="auto" w:fill="FFFFFF"/>
        </w:rPr>
        <w:t>两个维护</w:t>
      </w:r>
      <w:r>
        <w:rPr>
          <w:rFonts w:hint="eastAsia"/>
          <w:shd w:val="clear" w:color="auto" w:fill="FFFFFF"/>
        </w:rPr>
        <w:t>”</w:t>
      </w:r>
      <w:r>
        <w:rPr>
          <w:shd w:val="clear" w:color="auto" w:fill="FFFFFF"/>
        </w:rPr>
        <w:t>，自觉在思想上政治上行动上同以习近平同志为核心的党中央保持高度一致</w:t>
      </w:r>
      <w:r>
        <w:rPr>
          <w:rFonts w:hint="eastAsia"/>
          <w:shd w:val="clear" w:color="auto" w:fill="FFFFFF"/>
        </w:rPr>
        <w:t>，统筹推进“五位一体”总体布局，协调推进“四个全面”战略布局，提高党把方向、谋大局、定政策、促改革的能力和定力，确保党始终总揽财政工作全局、协调各方。</w:t>
      </w:r>
      <w:r>
        <w:rPr>
          <w:shd w:val="clear" w:color="auto" w:fill="FFFFFF"/>
        </w:rPr>
        <w:t>坚持立党为公、执政为民，保持党同人民群众的血肉联系，把尊重民意、汇集民智、凝聚民力、改善民生贯穿到党治国理</w:t>
      </w:r>
      <w:r>
        <w:rPr>
          <w:rFonts w:hint="eastAsia"/>
          <w:shd w:val="clear" w:color="auto" w:fill="FFFFFF"/>
        </w:rPr>
        <w:t>政的</w:t>
      </w:r>
      <w:r>
        <w:rPr>
          <w:shd w:val="clear" w:color="auto" w:fill="FFFFFF"/>
        </w:rPr>
        <w:t>全部工作中。</w:t>
      </w:r>
    </w:p>
    <w:p>
      <w:pPr>
        <w:ind w:firstLine="560"/>
      </w:pPr>
      <w:r>
        <w:rPr>
          <w:rFonts w:hint="eastAsia"/>
        </w:rPr>
        <w:t>二是</w:t>
      </w:r>
      <w:r>
        <w:t>要不断强化全面从严治党。坚持党要管党、全面从严治党，增强忧患意识，不断推进党的自我革命，永葆党的先进性和纯洁性。贯彻新时代党的建设总要求，深化党的建设制度改革，坚持依规治党，建立健全以党的政治建设为统领，全面推进党的各方面建设的体制机制。坚持新时代党的组织路线，健全党管干部、选贤任能制度。规范党内政治生活，面净化党内政治生态。完善和落实全面从严治党责任制度。</w:t>
      </w:r>
    </w:p>
    <w:p>
      <w:pPr>
        <w:ind w:firstLine="560"/>
      </w:pPr>
      <w:r>
        <w:rPr>
          <w:rFonts w:hint="eastAsia"/>
        </w:rPr>
        <w:t>三是深入推进党风廉政建设。严格执行中央八项规定及其实施细则精神，坚决反对“四风”，认真落实党风廉政建设责任制，建立党员干部行为负面清单，加强警示教育，运用好监督执纪四种形态，筑牢反腐倡廉防线。充分调动一切积极因素，广泛团结一切可以团结的力量，形成推动发展的强大合力。要加强党中央集中统一领导，推进社会主义政治建设，健全规划落实和调整机制。要高举和平、发展、合作、共赢旗帜，积极营造良好外部环境，推动构建新型国际关系和人类命运共同体。</w:t>
      </w:r>
    </w:p>
    <w:p>
      <w:pPr>
        <w:pStyle w:val="4"/>
        <w:ind w:firstLine="562"/>
        <w:rPr>
          <w:shd w:val="clear" w:color="auto" w:fill="FFFFFF"/>
        </w:rPr>
      </w:pPr>
      <w:bookmarkStart w:id="110" w:name="_Toc63005445"/>
      <w:r>
        <w:rPr>
          <w:rFonts w:hint="eastAsia"/>
          <w:lang w:val="zh-CN"/>
        </w:rPr>
        <w:t>二、</w:t>
      </w:r>
      <w:r>
        <w:rPr>
          <w:rFonts w:hint="eastAsia"/>
          <w:shd w:val="clear" w:color="auto" w:fill="FFFFFF"/>
        </w:rPr>
        <w:t>强化政治使命担当，加强财政自身建设</w:t>
      </w:r>
      <w:bookmarkEnd w:id="110"/>
    </w:p>
    <w:p>
      <w:pPr>
        <w:ind w:firstLine="560"/>
        <w:rPr>
          <w:rFonts w:ascii="楷体" w:hAnsi="楷体" w:eastAsia="楷体" w:cs="楷体"/>
          <w:sz w:val="31"/>
          <w:szCs w:val="31"/>
          <w:shd w:val="clear" w:color="auto" w:fill="FFFFFF"/>
        </w:rPr>
      </w:pPr>
      <w:r>
        <w:rPr>
          <w:rFonts w:hint="eastAsia"/>
        </w:rPr>
        <w:t>一是深入学习和贯彻党的十九届五中全会精神。自觉把思想和行动统一到全会精神上来，统一到党中央决策部署上来，以实际行动坚决贯彻落实党的十九届五中全会精神。立足财政部门工作和职能实现，忠诚履职担当，将学习贯彻全会精神与财政工作有机结合起来，全面对标对表全会要求，把全会精神和党中央决策部署落实到服务现代财税制度建立完善、服务澄江高质量发展的实际工作中。</w:t>
      </w:r>
    </w:p>
    <w:p>
      <w:pPr>
        <w:ind w:firstLine="560"/>
      </w:pPr>
      <w:r>
        <w:rPr>
          <w:rFonts w:hint="eastAsia"/>
        </w:rPr>
        <w:t>二是以政治建设为统领。突出政治建设，树牢政治根基。坚持把政治建设摆在首位，教育引导党员、干部牢固树立“四个意识”、坚定“四个自信”，做到“两个维护”，不断筑牢思想基础。提高政治素养，增强党性锤炼。旗帜鲜明讲政治，坚决把“两个维护”全面贯彻财政工作全过程，切实履行党中央赋予财政部门的职能职责，坚持守土有责、守土负责、守土尽责，创造性开展工作，以扎实行动和务</w:t>
      </w:r>
      <w:r>
        <w:rPr>
          <w:rFonts w:hint="eastAsia"/>
          <w:color w:val="333333"/>
        </w:rPr>
        <w:t>实作风</w:t>
      </w:r>
      <w:r>
        <w:rPr>
          <w:rFonts w:hint="eastAsia"/>
        </w:rPr>
        <w:t>推动党中央决策部署落实落地。</w:t>
      </w:r>
    </w:p>
    <w:p>
      <w:pPr>
        <w:ind w:firstLine="560"/>
      </w:pPr>
      <w:r>
        <w:rPr>
          <w:rFonts w:hint="eastAsia"/>
        </w:rPr>
        <w:t>三是加强意识形态工作，落实工作责任制。坚持党对意识形态工作的领导，定期召开专题会议，分析研判意识形态和工作形势，加强舆论引导。全面提升党建工作质量。坚持以党的政治建设为统领，不断加强和改进机关党建工作，严格党内政治生活制度，突出对党员干部的党性锻炼，提升党支部建设规范化水平，推动党建与业务深入融合，相互促进。</w:t>
      </w:r>
    </w:p>
    <w:p>
      <w:pPr>
        <w:pStyle w:val="4"/>
        <w:ind w:firstLine="562"/>
      </w:pPr>
      <w:bookmarkStart w:id="111" w:name="_Toc63005446"/>
      <w:bookmarkStart w:id="112" w:name="_Toc517186613"/>
      <w:r>
        <w:rPr>
          <w:rFonts w:hAnsi="仿宋"/>
          <w:lang w:val="zh-CN"/>
        </w:rPr>
        <w:t>三</w:t>
      </w:r>
      <w:r>
        <w:t>、加强财政干部队伍建设，</w:t>
      </w:r>
      <w:r>
        <w:rPr>
          <w:rFonts w:hint="eastAsia"/>
        </w:rPr>
        <w:t>强化干部教育</w:t>
      </w:r>
      <w:bookmarkEnd w:id="111"/>
    </w:p>
    <w:p>
      <w:pPr>
        <w:ind w:firstLine="560"/>
        <w:rPr>
          <w:lang w:val="zh-CN"/>
        </w:rPr>
      </w:pPr>
      <w:r>
        <w:rPr>
          <w:rFonts w:hint="eastAsia"/>
          <w:shd w:val="clear" w:color="auto" w:fill="FFFFFF"/>
        </w:rPr>
        <w:t>深刻理解把握贯彻新发展理念、构建新发展格局对财政干部队伍提出的新标准新要求，建立完善激励约束机制，树立重实干重实绩的用人导向，打造一支政治过硬、本领高强的高素质专业化财政干部队伍。</w:t>
      </w:r>
    </w:p>
    <w:p>
      <w:pPr>
        <w:ind w:firstLine="560"/>
        <w:rPr>
          <w:lang w:val="zh-CN"/>
        </w:rPr>
      </w:pPr>
      <w:r>
        <w:rPr>
          <w:lang w:val="zh-CN"/>
        </w:rPr>
        <w:t>一是坚持好干部标准</w:t>
      </w:r>
      <w:r>
        <w:rPr>
          <w:rFonts w:hint="eastAsia"/>
          <w:lang w:val="zh-CN"/>
        </w:rPr>
        <w:t>。</w:t>
      </w:r>
      <w:r>
        <w:rPr>
          <w:lang w:val="zh-CN"/>
        </w:rPr>
        <w:t>根据财政发展需要，选好用好干部，不断健全干部选拔任用工作机制，树立正确的选人用人导向，以改革创新精神全面推进财政部门领导班子建设，优化干部队伍结构，营造解放思想、迸发激情、勇于担当、团结奋斗的干事创业的良好氛围。健全完善部门及个人考核评价体系，充分发挥考核评价的导向作用；健全改进作风的长效机制，持之以恒抓好作风建设，培养各级财政干部的优良作风。</w:t>
      </w:r>
    </w:p>
    <w:p>
      <w:pPr>
        <w:ind w:firstLine="560"/>
        <w:rPr>
          <w:shd w:val="clear" w:color="auto" w:fill="FFFFFF"/>
        </w:rPr>
      </w:pPr>
      <w:r>
        <w:rPr>
          <w:rFonts w:hint="eastAsia"/>
          <w:shd w:val="clear" w:color="auto" w:fill="FFFFFF"/>
        </w:rPr>
        <w:t>二是完善干部管理与监督制度建设。要采取措施加大对干部日常监督管理制度的可行性操作性研究，细化量化具体的操作流程和奖惩措施，提升制度的刚性约束力；要抓制度的有效落地，从严执行各项制度规定。对干部日常监督管理各项制度进行梳理，对照制度相应条款明确执行时应把握的尺度，并严格按规定抓好制度执行情况的督促检查，保证各项制度执行落实到位。</w:t>
      </w:r>
    </w:p>
    <w:p>
      <w:pPr>
        <w:ind w:firstLine="560"/>
      </w:pPr>
      <w:r>
        <w:rPr>
          <w:rFonts w:hint="eastAsia"/>
          <w:shd w:val="clear" w:color="auto" w:fill="FFFFFF"/>
        </w:rPr>
        <w:t>三</w:t>
      </w:r>
      <w:r>
        <w:rPr>
          <w:rFonts w:hint="eastAsia"/>
        </w:rPr>
        <w:t>是强化干部教育，抓实作风建设。按照依法行政要求，强化干部法制教育，规范权力运行，做到敬畏法律、遵守纪律，牢固树立“理财不爱钱、服务不谋私”的理念。</w:t>
      </w:r>
      <w:r>
        <w:rPr>
          <w:shd w:val="clear" w:color="auto" w:fill="FFFFFF"/>
        </w:rPr>
        <w:t>把加强财政干部教育培训</w:t>
      </w:r>
      <w:r>
        <w:rPr>
          <w:rFonts w:hint="eastAsia"/>
          <w:shd w:val="clear" w:color="auto" w:fill="FFFFFF"/>
        </w:rPr>
        <w:t>作为</w:t>
      </w:r>
      <w:r>
        <w:rPr>
          <w:shd w:val="clear" w:color="auto" w:fill="FFFFFF"/>
        </w:rPr>
        <w:t>干部队伍建设的先导性、基础性、战略性工程，紧紧围绕服务财政科学发展、服务财政干部健康成长的方针，全面深化财政干部教育培训，建立符合财政干部特点的教育培训体系，完善培训体制机制，实现培训统筹管理，坚持分级分类原则，全面提升财政干部教育培训质量。</w:t>
      </w:r>
    </w:p>
    <w:bookmarkEnd w:id="112"/>
    <w:p>
      <w:pPr>
        <w:pStyle w:val="3"/>
        <w:ind w:firstLine="602"/>
      </w:pPr>
      <w:bookmarkStart w:id="113" w:name="_Toc52057358"/>
      <w:bookmarkStart w:id="114" w:name="_Toc63005447"/>
      <w:r>
        <w:rPr>
          <w:rFonts w:hint="eastAsia"/>
        </w:rPr>
        <w:t>第十章  动态调整与规范管理</w:t>
      </w:r>
      <w:bookmarkEnd w:id="113"/>
      <w:bookmarkEnd w:id="114"/>
    </w:p>
    <w:p>
      <w:pPr>
        <w:ind w:firstLine="560"/>
      </w:pPr>
      <w:r>
        <w:rPr>
          <w:rFonts w:hint="eastAsia"/>
        </w:rPr>
        <w:t>澄江市“十四五”财政发展规划的实施，必须准确把握“十四五”规划的逻辑起点和亮点，建立健全动态评估与调整机制，规范和创新财政管理，构建规划顺利实施的基本制度保障。</w:t>
      </w:r>
    </w:p>
    <w:bookmarkEnd w:id="71"/>
    <w:p>
      <w:pPr>
        <w:pStyle w:val="4"/>
        <w:ind w:firstLine="562"/>
      </w:pPr>
      <w:bookmarkStart w:id="115" w:name="_Toc63005448"/>
      <w:bookmarkStart w:id="116" w:name="_Toc517186617"/>
      <w:r>
        <w:rPr>
          <w:rFonts w:hint="eastAsia"/>
        </w:rPr>
        <w:t>一、准确把握“十四五”规划的逻辑起点和亮点</w:t>
      </w:r>
      <w:bookmarkEnd w:id="115"/>
    </w:p>
    <w:p>
      <w:pPr>
        <w:ind w:firstLine="560"/>
      </w:pPr>
      <w:r>
        <w:rPr>
          <w:rFonts w:hint="eastAsia"/>
        </w:rPr>
        <w:t>一是形成强大国内市场，构建新发展格局。习近平总书记曾多次强调构建新发展格局问题。党的十九届五中全会再次着重强调“要畅通国内大循环，促进国内国际双循环”，表明构建新发展格局已经成为应对当前国内国际新形势的重要战略。因此，澄江市“十四五”规划的制定和实施，必须准确理解、全面把握新发展格局的内涵，始终以坚持深入参与国际循环为基础、坚持建立国内统一大市场为基础。“两个坚持”是构建新发展格局命题的应有之义。</w:t>
      </w:r>
    </w:p>
    <w:p>
      <w:pPr>
        <w:ind w:firstLine="560"/>
      </w:pPr>
      <w:r>
        <w:rPr>
          <w:rFonts w:hint="eastAsia"/>
        </w:rPr>
        <w:t>二是推动有效市场与有为政府更好结合。处理好政府与市场的关系，是构建高水平社会主义市场经济体制的核心问题。建立“有效市场”离不开“有为政府”，建设“有为政府”有助于提升市场在资源配置中的有效性，两者是相辅相成、有机统一的关系。只有当政府与市场“两只手”协同共进，才能为高质量发展提供有力保障。</w:t>
      </w:r>
    </w:p>
    <w:p>
      <w:pPr>
        <w:ind w:firstLine="560"/>
      </w:pPr>
      <w:r>
        <w:rPr>
          <w:rFonts w:hint="eastAsia"/>
        </w:rPr>
        <w:t>三是突出创新在我国现代化建设全局中的核心地位。十九届五中全会强调，科技创新需要坚持“四个面向”，即面向世界科技前沿、面向经济主战场、面向国家重大需求、面向人民生命健康。这四个面向概括了科技创新的根本价值，为我国更加系统推进</w:t>
      </w:r>
      <w:r>
        <w:rPr>
          <w:rFonts w:hint="eastAsia"/>
          <w:lang w:eastAsia="zh-CN"/>
        </w:rPr>
        <w:t>创新驱动发展战略</w:t>
      </w:r>
      <w:r>
        <w:rPr>
          <w:rFonts w:hint="eastAsia"/>
        </w:rPr>
        <w:t>指明了方向。因此，突出创新也是澄江市“十四五”财政规划制定和实施不可忽视的内容之一。</w:t>
      </w:r>
    </w:p>
    <w:p>
      <w:pPr>
        <w:pStyle w:val="4"/>
        <w:ind w:firstLine="562"/>
      </w:pPr>
      <w:bookmarkStart w:id="117" w:name="_Toc63005449"/>
      <w:r>
        <w:rPr>
          <w:rFonts w:hint="eastAsia"/>
        </w:rPr>
        <w:t>二、构建有效的监测评估与动态调整机制</w:t>
      </w:r>
      <w:bookmarkEnd w:id="116"/>
      <w:bookmarkEnd w:id="117"/>
    </w:p>
    <w:p>
      <w:pPr>
        <w:ind w:firstLine="560"/>
      </w:pPr>
      <w:r>
        <w:rPr>
          <w:rFonts w:hint="eastAsia"/>
        </w:rPr>
        <w:t>监测评估与动态调整是一个制度体系不可或缺的有机组成部分。因此，以全面绩效管理为核心，建立规划的监测评估体系、信息反馈及动态调整机制，是提高制度运行效率，确保规划有效实施的关键。</w:t>
      </w:r>
    </w:p>
    <w:p>
      <w:pPr>
        <w:ind w:firstLine="560"/>
      </w:pPr>
      <w:bookmarkStart w:id="118" w:name="_Toc449631848"/>
      <w:r>
        <w:rPr>
          <w:rFonts w:hint="eastAsia"/>
        </w:rPr>
        <w:t>一是建立科学的监测评估体系</w:t>
      </w:r>
      <w:bookmarkEnd w:id="118"/>
      <w:r>
        <w:rPr>
          <w:rFonts w:hint="eastAsia"/>
        </w:rPr>
        <w:t>。</w:t>
      </w:r>
      <w:r>
        <w:rPr>
          <w:rFonts w:hint="eastAsia" w:hAnsi="仿宋"/>
          <w:szCs w:val="21"/>
        </w:rPr>
        <w:t>建立由市财政局、各相关部门及单位、专家及社会组织等第三方专业机构为主体的监测评估小组，负责指导规划的监测评估工作。按照规划提出的发展目标、任务及指标体系，确定科学合理的监测评估指标体系。建立规划跟踪监控机制，定期采集监测信息，采取过程评估与结果评估、自我评估与委托评估、定性评估与定量评估相结合的方法，汇总分析和研究规划的实施与运行情况。</w:t>
      </w:r>
    </w:p>
    <w:p>
      <w:pPr>
        <w:ind w:firstLine="560"/>
      </w:pPr>
      <w:bookmarkStart w:id="119" w:name="_Toc449631849"/>
      <w:r>
        <w:rPr>
          <w:rFonts w:hint="eastAsia"/>
        </w:rPr>
        <w:t>二是构建有效的信息反馈机制</w:t>
      </w:r>
      <w:bookmarkEnd w:id="119"/>
      <w:r>
        <w:rPr>
          <w:rFonts w:hint="eastAsia"/>
        </w:rPr>
        <w:t>。</w:t>
      </w:r>
      <w:r>
        <w:rPr>
          <w:rFonts w:hint="eastAsia" w:hAnsi="仿宋"/>
          <w:szCs w:val="21"/>
        </w:rPr>
        <w:t>建立信息反馈和应用制度，将监测评估结果及时反馈给相关规划和执行部门，并根据监测评价结果，完善规划管理制度，改进规划执行措施；将监测评估结果作为调整规划及其结构、完善政策和科学安排预算的重要依据，不断优化资源配置；将监测评估结果向同级人民政府报告，为政府决策提供参考。逐步提高监测评估结果的透明度，将监测评估结果尤其是一些社会关注度高、影响力大的民生项目和重点项目支出绩效情况，依法向社会公开，接受社会监督。落实信息反馈应用体系，将反馈信息的应用和整改纳入绩效考核的范围。</w:t>
      </w:r>
    </w:p>
    <w:p>
      <w:pPr>
        <w:ind w:firstLine="560"/>
        <w:rPr>
          <w:rFonts w:cstheme="majorBidi"/>
          <w:b/>
          <w:bCs/>
          <w:szCs w:val="28"/>
        </w:rPr>
      </w:pPr>
      <w:bookmarkStart w:id="120" w:name="_Toc449631850"/>
      <w:r>
        <w:rPr>
          <w:rFonts w:hint="eastAsia" w:cstheme="majorBidi"/>
          <w:bCs/>
          <w:szCs w:val="28"/>
        </w:rPr>
        <w:t>三是全面推行动态调整机制</w:t>
      </w:r>
      <w:bookmarkEnd w:id="120"/>
      <w:r>
        <w:rPr>
          <w:rFonts w:hint="eastAsia" w:cstheme="majorBidi"/>
          <w:bCs/>
          <w:szCs w:val="28"/>
        </w:rPr>
        <w:t>。</w:t>
      </w:r>
      <w:r>
        <w:rPr>
          <w:rFonts w:hint="eastAsia"/>
        </w:rPr>
        <w:t>在对规划监测评估和信息反馈的基础上，全面推行对规划的动态调整机制。按照绩效管理与考核的要求，根据每年全面评估、重点评估和中期系统性评估的结果和反馈信息，依据宏观经济政策和形势的新变化不断调整和修正各项发展任务和指标，不断修正相关预测目标和政策建议，进一步提高规划的科学性，切实保障规划的有效运行。</w:t>
      </w:r>
    </w:p>
    <w:p>
      <w:pPr>
        <w:pStyle w:val="4"/>
        <w:ind w:firstLine="562"/>
      </w:pPr>
      <w:bookmarkStart w:id="121" w:name="_Toc63005450"/>
      <w:r>
        <w:rPr>
          <w:rFonts w:hint="eastAsia"/>
        </w:rPr>
        <w:t>三、全面加强财政管理，提升绩效管理水平</w:t>
      </w:r>
      <w:bookmarkEnd w:id="121"/>
    </w:p>
    <w:p>
      <w:pPr>
        <w:ind w:firstLine="560"/>
      </w:pPr>
      <w:r>
        <w:rPr>
          <w:rFonts w:hint="eastAsia"/>
        </w:rPr>
        <w:t>一是深化改革，财政管理更加科学。完善预算编制体系，部门预算编制与政府采购管理、政府投资项目管理、项目库管理、支出绩效管理相结合，提高预算编制的全面性、准确性；强化绩效财政管理，把绩效考评融入预算编制、执行、监督的全过程。</w:t>
      </w:r>
    </w:p>
    <w:p>
      <w:pPr>
        <w:ind w:firstLine="560"/>
      </w:pPr>
      <w:r>
        <w:rPr>
          <w:rFonts w:hint="eastAsia"/>
        </w:rPr>
        <w:t>二是优化结构，重点支出保障有力。大力压减一般性支出，按5%核减部门预算安排的公用经费和专项业务工作经费，不断优化财政支出结构，确保新增财力更多地投向教育、文化体育与传媒、社会保障与就业等民生重点支出领域。</w:t>
      </w:r>
    </w:p>
    <w:p>
      <w:pPr>
        <w:ind w:firstLine="560"/>
      </w:pPr>
      <w:r>
        <w:rPr>
          <w:rFonts w:hint="eastAsia"/>
        </w:rPr>
        <w:t>三是服务企业和社会，涵养税源精准有效。严格落实减税降费政策，振兴实体经济，以智能制造为引领，推动企业转型升级，促进发展方式转变和高质量发展。</w:t>
      </w:r>
    </w:p>
    <w:p>
      <w:pPr>
        <w:ind w:firstLine="560"/>
      </w:pPr>
      <w:r>
        <w:rPr>
          <w:rFonts w:hint="eastAsia"/>
        </w:rPr>
        <w:t>四是提高绩效，存量资金多措盘活。对全市行政事业单位在国库支付中心的结余资金进行全面盘点、梳理分析，开展全市财政专项资金结余情况清查，对结余资金，通过预算统筹安排、上缴财政等形式，压缩部门单位财政存量资金规模，盘活资金用于重点项目支出，提高资金使用绩效。建立债券项目储备库，变“资金找项目”为“项目找资金”，强化项目评估审核，做好政府投资项目评审工作。</w:t>
      </w:r>
    </w:p>
    <w:p>
      <w:pPr>
        <w:ind w:firstLine="560"/>
        <w:rPr>
          <w:rFonts w:hAnsi="仿宋"/>
          <w:szCs w:val="21"/>
        </w:rPr>
      </w:pPr>
      <w:r>
        <w:rPr>
          <w:rFonts w:hint="eastAsia"/>
        </w:rPr>
        <w:t>五是加强管控，财政监管持续推进。进一步推动会计信用体系建设和行政事业单位内控建设；建立政府性债务全过程监管机制，加强债券资金申报、拨付、使用监管；按照“两覆盖”要求，整合资源、资产、资金，推进融资平台公司市场化转型；加强国库集中支付管理，上线动态监控系统和支付电子化，对授权支付资金实施全方位监控。</w:t>
      </w:r>
    </w:p>
    <w:sectPr>
      <w:headerReference r:id="rId7" w:type="first"/>
      <w:footerReference r:id="rId10" w:type="first"/>
      <w:headerReference r:id="rId5" w:type="default"/>
      <w:footerReference r:id="rId8" w:type="default"/>
      <w:headerReference r:id="rId6" w:type="even"/>
      <w:footerReference r:id="rId9" w:type="even"/>
      <w:footnotePr>
        <w:numFmt w:val="decimalEnclosedCircleChinese"/>
        <w:numRestart w:val="eachPage"/>
      </w:footnotePr>
      <w:pgSz w:w="11906" w:h="16838"/>
      <w:pgMar w:top="1440" w:right="1800" w:bottom="1440" w:left="1800" w:header="851" w:footer="992" w:gutter="0"/>
      <w:pgNumType w:start="0"/>
      <w:cols w:space="425" w:num="1"/>
      <w:titlePg/>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803050406030204"/>
    <w:charset w:val="00"/>
    <w:family w:val="roman"/>
    <w:pitch w:val="default"/>
    <w:sig w:usb0="E00006FF" w:usb1="4000045F" w:usb2="00000000" w:usb3="00000000" w:csb0="2000019F" w:csb1="00000000"/>
  </w:font>
  <w:font w:name="华文隶书">
    <w:altName w:val="方正隶书_GBK"/>
    <w:panose1 w:val="02010800040101010101"/>
    <w:charset w:val="86"/>
    <w:family w:val="auto"/>
    <w:pitch w:val="default"/>
    <w:sig w:usb0="00000000" w:usb1="00000000" w:usb2="00000010" w:usb3="00000000" w:csb0="00040000" w:csb1="00000000"/>
  </w:font>
  <w:font w:name="华文新魏">
    <w:altName w:val="方正魏碑_GBK"/>
    <w:panose1 w:val="02010800040101010101"/>
    <w:charset w:val="86"/>
    <w:family w:val="auto"/>
    <w:pitch w:val="default"/>
    <w:sig w:usb0="00000000" w:usb1="00000000" w:usb2="00000010" w:usb3="00000000" w:csb0="00040000" w:csb1="00000000"/>
  </w:font>
  <w:font w:name="华文仿宋">
    <w:altName w:val="汉仪仿宋简"/>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隶书_GBK">
    <w:panose1 w:val="02000000000000000000"/>
    <w:charset w:val="86"/>
    <w:family w:val="auto"/>
    <w:pitch w:val="default"/>
    <w:sig w:usb0="00000001" w:usb1="08000000" w:usb2="00000000" w:usb3="00000000" w:csb0="00040000" w:csb1="00000000"/>
  </w:font>
  <w:font w:name="方正魏碑_GBK">
    <w:panose1 w:val="02000000000000000000"/>
    <w:charset w:val="86"/>
    <w:family w:val="auto"/>
    <w:pitch w:val="default"/>
    <w:sig w:usb0="00000001" w:usb1="08000000" w:usb2="00000000" w:usb3="00000000" w:csb0="00040000" w:csb1="00000000"/>
  </w:font>
  <w:font w:name="文泉驿正黑">
    <w:panose1 w:val="02000603000000000000"/>
    <w:charset w:val="86"/>
    <w:family w:val="auto"/>
    <w:pitch w:val="default"/>
    <w:sig w:usb0="900002BF" w:usb1="2BDF7DFB" w:usb2="00000036" w:usb3="00000000" w:csb0="603E000D" w:csb1="D2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3"/>
          <w:ind w:firstLine="360"/>
        </w:pPr>
        <w:r>
          <mc:AlternateContent>
            <mc:Choice Requires="wpg">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457200" cy="347980"/>
                  <wp:effectExtent l="38100" t="47625" r="38100" b="42545"/>
                  <wp:wrapNone/>
                  <wp:docPr id="632" name="组 19"/>
                  <wp:cNvGraphicFramePr/>
                  <a:graphic xmlns:a="http://schemas.openxmlformats.org/drawingml/2006/main">
                    <a:graphicData uri="http://schemas.microsoft.com/office/word/2010/wordprocessingGroup">
                      <wpg:wgp>
                        <wpg:cNvGrpSpPr/>
                        <wpg:grpSpPr>
                          <a:xfrm>
                            <a:off x="0" y="0"/>
                            <a:ext cx="457200" cy="347980"/>
                            <a:chOff x="10104" y="14464"/>
                            <a:chExt cx="720" cy="548"/>
                          </a:xfrm>
                        </wpg:grpSpPr>
                        <wps:wsp>
                          <wps:cNvPr id="633" name="Rectangle 20"/>
                          <wps:cNvSpPr>
                            <a:spLocks noChangeArrowheads="true"/>
                          </wps:cNvSpPr>
                          <wps:spPr bwMode="auto">
                            <a:xfrm rot="-5786020">
                              <a:off x="10190" y="14378"/>
                              <a:ext cx="548" cy="720"/>
                            </a:xfrm>
                            <a:prstGeom prst="rect">
                              <a:avLst/>
                            </a:prstGeom>
                            <a:solidFill>
                              <a:srgbClr val="FFFFFF"/>
                            </a:solidFill>
                            <a:ln w="9525">
                              <a:solidFill>
                                <a:srgbClr val="737373"/>
                              </a:solidFill>
                              <a:miter lim="800000"/>
                            </a:ln>
                          </wps:spPr>
                          <wps:bodyPr rot="0" vert="horz" wrap="square" lIns="91440" tIns="45720" rIns="91440" bIns="45720" anchor="t" anchorCtr="false" upright="true">
                            <a:noAutofit/>
                          </wps:bodyPr>
                        </wps:wsp>
                        <wps:wsp>
                          <wps:cNvPr id="634" name="Rectangle 21"/>
                          <wps:cNvSpPr>
                            <a:spLocks noChangeArrowheads="true"/>
                          </wps:cNvSpPr>
                          <wps:spPr bwMode="auto">
                            <a:xfrm rot="-4936653">
                              <a:off x="10190" y="14378"/>
                              <a:ext cx="548" cy="720"/>
                            </a:xfrm>
                            <a:prstGeom prst="rect">
                              <a:avLst/>
                            </a:prstGeom>
                            <a:solidFill>
                              <a:srgbClr val="FFFFFF"/>
                            </a:solidFill>
                            <a:ln w="9525">
                              <a:solidFill>
                                <a:srgbClr val="737373"/>
                              </a:solidFill>
                              <a:miter lim="800000"/>
                            </a:ln>
                          </wps:spPr>
                          <wps:bodyPr rot="0" vert="horz" wrap="square" lIns="91440" tIns="45720" rIns="91440" bIns="45720" anchor="t" anchorCtr="false" upright="true">
                            <a:noAutofit/>
                          </wps:bodyPr>
                        </wps:wsp>
                        <wps:wsp>
                          <wps:cNvPr id="635" name="Rectangle 22"/>
                          <wps:cNvSpPr>
                            <a:spLocks noChangeArrowheads="true"/>
                          </wps:cNvSpPr>
                          <wps:spPr bwMode="auto">
                            <a:xfrm rot="16200000">
                              <a:off x="10190" y="14378"/>
                              <a:ext cx="548" cy="720"/>
                            </a:xfrm>
                            <a:prstGeom prst="rect">
                              <a:avLst/>
                            </a:prstGeom>
                            <a:solidFill>
                              <a:srgbClr val="FFFFFF"/>
                            </a:solidFill>
                            <a:ln w="9525">
                              <a:solidFill>
                                <a:srgbClr val="737373"/>
                              </a:solidFill>
                              <a:miter lim="800000"/>
                            </a:ln>
                          </wps:spPr>
                          <wps:txbx>
                            <w:txbxContent>
                              <w:p>
                                <w:pPr>
                                  <w:pStyle w:val="13"/>
                                  <w:ind w:firstLine="360"/>
                                  <w:jc w:val="center"/>
                                </w:pPr>
                                <w:r>
                                  <w:fldChar w:fldCharType="begin"/>
                                </w:r>
                                <w:r>
                                  <w:instrText xml:space="preserve">PAGE    \* MERGEFORMAT</w:instrText>
                                </w:r>
                                <w:r>
                                  <w:fldChar w:fldCharType="separate"/>
                                </w:r>
                                <w:r>
                                  <w:rPr>
                                    <w:lang w:val="zh-CN"/>
                                  </w:rPr>
                                  <w:t>86</w:t>
                                </w:r>
                                <w:r>
                                  <w:fldChar w:fldCharType="end"/>
                                </w:r>
                              </w:p>
                            </w:txbxContent>
                          </wps:txbx>
                          <wps:bodyPr rot="0" vert="horz" wrap="square" lIns="91440" tIns="45720" rIns="91440" bIns="45720" anchor="t" anchorCtr="false" upright="true">
                            <a:noAutofit/>
                          </wps:bodyPr>
                        </wps:wsp>
                      </wpg:wgp>
                    </a:graphicData>
                  </a:graphic>
                </wp:anchor>
              </w:drawing>
            </mc:Choice>
            <mc:Fallback>
              <w:pict>
                <v:group id="组 19" o:spid="_x0000_s1026" o:spt="203" style="position:absolute;left:0pt;margin-left:532.3pt;margin-top:792.4pt;height:27.4pt;width:36pt;mso-position-horizontal-relative:page;mso-position-vertical-relative:page;z-index:251659264;mso-width-relative:page;mso-height-relative:page;" coordorigin="10104,14464" coordsize="720,548" o:gfxdata="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WAAAAZHJzL1BLAQIUABQAAAAIAIdO4kDZmL2l1AAAAAMBAAAPAAAAAAAA&#10;AAEAIAAAADgAAABkcnMvZG93bnJldi54bWxQSwECFAAUAAAACACHTuJAz60z3eQCAADdCgAADgAA&#10;AAAAAAABACAAAAA5AQAAZHJzL2Uyb0RvYy54bWxQSwUGAAAAAAYABgBZAQAAjwYAAAAA&#10;">
                  <o:lock v:ext="edit" aspectratio="f"/>
                  <v:rect id="Rectangle 20" o:spid="_x0000_s1026" o:spt="1" style="position:absolute;left:10190;top:14378;height:720;width:548;rotation:-6319877f;" fillcolor="#FFFFFF" filled="t" stroked="t" coordsize="21600,21600" o:gfxdata="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buTK+AAAA3AAAAA8AAAAAAAAAAQAgAAAAOAAAAGRycy9kb3ducmV2&#10;LnhtbFBLAQIUABQAAAAIAIdO4kAzLwWeOwAAADkAAAAQAAAAAAAAAAEAIAAAACMBAABkcnMvc2hh&#10;cGV4bWwueG1sUEsFBgAAAAAGAAYAWwEAAM0DAAAAAA==&#10;">
                    <v:fill on="t" focussize="0,0"/>
                    <v:stroke color="#737373" miterlimit="8" joinstyle="miter"/>
                    <v:imagedata o:title=""/>
                    <o:lock v:ext="edit" aspectratio="f"/>
                  </v:rect>
                  <v:rect id="Rectangle 21" o:spid="_x0000_s1026" o:spt="1" style="position:absolute;left:10190;top:14378;height:720;width:548;rotation:-5392142f;" fillcolor="#FFFFFF" filled="t" stroked="t" coordsize="21600,21600" o:gfxdata="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gI9IvwAAANwAAAAPAAAAAAAAAAEAIAAAADgAAABkcnMvZG93bnJl&#10;di54bWxQSwECFAAUAAAACACHTuJAMy8FnjsAAAA5AAAAEAAAAAAAAAABACAAAAAkAQAAZHJzL3No&#10;YXBleG1sLnhtbFBLBQYAAAAABgAGAFsBAADOAwAAAAA=&#10;">
                    <v:fill on="t" focussize="0,0"/>
                    <v:stroke color="#737373" miterlimit="8" joinstyle="miter"/>
                    <v:imagedata o:title=""/>
                    <o:lock v:ext="edit" aspectratio="f"/>
                  </v:rect>
                  <v:rect id="Rectangle 22" o:spid="_x0000_s1026" o:spt="1" style="position:absolute;left:10190;top:14378;height:720;width:548;rotation:-5898240f;" fillcolor="#FFFFFF" filled="t" stroked="t" coordsize="21600,21600" o:gfxdata="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eLU/e+AAAA3AAAAA8AAAAAAAAAAQAgAAAAOAAAAGRycy9kb3ducmV2&#10;LnhtbFBLAQIUABQAAAAIAIdO4kAzLwWeOwAAADkAAAAQAAAAAAAAAAEAIAAAACMBAABkcnMvc2hh&#10;cGV4bWwueG1sUEsFBgAAAAAGAAYAWwEAAM0DAAAAAA==&#10;">
                    <v:fill on="t" focussize="0,0"/>
                    <v:stroke color="#737373" miterlimit="8" joinstyle="miter"/>
                    <v:imagedata o:title=""/>
                    <o:lock v:ext="edit" aspectratio="f"/>
                    <v:textbox>
                      <w:txbxContent>
                        <w:p>
                          <w:pPr>
                            <w:pStyle w:val="13"/>
                            <w:ind w:firstLine="360"/>
                            <w:jc w:val="center"/>
                          </w:pPr>
                          <w:r>
                            <w:fldChar w:fldCharType="begin"/>
                          </w:r>
                          <w:r>
                            <w:instrText xml:space="preserve">PAGE    \* MERGEFORMAT</w:instrText>
                          </w:r>
                          <w:r>
                            <w:fldChar w:fldCharType="separate"/>
                          </w:r>
                          <w:r>
                            <w:rPr>
                              <w:lang w:val="zh-CN"/>
                            </w:rPr>
                            <w:t>86</w:t>
                          </w:r>
                          <w:r>
                            <w:fldChar w:fldCharType="end"/>
                          </w:r>
                        </w:p>
                      </w:txbxContent>
                    </v:textbox>
                  </v:rect>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50">
    <w:p>
      <w:pPr>
        <w:spacing w:line="240" w:lineRule="auto"/>
        <w:ind w:firstLine="560"/>
      </w:pPr>
      <w:r>
        <w:separator/>
      </w:r>
    </w:p>
  </w:footnote>
  <w:footnote w:type="continuationSeparator" w:id="51">
    <w:p>
      <w:pPr>
        <w:spacing w:line="240" w:lineRule="auto"/>
        <w:ind w:firstLine="560"/>
      </w:pPr>
      <w:r>
        <w:continuationSeparator/>
      </w:r>
    </w:p>
  </w:footnote>
  <w:footnote w:id="0">
    <w:p>
      <w:pPr>
        <w:pStyle w:val="17"/>
        <w:ind w:firstLine="360"/>
        <w:rPr>
          <w:color w:val="FF0000"/>
          <w:szCs w:val="21"/>
        </w:rPr>
      </w:pPr>
      <w:r>
        <w:rPr>
          <w:rStyle w:val="29"/>
        </w:rPr>
        <w:footnoteRef/>
      </w:r>
      <w:r>
        <w:rPr>
          <w:rFonts w:hint="eastAsia"/>
        </w:rPr>
        <w:t>2019年，澄江市税收收入同比增长了22.14%，而同期云南省税收收入增速为1.9%，全国税收收入增速只有1%。</w:t>
      </w:r>
    </w:p>
  </w:footnote>
  <w:footnote w:id="1">
    <w:p>
      <w:pPr>
        <w:pStyle w:val="17"/>
        <w:ind w:firstLine="360"/>
      </w:pPr>
      <w:r>
        <w:rPr>
          <w:rStyle w:val="29"/>
        </w:rPr>
        <w:footnoteRef/>
      </w:r>
      <w:r>
        <w:rPr>
          <w:rFonts w:hint="eastAsia"/>
        </w:rPr>
        <w:t>数据来源于澄江市统计局2020年2月11日发布的《澄江县2019年经济运行分析》。</w:t>
      </w:r>
    </w:p>
  </w:footnote>
  <w:footnote w:id="2">
    <w:p>
      <w:pPr>
        <w:pStyle w:val="17"/>
        <w:ind w:firstLine="360"/>
      </w:pPr>
      <w:r>
        <w:rPr>
          <w:rStyle w:val="29"/>
        </w:rPr>
        <w:footnoteRef/>
      </w:r>
      <w:r>
        <w:rPr>
          <w:rFonts w:hint="eastAsia"/>
        </w:rPr>
        <w:t>数据来源于《关于澄江市2020年地方财政预算执行情况和2021年地方财政预算（草案）的报告》。</w:t>
      </w:r>
    </w:p>
  </w:footnote>
  <w:footnote w:id="3">
    <w:p>
      <w:pPr>
        <w:pStyle w:val="17"/>
        <w:ind w:firstLine="360"/>
      </w:pPr>
      <w:r>
        <w:rPr>
          <w:rStyle w:val="29"/>
        </w:rPr>
        <w:footnoteRef/>
      </w:r>
      <w:r>
        <w:rPr>
          <w:rFonts w:hint="eastAsia"/>
        </w:rPr>
        <w:t>数据来源于《澄江县财政局2016年工作总结及2017年工作计划》、《澄江县财政局2017年工作总结及2018年工作计划》、《澄江县财政局2018年工作总结及2019年工作计划》、《澄江县财政局2019年工作总结及2020年工作计划》和《澄江市财政局2020年上半年工作总结及下半年工作计划》，以及各股室的年终总结。</w:t>
      </w:r>
    </w:p>
  </w:footnote>
  <w:footnote w:id="4">
    <w:p>
      <w:pPr>
        <w:pStyle w:val="17"/>
        <w:ind w:firstLine="400"/>
        <w:rPr>
          <w:sz w:val="20"/>
        </w:rPr>
      </w:pPr>
      <w:r>
        <w:rPr>
          <w:rStyle w:val="29"/>
          <w:sz w:val="20"/>
        </w:rPr>
        <w:footnoteRef/>
      </w:r>
      <w:r>
        <w:rPr>
          <w:rFonts w:hint="eastAsia"/>
          <w:sz w:val="20"/>
        </w:rPr>
        <w:t>这里的行政性支出包括一般公共服务、国防、公共安全支出。</w:t>
      </w:r>
    </w:p>
  </w:footnote>
  <w:footnote w:id="5">
    <w:p>
      <w:pPr>
        <w:pStyle w:val="17"/>
        <w:ind w:firstLine="400"/>
        <w:rPr>
          <w:sz w:val="20"/>
        </w:rPr>
      </w:pPr>
      <w:r>
        <w:rPr>
          <w:rStyle w:val="29"/>
          <w:sz w:val="20"/>
        </w:rPr>
        <w:footnoteRef/>
      </w:r>
      <w:r>
        <w:rPr>
          <w:rFonts w:hint="eastAsia"/>
          <w:sz w:val="20"/>
        </w:rPr>
        <w:t>这里的社会事业发展支出包括教育、科学技术、文化体育与传媒、社会保障和就业、医疗卫生、节能环保、城乡社区事务、住房保障、粮油物资储备支出和灾害防治及应急管理支出。</w:t>
      </w:r>
    </w:p>
  </w:footnote>
  <w:footnote w:id="6">
    <w:p>
      <w:pPr>
        <w:pStyle w:val="17"/>
        <w:ind w:firstLine="400"/>
        <w:rPr>
          <w:sz w:val="20"/>
        </w:rPr>
      </w:pPr>
      <w:r>
        <w:rPr>
          <w:rStyle w:val="29"/>
          <w:sz w:val="20"/>
        </w:rPr>
        <w:footnoteRef/>
      </w:r>
      <w:r>
        <w:rPr>
          <w:rFonts w:hint="eastAsia"/>
          <w:sz w:val="20"/>
        </w:rPr>
        <w:t>这里的经济性支出包括农林水事务、交通运输、资源勘探电力信息等事务、商业服务业等事务、金融监管等事务和自然资源海洋气象等支出。</w:t>
      </w:r>
    </w:p>
  </w:footnote>
  <w:footnote w:id="7">
    <w:p>
      <w:pPr>
        <w:spacing w:line="240" w:lineRule="auto"/>
        <w:ind w:firstLine="560"/>
      </w:pPr>
      <w:r>
        <w:rPr>
          <w:rStyle w:val="29"/>
        </w:rPr>
        <w:footnoteRef/>
      </w:r>
      <w:r>
        <w:rPr>
          <w:sz w:val="18"/>
          <w:szCs w:val="18"/>
        </w:rPr>
        <w:t>需要指出的是</w:t>
      </w:r>
      <w:r>
        <w:rPr>
          <w:rFonts w:hint="eastAsia"/>
          <w:sz w:val="18"/>
          <w:szCs w:val="18"/>
        </w:rPr>
        <w:t>，</w:t>
      </w:r>
      <w:r>
        <w:rPr>
          <w:sz w:val="18"/>
          <w:szCs w:val="18"/>
        </w:rPr>
        <w:t>这里对一般公共预算支出规模和增速的测算，主要是以澄江市</w:t>
      </w:r>
      <w:r>
        <w:rPr>
          <w:rFonts w:hint="eastAsia"/>
          <w:sz w:val="18"/>
          <w:szCs w:val="18"/>
        </w:rPr>
        <w:t>“十四五”可用财力测算为基础，同时参考澄江市“十三五”一般公共预算支出规模和增速，以2020年一般公共预算支出总额为基期，结合未来一般公共预算支出增长趋势和结构调整的判断进行相关测算和调整所得</w:t>
      </w:r>
      <w:r>
        <w:rPr>
          <w:sz w:val="18"/>
          <w:szCs w:val="18"/>
        </w:rPr>
        <w:t>。</w:t>
      </w:r>
    </w:p>
  </w:footnote>
  <w:footnote w:id="8">
    <w:p>
      <w:pPr>
        <w:pStyle w:val="17"/>
        <w:ind w:firstLineChars="111"/>
      </w:pPr>
      <w:r>
        <w:rPr>
          <w:rStyle w:val="29"/>
        </w:rPr>
        <w:footnoteRef/>
      </w:r>
      <w:r>
        <w:t xml:space="preserve"> 由于澄江市</w:t>
      </w:r>
      <w:r>
        <w:rPr>
          <w:rFonts w:hint="eastAsia"/>
        </w:rPr>
        <w:t>国有资本经营预算收入规模非常小且不稳定，因此本节对地方可用财力预测中暂未考虑国有资本经营预算收入。</w:t>
      </w:r>
    </w:p>
  </w:footnote>
  <w:footnote w:id="9">
    <w:p>
      <w:pPr>
        <w:pStyle w:val="17"/>
        <w:ind w:firstLine="360"/>
      </w:pPr>
      <w:r>
        <w:rPr>
          <w:rStyle w:val="29"/>
        </w:rPr>
        <w:footnoteRef/>
      </w:r>
      <w:r>
        <w:t xml:space="preserve"> </w:t>
      </w:r>
      <w:r>
        <w:rPr>
          <w:rFonts w:hint="eastAsia"/>
        </w:rPr>
        <w:t>考虑到上级补助收入在澄江一般公共预算收入构成中的特殊重要性，特将一般公共预算收入分为一般公共预算本级收入（税收收入+非税收入）和上级补助收入。</w:t>
      </w:r>
    </w:p>
  </w:footnote>
  <w:footnote w:id="10">
    <w:p>
      <w:pPr>
        <w:pStyle w:val="17"/>
        <w:ind w:firstLine="360"/>
      </w:pPr>
      <w:r>
        <w:rPr>
          <w:rStyle w:val="29"/>
        </w:rPr>
        <w:footnoteRef/>
      </w:r>
      <w:r>
        <w:t xml:space="preserve"> </w:t>
      </w:r>
      <w:r>
        <w:rPr>
          <w:rFonts w:hint="eastAsia"/>
        </w:rPr>
        <w:t>2016-2020年，澄江市各年度税收收入增速分别为20.64%、-3.46%、22.88%、22.14%和-9.60%。</w:t>
      </w:r>
    </w:p>
  </w:footnote>
  <w:footnote w:id="11">
    <w:p>
      <w:pPr>
        <w:pStyle w:val="17"/>
        <w:ind w:firstLine="360"/>
      </w:pPr>
      <w:r>
        <w:rPr>
          <w:rStyle w:val="29"/>
        </w:rPr>
        <w:footnoteRef/>
      </w:r>
      <w:r>
        <w:rPr>
          <w:rFonts w:hint="eastAsia"/>
        </w:rPr>
        <w:t xml:space="preserve"> “十三五”期间，澄江市增值税收入各年度增长率分别为152.89%、50.02%、27.09%、13.16%和-20.96%。其中，由于2016、2017年增速很高，导致平均增长率较高。</w:t>
      </w:r>
    </w:p>
  </w:footnote>
  <w:footnote w:id="12">
    <w:p>
      <w:pPr>
        <w:pStyle w:val="17"/>
        <w:ind w:firstLine="360"/>
      </w:pPr>
      <w:r>
        <w:rPr>
          <w:rStyle w:val="29"/>
        </w:rPr>
        <w:footnoteRef/>
      </w:r>
      <w:r>
        <w:t xml:space="preserve"> </w:t>
      </w:r>
      <w:r>
        <w:rPr>
          <w:rFonts w:hint="eastAsia"/>
        </w:rPr>
        <w:t>2016-2020年，澄江市契税收入年增长率分别为</w:t>
      </w:r>
      <w:r>
        <w:t>1.35%</w:t>
      </w:r>
      <w:r>
        <w:rPr>
          <w:rFonts w:hint="eastAsia"/>
        </w:rPr>
        <w:t>、275.5%，13.67%，-21.11%和65.37%，波动很大，导致“十三五”平均增长率很高。</w:t>
      </w:r>
    </w:p>
  </w:footnote>
  <w:footnote w:id="13">
    <w:p>
      <w:pPr>
        <w:pStyle w:val="17"/>
        <w:ind w:firstLine="360"/>
      </w:pPr>
      <w:r>
        <w:rPr>
          <w:rStyle w:val="29"/>
        </w:rPr>
        <w:footnoteRef/>
      </w:r>
      <w:r>
        <w:t xml:space="preserve"> </w:t>
      </w:r>
      <w:r>
        <w:rPr>
          <w:rFonts w:hint="eastAsia"/>
        </w:rPr>
        <w:t>2016-2020年，澄江市土地增值税收入年增长率分别为14.38%、-13.66%、218.57%、165.25%和-31.24%，特别是2018和2019年增幅很大，导致“十三五”年均增长率也很高。</w:t>
      </w:r>
    </w:p>
  </w:footnote>
  <w:footnote w:id="14">
    <w:p>
      <w:pPr>
        <w:pStyle w:val="17"/>
        <w:ind w:firstLine="360"/>
      </w:pPr>
      <w:r>
        <w:rPr>
          <w:rStyle w:val="29"/>
        </w:rPr>
        <w:footnoteRef/>
      </w:r>
      <w:r>
        <w:t xml:space="preserve"> </w:t>
      </w:r>
      <w:r>
        <w:rPr>
          <w:rFonts w:hint="eastAsia"/>
        </w:rPr>
        <w:t>2016-2020年，澄江市企业所得税收入年度增长率分别为-17.34%、11.24%、16.73%、37.65%和-26.63%，整体波动较大，年均增长率偏低。</w:t>
      </w:r>
    </w:p>
  </w:footnote>
  <w:footnote w:id="15">
    <w:p>
      <w:pPr>
        <w:pStyle w:val="17"/>
        <w:ind w:firstLine="360"/>
      </w:pPr>
      <w:r>
        <w:rPr>
          <w:rStyle w:val="29"/>
        </w:rPr>
        <w:footnoteRef/>
      </w:r>
      <w:r>
        <w:t xml:space="preserve"> </w:t>
      </w:r>
      <w:r>
        <w:rPr>
          <w:rFonts w:hint="eastAsia"/>
        </w:rPr>
        <w:t>2016-2020年，澄江市各年度非税收入增长率分别为32.14%、55.69%、-5.29%、-34.99%、-23.38%。</w:t>
      </w:r>
    </w:p>
  </w:footnote>
  <w:footnote w:id="16">
    <w:p>
      <w:pPr>
        <w:pStyle w:val="17"/>
        <w:ind w:firstLine="360"/>
      </w:pPr>
      <w:r>
        <w:rPr>
          <w:rStyle w:val="29"/>
        </w:rPr>
        <w:footnoteRef/>
      </w:r>
      <w:r>
        <w:t xml:space="preserve"> </w:t>
      </w:r>
      <w:r>
        <w:rPr>
          <w:rFonts w:hint="eastAsia"/>
        </w:rPr>
        <w:t>2016-2020年，澄江市各年度上级补助收入增长率分别为16.92%、21.12%、17.39%、73.02%、-19.39%。</w:t>
      </w:r>
    </w:p>
  </w:footnote>
  <w:footnote w:id="17">
    <w:p>
      <w:pPr>
        <w:pStyle w:val="17"/>
        <w:ind w:firstLine="360"/>
      </w:pPr>
      <w:r>
        <w:rPr>
          <w:rStyle w:val="29"/>
        </w:rPr>
        <w:footnoteRef/>
      </w:r>
      <w:r>
        <w:rPr>
          <w:rFonts w:hint="eastAsia"/>
        </w:rPr>
        <w:t>2016-2020年，澄江市返还性收入各年度增长率分别为289.42%、26.43%、79.06%、23.88%和-54.92%，变化幅度较大，平均年增长率较高。</w:t>
      </w:r>
    </w:p>
  </w:footnote>
  <w:footnote w:id="18">
    <w:p>
      <w:pPr>
        <w:pStyle w:val="17"/>
        <w:ind w:firstLine="360"/>
      </w:pPr>
      <w:r>
        <w:rPr>
          <w:rStyle w:val="29"/>
        </w:rPr>
        <w:footnoteRef/>
      </w:r>
      <w:r>
        <w:rPr>
          <w:rFonts w:hint="eastAsia"/>
        </w:rPr>
        <w:t>2016-2020年，澄江市一般性转移支付收入各年度增长率分别为22.57%、4.39%、-16.93%、72.13%和-14.12%。</w:t>
      </w:r>
    </w:p>
  </w:footnote>
  <w:footnote w:id="19">
    <w:p>
      <w:pPr>
        <w:pStyle w:val="17"/>
        <w:ind w:firstLine="360"/>
      </w:pPr>
      <w:r>
        <w:rPr>
          <w:rStyle w:val="29"/>
        </w:rPr>
        <w:footnoteRef/>
      </w:r>
      <w:r>
        <w:rPr>
          <w:rFonts w:hint="eastAsia"/>
        </w:rPr>
        <w:t>2016年-2020年，澄江市专项转移支付收入各年度增长率分别为2.91%、42.77%、44.85%、79.28%和-19.32%。</w:t>
      </w:r>
    </w:p>
  </w:footnote>
  <w:footnote w:id="20">
    <w:p>
      <w:pPr>
        <w:pStyle w:val="17"/>
        <w:ind w:firstLine="360"/>
      </w:pPr>
      <w:r>
        <w:rPr>
          <w:rStyle w:val="29"/>
        </w:rPr>
        <w:footnoteRef/>
      </w:r>
      <w:r>
        <w:t xml:space="preserve"> </w:t>
      </w:r>
      <w:r>
        <w:rPr>
          <w:rFonts w:hint="eastAsia"/>
        </w:rPr>
        <w:t>2016-2020年，澄江市政府性基金收入各年度增长率为分别为69.23%、441.81%、54.95%、-27.16%、230.20%，增长和波动幅度都较大。</w:t>
      </w:r>
    </w:p>
  </w:footnote>
  <w:footnote w:id="21">
    <w:p>
      <w:pPr>
        <w:pStyle w:val="17"/>
        <w:ind w:firstLine="360"/>
      </w:pPr>
      <w:r>
        <w:rPr>
          <w:rStyle w:val="29"/>
        </w:rPr>
        <w:footnoteRef/>
      </w:r>
      <w:r>
        <w:t xml:space="preserve"> </w:t>
      </w:r>
      <w:r>
        <w:rPr>
          <w:rFonts w:hint="eastAsia"/>
        </w:rPr>
        <w:t>这里的预测值是以目前澄江土地最低限价为标准，没考虑未来五年土地价格变化的因素。因此，如果未来五年平均地价呈上升趋势，实际政府性基金收入将高于目前预测值。</w:t>
      </w:r>
    </w:p>
  </w:footnote>
  <w:footnote w:id="22">
    <w:p>
      <w:pPr>
        <w:pStyle w:val="17"/>
        <w:ind w:firstLine="360"/>
      </w:pPr>
      <w:r>
        <w:rPr>
          <w:rStyle w:val="29"/>
        </w:rPr>
        <w:footnoteRef/>
      </w:r>
      <w:r>
        <w:rPr>
          <w:rFonts w:hint="eastAsia"/>
        </w:rPr>
        <w:t>“十三五”期间，澄江市社会保险基金收入各年度增长率分别为72.65%、27.43%、-6.90%、7.16%和-18.57%。</w:t>
      </w:r>
    </w:p>
  </w:footnote>
  <w:footnote w:id="23">
    <w:p>
      <w:pPr>
        <w:pStyle w:val="17"/>
        <w:ind w:firstLine="360"/>
      </w:pPr>
      <w:r>
        <w:rPr>
          <w:rStyle w:val="29"/>
        </w:rPr>
        <w:footnoteRef/>
      </w:r>
      <w:r>
        <w:rPr>
          <w:rFonts w:hint="eastAsia"/>
        </w:rPr>
        <w:t>这里的地方可用财力是指一般公共预算收入中的税收收入、非税收入和上级补助收入+政府性基金收入+社会保险基金收入，没有包括国有资本经营预算收入（考虑到国有资本经营预算在澄江财政中的规模极小且稳定性差），也没有包括债务收入。</w:t>
      </w:r>
    </w:p>
  </w:footnote>
  <w:footnote w:id="24">
    <w:p>
      <w:pPr>
        <w:pStyle w:val="17"/>
        <w:ind w:firstLine="360"/>
      </w:pPr>
      <w:r>
        <w:rPr>
          <w:rStyle w:val="29"/>
        </w:rPr>
        <w:footnoteRef/>
      </w:r>
      <w:r>
        <w:t xml:space="preserve"> </w:t>
      </w:r>
      <w:r>
        <w:rPr>
          <w:rFonts w:hint="eastAsia"/>
        </w:rPr>
        <w:t>债务率是指年末债务余额与当年政府综合财力的比率。地方政府综合财力=一般公共预算收入及转移+政府性基金收入及转移+国有资本经营预算收入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r>
      <w:rPr>
        <w:rFonts w:hint="eastAsia"/>
      </w:rPr>
      <w:t>澄江</w:t>
    </w:r>
    <w:r>
      <w:t>市</w:t>
    </w:r>
    <w:r>
      <w:rPr>
        <w:rFonts w:hint="eastAsia"/>
      </w:rPr>
      <w:t>“十四五”财政发展规划</w:t>
    </w:r>
  </w:p>
  <w:p>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true"/>
  <w:bordersDoNotSurroundFooter w:val="true"/>
  <w:documentProtection w:enforcement="0"/>
  <w:defaultTabStop w:val="420"/>
  <w:drawingGridHorizontalSpacing w:val="140"/>
  <w:drawingGridVerticalSpacing w:val="381"/>
  <w:displayHorizontalDrawingGridEvery w:val="0"/>
  <w:characterSpacingControl w:val="compressPunctuation"/>
  <w:footnotePr>
    <w:numFmt w:val="decimalEnclosedCircleChinese"/>
    <w:numRestart w:val="eachPage"/>
    <w:footnote w:id="50"/>
    <w:footnote w:id="5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5C5"/>
    <w:rsid w:val="000019EC"/>
    <w:rsid w:val="00002049"/>
    <w:rsid w:val="00003316"/>
    <w:rsid w:val="00003E5B"/>
    <w:rsid w:val="00004DC3"/>
    <w:rsid w:val="000076AC"/>
    <w:rsid w:val="000078EE"/>
    <w:rsid w:val="00007E11"/>
    <w:rsid w:val="000119BA"/>
    <w:rsid w:val="0001338B"/>
    <w:rsid w:val="000136AF"/>
    <w:rsid w:val="00015ADD"/>
    <w:rsid w:val="000223A4"/>
    <w:rsid w:val="00026DC4"/>
    <w:rsid w:val="0003139B"/>
    <w:rsid w:val="00034AAD"/>
    <w:rsid w:val="000364AB"/>
    <w:rsid w:val="000369E5"/>
    <w:rsid w:val="000378BB"/>
    <w:rsid w:val="00040B26"/>
    <w:rsid w:val="000449AF"/>
    <w:rsid w:val="000512CA"/>
    <w:rsid w:val="00051702"/>
    <w:rsid w:val="0005736E"/>
    <w:rsid w:val="0006017E"/>
    <w:rsid w:val="00067C96"/>
    <w:rsid w:val="000746DB"/>
    <w:rsid w:val="00074749"/>
    <w:rsid w:val="00076167"/>
    <w:rsid w:val="000769C1"/>
    <w:rsid w:val="00083637"/>
    <w:rsid w:val="00083A75"/>
    <w:rsid w:val="00091E71"/>
    <w:rsid w:val="000A0557"/>
    <w:rsid w:val="000A1054"/>
    <w:rsid w:val="000A5C77"/>
    <w:rsid w:val="000A5E39"/>
    <w:rsid w:val="000B24C0"/>
    <w:rsid w:val="000B319E"/>
    <w:rsid w:val="000B444B"/>
    <w:rsid w:val="000B57CE"/>
    <w:rsid w:val="000B639C"/>
    <w:rsid w:val="000B6704"/>
    <w:rsid w:val="000B682E"/>
    <w:rsid w:val="000C01F9"/>
    <w:rsid w:val="000C1221"/>
    <w:rsid w:val="000D1D8F"/>
    <w:rsid w:val="000D2AAD"/>
    <w:rsid w:val="000D5A1F"/>
    <w:rsid w:val="000E2145"/>
    <w:rsid w:val="000E7BAD"/>
    <w:rsid w:val="000F1E0A"/>
    <w:rsid w:val="000F23FC"/>
    <w:rsid w:val="000F7411"/>
    <w:rsid w:val="001051C5"/>
    <w:rsid w:val="001132B7"/>
    <w:rsid w:val="00114B62"/>
    <w:rsid w:val="00117F11"/>
    <w:rsid w:val="001202F7"/>
    <w:rsid w:val="00123317"/>
    <w:rsid w:val="0013282A"/>
    <w:rsid w:val="00134B23"/>
    <w:rsid w:val="001355CC"/>
    <w:rsid w:val="00140EFA"/>
    <w:rsid w:val="0014291C"/>
    <w:rsid w:val="001466E0"/>
    <w:rsid w:val="0014748B"/>
    <w:rsid w:val="00147E65"/>
    <w:rsid w:val="00156FB1"/>
    <w:rsid w:val="00157624"/>
    <w:rsid w:val="00162E84"/>
    <w:rsid w:val="0016397B"/>
    <w:rsid w:val="00163F84"/>
    <w:rsid w:val="00171545"/>
    <w:rsid w:val="001723AE"/>
    <w:rsid w:val="00172728"/>
    <w:rsid w:val="00184542"/>
    <w:rsid w:val="001868A1"/>
    <w:rsid w:val="00190DAA"/>
    <w:rsid w:val="00191870"/>
    <w:rsid w:val="001A0006"/>
    <w:rsid w:val="001A0052"/>
    <w:rsid w:val="001A0094"/>
    <w:rsid w:val="001A025D"/>
    <w:rsid w:val="001A1AC7"/>
    <w:rsid w:val="001A35BE"/>
    <w:rsid w:val="001A6982"/>
    <w:rsid w:val="001A6DFF"/>
    <w:rsid w:val="001A70A4"/>
    <w:rsid w:val="001B013A"/>
    <w:rsid w:val="001B4A47"/>
    <w:rsid w:val="001B5963"/>
    <w:rsid w:val="001B75A0"/>
    <w:rsid w:val="001B7782"/>
    <w:rsid w:val="001C2AD5"/>
    <w:rsid w:val="001C397D"/>
    <w:rsid w:val="001D0197"/>
    <w:rsid w:val="001D58A1"/>
    <w:rsid w:val="001D7410"/>
    <w:rsid w:val="001D7CA0"/>
    <w:rsid w:val="001D7DEA"/>
    <w:rsid w:val="001E197E"/>
    <w:rsid w:val="001E2483"/>
    <w:rsid w:val="001F028A"/>
    <w:rsid w:val="001F17DC"/>
    <w:rsid w:val="001F7DD9"/>
    <w:rsid w:val="00201FE5"/>
    <w:rsid w:val="002028A3"/>
    <w:rsid w:val="00205D9E"/>
    <w:rsid w:val="002109F5"/>
    <w:rsid w:val="0021333F"/>
    <w:rsid w:val="00217482"/>
    <w:rsid w:val="00220638"/>
    <w:rsid w:val="00221645"/>
    <w:rsid w:val="00221CFF"/>
    <w:rsid w:val="00222185"/>
    <w:rsid w:val="002225BF"/>
    <w:rsid w:val="00226299"/>
    <w:rsid w:val="0022750E"/>
    <w:rsid w:val="002439BC"/>
    <w:rsid w:val="00244FB2"/>
    <w:rsid w:val="00253695"/>
    <w:rsid w:val="00255272"/>
    <w:rsid w:val="00260777"/>
    <w:rsid w:val="00260BE6"/>
    <w:rsid w:val="00262637"/>
    <w:rsid w:val="00267204"/>
    <w:rsid w:val="002748FE"/>
    <w:rsid w:val="002770EA"/>
    <w:rsid w:val="00291E7B"/>
    <w:rsid w:val="0029729D"/>
    <w:rsid w:val="002A144F"/>
    <w:rsid w:val="002A1F34"/>
    <w:rsid w:val="002A3C93"/>
    <w:rsid w:val="002B44CB"/>
    <w:rsid w:val="002C7407"/>
    <w:rsid w:val="002C777B"/>
    <w:rsid w:val="002D5FEC"/>
    <w:rsid w:val="002E7FB5"/>
    <w:rsid w:val="002F0735"/>
    <w:rsid w:val="002F164A"/>
    <w:rsid w:val="002F3D3B"/>
    <w:rsid w:val="002F45C0"/>
    <w:rsid w:val="002F4A7E"/>
    <w:rsid w:val="002F4F6E"/>
    <w:rsid w:val="002F5216"/>
    <w:rsid w:val="00301344"/>
    <w:rsid w:val="0030207E"/>
    <w:rsid w:val="00302586"/>
    <w:rsid w:val="00305245"/>
    <w:rsid w:val="00310176"/>
    <w:rsid w:val="00315CE8"/>
    <w:rsid w:val="003171C0"/>
    <w:rsid w:val="003208A7"/>
    <w:rsid w:val="00320E7B"/>
    <w:rsid w:val="003264EC"/>
    <w:rsid w:val="003268D5"/>
    <w:rsid w:val="00327D87"/>
    <w:rsid w:val="003321F7"/>
    <w:rsid w:val="00334371"/>
    <w:rsid w:val="00343148"/>
    <w:rsid w:val="0034454D"/>
    <w:rsid w:val="00346008"/>
    <w:rsid w:val="00347AE1"/>
    <w:rsid w:val="00347C5F"/>
    <w:rsid w:val="00355344"/>
    <w:rsid w:val="003557D3"/>
    <w:rsid w:val="00356A57"/>
    <w:rsid w:val="00357E3D"/>
    <w:rsid w:val="0036263C"/>
    <w:rsid w:val="003638ED"/>
    <w:rsid w:val="00363A70"/>
    <w:rsid w:val="00370AC5"/>
    <w:rsid w:val="00371B4B"/>
    <w:rsid w:val="00383544"/>
    <w:rsid w:val="00385A0C"/>
    <w:rsid w:val="003869BE"/>
    <w:rsid w:val="003A0E1D"/>
    <w:rsid w:val="003A53CB"/>
    <w:rsid w:val="003B27D2"/>
    <w:rsid w:val="003B3427"/>
    <w:rsid w:val="003B6C0D"/>
    <w:rsid w:val="003C22AA"/>
    <w:rsid w:val="003C74C0"/>
    <w:rsid w:val="003D03E0"/>
    <w:rsid w:val="003D42BD"/>
    <w:rsid w:val="003D74FC"/>
    <w:rsid w:val="003E2D72"/>
    <w:rsid w:val="003F4F16"/>
    <w:rsid w:val="003F4FFC"/>
    <w:rsid w:val="00403420"/>
    <w:rsid w:val="004034A0"/>
    <w:rsid w:val="00405124"/>
    <w:rsid w:val="004119CC"/>
    <w:rsid w:val="00414309"/>
    <w:rsid w:val="004147AD"/>
    <w:rsid w:val="004152A0"/>
    <w:rsid w:val="00415B8B"/>
    <w:rsid w:val="004212A5"/>
    <w:rsid w:val="00422721"/>
    <w:rsid w:val="0042683D"/>
    <w:rsid w:val="00435A14"/>
    <w:rsid w:val="0044289C"/>
    <w:rsid w:val="00445415"/>
    <w:rsid w:val="00446715"/>
    <w:rsid w:val="004515B9"/>
    <w:rsid w:val="00453C2A"/>
    <w:rsid w:val="004555E2"/>
    <w:rsid w:val="00456CAD"/>
    <w:rsid w:val="004612FB"/>
    <w:rsid w:val="00462DF7"/>
    <w:rsid w:val="00463881"/>
    <w:rsid w:val="004713A3"/>
    <w:rsid w:val="00473D5A"/>
    <w:rsid w:val="004747C0"/>
    <w:rsid w:val="00477703"/>
    <w:rsid w:val="00485BF3"/>
    <w:rsid w:val="00491200"/>
    <w:rsid w:val="004A2272"/>
    <w:rsid w:val="004A3A3E"/>
    <w:rsid w:val="004A3ED1"/>
    <w:rsid w:val="004A62E0"/>
    <w:rsid w:val="004B0E84"/>
    <w:rsid w:val="004B138E"/>
    <w:rsid w:val="004B767D"/>
    <w:rsid w:val="004C0A0A"/>
    <w:rsid w:val="004C2994"/>
    <w:rsid w:val="004C3BC3"/>
    <w:rsid w:val="004C4602"/>
    <w:rsid w:val="004C6D36"/>
    <w:rsid w:val="004D1C6F"/>
    <w:rsid w:val="004D6AA5"/>
    <w:rsid w:val="004D713F"/>
    <w:rsid w:val="004E32A6"/>
    <w:rsid w:val="004E687E"/>
    <w:rsid w:val="004F0194"/>
    <w:rsid w:val="004F4031"/>
    <w:rsid w:val="00500CAF"/>
    <w:rsid w:val="0050413A"/>
    <w:rsid w:val="005043FB"/>
    <w:rsid w:val="00506288"/>
    <w:rsid w:val="00507ADF"/>
    <w:rsid w:val="005105CA"/>
    <w:rsid w:val="00511BD3"/>
    <w:rsid w:val="0051473C"/>
    <w:rsid w:val="00522A8D"/>
    <w:rsid w:val="00525EA1"/>
    <w:rsid w:val="00527423"/>
    <w:rsid w:val="00530998"/>
    <w:rsid w:val="00533F78"/>
    <w:rsid w:val="005344FE"/>
    <w:rsid w:val="00537FB2"/>
    <w:rsid w:val="0054138C"/>
    <w:rsid w:val="00543049"/>
    <w:rsid w:val="00556069"/>
    <w:rsid w:val="0056272C"/>
    <w:rsid w:val="00565165"/>
    <w:rsid w:val="005677F1"/>
    <w:rsid w:val="00572749"/>
    <w:rsid w:val="005841EF"/>
    <w:rsid w:val="005852A3"/>
    <w:rsid w:val="00585C93"/>
    <w:rsid w:val="0058699F"/>
    <w:rsid w:val="005872C8"/>
    <w:rsid w:val="00592B99"/>
    <w:rsid w:val="005932F2"/>
    <w:rsid w:val="00593422"/>
    <w:rsid w:val="005962C9"/>
    <w:rsid w:val="005A05AD"/>
    <w:rsid w:val="005A1F68"/>
    <w:rsid w:val="005A5212"/>
    <w:rsid w:val="005A5745"/>
    <w:rsid w:val="005A5EA0"/>
    <w:rsid w:val="005A60C0"/>
    <w:rsid w:val="005B16BC"/>
    <w:rsid w:val="005B369F"/>
    <w:rsid w:val="005B4212"/>
    <w:rsid w:val="005C1EAA"/>
    <w:rsid w:val="005C4A74"/>
    <w:rsid w:val="005C5410"/>
    <w:rsid w:val="005C6954"/>
    <w:rsid w:val="005C7579"/>
    <w:rsid w:val="005D2F6B"/>
    <w:rsid w:val="005E2ED9"/>
    <w:rsid w:val="005E5788"/>
    <w:rsid w:val="005F2B1B"/>
    <w:rsid w:val="005F4C10"/>
    <w:rsid w:val="005F6771"/>
    <w:rsid w:val="00601F4D"/>
    <w:rsid w:val="0060610F"/>
    <w:rsid w:val="006107A4"/>
    <w:rsid w:val="00611CC7"/>
    <w:rsid w:val="00617EE9"/>
    <w:rsid w:val="00630A9F"/>
    <w:rsid w:val="0063144A"/>
    <w:rsid w:val="006356FF"/>
    <w:rsid w:val="006421F8"/>
    <w:rsid w:val="006545FB"/>
    <w:rsid w:val="006564F1"/>
    <w:rsid w:val="0066049D"/>
    <w:rsid w:val="00665696"/>
    <w:rsid w:val="00667222"/>
    <w:rsid w:val="00667884"/>
    <w:rsid w:val="00674EF5"/>
    <w:rsid w:val="00680846"/>
    <w:rsid w:val="006857AF"/>
    <w:rsid w:val="00687406"/>
    <w:rsid w:val="00687CA4"/>
    <w:rsid w:val="00691270"/>
    <w:rsid w:val="00692863"/>
    <w:rsid w:val="0069581A"/>
    <w:rsid w:val="00696A70"/>
    <w:rsid w:val="00697CAE"/>
    <w:rsid w:val="006A0900"/>
    <w:rsid w:val="006B08F7"/>
    <w:rsid w:val="006B1CA3"/>
    <w:rsid w:val="006B33F9"/>
    <w:rsid w:val="006B4AE5"/>
    <w:rsid w:val="006B6B68"/>
    <w:rsid w:val="006B6D04"/>
    <w:rsid w:val="006B7F0B"/>
    <w:rsid w:val="006C0EB3"/>
    <w:rsid w:val="006C1558"/>
    <w:rsid w:val="006C1F16"/>
    <w:rsid w:val="006C2745"/>
    <w:rsid w:val="006C7A10"/>
    <w:rsid w:val="006C7D20"/>
    <w:rsid w:val="006D00E6"/>
    <w:rsid w:val="006D1275"/>
    <w:rsid w:val="006D5ABE"/>
    <w:rsid w:val="006D5E47"/>
    <w:rsid w:val="006D665C"/>
    <w:rsid w:val="006D68B2"/>
    <w:rsid w:val="006E2419"/>
    <w:rsid w:val="006E4458"/>
    <w:rsid w:val="006E7087"/>
    <w:rsid w:val="006E71E2"/>
    <w:rsid w:val="006E7225"/>
    <w:rsid w:val="006F31F5"/>
    <w:rsid w:val="006F331B"/>
    <w:rsid w:val="006F735D"/>
    <w:rsid w:val="00700B14"/>
    <w:rsid w:val="00703919"/>
    <w:rsid w:val="0070452A"/>
    <w:rsid w:val="007078F6"/>
    <w:rsid w:val="00710DC0"/>
    <w:rsid w:val="00713CDE"/>
    <w:rsid w:val="00714A90"/>
    <w:rsid w:val="00716979"/>
    <w:rsid w:val="007234DB"/>
    <w:rsid w:val="007258FA"/>
    <w:rsid w:val="0073145C"/>
    <w:rsid w:val="00731657"/>
    <w:rsid w:val="0073201F"/>
    <w:rsid w:val="0073484E"/>
    <w:rsid w:val="00736E5F"/>
    <w:rsid w:val="00741904"/>
    <w:rsid w:val="00747EDD"/>
    <w:rsid w:val="0075200E"/>
    <w:rsid w:val="007560DB"/>
    <w:rsid w:val="0075700E"/>
    <w:rsid w:val="00766E36"/>
    <w:rsid w:val="007707C8"/>
    <w:rsid w:val="00771D2A"/>
    <w:rsid w:val="0077413D"/>
    <w:rsid w:val="00782563"/>
    <w:rsid w:val="00782F63"/>
    <w:rsid w:val="00785972"/>
    <w:rsid w:val="00790BFC"/>
    <w:rsid w:val="00793A49"/>
    <w:rsid w:val="00794A7B"/>
    <w:rsid w:val="007A3ECE"/>
    <w:rsid w:val="007B01D3"/>
    <w:rsid w:val="007B3D63"/>
    <w:rsid w:val="007B7273"/>
    <w:rsid w:val="007B74BD"/>
    <w:rsid w:val="007C2023"/>
    <w:rsid w:val="007C42E1"/>
    <w:rsid w:val="007C5598"/>
    <w:rsid w:val="007D21F4"/>
    <w:rsid w:val="007D37CA"/>
    <w:rsid w:val="007D4202"/>
    <w:rsid w:val="007D540D"/>
    <w:rsid w:val="007D6865"/>
    <w:rsid w:val="007E17AE"/>
    <w:rsid w:val="007E2C21"/>
    <w:rsid w:val="007E55F0"/>
    <w:rsid w:val="007E5630"/>
    <w:rsid w:val="007E5982"/>
    <w:rsid w:val="007E66D8"/>
    <w:rsid w:val="007F2513"/>
    <w:rsid w:val="007F393B"/>
    <w:rsid w:val="007F5776"/>
    <w:rsid w:val="00800152"/>
    <w:rsid w:val="00802325"/>
    <w:rsid w:val="00804FAD"/>
    <w:rsid w:val="00806034"/>
    <w:rsid w:val="00806BE9"/>
    <w:rsid w:val="00807BCC"/>
    <w:rsid w:val="00813959"/>
    <w:rsid w:val="0081483B"/>
    <w:rsid w:val="00814A0C"/>
    <w:rsid w:val="00816EA9"/>
    <w:rsid w:val="0082365F"/>
    <w:rsid w:val="00832838"/>
    <w:rsid w:val="00832AC8"/>
    <w:rsid w:val="008342CD"/>
    <w:rsid w:val="008347BB"/>
    <w:rsid w:val="008351B0"/>
    <w:rsid w:val="00835BF7"/>
    <w:rsid w:val="00837FBD"/>
    <w:rsid w:val="008415AC"/>
    <w:rsid w:val="00842D35"/>
    <w:rsid w:val="00842E50"/>
    <w:rsid w:val="00843819"/>
    <w:rsid w:val="00843CC2"/>
    <w:rsid w:val="00844DA6"/>
    <w:rsid w:val="008501C6"/>
    <w:rsid w:val="00851B88"/>
    <w:rsid w:val="00854CBC"/>
    <w:rsid w:val="008573E1"/>
    <w:rsid w:val="0085754F"/>
    <w:rsid w:val="00863810"/>
    <w:rsid w:val="00866BD9"/>
    <w:rsid w:val="0086703E"/>
    <w:rsid w:val="00872D58"/>
    <w:rsid w:val="008737F8"/>
    <w:rsid w:val="00874887"/>
    <w:rsid w:val="00877025"/>
    <w:rsid w:val="00881475"/>
    <w:rsid w:val="00891612"/>
    <w:rsid w:val="00893673"/>
    <w:rsid w:val="00894585"/>
    <w:rsid w:val="008945CF"/>
    <w:rsid w:val="008A1D84"/>
    <w:rsid w:val="008A3446"/>
    <w:rsid w:val="008B1AB9"/>
    <w:rsid w:val="008B1C77"/>
    <w:rsid w:val="008B282B"/>
    <w:rsid w:val="008B3DE1"/>
    <w:rsid w:val="008B4D41"/>
    <w:rsid w:val="008B5A5F"/>
    <w:rsid w:val="008B619F"/>
    <w:rsid w:val="008C0291"/>
    <w:rsid w:val="008C0C6F"/>
    <w:rsid w:val="008C2853"/>
    <w:rsid w:val="008C2E27"/>
    <w:rsid w:val="008C4E43"/>
    <w:rsid w:val="008C5944"/>
    <w:rsid w:val="008C5EB6"/>
    <w:rsid w:val="008D0CCC"/>
    <w:rsid w:val="008D1E79"/>
    <w:rsid w:val="008E04EE"/>
    <w:rsid w:val="008E156F"/>
    <w:rsid w:val="008E7440"/>
    <w:rsid w:val="008F2371"/>
    <w:rsid w:val="008F4DA3"/>
    <w:rsid w:val="008F6629"/>
    <w:rsid w:val="00902ADC"/>
    <w:rsid w:val="00904D59"/>
    <w:rsid w:val="00906B53"/>
    <w:rsid w:val="00913AC9"/>
    <w:rsid w:val="00916988"/>
    <w:rsid w:val="009201F6"/>
    <w:rsid w:val="00920A92"/>
    <w:rsid w:val="00921902"/>
    <w:rsid w:val="009252F0"/>
    <w:rsid w:val="009266E9"/>
    <w:rsid w:val="00931464"/>
    <w:rsid w:val="00943619"/>
    <w:rsid w:val="00946A6F"/>
    <w:rsid w:val="00946CE8"/>
    <w:rsid w:val="00946E02"/>
    <w:rsid w:val="00947B80"/>
    <w:rsid w:val="00947C8E"/>
    <w:rsid w:val="00947DBB"/>
    <w:rsid w:val="00952F3F"/>
    <w:rsid w:val="00957754"/>
    <w:rsid w:val="00960219"/>
    <w:rsid w:val="0096456B"/>
    <w:rsid w:val="009650D5"/>
    <w:rsid w:val="0096568C"/>
    <w:rsid w:val="0096612C"/>
    <w:rsid w:val="00970811"/>
    <w:rsid w:val="00974CFF"/>
    <w:rsid w:val="00976F10"/>
    <w:rsid w:val="00983BA9"/>
    <w:rsid w:val="00984364"/>
    <w:rsid w:val="009847A8"/>
    <w:rsid w:val="00985F28"/>
    <w:rsid w:val="009860DE"/>
    <w:rsid w:val="0098716B"/>
    <w:rsid w:val="009879B8"/>
    <w:rsid w:val="00987D06"/>
    <w:rsid w:val="009911F7"/>
    <w:rsid w:val="00991EB9"/>
    <w:rsid w:val="009952BB"/>
    <w:rsid w:val="00995383"/>
    <w:rsid w:val="009A1831"/>
    <w:rsid w:val="009A4C2F"/>
    <w:rsid w:val="009A68C4"/>
    <w:rsid w:val="009A76E3"/>
    <w:rsid w:val="009B1698"/>
    <w:rsid w:val="009B212A"/>
    <w:rsid w:val="009B3E01"/>
    <w:rsid w:val="009C22C7"/>
    <w:rsid w:val="009C2AF8"/>
    <w:rsid w:val="009E52C2"/>
    <w:rsid w:val="009F07FF"/>
    <w:rsid w:val="009F0D34"/>
    <w:rsid w:val="009F1B15"/>
    <w:rsid w:val="009F2E88"/>
    <w:rsid w:val="00A01B36"/>
    <w:rsid w:val="00A03C7E"/>
    <w:rsid w:val="00A05AAA"/>
    <w:rsid w:val="00A1329E"/>
    <w:rsid w:val="00A13E26"/>
    <w:rsid w:val="00A20ECA"/>
    <w:rsid w:val="00A21C4F"/>
    <w:rsid w:val="00A238CE"/>
    <w:rsid w:val="00A2462F"/>
    <w:rsid w:val="00A24F16"/>
    <w:rsid w:val="00A260C9"/>
    <w:rsid w:val="00A327C6"/>
    <w:rsid w:val="00A35FDA"/>
    <w:rsid w:val="00A3769E"/>
    <w:rsid w:val="00A41B07"/>
    <w:rsid w:val="00A4352A"/>
    <w:rsid w:val="00A463DE"/>
    <w:rsid w:val="00A53151"/>
    <w:rsid w:val="00A54C55"/>
    <w:rsid w:val="00A64DD2"/>
    <w:rsid w:val="00A65D9C"/>
    <w:rsid w:val="00A66A2F"/>
    <w:rsid w:val="00A66F2C"/>
    <w:rsid w:val="00A66F96"/>
    <w:rsid w:val="00A75404"/>
    <w:rsid w:val="00A80033"/>
    <w:rsid w:val="00A830C0"/>
    <w:rsid w:val="00A84E9D"/>
    <w:rsid w:val="00A87BD8"/>
    <w:rsid w:val="00A93BE2"/>
    <w:rsid w:val="00A95E6E"/>
    <w:rsid w:val="00A9763A"/>
    <w:rsid w:val="00A97727"/>
    <w:rsid w:val="00AA15A8"/>
    <w:rsid w:val="00AA55DA"/>
    <w:rsid w:val="00AB2B05"/>
    <w:rsid w:val="00AB3D2A"/>
    <w:rsid w:val="00AB58CD"/>
    <w:rsid w:val="00AB7C2C"/>
    <w:rsid w:val="00AC4E6B"/>
    <w:rsid w:val="00AD2C36"/>
    <w:rsid w:val="00AD4449"/>
    <w:rsid w:val="00AD51E8"/>
    <w:rsid w:val="00AE2512"/>
    <w:rsid w:val="00AE3666"/>
    <w:rsid w:val="00AE5BDD"/>
    <w:rsid w:val="00AE6773"/>
    <w:rsid w:val="00AF0793"/>
    <w:rsid w:val="00AF158E"/>
    <w:rsid w:val="00AF1B26"/>
    <w:rsid w:val="00AF414C"/>
    <w:rsid w:val="00AF5C8A"/>
    <w:rsid w:val="00B02FD2"/>
    <w:rsid w:val="00B0304E"/>
    <w:rsid w:val="00B040D3"/>
    <w:rsid w:val="00B065E5"/>
    <w:rsid w:val="00B07A63"/>
    <w:rsid w:val="00B07AB1"/>
    <w:rsid w:val="00B107BE"/>
    <w:rsid w:val="00B1158C"/>
    <w:rsid w:val="00B1469E"/>
    <w:rsid w:val="00B256E9"/>
    <w:rsid w:val="00B35DEB"/>
    <w:rsid w:val="00B36AD4"/>
    <w:rsid w:val="00B42DC9"/>
    <w:rsid w:val="00B433AB"/>
    <w:rsid w:val="00B4564E"/>
    <w:rsid w:val="00B456B9"/>
    <w:rsid w:val="00B5005E"/>
    <w:rsid w:val="00B53EE4"/>
    <w:rsid w:val="00B5614F"/>
    <w:rsid w:val="00B679A0"/>
    <w:rsid w:val="00B71650"/>
    <w:rsid w:val="00B7698C"/>
    <w:rsid w:val="00B81CD0"/>
    <w:rsid w:val="00B838F3"/>
    <w:rsid w:val="00B86D13"/>
    <w:rsid w:val="00B91A94"/>
    <w:rsid w:val="00B93B3B"/>
    <w:rsid w:val="00B976D6"/>
    <w:rsid w:val="00BA21BE"/>
    <w:rsid w:val="00BB2E3E"/>
    <w:rsid w:val="00BB348A"/>
    <w:rsid w:val="00BC006B"/>
    <w:rsid w:val="00BC12E3"/>
    <w:rsid w:val="00BC2A01"/>
    <w:rsid w:val="00BC39AF"/>
    <w:rsid w:val="00BD4616"/>
    <w:rsid w:val="00BD640A"/>
    <w:rsid w:val="00BE2AB0"/>
    <w:rsid w:val="00BE5B2F"/>
    <w:rsid w:val="00BE72CD"/>
    <w:rsid w:val="00BE7F85"/>
    <w:rsid w:val="00BF026F"/>
    <w:rsid w:val="00BF18FC"/>
    <w:rsid w:val="00BF1E5E"/>
    <w:rsid w:val="00BF32B8"/>
    <w:rsid w:val="00BF4561"/>
    <w:rsid w:val="00BF5CB7"/>
    <w:rsid w:val="00C000DB"/>
    <w:rsid w:val="00C03000"/>
    <w:rsid w:val="00C04A45"/>
    <w:rsid w:val="00C04AB3"/>
    <w:rsid w:val="00C04B4D"/>
    <w:rsid w:val="00C052CA"/>
    <w:rsid w:val="00C10E2F"/>
    <w:rsid w:val="00C11838"/>
    <w:rsid w:val="00C120EC"/>
    <w:rsid w:val="00C1355D"/>
    <w:rsid w:val="00C13A84"/>
    <w:rsid w:val="00C17B08"/>
    <w:rsid w:val="00C227D5"/>
    <w:rsid w:val="00C27448"/>
    <w:rsid w:val="00C33947"/>
    <w:rsid w:val="00C349E8"/>
    <w:rsid w:val="00C439E8"/>
    <w:rsid w:val="00C43B18"/>
    <w:rsid w:val="00C45D26"/>
    <w:rsid w:val="00C46086"/>
    <w:rsid w:val="00C46384"/>
    <w:rsid w:val="00C50C76"/>
    <w:rsid w:val="00C5157A"/>
    <w:rsid w:val="00C53EFE"/>
    <w:rsid w:val="00C6070A"/>
    <w:rsid w:val="00C66F90"/>
    <w:rsid w:val="00C67A54"/>
    <w:rsid w:val="00C709E1"/>
    <w:rsid w:val="00C726F7"/>
    <w:rsid w:val="00C75226"/>
    <w:rsid w:val="00C86133"/>
    <w:rsid w:val="00C93C82"/>
    <w:rsid w:val="00C954E8"/>
    <w:rsid w:val="00CA0D91"/>
    <w:rsid w:val="00CA2756"/>
    <w:rsid w:val="00CA6FAA"/>
    <w:rsid w:val="00CB2BE8"/>
    <w:rsid w:val="00CB3470"/>
    <w:rsid w:val="00CB53AE"/>
    <w:rsid w:val="00CB7522"/>
    <w:rsid w:val="00CC342C"/>
    <w:rsid w:val="00CC50FF"/>
    <w:rsid w:val="00CC51A3"/>
    <w:rsid w:val="00CC628F"/>
    <w:rsid w:val="00CC69C8"/>
    <w:rsid w:val="00CD0B63"/>
    <w:rsid w:val="00CD2D44"/>
    <w:rsid w:val="00CD3639"/>
    <w:rsid w:val="00CD65D9"/>
    <w:rsid w:val="00CE0DEF"/>
    <w:rsid w:val="00CE54F0"/>
    <w:rsid w:val="00CE7FD6"/>
    <w:rsid w:val="00CF0280"/>
    <w:rsid w:val="00CF6036"/>
    <w:rsid w:val="00D01D5A"/>
    <w:rsid w:val="00D05BDB"/>
    <w:rsid w:val="00D05CA8"/>
    <w:rsid w:val="00D153C2"/>
    <w:rsid w:val="00D156D5"/>
    <w:rsid w:val="00D20629"/>
    <w:rsid w:val="00D21DD9"/>
    <w:rsid w:val="00D23947"/>
    <w:rsid w:val="00D24C0D"/>
    <w:rsid w:val="00D30651"/>
    <w:rsid w:val="00D30A63"/>
    <w:rsid w:val="00D30B33"/>
    <w:rsid w:val="00D3240E"/>
    <w:rsid w:val="00D34AA8"/>
    <w:rsid w:val="00D41C3F"/>
    <w:rsid w:val="00D44412"/>
    <w:rsid w:val="00D4645B"/>
    <w:rsid w:val="00D603A1"/>
    <w:rsid w:val="00D67A4D"/>
    <w:rsid w:val="00D73818"/>
    <w:rsid w:val="00D7640F"/>
    <w:rsid w:val="00D7656D"/>
    <w:rsid w:val="00D8293B"/>
    <w:rsid w:val="00D95CFF"/>
    <w:rsid w:val="00DA338C"/>
    <w:rsid w:val="00DA72A1"/>
    <w:rsid w:val="00DB5B98"/>
    <w:rsid w:val="00DC0362"/>
    <w:rsid w:val="00DC0A39"/>
    <w:rsid w:val="00DC1830"/>
    <w:rsid w:val="00DC2557"/>
    <w:rsid w:val="00DC569E"/>
    <w:rsid w:val="00DC71CA"/>
    <w:rsid w:val="00DD3950"/>
    <w:rsid w:val="00DD416F"/>
    <w:rsid w:val="00DD482F"/>
    <w:rsid w:val="00DD6FB6"/>
    <w:rsid w:val="00DD7963"/>
    <w:rsid w:val="00DE1D8D"/>
    <w:rsid w:val="00DE3788"/>
    <w:rsid w:val="00DE53BD"/>
    <w:rsid w:val="00DE69B8"/>
    <w:rsid w:val="00DE7249"/>
    <w:rsid w:val="00DF3083"/>
    <w:rsid w:val="00DF68ED"/>
    <w:rsid w:val="00E0393A"/>
    <w:rsid w:val="00E0572B"/>
    <w:rsid w:val="00E109A2"/>
    <w:rsid w:val="00E11829"/>
    <w:rsid w:val="00E133C7"/>
    <w:rsid w:val="00E2189A"/>
    <w:rsid w:val="00E24A61"/>
    <w:rsid w:val="00E27555"/>
    <w:rsid w:val="00E32C63"/>
    <w:rsid w:val="00E455D3"/>
    <w:rsid w:val="00E47D23"/>
    <w:rsid w:val="00E518A3"/>
    <w:rsid w:val="00E55772"/>
    <w:rsid w:val="00E55DEC"/>
    <w:rsid w:val="00E56F22"/>
    <w:rsid w:val="00E57ED5"/>
    <w:rsid w:val="00E603CA"/>
    <w:rsid w:val="00E64C8A"/>
    <w:rsid w:val="00E6608D"/>
    <w:rsid w:val="00E66EA0"/>
    <w:rsid w:val="00E725C6"/>
    <w:rsid w:val="00E726BC"/>
    <w:rsid w:val="00E72ECF"/>
    <w:rsid w:val="00E758E7"/>
    <w:rsid w:val="00E75F8F"/>
    <w:rsid w:val="00E77028"/>
    <w:rsid w:val="00E9012E"/>
    <w:rsid w:val="00E901DE"/>
    <w:rsid w:val="00E90A2D"/>
    <w:rsid w:val="00EA45C5"/>
    <w:rsid w:val="00EA531C"/>
    <w:rsid w:val="00EA5E5A"/>
    <w:rsid w:val="00EA732E"/>
    <w:rsid w:val="00EB4700"/>
    <w:rsid w:val="00EB6B12"/>
    <w:rsid w:val="00EC15AA"/>
    <w:rsid w:val="00EC42E5"/>
    <w:rsid w:val="00EC6C34"/>
    <w:rsid w:val="00EC6E39"/>
    <w:rsid w:val="00ED0277"/>
    <w:rsid w:val="00ED2913"/>
    <w:rsid w:val="00ED340A"/>
    <w:rsid w:val="00ED3E4C"/>
    <w:rsid w:val="00ED5B84"/>
    <w:rsid w:val="00ED5D01"/>
    <w:rsid w:val="00EE1D3D"/>
    <w:rsid w:val="00EE3583"/>
    <w:rsid w:val="00EF094B"/>
    <w:rsid w:val="00EF16D6"/>
    <w:rsid w:val="00EF27B7"/>
    <w:rsid w:val="00EF48D0"/>
    <w:rsid w:val="00EF55C4"/>
    <w:rsid w:val="00F0371E"/>
    <w:rsid w:val="00F04DED"/>
    <w:rsid w:val="00F05299"/>
    <w:rsid w:val="00F05ADA"/>
    <w:rsid w:val="00F076BF"/>
    <w:rsid w:val="00F114EE"/>
    <w:rsid w:val="00F11F8C"/>
    <w:rsid w:val="00F13632"/>
    <w:rsid w:val="00F202A0"/>
    <w:rsid w:val="00F22DCD"/>
    <w:rsid w:val="00F252D6"/>
    <w:rsid w:val="00F277AA"/>
    <w:rsid w:val="00F321E6"/>
    <w:rsid w:val="00F341F7"/>
    <w:rsid w:val="00F37409"/>
    <w:rsid w:val="00F454BC"/>
    <w:rsid w:val="00F473B2"/>
    <w:rsid w:val="00F55A64"/>
    <w:rsid w:val="00F576DC"/>
    <w:rsid w:val="00F64114"/>
    <w:rsid w:val="00F77694"/>
    <w:rsid w:val="00F80C6A"/>
    <w:rsid w:val="00F82EB8"/>
    <w:rsid w:val="00F867C1"/>
    <w:rsid w:val="00F9161E"/>
    <w:rsid w:val="00F917B9"/>
    <w:rsid w:val="00F9197A"/>
    <w:rsid w:val="00FA1A04"/>
    <w:rsid w:val="00FA21FA"/>
    <w:rsid w:val="00FB341B"/>
    <w:rsid w:val="00FB50F9"/>
    <w:rsid w:val="00FC0B66"/>
    <w:rsid w:val="00FC1FE7"/>
    <w:rsid w:val="00FC4794"/>
    <w:rsid w:val="00FC5004"/>
    <w:rsid w:val="00FD09E6"/>
    <w:rsid w:val="00FD3E38"/>
    <w:rsid w:val="00FD4925"/>
    <w:rsid w:val="00FD7912"/>
    <w:rsid w:val="00FF5042"/>
    <w:rsid w:val="175F0741"/>
    <w:rsid w:val="23C66244"/>
    <w:rsid w:val="455E1F7B"/>
    <w:rsid w:val="52587A6B"/>
    <w:rsid w:val="53121CD1"/>
    <w:rsid w:val="5BFF7EA7"/>
    <w:rsid w:val="6330140C"/>
    <w:rsid w:val="679C4ECA"/>
    <w:rsid w:val="67F79A47"/>
    <w:rsid w:val="75EC2F6D"/>
    <w:rsid w:val="7AAD242E"/>
    <w:rsid w:val="BFB78346"/>
    <w:rsid w:val="E1EF6712"/>
    <w:rsid w:val="FBFF3A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仿宋" w:eastAsia="仿宋" w:hAnsiTheme="minorHAnsi" w:cstheme="minorBidi"/>
      <w:kern w:val="2"/>
      <w:sz w:val="28"/>
      <w:szCs w:val="22"/>
      <w:lang w:val="en-US" w:eastAsia="zh-CN" w:bidi="ar-SA"/>
    </w:rPr>
  </w:style>
  <w:style w:type="paragraph" w:styleId="2">
    <w:name w:val="heading 1"/>
    <w:basedOn w:val="1"/>
    <w:next w:val="1"/>
    <w:link w:val="30"/>
    <w:qFormat/>
    <w:uiPriority w:val="9"/>
    <w:pPr>
      <w:keepNext/>
      <w:keepLines/>
      <w:spacing w:before="360" w:after="360"/>
      <w:jc w:val="center"/>
      <w:outlineLvl w:val="0"/>
    </w:pPr>
    <w:rPr>
      <w:rFonts w:eastAsia="黑体"/>
      <w:b/>
      <w:bCs/>
      <w:kern w:val="44"/>
      <w:sz w:val="32"/>
      <w:szCs w:val="44"/>
    </w:rPr>
  </w:style>
  <w:style w:type="paragraph" w:styleId="3">
    <w:name w:val="heading 2"/>
    <w:basedOn w:val="1"/>
    <w:next w:val="1"/>
    <w:link w:val="31"/>
    <w:unhideWhenUsed/>
    <w:qFormat/>
    <w:uiPriority w:val="9"/>
    <w:pPr>
      <w:keepNext/>
      <w:keepLines/>
      <w:spacing w:before="240" w:after="240"/>
      <w:jc w:val="center"/>
      <w:outlineLvl w:val="1"/>
    </w:pPr>
    <w:rPr>
      <w:rFonts w:asciiTheme="majorEastAsia" w:hAnsiTheme="majorHAnsi" w:cstheme="majorBidi"/>
      <w:b/>
      <w:bCs/>
      <w:sz w:val="30"/>
      <w:szCs w:val="32"/>
    </w:rPr>
  </w:style>
  <w:style w:type="paragraph" w:styleId="4">
    <w:name w:val="heading 3"/>
    <w:basedOn w:val="1"/>
    <w:next w:val="1"/>
    <w:link w:val="32"/>
    <w:unhideWhenUsed/>
    <w:qFormat/>
    <w:uiPriority w:val="9"/>
    <w:pPr>
      <w:keepNext/>
      <w:keepLines/>
      <w:spacing w:before="120" w:after="120"/>
      <w:outlineLvl w:val="2"/>
    </w:pPr>
    <w:rPr>
      <w:b/>
      <w:bCs/>
      <w:szCs w:val="32"/>
    </w:rPr>
  </w:style>
  <w:style w:type="paragraph" w:styleId="5">
    <w:name w:val="heading 4"/>
    <w:basedOn w:val="1"/>
    <w:next w:val="1"/>
    <w:link w:val="33"/>
    <w:unhideWhenUsed/>
    <w:qFormat/>
    <w:uiPriority w:val="9"/>
    <w:pPr>
      <w:spacing w:before="60" w:after="60"/>
      <w:ind w:firstLine="562"/>
      <w:outlineLvl w:val="3"/>
    </w:pPr>
    <w:rPr>
      <w:rFonts w:asciiTheme="majorHAnsi" w:hAnsiTheme="majorHAnsi" w:cstheme="majorBidi"/>
      <w:b/>
      <w:bCs/>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680"/>
      <w:jc w:val="left"/>
    </w:pPr>
    <w:rPr>
      <w:rFonts w:asciiTheme="minorHAnsi" w:cstheme="minorHAnsi"/>
      <w:sz w:val="18"/>
      <w:szCs w:val="18"/>
    </w:rPr>
  </w:style>
  <w:style w:type="paragraph" w:styleId="7">
    <w:name w:val="Normal Indent"/>
    <w:basedOn w:val="1"/>
    <w:unhideWhenUsed/>
    <w:qFormat/>
    <w:uiPriority w:val="99"/>
    <w:pPr>
      <w:ind w:firstLine="420"/>
    </w:pPr>
  </w:style>
  <w:style w:type="paragraph" w:styleId="8">
    <w:name w:val="annotation text"/>
    <w:basedOn w:val="1"/>
    <w:link w:val="43"/>
    <w:unhideWhenUsed/>
    <w:qFormat/>
    <w:uiPriority w:val="99"/>
    <w:pPr>
      <w:jc w:val="left"/>
    </w:pPr>
  </w:style>
  <w:style w:type="paragraph" w:styleId="9">
    <w:name w:val="toc 5"/>
    <w:basedOn w:val="1"/>
    <w:next w:val="1"/>
    <w:unhideWhenUsed/>
    <w:qFormat/>
    <w:uiPriority w:val="39"/>
    <w:pPr>
      <w:ind w:left="1120"/>
      <w:jc w:val="left"/>
    </w:pPr>
    <w:rPr>
      <w:rFonts w:asciiTheme="minorHAnsi" w:cstheme="minorHAnsi"/>
      <w:sz w:val="18"/>
      <w:szCs w:val="18"/>
    </w:rPr>
  </w:style>
  <w:style w:type="paragraph" w:styleId="10">
    <w:name w:val="toc 3"/>
    <w:basedOn w:val="1"/>
    <w:next w:val="1"/>
    <w:qFormat/>
    <w:uiPriority w:val="39"/>
    <w:pPr>
      <w:ind w:left="560"/>
      <w:jc w:val="left"/>
    </w:pPr>
    <w:rPr>
      <w:rFonts w:asciiTheme="minorHAnsi" w:cstheme="minorHAnsi"/>
      <w:i/>
      <w:iCs/>
      <w:sz w:val="20"/>
      <w:szCs w:val="20"/>
    </w:rPr>
  </w:style>
  <w:style w:type="paragraph" w:styleId="11">
    <w:name w:val="toc 8"/>
    <w:basedOn w:val="1"/>
    <w:next w:val="1"/>
    <w:unhideWhenUsed/>
    <w:qFormat/>
    <w:uiPriority w:val="39"/>
    <w:pPr>
      <w:ind w:left="1960"/>
      <w:jc w:val="left"/>
    </w:pPr>
    <w:rPr>
      <w:rFonts w:asciiTheme="minorHAnsi" w:cstheme="minorHAnsi"/>
      <w:sz w:val="18"/>
      <w:szCs w:val="18"/>
    </w:rPr>
  </w:style>
  <w:style w:type="paragraph" w:styleId="12">
    <w:name w:val="Balloon Text"/>
    <w:basedOn w:val="1"/>
    <w:link w:val="36"/>
    <w:unhideWhenUsed/>
    <w:qFormat/>
    <w:uiPriority w:val="99"/>
    <w:pPr>
      <w:spacing w:line="240" w:lineRule="auto"/>
    </w:pPr>
    <w:rPr>
      <w:sz w:val="18"/>
      <w:szCs w:val="18"/>
    </w:rPr>
  </w:style>
  <w:style w:type="paragraph" w:styleId="13">
    <w:name w:val="footer"/>
    <w:basedOn w:val="1"/>
    <w:link w:val="35"/>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3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5">
    <w:name w:val="toc 1"/>
    <w:basedOn w:val="1"/>
    <w:next w:val="1"/>
    <w:unhideWhenUsed/>
    <w:qFormat/>
    <w:uiPriority w:val="39"/>
    <w:pPr>
      <w:spacing w:before="120" w:after="120"/>
      <w:ind w:firstLine="0" w:firstLineChars="0"/>
      <w:jc w:val="left"/>
    </w:pPr>
    <w:rPr>
      <w:rFonts w:asciiTheme="minorHAnsi" w:cstheme="minorHAnsi"/>
      <w:b/>
      <w:bCs/>
      <w:caps/>
      <w:sz w:val="20"/>
      <w:szCs w:val="20"/>
    </w:rPr>
  </w:style>
  <w:style w:type="paragraph" w:styleId="16">
    <w:name w:val="toc 4"/>
    <w:basedOn w:val="1"/>
    <w:next w:val="1"/>
    <w:unhideWhenUsed/>
    <w:qFormat/>
    <w:uiPriority w:val="39"/>
    <w:pPr>
      <w:ind w:left="840"/>
      <w:jc w:val="left"/>
    </w:pPr>
    <w:rPr>
      <w:rFonts w:asciiTheme="minorHAnsi" w:cstheme="minorHAnsi"/>
      <w:sz w:val="18"/>
      <w:szCs w:val="18"/>
    </w:rPr>
  </w:style>
  <w:style w:type="paragraph" w:styleId="17">
    <w:name w:val="footnote text"/>
    <w:basedOn w:val="1"/>
    <w:link w:val="37"/>
    <w:unhideWhenUsed/>
    <w:qFormat/>
    <w:uiPriority w:val="99"/>
    <w:pPr>
      <w:snapToGrid w:val="0"/>
      <w:jc w:val="left"/>
    </w:pPr>
    <w:rPr>
      <w:rFonts w:hAnsi="仿宋"/>
      <w:sz w:val="18"/>
      <w:szCs w:val="18"/>
    </w:rPr>
  </w:style>
  <w:style w:type="paragraph" w:styleId="18">
    <w:name w:val="toc 6"/>
    <w:basedOn w:val="1"/>
    <w:next w:val="1"/>
    <w:unhideWhenUsed/>
    <w:qFormat/>
    <w:uiPriority w:val="39"/>
    <w:pPr>
      <w:ind w:left="1400"/>
      <w:jc w:val="left"/>
    </w:pPr>
    <w:rPr>
      <w:rFonts w:asciiTheme="minorHAnsi" w:cstheme="minorHAnsi"/>
      <w:sz w:val="18"/>
      <w:szCs w:val="18"/>
    </w:rPr>
  </w:style>
  <w:style w:type="paragraph" w:styleId="19">
    <w:name w:val="toc 2"/>
    <w:basedOn w:val="1"/>
    <w:next w:val="1"/>
    <w:unhideWhenUsed/>
    <w:qFormat/>
    <w:uiPriority w:val="39"/>
    <w:pPr>
      <w:ind w:left="280"/>
      <w:jc w:val="left"/>
    </w:pPr>
    <w:rPr>
      <w:rFonts w:asciiTheme="minorHAnsi" w:cstheme="minorHAnsi"/>
      <w:smallCaps/>
      <w:sz w:val="20"/>
      <w:szCs w:val="20"/>
    </w:rPr>
  </w:style>
  <w:style w:type="paragraph" w:styleId="20">
    <w:name w:val="toc 9"/>
    <w:basedOn w:val="1"/>
    <w:next w:val="1"/>
    <w:unhideWhenUsed/>
    <w:qFormat/>
    <w:uiPriority w:val="39"/>
    <w:pPr>
      <w:ind w:left="2240"/>
      <w:jc w:val="left"/>
    </w:pPr>
    <w:rPr>
      <w:rFonts w:asciiTheme="minorHAnsi" w:cstheme="minorHAnsi"/>
      <w:sz w:val="18"/>
      <w:szCs w:val="18"/>
    </w:rPr>
  </w:style>
  <w:style w:type="paragraph" w:styleId="21">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22">
    <w:name w:val="annotation subject"/>
    <w:basedOn w:val="8"/>
    <w:next w:val="8"/>
    <w:link w:val="44"/>
    <w:semiHidden/>
    <w:unhideWhenUsed/>
    <w:qFormat/>
    <w:uiPriority w:val="99"/>
    <w:rPr>
      <w:b/>
      <w:bCs/>
    </w:rPr>
  </w:style>
  <w:style w:type="table" w:styleId="24">
    <w:name w:val="Table Grid"/>
    <w:basedOn w:val="23"/>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color w:val="0000FF"/>
      <w:u w:val="single"/>
    </w:rPr>
  </w:style>
  <w:style w:type="character" w:styleId="28">
    <w:name w:val="annotation reference"/>
    <w:basedOn w:val="25"/>
    <w:semiHidden/>
    <w:unhideWhenUsed/>
    <w:qFormat/>
    <w:uiPriority w:val="99"/>
    <w:rPr>
      <w:sz w:val="21"/>
      <w:szCs w:val="21"/>
    </w:rPr>
  </w:style>
  <w:style w:type="character" w:styleId="29">
    <w:name w:val="footnote reference"/>
    <w:basedOn w:val="25"/>
    <w:unhideWhenUsed/>
    <w:qFormat/>
    <w:uiPriority w:val="99"/>
    <w:rPr>
      <w:vertAlign w:val="superscript"/>
    </w:rPr>
  </w:style>
  <w:style w:type="character" w:customStyle="1" w:styleId="30">
    <w:name w:val="标题 1 Char"/>
    <w:basedOn w:val="25"/>
    <w:link w:val="2"/>
    <w:qFormat/>
    <w:uiPriority w:val="9"/>
    <w:rPr>
      <w:rFonts w:ascii="仿宋" w:eastAsia="黑体"/>
      <w:b/>
      <w:bCs/>
      <w:kern w:val="44"/>
      <w:sz w:val="32"/>
      <w:szCs w:val="44"/>
    </w:rPr>
  </w:style>
  <w:style w:type="character" w:customStyle="1" w:styleId="31">
    <w:name w:val="标题 2 Char"/>
    <w:basedOn w:val="25"/>
    <w:link w:val="3"/>
    <w:qFormat/>
    <w:uiPriority w:val="9"/>
    <w:rPr>
      <w:rFonts w:eastAsia="仿宋" w:asciiTheme="majorEastAsia" w:hAnsiTheme="majorHAnsi" w:cstheme="majorBidi"/>
      <w:b/>
      <w:bCs/>
      <w:kern w:val="2"/>
      <w:sz w:val="30"/>
      <w:szCs w:val="32"/>
    </w:rPr>
  </w:style>
  <w:style w:type="character" w:customStyle="1" w:styleId="32">
    <w:name w:val="标题 3 Char"/>
    <w:basedOn w:val="25"/>
    <w:link w:val="4"/>
    <w:qFormat/>
    <w:uiPriority w:val="9"/>
    <w:rPr>
      <w:rFonts w:ascii="仿宋" w:eastAsia="仿宋"/>
      <w:b/>
      <w:bCs/>
      <w:kern w:val="2"/>
      <w:sz w:val="28"/>
      <w:szCs w:val="32"/>
    </w:rPr>
  </w:style>
  <w:style w:type="character" w:customStyle="1" w:styleId="33">
    <w:name w:val="标题 4 Char"/>
    <w:basedOn w:val="25"/>
    <w:link w:val="5"/>
    <w:qFormat/>
    <w:uiPriority w:val="9"/>
    <w:rPr>
      <w:rFonts w:eastAsia="仿宋" w:asciiTheme="majorHAnsi" w:hAnsiTheme="majorHAnsi" w:cstheme="majorBidi"/>
      <w:b/>
      <w:bCs/>
      <w:kern w:val="2"/>
      <w:sz w:val="28"/>
      <w:szCs w:val="28"/>
    </w:rPr>
  </w:style>
  <w:style w:type="character" w:customStyle="1" w:styleId="34">
    <w:name w:val="页眉 Char"/>
    <w:basedOn w:val="25"/>
    <w:link w:val="14"/>
    <w:qFormat/>
    <w:uiPriority w:val="99"/>
    <w:rPr>
      <w:rFonts w:ascii="仿宋" w:eastAsia="仿宋"/>
      <w:sz w:val="18"/>
      <w:szCs w:val="18"/>
    </w:rPr>
  </w:style>
  <w:style w:type="character" w:customStyle="1" w:styleId="35">
    <w:name w:val="页脚 Char"/>
    <w:basedOn w:val="25"/>
    <w:link w:val="13"/>
    <w:qFormat/>
    <w:uiPriority w:val="99"/>
    <w:rPr>
      <w:rFonts w:ascii="仿宋" w:eastAsia="仿宋"/>
      <w:sz w:val="18"/>
      <w:szCs w:val="18"/>
    </w:rPr>
  </w:style>
  <w:style w:type="character" w:customStyle="1" w:styleId="36">
    <w:name w:val="批注框文本 Char"/>
    <w:basedOn w:val="25"/>
    <w:link w:val="12"/>
    <w:semiHidden/>
    <w:qFormat/>
    <w:uiPriority w:val="99"/>
    <w:rPr>
      <w:rFonts w:ascii="仿宋" w:eastAsia="仿宋"/>
      <w:sz w:val="18"/>
      <w:szCs w:val="18"/>
    </w:rPr>
  </w:style>
  <w:style w:type="character" w:customStyle="1" w:styleId="37">
    <w:name w:val="脚注文本 Char"/>
    <w:basedOn w:val="25"/>
    <w:link w:val="17"/>
    <w:qFormat/>
    <w:uiPriority w:val="99"/>
    <w:rPr>
      <w:rFonts w:ascii="仿宋" w:hAnsi="仿宋" w:eastAsia="仿宋"/>
      <w:kern w:val="2"/>
      <w:sz w:val="18"/>
      <w:szCs w:val="18"/>
    </w:rPr>
  </w:style>
  <w:style w:type="paragraph" w:customStyle="1" w:styleId="38">
    <w:name w:val="列出段落1"/>
    <w:basedOn w:val="1"/>
    <w:qFormat/>
    <w:uiPriority w:val="34"/>
    <w:pPr>
      <w:ind w:firstLine="420"/>
    </w:pPr>
    <w:rPr>
      <w:rFonts w:hAnsi="仿宋"/>
      <w:szCs w:val="21"/>
    </w:rPr>
  </w:style>
  <w:style w:type="table" w:customStyle="1" w:styleId="39">
    <w:name w:val="网格型1"/>
    <w:basedOn w:val="23"/>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
    <w:name w:val="网格型2"/>
    <w:basedOn w:val="23"/>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1">
    <w:name w:val="网格型11"/>
    <w:basedOn w:val="23"/>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2">
    <w:name w:val="TOC 标题1"/>
    <w:basedOn w:val="2"/>
    <w:next w:val="1"/>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3">
    <w:name w:val="批注文字 Char"/>
    <w:basedOn w:val="25"/>
    <w:link w:val="8"/>
    <w:qFormat/>
    <w:uiPriority w:val="99"/>
    <w:rPr>
      <w:rFonts w:ascii="仿宋" w:eastAsia="仿宋"/>
      <w:kern w:val="2"/>
      <w:sz w:val="28"/>
      <w:szCs w:val="22"/>
    </w:rPr>
  </w:style>
  <w:style w:type="character" w:customStyle="1" w:styleId="44">
    <w:name w:val="批注主题 Char"/>
    <w:basedOn w:val="43"/>
    <w:link w:val="22"/>
    <w:semiHidden/>
    <w:qFormat/>
    <w:uiPriority w:val="99"/>
    <w:rPr>
      <w:rFonts w:ascii="仿宋" w:eastAsia="仿宋"/>
      <w:b/>
      <w:bCs/>
      <w:kern w:val="2"/>
      <w:sz w:val="28"/>
      <w:szCs w:val="22"/>
    </w:rPr>
  </w:style>
  <w:style w:type="paragraph" w:styleId="45">
    <w:name w:val="No Spacing"/>
    <w:link w:val="46"/>
    <w:qFormat/>
    <w:uiPriority w:val="1"/>
    <w:rPr>
      <w:rFonts w:asciiTheme="minorHAnsi" w:hAnsiTheme="minorHAnsi" w:eastAsiaTheme="minorEastAsia" w:cstheme="minorBidi"/>
      <w:sz w:val="22"/>
      <w:szCs w:val="22"/>
      <w:lang w:val="en-US" w:eastAsia="zh-CN" w:bidi="ar-SA"/>
    </w:rPr>
  </w:style>
  <w:style w:type="character" w:customStyle="1" w:styleId="46">
    <w:name w:val="无间隔 Char"/>
    <w:basedOn w:val="25"/>
    <w:link w:val="45"/>
    <w:qFormat/>
    <w:uiPriority w:val="1"/>
    <w:rPr>
      <w:sz w:val="22"/>
      <w:szCs w:val="22"/>
    </w:rPr>
  </w:style>
  <w:style w:type="table" w:customStyle="1" w:styleId="47">
    <w:name w:val="网格型3"/>
    <w:basedOn w:val="23"/>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chart" Target="charts/chart16.xml"/><Relationship Id="rId31" Type="http://schemas.openxmlformats.org/officeDocument/2006/relationships/chart" Target="charts/chart15.xml"/><Relationship Id="rId30" Type="http://schemas.openxmlformats.org/officeDocument/2006/relationships/chart" Target="charts/chart14.xml"/><Relationship Id="rId3" Type="http://schemas.openxmlformats.org/officeDocument/2006/relationships/footnotes" Target="footnotes.xml"/><Relationship Id="rId29" Type="http://schemas.openxmlformats.org/officeDocument/2006/relationships/chart" Target="charts/chart13.xml"/><Relationship Id="rId28" Type="http://schemas.openxmlformats.org/officeDocument/2006/relationships/chart" Target="charts/chart12.xml"/><Relationship Id="rId27" Type="http://schemas.openxmlformats.org/officeDocument/2006/relationships/chart" Target="charts/chart11.xml"/><Relationship Id="rId26" Type="http://schemas.openxmlformats.org/officeDocument/2006/relationships/image" Target="media/image5.png"/><Relationship Id="rId25" Type="http://schemas.openxmlformats.org/officeDocument/2006/relationships/chart" Target="charts/chart10.xml"/><Relationship Id="rId24" Type="http://schemas.openxmlformats.org/officeDocument/2006/relationships/chart" Target="charts/chart9.xml"/><Relationship Id="rId23" Type="http://schemas.openxmlformats.org/officeDocument/2006/relationships/chart" Target="charts/chart8.xml"/><Relationship Id="rId22" Type="http://schemas.openxmlformats.org/officeDocument/2006/relationships/chart" Target="charts/chart7.xml"/><Relationship Id="rId21" Type="http://schemas.openxmlformats.org/officeDocument/2006/relationships/chart" Target="charts/chart6.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themeOverride" Target="../theme/themeOverride2.xml"/><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1" Type="http://schemas.openxmlformats.org/officeDocument/2006/relationships/oleObject" Target="file:///D:\&#23548;&#24072;&#20219;&#21153;\&#28548;&#27743;&#24066;&#36130;&#25919;&#23616;&#21313;&#22235;&#20116;&#35268;&#21010;\2020.9.21&#27719;&#25253;\&#22270;&#26631;.xls" TargetMode="External"/></Relationships>
</file>

<file path=word/charts/_rels/chart11.xml.rels><?xml version="1.0" encoding="UTF-8" standalone="yes"?>
<Relationships xmlns="http://schemas.openxmlformats.org/package/2006/relationships"><Relationship Id="rId2" Type="http://schemas.openxmlformats.org/officeDocument/2006/relationships/themeOverride" Target="../theme/themeOverride10.xml"/><Relationship Id="rId1" Type="http://schemas.openxmlformats.org/officeDocument/2006/relationships/oleObject" Target="file:///D:\&#23548;&#24072;&#20219;&#21153;\&#28548;&#27743;&#24066;&#36130;&#25919;&#23616;&#21313;&#22235;&#20116;&#35268;&#21010;\2020.9.21&#27719;&#25253;\&#22270;&#26631;.xls" TargetMode="External"/></Relationships>
</file>

<file path=word/charts/_rels/chart12.xml.rels><?xml version="1.0" encoding="UTF-8" standalone="yes"?>
<Relationships xmlns="http://schemas.openxmlformats.org/package/2006/relationships"><Relationship Id="rId2" Type="http://schemas.openxmlformats.org/officeDocument/2006/relationships/themeOverride" Target="../theme/themeOverride7.xml"/><Relationship Id="rId1" Type="http://schemas.openxmlformats.org/officeDocument/2006/relationships/oleObject" Target="file:///D:\&#23548;&#24072;&#20219;&#21153;\&#28548;&#27743;&#24066;&#36130;&#25919;&#23616;&#21313;&#22235;&#20116;&#35268;&#21010;\2020.9.21&#27719;&#25253;\&#22270;&#26631;.xls" TargetMode="External"/></Relationships>
</file>

<file path=word/charts/_rels/chart13.xml.rels><?xml version="1.0" encoding="UTF-8" standalone="yes"?>
<Relationships xmlns="http://schemas.openxmlformats.org/package/2006/relationships"><Relationship Id="rId2" Type="http://schemas.openxmlformats.org/officeDocument/2006/relationships/themeOverride" Target="../theme/themeOverride11.xml"/><Relationship Id="rId1" Type="http://schemas.openxmlformats.org/officeDocument/2006/relationships/oleObject" Target="file:///D:\&#23548;&#24072;&#20219;&#21153;\&#28548;&#27743;&#24066;&#36130;&#25919;&#23616;&#21313;&#22235;&#20116;&#35268;&#21010;\2020.9.21&#27719;&#25253;\&#22270;&#26631;.xls" TargetMode="External"/></Relationships>
</file>

<file path=word/charts/_rels/chart14.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D:\&#23548;&#24072;&#20219;&#21153;\&#28548;&#27743;&#24066;&#36130;&#25919;&#23616;&#21313;&#22235;&#20116;&#35268;&#21010;\2020.9.21&#27719;&#25253;\&#22270;&#26631;.xls" TargetMode="External"/></Relationships>
</file>

<file path=word/charts/_rels/chart15.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548;&#24072;&#20219;&#21153;\&#28548;&#27743;&#24066;&#36130;&#25919;&#23616;&#21313;&#22235;&#20116;&#35268;&#21010;\2020.9.21&#27719;&#25253;\&#22270;&#26631;.xls" TargetMode="External"/></Relationships>
</file>

<file path=word/charts/_rels/chart16.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548;&#24072;&#20219;&#21153;\&#28548;&#27743;&#24066;&#36130;&#25919;&#23616;&#21313;&#22235;&#20116;&#35268;&#21010;\2020.9.21&#27719;&#25253;\&#22270;&#26631;.xls"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8.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themeOverride" Target="../theme/themeOverride14.xml"/><Relationship Id="rId1" Type="http://schemas.openxmlformats.org/officeDocument/2006/relationships/package" Target="../embeddings/Workbook8.xlsx"/></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themeOverride" Target="../theme/themeOverride6.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themeOverride" Target="../theme/themeOverride4.xml"/><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9.xml"/><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themeOverride" Target="../theme/themeOverride13.xml"/><Relationship Id="rId1" Type="http://schemas.openxmlformats.org/officeDocument/2006/relationships/package" Target="../embeddings/Workbook7.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themeOverride" Target="../theme/themeOverride12.xml"/><Relationship Id="rId1" Type="http://schemas.openxmlformats.org/officeDocument/2006/relationships/package" Target="../embeddings/Workbook6.xlsx"/></Relationships>
</file>

<file path=word/charts/_rels/chart9.xml.rels><?xml version="1.0" encoding="UTF-8" standalone="yes"?>
<Relationships xmlns="http://schemas.openxmlformats.org/package/2006/relationships"><Relationship Id="rId2" Type="http://schemas.openxmlformats.org/officeDocument/2006/relationships/themeOverride" Target="../theme/themeOverride15.xml"/><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1"/>
          <c:order val="0"/>
          <c:tx>
            <c:strRef>
              <c:f>一般公共预算支出规模!$A$2</c:f>
              <c:strCache>
                <c:ptCount val="1"/>
                <c:pt idx="0">
                  <c:v>一般公共预算支出</c:v>
                </c:pt>
              </c:strCache>
            </c:strRef>
          </c:tx>
          <c:invertIfNegative val="false"/>
          <c:dLbls>
            <c:delete val="true"/>
          </c:dLbls>
          <c:cat>
            <c:numRef>
              <c:f>一般公共预算支出规模!$B$1:$F$1</c:f>
              <c:numCache>
                <c:formatCode>General</c:formatCode>
                <c:ptCount val="5"/>
                <c:pt idx="0">
                  <c:v>2016</c:v>
                </c:pt>
                <c:pt idx="1">
                  <c:v>2017</c:v>
                </c:pt>
                <c:pt idx="2">
                  <c:v>2018</c:v>
                </c:pt>
                <c:pt idx="3">
                  <c:v>2019</c:v>
                </c:pt>
                <c:pt idx="4">
                  <c:v>2020</c:v>
                </c:pt>
              </c:numCache>
            </c:numRef>
          </c:cat>
          <c:val>
            <c:numRef>
              <c:f>一般公共预算支出规模!$B$2:$F$2</c:f>
              <c:numCache>
                <c:formatCode>General</c:formatCode>
                <c:ptCount val="5"/>
                <c:pt idx="0">
                  <c:v>142621</c:v>
                </c:pt>
                <c:pt idx="1">
                  <c:v>218521</c:v>
                </c:pt>
                <c:pt idx="2">
                  <c:v>272519</c:v>
                </c:pt>
                <c:pt idx="3">
                  <c:v>361034</c:v>
                </c:pt>
                <c:pt idx="4">
                  <c:v>363235</c:v>
                </c:pt>
              </c:numCache>
            </c:numRef>
          </c:val>
        </c:ser>
        <c:dLbls>
          <c:showLegendKey val="false"/>
          <c:showVal val="false"/>
          <c:showCatName val="false"/>
          <c:showSerName val="false"/>
          <c:showPercent val="false"/>
          <c:showBubbleSize val="false"/>
        </c:dLbls>
        <c:gapWidth val="150"/>
        <c:axId val="81920768"/>
        <c:axId val="82444672"/>
      </c:barChart>
      <c:lineChart>
        <c:grouping val="standard"/>
        <c:varyColors val="false"/>
        <c:ser>
          <c:idx val="2"/>
          <c:order val="1"/>
          <c:tx>
            <c:strRef>
              <c:f>一般公共预算支出规模!$A$3</c:f>
              <c:strCache>
                <c:ptCount val="1"/>
                <c:pt idx="0">
                  <c:v>一般公共预算支出增速</c:v>
                </c:pt>
              </c:strCache>
            </c:strRef>
          </c:tx>
          <c:spPr>
            <a:ln w="38100" cap="rnd" cmpd="sng" algn="ctr">
              <a:solidFill>
                <a:schemeClr val="accent3">
                  <a:shade val="95000"/>
                  <a:satMod val="105000"/>
                </a:schemeClr>
              </a:solidFill>
              <a:prstDash val="solid"/>
              <a:round/>
              <a:tailEnd type="oval"/>
            </a:ln>
          </c:spPr>
          <c:marker>
            <c:symbol val="none"/>
          </c:marker>
          <c:dPt>
            <c:idx val="1"/>
            <c:marker>
              <c:symbol val="none"/>
            </c:marker>
            <c:bubble3D val="false"/>
            <c:spPr>
              <a:ln w="38100" cap="rnd" cmpd="sng" algn="ctr">
                <a:solidFill>
                  <a:schemeClr val="accent3">
                    <a:shade val="95000"/>
                    <a:satMod val="105000"/>
                  </a:schemeClr>
                </a:solidFill>
                <a:prstDash val="solid"/>
                <a:round/>
                <a:headEnd type="diamond"/>
                <a:tailEnd type="diamond"/>
              </a:ln>
            </c:spPr>
          </c:dPt>
          <c:dLbls>
            <c:delete val="true"/>
          </c:dLbls>
          <c:cat>
            <c:numRef>
              <c:f>一般公共预算支出规模!$B$1:$F$1</c:f>
              <c:numCache>
                <c:formatCode>General</c:formatCode>
                <c:ptCount val="5"/>
                <c:pt idx="0">
                  <c:v>2016</c:v>
                </c:pt>
                <c:pt idx="1">
                  <c:v>2017</c:v>
                </c:pt>
                <c:pt idx="2">
                  <c:v>2018</c:v>
                </c:pt>
                <c:pt idx="3">
                  <c:v>2019</c:v>
                </c:pt>
                <c:pt idx="4">
                  <c:v>2020</c:v>
                </c:pt>
              </c:numCache>
            </c:numRef>
          </c:cat>
          <c:val>
            <c:numRef>
              <c:f>一般公共预算支出规模!$B$3:$F$3</c:f>
              <c:numCache>
                <c:formatCode>0.00%</c:formatCode>
                <c:ptCount val="5"/>
                <c:pt idx="0">
                  <c:v>0.1238</c:v>
                </c:pt>
                <c:pt idx="1">
                  <c:v>0.532179693032583</c:v>
                </c:pt>
                <c:pt idx="2">
                  <c:v>0.247106685398657</c:v>
                </c:pt>
                <c:pt idx="3">
                  <c:v>0.324803041255839</c:v>
                </c:pt>
                <c:pt idx="4">
                  <c:v>0.00609637873441283</c:v>
                </c:pt>
              </c:numCache>
            </c:numRef>
          </c:val>
          <c:smooth val="false"/>
        </c:ser>
        <c:dLbls>
          <c:showLegendKey val="false"/>
          <c:showVal val="false"/>
          <c:showCatName val="false"/>
          <c:showSerName val="false"/>
          <c:showPercent val="false"/>
          <c:showBubbleSize val="false"/>
        </c:dLbls>
        <c:marker val="false"/>
        <c:smooth val="false"/>
        <c:axId val="132952064"/>
        <c:axId val="113760128"/>
      </c:lineChart>
      <c:catAx>
        <c:axId val="81920768"/>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82444672"/>
        <c:crosses val="autoZero"/>
        <c:auto val="true"/>
        <c:lblAlgn val="ctr"/>
        <c:lblOffset val="100"/>
        <c:noMultiLvlLbl val="false"/>
      </c:catAx>
      <c:valAx>
        <c:axId val="82444672"/>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81920768"/>
        <c:crosses val="autoZero"/>
        <c:crossBetween val="between"/>
      </c:valAx>
      <c:catAx>
        <c:axId val="132952064"/>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113760128"/>
        <c:crosses val="autoZero"/>
        <c:auto val="true"/>
        <c:lblAlgn val="ctr"/>
        <c:lblOffset val="100"/>
        <c:noMultiLvlLbl val="false"/>
      </c:catAx>
      <c:valAx>
        <c:axId val="113760128"/>
        <c:scaling>
          <c:orientation val="minMax"/>
        </c:scaling>
        <c:delete val="false"/>
        <c:axPos val="r"/>
        <c:numFmt formatCode="0.00%"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132952064"/>
        <c:crosses val="max"/>
        <c:crossBetween val="between"/>
      </c:valAx>
      <c:dTable>
        <c:showHorzBorder val="true"/>
        <c:showVertBorder val="true"/>
        <c:showOutline val="true"/>
        <c:showKeys val="true"/>
        <c:txPr>
          <a:bodyPr rot="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dTable>
    </c:plotArea>
    <c:plotVisOnly val="true"/>
    <c:dispBlanksAs val="gap"/>
    <c:showDLblsOverMax val="false"/>
  </c:chart>
  <c:txPr>
    <a:bodyPr/>
    <a:lstStyle/>
    <a:p>
      <a:pPr>
        <a:defRPr lang="zh-CN"/>
      </a:pPr>
    </a:p>
  </c:txPr>
  <c:externalData r:id="rId1">
    <c:autoUpdate val="false"/>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barChart>
        <c:barDir val="col"/>
        <c:grouping val="clustered"/>
        <c:varyColors val="false"/>
        <c:ser>
          <c:idx val="0"/>
          <c:order val="0"/>
          <c:tx>
            <c:strRef>
              <c:f>[图标.xls]相关图表!$C$29</c:f>
              <c:strCache>
                <c:ptCount val="1"/>
                <c:pt idx="0">
                  <c:v>一般公共预算收入</c:v>
                </c:pt>
              </c:strCache>
            </c:strRef>
          </c:tx>
          <c:spPr>
            <a:solidFill>
              <a:srgbClr val="4F81BD"/>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[图标.xls]相关图表!$B$30:$B$34</c:f>
              <c:strCache>
                <c:ptCount val="5"/>
                <c:pt idx="0">
                  <c:v>2021年</c:v>
                </c:pt>
                <c:pt idx="1">
                  <c:v>2022年</c:v>
                </c:pt>
                <c:pt idx="2">
                  <c:v>2023年</c:v>
                </c:pt>
                <c:pt idx="3">
                  <c:v>2024年</c:v>
                </c:pt>
                <c:pt idx="4">
                  <c:v>2025年</c:v>
                </c:pt>
              </c:strCache>
            </c:strRef>
          </c:cat>
          <c:val>
            <c:numRef>
              <c:f>[图标.xls]相关图表!$C$30:$C$34</c:f>
              <c:numCache>
                <c:formatCode>0.00_ </c:formatCode>
                <c:ptCount val="5"/>
                <c:pt idx="0">
                  <c:v>83771.171</c:v>
                </c:pt>
                <c:pt idx="1">
                  <c:v>89048.754773</c:v>
                </c:pt>
                <c:pt idx="2">
                  <c:v>94899.2579615861</c:v>
                </c:pt>
                <c:pt idx="3">
                  <c:v>100574.233587689</c:v>
                </c:pt>
                <c:pt idx="4">
                  <c:v>106679.089566462</c:v>
                </c:pt>
              </c:numCache>
            </c:numRef>
          </c:val>
        </c:ser>
        <c:ser>
          <c:idx val="2"/>
          <c:order val="2"/>
          <c:tx>
            <c:strRef>
              <c:f>[图标.xls]相关图表!$E$29</c:f>
              <c:strCache>
                <c:ptCount val="1"/>
                <c:pt idx="0">
                  <c:v>税收收入</c:v>
                </c:pt>
              </c:strCache>
            </c:strRef>
          </c:tx>
          <c:spPr>
            <a:solidFill>
              <a:srgbClr val="9BBB59"/>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[图标.xls]相关图表!$B$30:$B$34</c:f>
              <c:strCache>
                <c:ptCount val="5"/>
                <c:pt idx="0">
                  <c:v>2021年</c:v>
                </c:pt>
                <c:pt idx="1">
                  <c:v>2022年</c:v>
                </c:pt>
                <c:pt idx="2">
                  <c:v>2023年</c:v>
                </c:pt>
                <c:pt idx="3">
                  <c:v>2024年</c:v>
                </c:pt>
                <c:pt idx="4">
                  <c:v>2025年</c:v>
                </c:pt>
              </c:strCache>
            </c:strRef>
          </c:cat>
          <c:val>
            <c:numRef>
              <c:f>[图标.xls]相关图表!$E$30:$E$34</c:f>
              <c:numCache>
                <c:formatCode>0.00_ </c:formatCode>
                <c:ptCount val="5"/>
                <c:pt idx="0">
                  <c:v>62171.6847</c:v>
                </c:pt>
                <c:pt idx="1">
                  <c:v>66598.30865064</c:v>
                </c:pt>
                <c:pt idx="2">
                  <c:v>71619.8211228983</c:v>
                </c:pt>
                <c:pt idx="3">
                  <c:v>76733.4763510732</c:v>
                </c:pt>
                <c:pt idx="4">
                  <c:v>82005.0661763919</c:v>
                </c:pt>
              </c:numCache>
            </c:numRef>
          </c:val>
        </c:ser>
        <c:ser>
          <c:idx val="4"/>
          <c:order val="4"/>
          <c:tx>
            <c:strRef>
              <c:f>[图标.xls]相关图表!$G$29</c:f>
              <c:strCache>
                <c:ptCount val="1"/>
                <c:pt idx="0">
                  <c:v>非税收入</c:v>
                </c:pt>
              </c:strCache>
            </c:strRef>
          </c:tx>
          <c:spPr>
            <a:solidFill>
              <a:srgbClr val="4BACC6"/>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[图标.xls]相关图表!$B$30:$B$34</c:f>
              <c:strCache>
                <c:ptCount val="5"/>
                <c:pt idx="0">
                  <c:v>2021年</c:v>
                </c:pt>
                <c:pt idx="1">
                  <c:v>2022年</c:v>
                </c:pt>
                <c:pt idx="2">
                  <c:v>2023年</c:v>
                </c:pt>
                <c:pt idx="3">
                  <c:v>2024年</c:v>
                </c:pt>
                <c:pt idx="4">
                  <c:v>2025年</c:v>
                </c:pt>
              </c:strCache>
            </c:strRef>
          </c:cat>
          <c:val>
            <c:numRef>
              <c:f>[图标.xls]相关图表!$G$30:$G$34</c:f>
              <c:numCache>
                <c:formatCode>0.00_ </c:formatCode>
                <c:ptCount val="5"/>
                <c:pt idx="0">
                  <c:v>21599.4863</c:v>
                </c:pt>
                <c:pt idx="1">
                  <c:v>22450.44612236</c:v>
                </c:pt>
                <c:pt idx="2">
                  <c:v>23279.4368386878</c:v>
                </c:pt>
                <c:pt idx="3">
                  <c:v>23840.7572366158</c:v>
                </c:pt>
                <c:pt idx="4">
                  <c:v>24674.0233900697</c:v>
                </c:pt>
              </c:numCache>
            </c:numRef>
          </c:val>
        </c:ser>
        <c:dLbls>
          <c:showLegendKey val="false"/>
          <c:showVal val="false"/>
          <c:showCatName val="false"/>
          <c:showSerName val="false"/>
          <c:showPercent val="false"/>
          <c:showBubbleSize val="false"/>
        </c:dLbls>
        <c:gapWidth val="219"/>
        <c:overlap val="-27"/>
        <c:axId val="469811968"/>
        <c:axId val="469813504"/>
      </c:barChart>
      <c:lineChart>
        <c:grouping val="standard"/>
        <c:varyColors val="false"/>
        <c:ser>
          <c:idx val="1"/>
          <c:order val="1"/>
          <c:tx>
            <c:strRef>
              <c:f>[图标.xls]相关图表!$D$29</c:f>
              <c:strCache>
                <c:ptCount val="1"/>
                <c:pt idx="0">
                  <c:v>增速</c:v>
                </c:pt>
              </c:strCache>
            </c:strRef>
          </c:tx>
          <c:spPr>
            <a:ln w="28575" cap="rnd" cmpd="sng" algn="ctr">
              <a:solidFill>
                <a:srgbClr val="C0504D"/>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[图标.xls]相关图表!$B$30:$B$34</c:f>
              <c:strCache>
                <c:ptCount val="5"/>
                <c:pt idx="0">
                  <c:v>2021年</c:v>
                </c:pt>
                <c:pt idx="1">
                  <c:v>2022年</c:v>
                </c:pt>
                <c:pt idx="2">
                  <c:v>2023年</c:v>
                </c:pt>
                <c:pt idx="3">
                  <c:v>2024年</c:v>
                </c:pt>
                <c:pt idx="4">
                  <c:v>2025年</c:v>
                </c:pt>
              </c:strCache>
            </c:strRef>
          </c:cat>
          <c:val>
            <c:numRef>
              <c:f>[图标.xls]相关图表!$D$30:$D$34</c:f>
              <c:numCache>
                <c:formatCode>0.00%</c:formatCode>
                <c:ptCount val="5"/>
                <c:pt idx="0">
                  <c:v>0.0526</c:v>
                </c:pt>
                <c:pt idx="1">
                  <c:v>0.063</c:v>
                </c:pt>
                <c:pt idx="2">
                  <c:v>0.0657</c:v>
                </c:pt>
                <c:pt idx="3">
                  <c:v>0.0598</c:v>
                </c:pt>
                <c:pt idx="4">
                  <c:v>0.0607</c:v>
                </c:pt>
              </c:numCache>
            </c:numRef>
          </c:val>
          <c:smooth val="false"/>
        </c:ser>
        <c:ser>
          <c:idx val="3"/>
          <c:order val="3"/>
          <c:tx>
            <c:strRef>
              <c:f>[图标.xls]相关图表!$F$29</c:f>
              <c:strCache>
                <c:ptCount val="1"/>
                <c:pt idx="0">
                  <c:v>增速</c:v>
                </c:pt>
              </c:strCache>
            </c:strRef>
          </c:tx>
          <c:spPr>
            <a:ln w="28575" cap="rnd" cmpd="sng" algn="ctr">
              <a:solidFill>
                <a:srgbClr val="8064A2"/>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[图标.xls]相关图表!$B$30:$B$34</c:f>
              <c:strCache>
                <c:ptCount val="5"/>
                <c:pt idx="0">
                  <c:v>2021年</c:v>
                </c:pt>
                <c:pt idx="1">
                  <c:v>2022年</c:v>
                </c:pt>
                <c:pt idx="2">
                  <c:v>2023年</c:v>
                </c:pt>
                <c:pt idx="3">
                  <c:v>2024年</c:v>
                </c:pt>
                <c:pt idx="4">
                  <c:v>2025年</c:v>
                </c:pt>
              </c:strCache>
            </c:strRef>
          </c:cat>
          <c:val>
            <c:numRef>
              <c:f>[图标.xls]相关图表!$F$30:$F$34</c:f>
              <c:numCache>
                <c:formatCode>0.00%</c:formatCode>
                <c:ptCount val="5"/>
                <c:pt idx="0">
                  <c:v>0.0601</c:v>
                </c:pt>
                <c:pt idx="1">
                  <c:v>0.0712</c:v>
                </c:pt>
                <c:pt idx="2">
                  <c:v>0.0754</c:v>
                </c:pt>
                <c:pt idx="3">
                  <c:v>0.0714</c:v>
                </c:pt>
                <c:pt idx="4">
                  <c:v>0.0687</c:v>
                </c:pt>
              </c:numCache>
            </c:numRef>
          </c:val>
          <c:smooth val="false"/>
        </c:ser>
        <c:ser>
          <c:idx val="5"/>
          <c:order val="5"/>
          <c:tx>
            <c:strRef>
              <c:f>[图标.xls]相关图表!$H$29</c:f>
              <c:strCache>
                <c:ptCount val="1"/>
                <c:pt idx="0">
                  <c:v>增速</c:v>
                </c:pt>
              </c:strCache>
            </c:strRef>
          </c:tx>
          <c:spPr>
            <a:ln w="28575" cap="rnd" cmpd="sng" algn="ctr">
              <a:solidFill>
                <a:srgbClr val="F79646"/>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[图标.xls]相关图表!$B$30:$B$34</c:f>
              <c:strCache>
                <c:ptCount val="5"/>
                <c:pt idx="0">
                  <c:v>2021年</c:v>
                </c:pt>
                <c:pt idx="1">
                  <c:v>2022年</c:v>
                </c:pt>
                <c:pt idx="2">
                  <c:v>2023年</c:v>
                </c:pt>
                <c:pt idx="3">
                  <c:v>2024年</c:v>
                </c:pt>
                <c:pt idx="4">
                  <c:v>2025年</c:v>
                </c:pt>
              </c:strCache>
            </c:strRef>
          </c:cat>
          <c:val>
            <c:numRef>
              <c:f>[图标.xls]相关图表!$H$30:$H$34</c:f>
              <c:numCache>
                <c:formatCode>0.00%</c:formatCode>
                <c:ptCount val="5"/>
                <c:pt idx="0">
                  <c:v>0.0315926210717358</c:v>
                </c:pt>
                <c:pt idx="1">
                  <c:v>0.0393972250330789</c:v>
                </c:pt>
                <c:pt idx="2">
                  <c:v>0.0369253560401274</c:v>
                </c:pt>
                <c:pt idx="3">
                  <c:v>0.0241122842368364</c:v>
                </c:pt>
                <c:pt idx="4">
                  <c:v>0.0349513291538496</c:v>
                </c:pt>
              </c:numCache>
            </c:numRef>
          </c:val>
          <c:smooth val="false"/>
        </c:ser>
        <c:dLbls>
          <c:showLegendKey val="false"/>
          <c:showVal val="false"/>
          <c:showCatName val="false"/>
          <c:showSerName val="false"/>
          <c:showPercent val="false"/>
          <c:showBubbleSize val="false"/>
        </c:dLbls>
        <c:marker val="false"/>
        <c:smooth val="false"/>
        <c:axId val="469835776"/>
        <c:axId val="469837312"/>
      </c:lineChart>
      <c:catAx>
        <c:axId val="469811968"/>
        <c:scaling>
          <c:orientation val="minMax"/>
        </c:scaling>
        <c:delete val="false"/>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true"/>
          <a:lstStyle/>
          <a:p>
            <a:pPr>
              <a:defRPr lang="zh-CN" sz="900" b="0" i="0" u="none" strike="noStrike" kern="1200" baseline="0">
                <a:solidFill>
                  <a:srgbClr val="595959">
                    <a:lumMod val="65000"/>
                    <a:lumOff val="35000"/>
                  </a:srgbClr>
                </a:solidFill>
                <a:latin typeface="+mn-lt"/>
                <a:ea typeface="+mn-ea"/>
                <a:cs typeface="+mn-cs"/>
              </a:defRPr>
            </a:pPr>
          </a:p>
        </c:txPr>
        <c:crossAx val="469813504"/>
        <c:crosses val="autoZero"/>
        <c:auto val="true"/>
        <c:lblAlgn val="ctr"/>
        <c:lblOffset val="100"/>
        <c:noMultiLvlLbl val="false"/>
      </c:catAx>
      <c:valAx>
        <c:axId val="469813504"/>
        <c:scaling>
          <c:orientation val="minMax"/>
        </c:scaling>
        <c:delete val="false"/>
        <c:axPos val="l"/>
        <c:majorGridlines>
          <c:spPr>
            <a:ln w="9525" cap="flat" cmpd="sng" algn="ctr">
              <a:solidFill>
                <a:srgbClr val="D9D9D9">
                  <a:lumMod val="15000"/>
                  <a:lumOff val="85000"/>
                </a:srgbClr>
              </a:solidFill>
              <a:prstDash val="solid"/>
              <a:round/>
            </a:ln>
            <a:effectLst/>
          </c:spPr>
        </c:majorGridlines>
        <c:numFmt formatCode="0.00_ " sourceLinked="true"/>
        <c:majorTickMark val="none"/>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rgbClr val="595959">
                    <a:lumMod val="65000"/>
                    <a:lumOff val="35000"/>
                  </a:srgbClr>
                </a:solidFill>
                <a:latin typeface="+mn-lt"/>
                <a:ea typeface="+mn-ea"/>
                <a:cs typeface="+mn-cs"/>
              </a:defRPr>
            </a:pPr>
          </a:p>
        </c:txPr>
        <c:crossAx val="469811968"/>
        <c:crosses val="autoZero"/>
        <c:crossBetween val="between"/>
      </c:valAx>
      <c:catAx>
        <c:axId val="469835776"/>
        <c:scaling>
          <c:orientation val="minMax"/>
        </c:scaling>
        <c:delete val="true"/>
        <c:axPos val="b"/>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69837312"/>
        <c:crosses val="autoZero"/>
        <c:auto val="true"/>
        <c:lblAlgn val="ctr"/>
        <c:lblOffset val="100"/>
        <c:noMultiLvlLbl val="false"/>
      </c:catAx>
      <c:valAx>
        <c:axId val="469837312"/>
        <c:scaling>
          <c:orientation val="minMax"/>
        </c:scaling>
        <c:delete val="false"/>
        <c:axPos val="r"/>
        <c:numFmt formatCode="0.00%" sourceLinked="true"/>
        <c:majorTickMark val="none"/>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rgbClr val="595959">
                    <a:lumMod val="65000"/>
                    <a:lumOff val="35000"/>
                  </a:srgbClr>
                </a:solidFill>
                <a:latin typeface="+mn-lt"/>
                <a:ea typeface="+mn-ea"/>
                <a:cs typeface="+mn-cs"/>
              </a:defRPr>
            </a:pPr>
          </a:p>
        </c:txPr>
        <c:crossAx val="469835776"/>
        <c:crosses val="max"/>
        <c:crossBetween val="between"/>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rgbClr val="595959">
                  <a:lumMod val="65000"/>
                  <a:lumOff val="35000"/>
                </a:srgbClr>
              </a:solidFill>
              <a:latin typeface="+mn-lt"/>
              <a:ea typeface="+mn-ea"/>
              <a:cs typeface="+mn-cs"/>
            </a:defRPr>
          </a:pPr>
        </a:p>
      </c:txPr>
    </c:legend>
    <c:plotVisOnly val="true"/>
    <c:dispBlanksAs val="gap"/>
    <c:showDLblsOverMax val="false"/>
  </c:chart>
  <c:spPr>
    <a:solidFill>
      <a:srgbClr val="FFFFFF"/>
    </a:solidFill>
    <a:ln w="9525" cap="flat" cmpd="sng" algn="ctr">
      <a:solidFill>
        <a:srgbClr val="0070C0"/>
      </a:solidFill>
      <a:prstDash val="solid"/>
      <a:round/>
    </a:ln>
    <a:effectLst/>
  </c:spPr>
  <c:txPr>
    <a:bodyPr wrap="square"/>
    <a:lstStyle/>
    <a:p>
      <a:pPr>
        <a:defRPr lang="zh-CN"/>
      </a:pPr>
    </a:p>
  </c:txPr>
  <c:externalData r:id="rId1">
    <c:autoUpdate val="false"/>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0"/>
          <c:order val="0"/>
          <c:tx>
            <c:strRef>
              <c:f>[图标.xls]相关图表!$C$45</c:f>
              <c:strCache>
                <c:ptCount val="1"/>
                <c:pt idx="0">
                  <c:v>上级补助</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[图标.xls]相关图表!$B$48:$B$52</c:f>
              <c:strCache>
                <c:ptCount val="5"/>
                <c:pt idx="0">
                  <c:v>2021年</c:v>
                </c:pt>
                <c:pt idx="1">
                  <c:v>2022年</c:v>
                </c:pt>
                <c:pt idx="2">
                  <c:v>2023年</c:v>
                </c:pt>
                <c:pt idx="3">
                  <c:v>2024年</c:v>
                </c:pt>
                <c:pt idx="4">
                  <c:v>2025年</c:v>
                </c:pt>
              </c:strCache>
            </c:strRef>
          </c:cat>
          <c:val>
            <c:numRef>
              <c:f>[图标.xls]相关图表!$C$48:$C$52</c:f>
              <c:numCache>
                <c:formatCode>0.00_ </c:formatCode>
                <c:ptCount val="5"/>
                <c:pt idx="0">
                  <c:v>204341.7972</c:v>
                </c:pt>
                <c:pt idx="1">
                  <c:v>224244.68824728</c:v>
                </c:pt>
                <c:pt idx="2">
                  <c:v>246938.250697905</c:v>
                </c:pt>
                <c:pt idx="3">
                  <c:v>272249.42139444</c:v>
                </c:pt>
                <c:pt idx="4">
                  <c:v>299038.764459653</c:v>
                </c:pt>
              </c:numCache>
            </c:numRef>
          </c:val>
        </c:ser>
        <c:ser>
          <c:idx val="2"/>
          <c:order val="2"/>
          <c:tx>
            <c:strRef>
              <c:f>[图标.xls]相关图表!$E$45</c:f>
              <c:strCache>
                <c:ptCount val="1"/>
                <c:pt idx="0">
                  <c:v>返还收入</c:v>
                </c:pt>
              </c:strCache>
            </c:strRef>
          </c:tx>
          <c:spPr>
            <a:solidFill>
              <a:schemeClr val="accent3"/>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[图标.xls]相关图表!$B$48:$B$52</c:f>
              <c:strCache>
                <c:ptCount val="5"/>
                <c:pt idx="0">
                  <c:v>2021年</c:v>
                </c:pt>
                <c:pt idx="1">
                  <c:v>2022年</c:v>
                </c:pt>
                <c:pt idx="2">
                  <c:v>2023年</c:v>
                </c:pt>
                <c:pt idx="3">
                  <c:v>2024年</c:v>
                </c:pt>
                <c:pt idx="4">
                  <c:v>2025年</c:v>
                </c:pt>
              </c:strCache>
            </c:strRef>
          </c:cat>
          <c:val>
            <c:numRef>
              <c:f>[图标.xls]相关图表!$E$48:$E$52</c:f>
              <c:numCache>
                <c:formatCode>0.00_ </c:formatCode>
                <c:ptCount val="5"/>
                <c:pt idx="0">
                  <c:v>5676.4818</c:v>
                </c:pt>
                <c:pt idx="1">
                  <c:v>6206.66520012</c:v>
                </c:pt>
                <c:pt idx="2">
                  <c:v>6651.06242844859</c:v>
                </c:pt>
                <c:pt idx="3">
                  <c:v>7235.69081590922</c:v>
                </c:pt>
                <c:pt idx="4">
                  <c:v>7889.79726566742</c:v>
                </c:pt>
              </c:numCache>
            </c:numRef>
          </c:val>
        </c:ser>
        <c:ser>
          <c:idx val="4"/>
          <c:order val="4"/>
          <c:tx>
            <c:strRef>
              <c:f>[图标.xls]相关图表!$G$45</c:f>
              <c:strCache>
                <c:ptCount val="1"/>
                <c:pt idx="0">
                  <c:v>一般性转移支付收入</c:v>
                </c:pt>
              </c:strCache>
            </c:strRef>
          </c:tx>
          <c:invertIfNegative val="false"/>
          <c:dLbls>
            <c:delete val="true"/>
          </c:dLbls>
          <c:cat>
            <c:strRef>
              <c:f>[图标.xls]相关图表!$B$48:$B$52</c:f>
              <c:strCache>
                <c:ptCount val="5"/>
                <c:pt idx="0">
                  <c:v>2021年</c:v>
                </c:pt>
                <c:pt idx="1">
                  <c:v>2022年</c:v>
                </c:pt>
                <c:pt idx="2">
                  <c:v>2023年</c:v>
                </c:pt>
                <c:pt idx="3">
                  <c:v>2024年</c:v>
                </c:pt>
                <c:pt idx="4">
                  <c:v>2025年</c:v>
                </c:pt>
              </c:strCache>
            </c:strRef>
          </c:cat>
          <c:val>
            <c:numRef>
              <c:f>[图标.xls]相关图表!$G$48:$G$52</c:f>
              <c:numCache>
                <c:formatCode>0.00_ </c:formatCode>
                <c:ptCount val="5"/>
                <c:pt idx="0">
                  <c:v>69024.9653</c:v>
                </c:pt>
                <c:pt idx="1">
                  <c:v>73822.20038835</c:v>
                </c:pt>
                <c:pt idx="2">
                  <c:v>78133.4168910296</c:v>
                </c:pt>
                <c:pt idx="3">
                  <c:v>83188.6489638793</c:v>
                </c:pt>
                <c:pt idx="4">
                  <c:v>89045.1298509364</c:v>
                </c:pt>
              </c:numCache>
            </c:numRef>
          </c:val>
        </c:ser>
        <c:ser>
          <c:idx val="6"/>
          <c:order val="6"/>
          <c:tx>
            <c:strRef>
              <c:f>[图标.xls]相关图表!$J$45</c:f>
              <c:strCache>
                <c:ptCount val="1"/>
                <c:pt idx="0">
                  <c:v>专项转移支付收入</c:v>
                </c:pt>
              </c:strCache>
            </c:strRef>
          </c:tx>
          <c:invertIfNegative val="false"/>
          <c:dLbls>
            <c:delete val="true"/>
          </c:dLbls>
          <c:cat>
            <c:strRef>
              <c:f>[图标.xls]相关图表!$B$48:$B$52</c:f>
              <c:strCache>
                <c:ptCount val="5"/>
                <c:pt idx="0">
                  <c:v>2021年</c:v>
                </c:pt>
                <c:pt idx="1">
                  <c:v>2022年</c:v>
                </c:pt>
                <c:pt idx="2">
                  <c:v>2023年</c:v>
                </c:pt>
                <c:pt idx="3">
                  <c:v>2024年</c:v>
                </c:pt>
                <c:pt idx="4">
                  <c:v>2025年</c:v>
                </c:pt>
              </c:strCache>
            </c:strRef>
          </c:cat>
          <c:val>
            <c:numRef>
              <c:f>[图标.xls]相关图表!$J$48:$J$52</c:f>
              <c:numCache>
                <c:formatCode>0.00_ </c:formatCode>
                <c:ptCount val="5"/>
                <c:pt idx="0">
                  <c:v>129640.3501</c:v>
                </c:pt>
                <c:pt idx="1">
                  <c:v>144215.82265881</c:v>
                </c:pt>
                <c:pt idx="2">
                  <c:v>162153.771378427</c:v>
                </c:pt>
                <c:pt idx="3">
                  <c:v>181825.081614651</c:v>
                </c:pt>
                <c:pt idx="4">
                  <c:v>202103.837343049</c:v>
                </c:pt>
              </c:numCache>
            </c:numRef>
          </c:val>
        </c:ser>
        <c:dLbls>
          <c:showLegendKey val="false"/>
          <c:showVal val="false"/>
          <c:showCatName val="false"/>
          <c:showSerName val="false"/>
          <c:showPercent val="false"/>
          <c:showBubbleSize val="false"/>
        </c:dLbls>
        <c:gapWidth val="219"/>
        <c:overlap val="-27"/>
        <c:axId val="469890560"/>
        <c:axId val="469892096"/>
      </c:barChart>
      <c:lineChart>
        <c:grouping val="standard"/>
        <c:varyColors val="false"/>
        <c:ser>
          <c:idx val="1"/>
          <c:order val="1"/>
          <c:tx>
            <c:strRef>
              <c:f>[图标.xls]相关图表!$D$45</c:f>
              <c:strCache>
                <c:ptCount val="1"/>
                <c:pt idx="0">
                  <c:v>上级补助增长率</c:v>
                </c:pt>
              </c:strCache>
            </c:strRef>
          </c:tx>
          <c:spPr>
            <a:effectLst/>
          </c:spPr>
          <c:marker>
            <c:symbol val="none"/>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[图标.xls]相关图表!$B$48:$B$52</c:f>
              <c:strCache>
                <c:ptCount val="5"/>
                <c:pt idx="0">
                  <c:v>2021年</c:v>
                </c:pt>
                <c:pt idx="1">
                  <c:v>2022年</c:v>
                </c:pt>
                <c:pt idx="2">
                  <c:v>2023年</c:v>
                </c:pt>
                <c:pt idx="3">
                  <c:v>2024年</c:v>
                </c:pt>
                <c:pt idx="4">
                  <c:v>2025年</c:v>
                </c:pt>
              </c:strCache>
            </c:strRef>
          </c:cat>
          <c:val>
            <c:numRef>
              <c:f>[图标.xls]相关图表!$D$48:$D$52</c:f>
              <c:numCache>
                <c:formatCode>0.00%</c:formatCode>
                <c:ptCount val="5"/>
                <c:pt idx="0">
                  <c:v>0.0986</c:v>
                </c:pt>
                <c:pt idx="1">
                  <c:v>0.0974</c:v>
                </c:pt>
                <c:pt idx="2">
                  <c:v>0.1012</c:v>
                </c:pt>
                <c:pt idx="3">
                  <c:v>0.1025</c:v>
                </c:pt>
                <c:pt idx="4">
                  <c:v>0.0984</c:v>
                </c:pt>
              </c:numCache>
            </c:numRef>
          </c:val>
          <c:smooth val="false"/>
        </c:ser>
        <c:ser>
          <c:idx val="3"/>
          <c:order val="3"/>
          <c:tx>
            <c:strRef>
              <c:f>[图标.xls]相关图表!$F$45</c:f>
              <c:strCache>
                <c:ptCount val="1"/>
                <c:pt idx="0">
                  <c:v>返还收入增长率</c:v>
                </c:pt>
              </c:strCache>
            </c:strRef>
          </c:tx>
          <c:spPr>
            <a:effectLst/>
          </c:spPr>
          <c:marker>
            <c:symbol val="none"/>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[图标.xls]相关图表!$B$48:$B$52</c:f>
              <c:strCache>
                <c:ptCount val="5"/>
                <c:pt idx="0">
                  <c:v>2021年</c:v>
                </c:pt>
                <c:pt idx="1">
                  <c:v>2022年</c:v>
                </c:pt>
                <c:pt idx="2">
                  <c:v>2023年</c:v>
                </c:pt>
                <c:pt idx="3">
                  <c:v>2024年</c:v>
                </c:pt>
                <c:pt idx="4">
                  <c:v>2025年</c:v>
                </c:pt>
              </c:strCache>
            </c:strRef>
          </c:cat>
          <c:val>
            <c:numRef>
              <c:f>[图标.xls]相关图表!$F$48:$F$52</c:f>
              <c:numCache>
                <c:formatCode>0.00%</c:formatCode>
                <c:ptCount val="5"/>
                <c:pt idx="0">
                  <c:v>0.0887</c:v>
                </c:pt>
                <c:pt idx="1">
                  <c:v>0.0934</c:v>
                </c:pt>
                <c:pt idx="2">
                  <c:v>0.0716</c:v>
                </c:pt>
                <c:pt idx="3">
                  <c:v>0.0879</c:v>
                </c:pt>
                <c:pt idx="4">
                  <c:v>0.0904</c:v>
                </c:pt>
              </c:numCache>
            </c:numRef>
          </c:val>
          <c:smooth val="false"/>
        </c:ser>
        <c:ser>
          <c:idx val="5"/>
          <c:order val="5"/>
          <c:tx>
            <c:strRef>
              <c:f>[图标.xls]相关图表!$I$45</c:f>
              <c:strCache>
                <c:ptCount val="1"/>
                <c:pt idx="0">
                  <c:v>一般性转移支付增长率</c:v>
                </c:pt>
              </c:strCache>
            </c:strRef>
          </c:tx>
          <c:marker>
            <c:symbol val="none"/>
          </c:marker>
          <c:dLbls>
            <c:delete val="true"/>
          </c:dLbls>
          <c:cat>
            <c:strRef>
              <c:f>[图标.xls]相关图表!$B$48:$B$52</c:f>
              <c:strCache>
                <c:ptCount val="5"/>
                <c:pt idx="0">
                  <c:v>2021年</c:v>
                </c:pt>
                <c:pt idx="1">
                  <c:v>2022年</c:v>
                </c:pt>
                <c:pt idx="2">
                  <c:v>2023年</c:v>
                </c:pt>
                <c:pt idx="3">
                  <c:v>2024年</c:v>
                </c:pt>
                <c:pt idx="4">
                  <c:v>2025年</c:v>
                </c:pt>
              </c:strCache>
            </c:strRef>
          </c:cat>
          <c:val>
            <c:numRef>
              <c:f>[图标.xls]相关图表!$I$48:$I$52</c:f>
              <c:numCache>
                <c:formatCode>0.00%</c:formatCode>
                <c:ptCount val="5"/>
                <c:pt idx="0">
                  <c:v>0.0529</c:v>
                </c:pt>
                <c:pt idx="1">
                  <c:v>0.0695</c:v>
                </c:pt>
                <c:pt idx="2">
                  <c:v>0.0584</c:v>
                </c:pt>
                <c:pt idx="3">
                  <c:v>0.0647</c:v>
                </c:pt>
                <c:pt idx="4">
                  <c:v>0.0704</c:v>
                </c:pt>
              </c:numCache>
            </c:numRef>
          </c:val>
          <c:smooth val="false"/>
        </c:ser>
        <c:ser>
          <c:idx val="7"/>
          <c:order val="7"/>
          <c:tx>
            <c:strRef>
              <c:f>[图标.xls]相关图表!$K$45</c:f>
              <c:strCache>
                <c:ptCount val="1"/>
                <c:pt idx="0">
                  <c:v>专项转移支付增长率</c:v>
                </c:pt>
              </c:strCache>
            </c:strRef>
          </c:tx>
          <c:marker>
            <c:symbol val="none"/>
          </c:marker>
          <c:dLbls>
            <c:delete val="true"/>
          </c:dLbls>
          <c:cat>
            <c:strRef>
              <c:f>[图标.xls]相关图表!$B$48:$B$52</c:f>
              <c:strCache>
                <c:ptCount val="5"/>
                <c:pt idx="0">
                  <c:v>2021年</c:v>
                </c:pt>
                <c:pt idx="1">
                  <c:v>2022年</c:v>
                </c:pt>
                <c:pt idx="2">
                  <c:v>2023年</c:v>
                </c:pt>
                <c:pt idx="3">
                  <c:v>2024年</c:v>
                </c:pt>
                <c:pt idx="4">
                  <c:v>2025年</c:v>
                </c:pt>
              </c:strCache>
            </c:strRef>
          </c:cat>
          <c:val>
            <c:numRef>
              <c:f>[图标.xls]相关图表!$K$48:$K$52</c:f>
              <c:numCache>
                <c:formatCode>0.00%</c:formatCode>
                <c:ptCount val="5"/>
                <c:pt idx="0">
                  <c:v>0.125047514123803</c:v>
                </c:pt>
                <c:pt idx="1">
                  <c:v>0.112430061686558</c:v>
                </c:pt>
                <c:pt idx="2">
                  <c:v>0.124382667511142</c:v>
                </c:pt>
                <c:pt idx="3">
                  <c:v>0.1213126902261</c:v>
                </c:pt>
                <c:pt idx="4">
                  <c:v>0.111528924108364</c:v>
                </c:pt>
              </c:numCache>
            </c:numRef>
          </c:val>
          <c:smooth val="false"/>
        </c:ser>
        <c:dLbls>
          <c:showLegendKey val="false"/>
          <c:showVal val="false"/>
          <c:showCatName val="false"/>
          <c:showSerName val="false"/>
          <c:showPercent val="false"/>
          <c:showBubbleSize val="false"/>
        </c:dLbls>
        <c:marker val="false"/>
        <c:smooth val="false"/>
        <c:axId val="469959424"/>
        <c:axId val="469960960"/>
      </c:lineChart>
      <c:catAx>
        <c:axId val="469890560"/>
        <c:scaling>
          <c:orientation val="minMax"/>
        </c:scaling>
        <c:delete val="false"/>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69892096"/>
        <c:crosses val="autoZero"/>
        <c:auto val="true"/>
        <c:lblAlgn val="ctr"/>
        <c:lblOffset val="100"/>
        <c:noMultiLvlLbl val="false"/>
      </c:catAx>
      <c:valAx>
        <c:axId val="469892096"/>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0.00_ " sourceLinked="true"/>
        <c:majorTickMark val="none"/>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69890560"/>
        <c:crosses val="autoZero"/>
        <c:crossBetween val="between"/>
      </c:valAx>
      <c:catAx>
        <c:axId val="469959424"/>
        <c:scaling>
          <c:orientation val="minMax"/>
        </c:scaling>
        <c:delete val="true"/>
        <c:axPos val="b"/>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69960960"/>
        <c:crosses val="autoZero"/>
        <c:auto val="true"/>
        <c:lblAlgn val="ctr"/>
        <c:lblOffset val="100"/>
        <c:noMultiLvlLbl val="false"/>
      </c:catAx>
      <c:valAx>
        <c:axId val="469960960"/>
        <c:scaling>
          <c:orientation val="minMax"/>
        </c:scaling>
        <c:delete val="false"/>
        <c:axPos val="r"/>
        <c:numFmt formatCode="0.00%"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69959424"/>
        <c:crosses val="max"/>
        <c:crossBetween val="between"/>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false"/>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0"/>
          <c:order val="0"/>
          <c:tx>
            <c:strRef>
              <c:f>[图标.xls]相关图表!$C$179</c:f>
              <c:strCache>
                <c:ptCount val="1"/>
                <c:pt idx="0">
                  <c:v>政府性基金收入</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[图标.xls]相关图表!$B$180:$B$184</c:f>
              <c:strCache>
                <c:ptCount val="5"/>
                <c:pt idx="0">
                  <c:v>2021年</c:v>
                </c:pt>
                <c:pt idx="1">
                  <c:v>2022年</c:v>
                </c:pt>
                <c:pt idx="2">
                  <c:v>2023年</c:v>
                </c:pt>
                <c:pt idx="3">
                  <c:v>2024年</c:v>
                </c:pt>
                <c:pt idx="4">
                  <c:v>2025年</c:v>
                </c:pt>
              </c:strCache>
            </c:strRef>
          </c:cat>
          <c:val>
            <c:numRef>
              <c:f>[图标.xls]相关图表!$C$180:$C$184</c:f>
              <c:numCache>
                <c:formatCode>0.00_ </c:formatCode>
                <c:ptCount val="5"/>
                <c:pt idx="0">
                  <c:v>275512.796391</c:v>
                </c:pt>
                <c:pt idx="1">
                  <c:v>270380.57256</c:v>
                </c:pt>
                <c:pt idx="2">
                  <c:v>255359.42964</c:v>
                </c:pt>
                <c:pt idx="3">
                  <c:v>231575.95335</c:v>
                </c:pt>
                <c:pt idx="4">
                  <c:v>218933.158059</c:v>
                </c:pt>
              </c:numCache>
            </c:numRef>
          </c:val>
        </c:ser>
        <c:dLbls>
          <c:showLegendKey val="false"/>
          <c:showVal val="false"/>
          <c:showCatName val="false"/>
          <c:showSerName val="false"/>
          <c:showPercent val="false"/>
          <c:showBubbleSize val="false"/>
        </c:dLbls>
        <c:gapWidth val="219"/>
        <c:overlap val="-27"/>
        <c:axId val="471339776"/>
        <c:axId val="471341312"/>
      </c:barChart>
      <c:lineChart>
        <c:grouping val="standard"/>
        <c:varyColors val="false"/>
        <c:ser>
          <c:idx val="1"/>
          <c:order val="1"/>
          <c:tx>
            <c:strRef>
              <c:f>[图标.xls]相关图表!$D$179</c:f>
              <c:strCache>
                <c:ptCount val="1"/>
                <c:pt idx="0">
                  <c:v>增长率</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[图标.xls]相关图表!$B$180:$B$184</c:f>
              <c:strCache>
                <c:ptCount val="5"/>
                <c:pt idx="0">
                  <c:v>2021年</c:v>
                </c:pt>
                <c:pt idx="1">
                  <c:v>2022年</c:v>
                </c:pt>
                <c:pt idx="2">
                  <c:v>2023年</c:v>
                </c:pt>
                <c:pt idx="3">
                  <c:v>2024年</c:v>
                </c:pt>
                <c:pt idx="4">
                  <c:v>2025年</c:v>
                </c:pt>
              </c:strCache>
            </c:strRef>
          </c:cat>
          <c:val>
            <c:numRef>
              <c:f>[图标.xls]相关图表!$D$180:$D$184</c:f>
              <c:numCache>
                <c:formatCode>0.00%</c:formatCode>
                <c:ptCount val="5"/>
                <c:pt idx="0">
                  <c:v>-0.27731505136989</c:v>
                </c:pt>
                <c:pt idx="1">
                  <c:v>-0.0186278964107223</c:v>
                </c:pt>
                <c:pt idx="2">
                  <c:v>-0.0555555555555557</c:v>
                </c:pt>
                <c:pt idx="3">
                  <c:v>-0.0931372549019606</c:v>
                </c:pt>
                <c:pt idx="4">
                  <c:v>-0.054594594594594</c:v>
                </c:pt>
              </c:numCache>
            </c:numRef>
          </c:val>
          <c:smooth val="false"/>
        </c:ser>
        <c:dLbls>
          <c:showLegendKey val="false"/>
          <c:showVal val="false"/>
          <c:showCatName val="false"/>
          <c:showSerName val="false"/>
          <c:showPercent val="false"/>
          <c:showBubbleSize val="false"/>
        </c:dLbls>
        <c:marker val="false"/>
        <c:smooth val="false"/>
        <c:axId val="471343104"/>
        <c:axId val="471344640"/>
      </c:lineChart>
      <c:catAx>
        <c:axId val="471339776"/>
        <c:scaling>
          <c:orientation val="minMax"/>
        </c:scaling>
        <c:delete val="false"/>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1341312"/>
        <c:crosses val="autoZero"/>
        <c:auto val="true"/>
        <c:lblAlgn val="ctr"/>
        <c:lblOffset val="100"/>
        <c:noMultiLvlLbl val="false"/>
      </c:catAx>
      <c:valAx>
        <c:axId val="471341312"/>
        <c:scaling>
          <c:orientation val="minMax"/>
        </c:scaling>
        <c:delete val="false"/>
        <c:axPos val="l"/>
        <c:numFmt formatCode="0.00_ " sourceLinked="true"/>
        <c:majorTickMark val="none"/>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1339776"/>
        <c:crosses val="autoZero"/>
        <c:crossBetween val="between"/>
      </c:valAx>
      <c:catAx>
        <c:axId val="471343104"/>
        <c:scaling>
          <c:orientation val="minMax"/>
        </c:scaling>
        <c:delete val="true"/>
        <c:axPos val="b"/>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71344640"/>
        <c:crosses val="autoZero"/>
        <c:auto val="true"/>
        <c:lblAlgn val="ctr"/>
        <c:lblOffset val="100"/>
        <c:noMultiLvlLbl val="false"/>
      </c:catAx>
      <c:valAx>
        <c:axId val="471344640"/>
        <c:scaling>
          <c:orientation val="minMax"/>
          <c:max val="0.05"/>
          <c:min val="-0.3"/>
        </c:scaling>
        <c:delete val="false"/>
        <c:axPos val="r"/>
        <c:numFmt formatCode="0.00%" sourceLinked="true"/>
        <c:majorTickMark val="out"/>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1343104"/>
        <c:crosses val="max"/>
        <c:crossBetween val="between"/>
        <c:minorUnit val="0.008"/>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false"/>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0"/>
          <c:order val="0"/>
          <c:tx>
            <c:strRef>
              <c:f>[图标.xls]相关图表!$C$121</c:f>
              <c:strCache>
                <c:ptCount val="1"/>
                <c:pt idx="0">
                  <c:v>社保基金收入</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[图标.xls]相关图表!$B$122:$B$126</c:f>
              <c:strCache>
                <c:ptCount val="5"/>
                <c:pt idx="0">
                  <c:v>2021年</c:v>
                </c:pt>
                <c:pt idx="1">
                  <c:v>2012年</c:v>
                </c:pt>
                <c:pt idx="2">
                  <c:v>2023年</c:v>
                </c:pt>
                <c:pt idx="3">
                  <c:v>2024年</c:v>
                </c:pt>
                <c:pt idx="4">
                  <c:v>2025年</c:v>
                </c:pt>
              </c:strCache>
            </c:strRef>
          </c:cat>
          <c:val>
            <c:numRef>
              <c:f>[图标.xls]相关图表!$C$122:$C$126</c:f>
              <c:numCache>
                <c:formatCode>General</c:formatCode>
                <c:ptCount val="5"/>
                <c:pt idx="0">
                  <c:v>44248.113425</c:v>
                </c:pt>
                <c:pt idx="1" c:formatCode="0.00_ ">
                  <c:v>47544.5978751625</c:v>
                </c:pt>
                <c:pt idx="2" c:formatCode="0.00_ ">
                  <c:v>51062.8981179245</c:v>
                </c:pt>
                <c:pt idx="3" c:formatCode="0.00_ ">
                  <c:v>54831.3399990274</c:v>
                </c:pt>
                <c:pt idx="4" c:formatCode="0.00_ ">
                  <c:v>58927.2410969547</c:v>
                </c:pt>
              </c:numCache>
            </c:numRef>
          </c:val>
        </c:ser>
        <c:dLbls>
          <c:showLegendKey val="false"/>
          <c:showVal val="false"/>
          <c:showCatName val="false"/>
          <c:showSerName val="false"/>
          <c:showPercent val="false"/>
          <c:showBubbleSize val="false"/>
        </c:dLbls>
        <c:gapWidth val="219"/>
        <c:overlap val="-27"/>
        <c:axId val="474095616"/>
        <c:axId val="474097152"/>
      </c:barChart>
      <c:lineChart>
        <c:grouping val="standard"/>
        <c:varyColors val="false"/>
        <c:ser>
          <c:idx val="1"/>
          <c:order val="1"/>
          <c:tx>
            <c:strRef>
              <c:f>[图标.xls]相关图表!$D$121</c:f>
              <c:strCache>
                <c:ptCount val="1"/>
                <c:pt idx="0">
                  <c:v>增长率</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[图标.xls]相关图表!$B$122:$B$126</c:f>
              <c:strCache>
                <c:ptCount val="5"/>
                <c:pt idx="0">
                  <c:v>2021年</c:v>
                </c:pt>
                <c:pt idx="1">
                  <c:v>2012年</c:v>
                </c:pt>
                <c:pt idx="2">
                  <c:v>2023年</c:v>
                </c:pt>
                <c:pt idx="3">
                  <c:v>2024年</c:v>
                </c:pt>
                <c:pt idx="4">
                  <c:v>2025年</c:v>
                </c:pt>
              </c:strCache>
            </c:strRef>
          </c:cat>
          <c:val>
            <c:numRef>
              <c:f>[图标.xls]相关图表!$D$122:$D$126</c:f>
              <c:numCache>
                <c:formatCode>0.00%</c:formatCode>
                <c:ptCount val="5"/>
                <c:pt idx="0">
                  <c:v>0.0735</c:v>
                </c:pt>
                <c:pt idx="1">
                  <c:v>0.0745</c:v>
                </c:pt>
                <c:pt idx="2">
                  <c:v>0.074</c:v>
                </c:pt>
                <c:pt idx="3">
                  <c:v>0.0738</c:v>
                </c:pt>
                <c:pt idx="4">
                  <c:v>0.0747</c:v>
                </c:pt>
              </c:numCache>
            </c:numRef>
          </c:val>
          <c:smooth val="false"/>
        </c:ser>
        <c:dLbls>
          <c:showLegendKey val="false"/>
          <c:showVal val="false"/>
          <c:showCatName val="false"/>
          <c:showSerName val="false"/>
          <c:showPercent val="false"/>
          <c:showBubbleSize val="false"/>
        </c:dLbls>
        <c:marker val="false"/>
        <c:smooth val="false"/>
        <c:axId val="474098688"/>
        <c:axId val="474100480"/>
      </c:lineChart>
      <c:catAx>
        <c:axId val="474095616"/>
        <c:scaling>
          <c:orientation val="minMax"/>
        </c:scaling>
        <c:delete val="false"/>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4097152"/>
        <c:crosses val="autoZero"/>
        <c:auto val="true"/>
        <c:lblAlgn val="ctr"/>
        <c:lblOffset val="100"/>
        <c:noMultiLvlLbl val="false"/>
      </c:catAx>
      <c:valAx>
        <c:axId val="474097152"/>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4095616"/>
        <c:crosses val="autoZero"/>
        <c:crossBetween val="between"/>
      </c:valAx>
      <c:catAx>
        <c:axId val="474098688"/>
        <c:scaling>
          <c:orientation val="minMax"/>
        </c:scaling>
        <c:delete val="true"/>
        <c:axPos val="b"/>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74100480"/>
        <c:crosses val="autoZero"/>
        <c:auto val="true"/>
        <c:lblAlgn val="ctr"/>
        <c:lblOffset val="100"/>
        <c:noMultiLvlLbl val="false"/>
      </c:catAx>
      <c:valAx>
        <c:axId val="474100480"/>
        <c:scaling>
          <c:orientation val="minMax"/>
          <c:max val="0.08"/>
          <c:min val="0.06"/>
        </c:scaling>
        <c:delete val="false"/>
        <c:axPos val="r"/>
        <c:numFmt formatCode="0.00%" sourceLinked="true"/>
        <c:majorTickMark val="out"/>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4098688"/>
        <c:crosses val="max"/>
        <c:crossBetween val="between"/>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false"/>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0"/>
          <c:order val="0"/>
          <c:tx>
            <c:strRef>
              <c:f>[图标.xls]相关图表!$A$237</c:f>
              <c:strCache>
                <c:ptCount val="1"/>
                <c:pt idx="0">
                  <c:v>一般公共预算收入</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([图标.xls]相关图表!$B$236:$F$236,[图标.xls]相关图表!$H$236)</c:f>
              <c:strCache>
                <c:ptCount val="6"/>
                <c:pt idx="0">
                  <c:v>2021年</c:v>
                </c:pt>
                <c:pt idx="1">
                  <c:v>2022年</c:v>
                </c:pt>
                <c:pt idx="2">
                  <c:v>2023年</c:v>
                </c:pt>
                <c:pt idx="3">
                  <c:v>2024年</c:v>
                </c:pt>
                <c:pt idx="4">
                  <c:v>2025年</c:v>
                </c:pt>
                <c:pt idx="5">
                  <c:v>“十四五”累计</c:v>
                </c:pt>
              </c:strCache>
            </c:strRef>
          </c:cat>
          <c:val>
            <c:numRef>
              <c:f>([图标.xls]相关图表!$B$237:$F$237,[图标.xls]相关图表!$H$237)</c:f>
              <c:numCache>
                <c:formatCode>General</c:formatCode>
                <c:ptCount val="6"/>
                <c:pt idx="0">
                  <c:v>8.38</c:v>
                </c:pt>
                <c:pt idx="1">
                  <c:v>8.9</c:v>
                </c:pt>
                <c:pt idx="2">
                  <c:v>9.49</c:v>
                </c:pt>
                <c:pt idx="3">
                  <c:v>10.06</c:v>
                </c:pt>
                <c:pt idx="4">
                  <c:v>10.67</c:v>
                </c:pt>
                <c:pt idx="5">
                  <c:v>47.5</c:v>
                </c:pt>
              </c:numCache>
            </c:numRef>
          </c:val>
        </c:ser>
        <c:ser>
          <c:idx val="1"/>
          <c:order val="1"/>
          <c:tx>
            <c:strRef>
              <c:f>[图标.xls]相关图表!$A$238</c:f>
              <c:strCache>
                <c:ptCount val="1"/>
                <c:pt idx="0">
                  <c:v>上级补助收入</c:v>
                </c:pt>
              </c:strCache>
            </c:strRef>
          </c:tx>
          <c:spPr>
            <a:solidFill>
              <a:schemeClr val="accent2"/>
            </a:solidFill>
            <a:ln>
              <a:noFill/>
            </a:ln>
            <a:effectLst/>
          </c:spPr>
          <c:invertIfNegative val="false"/>
          <c:dLbls>
            <c:dLbl>
              <c:idx val="5"/>
              <c:layout>
                <c:manualLayout>
                  <c:x val="-0.0190277777777778"/>
                  <c:y val="-0.00324074074074074"/>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([图标.xls]相关图表!$B$236:$F$236,[图标.xls]相关图表!$H$236)</c:f>
              <c:strCache>
                <c:ptCount val="6"/>
                <c:pt idx="0">
                  <c:v>2021年</c:v>
                </c:pt>
                <c:pt idx="1">
                  <c:v>2022年</c:v>
                </c:pt>
                <c:pt idx="2">
                  <c:v>2023年</c:v>
                </c:pt>
                <c:pt idx="3">
                  <c:v>2024年</c:v>
                </c:pt>
                <c:pt idx="4">
                  <c:v>2025年</c:v>
                </c:pt>
                <c:pt idx="5">
                  <c:v>“十四五”累计</c:v>
                </c:pt>
              </c:strCache>
            </c:strRef>
          </c:cat>
          <c:val>
            <c:numRef>
              <c:f>([图标.xls]相关图表!$B$238:$F$238,[图标.xls]相关图表!$H$238)</c:f>
              <c:numCache>
                <c:formatCode>General</c:formatCode>
                <c:ptCount val="6"/>
                <c:pt idx="0">
                  <c:v>20.43</c:v>
                </c:pt>
                <c:pt idx="1">
                  <c:v>22.42</c:v>
                </c:pt>
                <c:pt idx="2">
                  <c:v>24.69</c:v>
                </c:pt>
                <c:pt idx="3">
                  <c:v>27.22</c:v>
                </c:pt>
                <c:pt idx="4">
                  <c:v>29.9</c:v>
                </c:pt>
                <c:pt idx="5">
                  <c:v>124.68</c:v>
                </c:pt>
              </c:numCache>
            </c:numRef>
          </c:val>
        </c:ser>
        <c:ser>
          <c:idx val="2"/>
          <c:order val="2"/>
          <c:tx>
            <c:strRef>
              <c:f>[图标.xls]相关图表!$A$239</c:f>
              <c:strCache>
                <c:ptCount val="1"/>
                <c:pt idx="0">
                  <c:v>政府性基金收入</c:v>
                </c:pt>
              </c:strCache>
            </c:strRef>
          </c:tx>
          <c:spPr>
            <a:solidFill>
              <a:schemeClr val="accent3"/>
            </a:solidFill>
            <a:ln>
              <a:noFill/>
            </a:ln>
            <a:effectLst/>
          </c:spPr>
          <c:invertIfNegative val="false"/>
          <c:dLbls>
            <c:dLbl>
              <c:idx val="5"/>
              <c:layout>
                <c:manualLayout>
                  <c:x val="0.0245833333333333"/>
                  <c:y val="0.00949074074074074"/>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([图标.xls]相关图表!$B$236:$F$236,[图标.xls]相关图表!$H$236)</c:f>
              <c:strCache>
                <c:ptCount val="6"/>
                <c:pt idx="0">
                  <c:v>2021年</c:v>
                </c:pt>
                <c:pt idx="1">
                  <c:v>2022年</c:v>
                </c:pt>
                <c:pt idx="2">
                  <c:v>2023年</c:v>
                </c:pt>
                <c:pt idx="3">
                  <c:v>2024年</c:v>
                </c:pt>
                <c:pt idx="4">
                  <c:v>2025年</c:v>
                </c:pt>
                <c:pt idx="5">
                  <c:v>“十四五”累计</c:v>
                </c:pt>
              </c:strCache>
            </c:strRef>
          </c:cat>
          <c:val>
            <c:numRef>
              <c:f>([图标.xls]相关图表!$B$239:$F$239,[图标.xls]相关图表!$H$239)</c:f>
              <c:numCache>
                <c:formatCode>General</c:formatCode>
                <c:ptCount val="6"/>
                <c:pt idx="0">
                  <c:v>27.55</c:v>
                </c:pt>
                <c:pt idx="1">
                  <c:v>27.04</c:v>
                </c:pt>
                <c:pt idx="2">
                  <c:v>25.53</c:v>
                </c:pt>
                <c:pt idx="3">
                  <c:v>23.16</c:v>
                </c:pt>
                <c:pt idx="4">
                  <c:v>21.89</c:v>
                </c:pt>
                <c:pt idx="5">
                  <c:v>125.18</c:v>
                </c:pt>
              </c:numCache>
            </c:numRef>
          </c:val>
        </c:ser>
        <c:ser>
          <c:idx val="3"/>
          <c:order val="3"/>
          <c:tx>
            <c:strRef>
              <c:f>[图标.xls]相关图表!$A$240</c:f>
              <c:strCache>
                <c:ptCount val="1"/>
                <c:pt idx="0">
                  <c:v>社保基金收入</c:v>
                </c:pt>
              </c:strCache>
            </c:strRef>
          </c:tx>
          <c:spPr>
            <a:solidFill>
              <a:schemeClr val="accent4"/>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([图标.xls]相关图表!$B$236:$F$236,[图标.xls]相关图表!$H$236)</c:f>
              <c:strCache>
                <c:ptCount val="6"/>
                <c:pt idx="0">
                  <c:v>2021年</c:v>
                </c:pt>
                <c:pt idx="1">
                  <c:v>2022年</c:v>
                </c:pt>
                <c:pt idx="2">
                  <c:v>2023年</c:v>
                </c:pt>
                <c:pt idx="3">
                  <c:v>2024年</c:v>
                </c:pt>
                <c:pt idx="4">
                  <c:v>2025年</c:v>
                </c:pt>
                <c:pt idx="5">
                  <c:v>“十四五”累计</c:v>
                </c:pt>
              </c:strCache>
            </c:strRef>
          </c:cat>
          <c:val>
            <c:numRef>
              <c:f>([图标.xls]相关图表!$B$240:$F$240,[图标.xls]相关图表!$H$240)</c:f>
              <c:numCache>
                <c:formatCode>General</c:formatCode>
                <c:ptCount val="6"/>
                <c:pt idx="0">
                  <c:v>4.42</c:v>
                </c:pt>
                <c:pt idx="1">
                  <c:v>4.75</c:v>
                </c:pt>
                <c:pt idx="2">
                  <c:v>5.11</c:v>
                </c:pt>
                <c:pt idx="3">
                  <c:v>5.48</c:v>
                </c:pt>
                <c:pt idx="4">
                  <c:v>5.89</c:v>
                </c:pt>
                <c:pt idx="5">
                  <c:v>25.65</c:v>
                </c:pt>
              </c:numCache>
            </c:numRef>
          </c:val>
        </c:ser>
        <c:dLbls>
          <c:showLegendKey val="false"/>
          <c:showVal val="true"/>
          <c:showCatName val="false"/>
          <c:showSerName val="false"/>
          <c:showPercent val="false"/>
          <c:showBubbleSize val="false"/>
        </c:dLbls>
        <c:gapWidth val="219"/>
        <c:overlap val="-27"/>
        <c:axId val="474141056"/>
        <c:axId val="474142592"/>
      </c:barChart>
      <c:catAx>
        <c:axId val="474141056"/>
        <c:scaling>
          <c:orientation val="minMax"/>
        </c:scaling>
        <c:delete val="false"/>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4142592"/>
        <c:crosses val="autoZero"/>
        <c:auto val="true"/>
        <c:lblAlgn val="ctr"/>
        <c:lblOffset val="100"/>
        <c:noMultiLvlLbl val="false"/>
      </c:catAx>
      <c:valAx>
        <c:axId val="474142592"/>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noFill/>
          <a:ln w="9525"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4141056"/>
        <c:crosses val="autoZero"/>
        <c:crossBetween val="between"/>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0"/>
          <c:order val="0"/>
          <c:tx>
            <c:strRef>
              <c:f>[图标.xls]相关图表!$H$311</c:f>
              <c:strCache>
                <c:ptCount val="1"/>
                <c:pt idx="0">
                  <c:v>政府综合财力</c:v>
                </c:pt>
              </c:strCache>
            </c:strRef>
          </c:tx>
          <c:spPr>
            <a:solidFill>
              <a:schemeClr val="accent1"/>
            </a:solidFill>
            <a:ln>
              <a:noFill/>
            </a:ln>
            <a:effectLst/>
          </c:spPr>
          <c:invertIfNegative val="false"/>
          <c:dLbls>
            <c:dLbl>
              <c:idx val="1"/>
              <c:layout>
                <c:manualLayout>
                  <c:x val="-0.03125"/>
                  <c:y val="0.0208333333333333"/>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[图标.xls]相关图表!$B$312:$B$316</c:f>
              <c:strCache>
                <c:ptCount val="5"/>
                <c:pt idx="0">
                  <c:v>2016年</c:v>
                </c:pt>
                <c:pt idx="1">
                  <c:v>2017年</c:v>
                </c:pt>
                <c:pt idx="2">
                  <c:v>2018年</c:v>
                </c:pt>
                <c:pt idx="3">
                  <c:v>2019年</c:v>
                </c:pt>
                <c:pt idx="4">
                  <c:v>2020年</c:v>
                </c:pt>
              </c:strCache>
            </c:strRef>
          </c:cat>
          <c:val>
            <c:numRef>
              <c:f>[图标.xls]相关图表!$H$312:$H$316</c:f>
              <c:numCache>
                <c:formatCode>General</c:formatCode>
                <c:ptCount val="5"/>
                <c:pt idx="0">
                  <c:v>187687</c:v>
                </c:pt>
                <c:pt idx="1">
                  <c:v>305382</c:v>
                </c:pt>
                <c:pt idx="2">
                  <c:v>390864</c:v>
                </c:pt>
                <c:pt idx="3">
                  <c:v>441003</c:v>
                </c:pt>
                <c:pt idx="4">
                  <c:v>712840</c:v>
                </c:pt>
              </c:numCache>
            </c:numRef>
          </c:val>
        </c:ser>
        <c:ser>
          <c:idx val="1"/>
          <c:order val="1"/>
          <c:tx>
            <c:strRef>
              <c:f>[图标.xls]相关图表!$I$311</c:f>
              <c:strCache>
                <c:ptCount val="1"/>
                <c:pt idx="0">
                  <c:v>年末政府债务余额</c:v>
                </c:pt>
              </c:strCache>
            </c:strRef>
          </c:tx>
          <c:spPr>
            <a:solidFill>
              <a:schemeClr val="accent2"/>
            </a:solidFill>
            <a:ln>
              <a:noFill/>
            </a:ln>
            <a:effectLst/>
          </c:spPr>
          <c:invertIfNegative val="false"/>
          <c:dLbls>
            <c:dLbl>
              <c:idx val="2"/>
              <c:layout>
                <c:manualLayout>
                  <c:x val="0.0229166666666667"/>
                  <c:y val="0.0381944444444444"/>
                </c:manualLayout>
              </c:layout>
              <c:dLblPos val="outEnd"/>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r>
                      <a:rPr lang="en-US" altLang="en-US"/>
                      <a:t>755842</a:t>
                    </a:r>
                    <a:endParaRPr lang="en-US" altLang="en-US"/>
                  </a:p>
                </c:rich>
              </c:tx>
              <c:dLblPos val="outEnd"/>
              <c:showLegendKey val="false"/>
              <c:showVal val="true"/>
              <c:showCatName val="false"/>
              <c:showSerName val="false"/>
              <c:showPercent val="false"/>
              <c:showBubbleSize val="false"/>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[图标.xls]相关图表!$B$312:$B$316</c:f>
              <c:strCache>
                <c:ptCount val="5"/>
                <c:pt idx="0">
                  <c:v>2016年</c:v>
                </c:pt>
                <c:pt idx="1">
                  <c:v>2017年</c:v>
                </c:pt>
                <c:pt idx="2">
                  <c:v>2018年</c:v>
                </c:pt>
                <c:pt idx="3">
                  <c:v>2019年</c:v>
                </c:pt>
                <c:pt idx="4">
                  <c:v>2020年</c:v>
                </c:pt>
              </c:strCache>
            </c:strRef>
          </c:cat>
          <c:val>
            <c:numRef>
              <c:f>[图标.xls]相关图表!$I$312:$I$316</c:f>
              <c:numCache>
                <c:formatCode>General</c:formatCode>
                <c:ptCount val="5"/>
                <c:pt idx="0">
                  <c:v>249181</c:v>
                </c:pt>
                <c:pt idx="1">
                  <c:v>247394</c:v>
                </c:pt>
                <c:pt idx="2">
                  <c:v>304329</c:v>
                </c:pt>
                <c:pt idx="3">
                  <c:v>708239</c:v>
                </c:pt>
                <c:pt idx="4">
                  <c:v>756000</c:v>
                </c:pt>
              </c:numCache>
            </c:numRef>
          </c:val>
        </c:ser>
        <c:dLbls>
          <c:showLegendKey val="false"/>
          <c:showVal val="false"/>
          <c:showCatName val="false"/>
          <c:showSerName val="false"/>
          <c:showPercent val="false"/>
          <c:showBubbleSize val="false"/>
        </c:dLbls>
        <c:gapWidth val="219"/>
        <c:overlap val="-27"/>
        <c:axId val="475903488"/>
        <c:axId val="475905024"/>
      </c:barChart>
      <c:lineChart>
        <c:grouping val="standard"/>
        <c:varyColors val="false"/>
        <c:ser>
          <c:idx val="2"/>
          <c:order val="2"/>
          <c:tx>
            <c:strRef>
              <c:f>[图标.xls]相关图表!$J$311</c:f>
              <c:strCache>
                <c:ptCount val="1"/>
                <c:pt idx="0">
                  <c:v>债务率</c:v>
                </c:pt>
              </c:strCache>
            </c:strRef>
          </c:tx>
          <c:spPr>
            <a:ln w="28575" cap="rnd" cmpd="sng" algn="ctr">
              <a:solidFill>
                <a:schemeClr val="accent3"/>
              </a:solidFill>
              <a:prstDash val="solid"/>
              <a:round/>
            </a:ln>
            <a:effectLst/>
          </c:spPr>
          <c:marker>
            <c:symbol val="none"/>
          </c:marker>
          <c:dLbls>
            <c:dLbl>
              <c:idx val="1"/>
              <c:layout>
                <c:manualLayout>
                  <c:x val="-0.0395833333333333"/>
                  <c:y val="-0.0208333333333333"/>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2"/>
              <c:layout>
                <c:manualLayout>
                  <c:x val="-0.00208333333333333"/>
                  <c:y val="-0.0694444444444444"/>
                </c:manualLayout>
              </c:layout>
              <c:dLblPos val="r"/>
              <c:showLegendKey val="false"/>
              <c:showVal val="true"/>
              <c:showCatName val="false"/>
              <c:showSerName val="false"/>
              <c:showPercent val="false"/>
              <c:showBubbleSize val="false"/>
              <c:extLst>
                <c:ext xmlns:c15="http://schemas.microsoft.com/office/drawing/2012/chart" uri="{CE6537A1-D6FC-4f65-9D91-7224C49458BB}">
                  <c15:layout/>
                </c:ext>
              </c:extLst>
            </c:dLbl>
            <c:dLbl>
              <c:idx val="4"/>
              <c:layout/>
              <c:tx>
                <c:rich>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r>
                      <a:rPr lang="en-US" altLang="en-US"/>
                      <a:t>106.03%</a:t>
                    </a:r>
                    <a:endParaRPr lang="en-US" altLang="en-US"/>
                  </a:p>
                </c:rich>
              </c:tx>
              <c:dLblPos val="r"/>
              <c:showLegendKey val="false"/>
              <c:showVal val="true"/>
              <c:showCatName val="false"/>
              <c:showSerName val="false"/>
              <c:showPercent val="false"/>
              <c:showBubbleSize val="false"/>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[图标.xls]相关图表!$B$312:$B$316</c:f>
              <c:strCache>
                <c:ptCount val="5"/>
                <c:pt idx="0">
                  <c:v>2016年</c:v>
                </c:pt>
                <c:pt idx="1">
                  <c:v>2017年</c:v>
                </c:pt>
                <c:pt idx="2">
                  <c:v>2018年</c:v>
                </c:pt>
                <c:pt idx="3">
                  <c:v>2019年</c:v>
                </c:pt>
                <c:pt idx="4">
                  <c:v>2020年</c:v>
                </c:pt>
              </c:strCache>
            </c:strRef>
          </c:cat>
          <c:val>
            <c:numRef>
              <c:f>[图标.xls]相关图表!$J$312:$J$316</c:f>
              <c:numCache>
                <c:formatCode>0.00%</c:formatCode>
                <c:ptCount val="5"/>
                <c:pt idx="0">
                  <c:v>1.32764123247748</c:v>
                </c:pt>
                <c:pt idx="1">
                  <c:v>0.8101132352267</c:v>
                </c:pt>
                <c:pt idx="2">
                  <c:v>0.778605857791969</c:v>
                </c:pt>
                <c:pt idx="3">
                  <c:v>1.60597320199636</c:v>
                </c:pt>
                <c:pt idx="4">
                  <c:v>1.06054654620953</c:v>
                </c:pt>
              </c:numCache>
            </c:numRef>
          </c:val>
          <c:smooth val="false"/>
        </c:ser>
        <c:dLbls>
          <c:showLegendKey val="false"/>
          <c:showVal val="false"/>
          <c:showCatName val="false"/>
          <c:showSerName val="false"/>
          <c:showPercent val="false"/>
          <c:showBubbleSize val="false"/>
        </c:dLbls>
        <c:marker val="false"/>
        <c:smooth val="false"/>
        <c:axId val="478909184"/>
        <c:axId val="478910720"/>
      </c:lineChart>
      <c:catAx>
        <c:axId val="475903488"/>
        <c:scaling>
          <c:orientation val="minMax"/>
        </c:scaling>
        <c:delete val="false"/>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5905024"/>
        <c:crosses val="autoZero"/>
        <c:auto val="true"/>
        <c:lblAlgn val="ctr"/>
        <c:lblOffset val="100"/>
        <c:noMultiLvlLbl val="false"/>
      </c:catAx>
      <c:valAx>
        <c:axId val="475905024"/>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5903488"/>
        <c:crosses val="autoZero"/>
        <c:crossBetween val="between"/>
      </c:valAx>
      <c:catAx>
        <c:axId val="478909184"/>
        <c:scaling>
          <c:orientation val="minMax"/>
        </c:scaling>
        <c:delete val="true"/>
        <c:axPos val="b"/>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78910720"/>
        <c:crosses val="autoZero"/>
        <c:auto val="true"/>
        <c:lblAlgn val="ctr"/>
        <c:lblOffset val="100"/>
        <c:noMultiLvlLbl val="false"/>
      </c:catAx>
      <c:valAx>
        <c:axId val="478910720"/>
        <c:scaling>
          <c:orientation val="minMax"/>
        </c:scaling>
        <c:delete val="false"/>
        <c:axPos val="r"/>
        <c:numFmt formatCode="0.00%" sourceLinked="true"/>
        <c:majorTickMark val="out"/>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8909184"/>
        <c:crosses val="max"/>
        <c:crossBetween val="between"/>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false"/>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0"/>
          <c:order val="0"/>
          <c:tx>
            <c:strRef>
              <c:f>[图标.xls]相关图表!$A$328</c:f>
              <c:strCache>
                <c:ptCount val="1"/>
                <c:pt idx="0">
                  <c:v>债务本金期初数</c:v>
                </c:pt>
              </c:strCache>
            </c:strRef>
          </c:tx>
          <c:spPr>
            <a:solidFill>
              <a:schemeClr val="accent1"/>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[图标.xls]相关图表!$B$327:$F$327</c:f>
              <c:strCache>
                <c:ptCount val="5"/>
                <c:pt idx="0">
                  <c:v>2021年</c:v>
                </c:pt>
                <c:pt idx="1">
                  <c:v>2022年</c:v>
                </c:pt>
                <c:pt idx="2">
                  <c:v>2023年</c:v>
                </c:pt>
                <c:pt idx="3">
                  <c:v>2024年</c:v>
                </c:pt>
                <c:pt idx="4">
                  <c:v>2025年</c:v>
                </c:pt>
              </c:strCache>
            </c:strRef>
          </c:cat>
          <c:val>
            <c:numRef>
              <c:f>[图标.xls]相关图表!$B$328:$F$328</c:f>
              <c:numCache>
                <c:formatCode>General</c:formatCode>
                <c:ptCount val="5"/>
                <c:pt idx="0">
                  <c:v>755844.24</c:v>
                </c:pt>
                <c:pt idx="1">
                  <c:v>724864.24</c:v>
                </c:pt>
                <c:pt idx="2">
                  <c:v>684664.24</c:v>
                </c:pt>
                <c:pt idx="3">
                  <c:v>586324.24</c:v>
                </c:pt>
                <c:pt idx="4">
                  <c:v>569999.24</c:v>
                </c:pt>
              </c:numCache>
            </c:numRef>
          </c:val>
        </c:ser>
        <c:ser>
          <c:idx val="1"/>
          <c:order val="1"/>
          <c:tx>
            <c:strRef>
              <c:f>[图标.xls]相关图表!$A$329</c:f>
              <c:strCache>
                <c:ptCount val="1"/>
                <c:pt idx="0">
                  <c:v>本期还本数</c:v>
                </c:pt>
              </c:strCache>
            </c:strRef>
          </c:tx>
          <c:spPr>
            <a:solidFill>
              <a:schemeClr val="accent2"/>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[图标.xls]相关图表!$B$327:$F$327</c:f>
              <c:strCache>
                <c:ptCount val="5"/>
                <c:pt idx="0">
                  <c:v>2021年</c:v>
                </c:pt>
                <c:pt idx="1">
                  <c:v>2022年</c:v>
                </c:pt>
                <c:pt idx="2">
                  <c:v>2023年</c:v>
                </c:pt>
                <c:pt idx="3">
                  <c:v>2024年</c:v>
                </c:pt>
                <c:pt idx="4">
                  <c:v>2025年</c:v>
                </c:pt>
              </c:strCache>
            </c:strRef>
          </c:cat>
          <c:val>
            <c:numRef>
              <c:f>[图标.xls]相关图表!$B$329:$F$329</c:f>
              <c:numCache>
                <c:formatCode>General</c:formatCode>
                <c:ptCount val="5"/>
                <c:pt idx="0">
                  <c:v>30980</c:v>
                </c:pt>
                <c:pt idx="1">
                  <c:v>40200</c:v>
                </c:pt>
                <c:pt idx="2">
                  <c:v>98340</c:v>
                </c:pt>
                <c:pt idx="3">
                  <c:v>16325</c:v>
                </c:pt>
                <c:pt idx="4">
                  <c:v>27450</c:v>
                </c:pt>
              </c:numCache>
            </c:numRef>
          </c:val>
        </c:ser>
        <c:ser>
          <c:idx val="2"/>
          <c:order val="2"/>
          <c:tx>
            <c:strRef>
              <c:f>[图标.xls]相关图表!$A$330</c:f>
              <c:strCache>
                <c:ptCount val="1"/>
                <c:pt idx="0">
                  <c:v>债务本金期末数</c:v>
                </c:pt>
              </c:strCache>
            </c:strRef>
          </c:tx>
          <c:spPr>
            <a:solidFill>
              <a:schemeClr val="accent3"/>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[图标.xls]相关图表!$B$327:$F$327</c:f>
              <c:strCache>
                <c:ptCount val="5"/>
                <c:pt idx="0">
                  <c:v>2021年</c:v>
                </c:pt>
                <c:pt idx="1">
                  <c:v>2022年</c:v>
                </c:pt>
                <c:pt idx="2">
                  <c:v>2023年</c:v>
                </c:pt>
                <c:pt idx="3">
                  <c:v>2024年</c:v>
                </c:pt>
                <c:pt idx="4">
                  <c:v>2025年</c:v>
                </c:pt>
              </c:strCache>
            </c:strRef>
          </c:cat>
          <c:val>
            <c:numRef>
              <c:f>[图标.xls]相关图表!$B$330:$F$330</c:f>
              <c:numCache>
                <c:formatCode>General</c:formatCode>
                <c:ptCount val="5"/>
                <c:pt idx="0">
                  <c:v>724864.24</c:v>
                </c:pt>
                <c:pt idx="1">
                  <c:v>684664.24</c:v>
                </c:pt>
                <c:pt idx="2">
                  <c:v>586324.24</c:v>
                </c:pt>
                <c:pt idx="3">
                  <c:v>569999.24</c:v>
                </c:pt>
                <c:pt idx="4">
                  <c:v>542549.24</c:v>
                </c:pt>
              </c:numCache>
            </c:numRef>
          </c:val>
        </c:ser>
        <c:ser>
          <c:idx val="3"/>
          <c:order val="3"/>
          <c:tx>
            <c:strRef>
              <c:f>[图标.xls]相关图表!$A$331</c:f>
              <c:strCache>
                <c:ptCount val="1"/>
                <c:pt idx="0">
                  <c:v>本期付息数</c:v>
                </c:pt>
              </c:strCache>
            </c:strRef>
          </c:tx>
          <c:spPr>
            <a:solidFill>
              <a:schemeClr val="accent4"/>
            </a:solidFill>
            <a:ln>
              <a:noFill/>
            </a:ln>
            <a:effectLst/>
          </c:spPr>
          <c:invertIfNegative val="false"/>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[图标.xls]相关图表!$B$327:$F$327</c:f>
              <c:strCache>
                <c:ptCount val="5"/>
                <c:pt idx="0">
                  <c:v>2021年</c:v>
                </c:pt>
                <c:pt idx="1">
                  <c:v>2022年</c:v>
                </c:pt>
                <c:pt idx="2">
                  <c:v>2023年</c:v>
                </c:pt>
                <c:pt idx="3">
                  <c:v>2024年</c:v>
                </c:pt>
                <c:pt idx="4">
                  <c:v>2025年</c:v>
                </c:pt>
              </c:strCache>
            </c:strRef>
          </c:cat>
          <c:val>
            <c:numRef>
              <c:f>[图标.xls]相关图表!$B$331:$F$331</c:f>
              <c:numCache>
                <c:formatCode>General</c:formatCode>
                <c:ptCount val="5"/>
                <c:pt idx="0">
                  <c:v>26164.8</c:v>
                </c:pt>
                <c:pt idx="1">
                  <c:v>25110.6</c:v>
                </c:pt>
                <c:pt idx="2">
                  <c:v>23629.64</c:v>
                </c:pt>
                <c:pt idx="3">
                  <c:v>19895.22</c:v>
                </c:pt>
                <c:pt idx="4">
                  <c:v>19210.03</c:v>
                </c:pt>
              </c:numCache>
            </c:numRef>
          </c:val>
        </c:ser>
        <c:dLbls>
          <c:showLegendKey val="false"/>
          <c:showVal val="false"/>
          <c:showCatName val="false"/>
          <c:showSerName val="false"/>
          <c:showPercent val="false"/>
          <c:showBubbleSize val="false"/>
        </c:dLbls>
        <c:gapWidth val="219"/>
        <c:overlap val="-27"/>
        <c:axId val="479051776"/>
        <c:axId val="479053312"/>
      </c:barChart>
      <c:lineChart>
        <c:grouping val="standard"/>
        <c:varyColors val="false"/>
        <c:ser>
          <c:idx val="4"/>
          <c:order val="4"/>
          <c:tx>
            <c:strRef>
              <c:f>[图标.xls]相关图表!$A$332</c:f>
              <c:strCache>
                <c:ptCount val="1"/>
                <c:pt idx="0">
                  <c:v>债务率</c:v>
                </c:pt>
              </c:strCache>
            </c:strRef>
          </c:tx>
          <c:spPr>
            <a:ln w="28575" cap="rnd" cmpd="sng" algn="ctr">
              <a:solidFill>
                <a:schemeClr val="accent5"/>
              </a:solidFill>
              <a:prstDash val="solid"/>
              <a:round/>
            </a:ln>
            <a:effectLst/>
          </c:spPr>
          <c:marker>
            <c:symbol val="none"/>
          </c:marker>
          <c:dLbls>
            <c:spPr>
              <a:noFill/>
              <a:ln>
                <a:noFill/>
              </a:ln>
              <a:effectLst/>
            </c:spPr>
            <c:txPr>
              <a:bodyPr rot="0" spcFirstLastPara="0" vertOverflow="ellipsis" vert="horz" wrap="square" lIns="38100" tIns="19050" rIns="38100" bIns="19050" anchor="ctr" anchorCtr="true"/>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[图标.xls]相关图表!$B$327:$F$327</c:f>
              <c:strCache>
                <c:ptCount val="5"/>
                <c:pt idx="0">
                  <c:v>2021年</c:v>
                </c:pt>
                <c:pt idx="1">
                  <c:v>2022年</c:v>
                </c:pt>
                <c:pt idx="2">
                  <c:v>2023年</c:v>
                </c:pt>
                <c:pt idx="3">
                  <c:v>2024年</c:v>
                </c:pt>
                <c:pt idx="4">
                  <c:v>2025年</c:v>
                </c:pt>
              </c:strCache>
            </c:strRef>
          </c:cat>
          <c:val>
            <c:numRef>
              <c:f>[图标.xls]相关图表!$B$332:$F$332</c:f>
              <c:numCache>
                <c:formatCode>0.00%</c:formatCode>
                <c:ptCount val="5"/>
                <c:pt idx="0">
                  <c:v>1.28612916962385</c:v>
                </c:pt>
                <c:pt idx="1">
                  <c:v>1.17317066483893</c:v>
                </c:pt>
                <c:pt idx="2">
                  <c:v>0.981950092111874</c:v>
                </c:pt>
                <c:pt idx="3">
                  <c:v>0.94307974851092</c:v>
                </c:pt>
                <c:pt idx="4">
                  <c:v>0.863028178033942</c:v>
                </c:pt>
              </c:numCache>
            </c:numRef>
          </c:val>
          <c:smooth val="false"/>
        </c:ser>
        <c:dLbls>
          <c:showLegendKey val="false"/>
          <c:showVal val="false"/>
          <c:showCatName val="false"/>
          <c:showSerName val="false"/>
          <c:showPercent val="false"/>
          <c:showBubbleSize val="false"/>
        </c:dLbls>
        <c:marker val="false"/>
        <c:smooth val="false"/>
        <c:axId val="479054848"/>
        <c:axId val="479056640"/>
      </c:lineChart>
      <c:catAx>
        <c:axId val="479051776"/>
        <c:scaling>
          <c:orientation val="minMax"/>
        </c:scaling>
        <c:delete val="false"/>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9053312"/>
        <c:crosses val="autoZero"/>
        <c:auto val="true"/>
        <c:lblAlgn val="ctr"/>
        <c:lblOffset val="100"/>
        <c:noMultiLvlLbl val="false"/>
      </c:catAx>
      <c:valAx>
        <c:axId val="479053312"/>
        <c:scaling>
          <c:orientation val="minMax"/>
        </c:scaling>
        <c:delete val="false"/>
        <c:axPos val="l"/>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9051776"/>
        <c:crosses val="autoZero"/>
        <c:crossBetween val="between"/>
      </c:valAx>
      <c:catAx>
        <c:axId val="479054848"/>
        <c:scaling>
          <c:orientation val="minMax"/>
        </c:scaling>
        <c:delete val="true"/>
        <c:axPos val="b"/>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79056640"/>
        <c:crosses val="autoZero"/>
        <c:auto val="true"/>
        <c:lblAlgn val="ctr"/>
        <c:lblOffset val="100"/>
        <c:noMultiLvlLbl val="false"/>
      </c:catAx>
      <c:valAx>
        <c:axId val="479056640"/>
        <c:scaling>
          <c:orientation val="minMax"/>
        </c:scaling>
        <c:delete val="false"/>
        <c:axPos val="r"/>
        <c:numFmt formatCode="0.00%" sourceLinked="true"/>
        <c:majorTickMark val="out"/>
        <c:minorTickMark val="none"/>
        <c:tickLblPos val="nextTo"/>
        <c:spPr>
          <a:noFill/>
          <a:ln w="6350" cap="flat" cmpd="sng" algn="ctr">
            <a:noFill/>
            <a:prstDash val="solid"/>
            <a:round/>
          </a:ln>
          <a:effectLst/>
        </c:spPr>
        <c:txPr>
          <a:bodyPr rot="-6000000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479054848"/>
        <c:crosses val="max"/>
        <c:crossBetween val="between"/>
      </c:valAx>
      <c:spPr>
        <a:noFill/>
        <a:ln>
          <a:noFill/>
        </a:ln>
        <a:effectLst/>
      </c:spPr>
    </c:plotArea>
    <c:legend>
      <c:legendPos val="b"/>
      <c:layout/>
      <c:overlay val="false"/>
      <c:spPr>
        <a:noFill/>
        <a:ln>
          <a:noFill/>
        </a:ln>
        <a:effectLst/>
      </c:spPr>
      <c:txPr>
        <a:bodyPr rot="0" spcFirstLastPara="0"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manualLayout>
          <c:layoutTarget val="inner"/>
          <c:xMode val="edge"/>
          <c:yMode val="edge"/>
          <c:x val="0.29879876347228"/>
          <c:y val="0.0283047028299283"/>
          <c:w val="0.640043787089004"/>
          <c:h val="0.552904854388421"/>
        </c:manualLayout>
      </c:layout>
      <c:barChart>
        <c:barDir val="col"/>
        <c:grouping val="clustered"/>
        <c:varyColors val="false"/>
        <c:ser>
          <c:idx val="5"/>
          <c:order val="0"/>
          <c:tx>
            <c:strRef>
              <c:f>主要财政支出变化情况!$H$2</c:f>
              <c:strCache>
                <c:ptCount val="1"/>
                <c:pt idx="0">
                  <c:v>一般公共服务和公共安全支出</c:v>
                </c:pt>
              </c:strCache>
            </c:strRef>
          </c:tx>
          <c:invertIfNegative val="false"/>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主要财政支出变化情况!$I$2:$M$2</c:f>
              <c:numCache>
                <c:formatCode>General</c:formatCode>
                <c:ptCount val="5"/>
                <c:pt idx="0">
                  <c:v>24800</c:v>
                </c:pt>
                <c:pt idx="1">
                  <c:v>42426</c:v>
                </c:pt>
                <c:pt idx="2">
                  <c:v>60696</c:v>
                </c:pt>
                <c:pt idx="3">
                  <c:v>66682</c:v>
                </c:pt>
                <c:pt idx="4">
                  <c:v>38212</c:v>
                </c:pt>
              </c:numCache>
            </c:numRef>
          </c:val>
        </c:ser>
        <c:ser>
          <c:idx val="0"/>
          <c:order val="1"/>
          <c:tx>
            <c:strRef>
              <c:f>主要财政支出变化情况!$H$4</c:f>
              <c:strCache>
                <c:ptCount val="1"/>
                <c:pt idx="0">
                  <c:v>文体旅与传媒、教育、科技支出</c:v>
                </c:pt>
              </c:strCache>
            </c:strRef>
          </c:tx>
          <c:invertIfNegative val="false"/>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主要财政支出变化情况!$I$4:$M$4</c:f>
              <c:numCache>
                <c:formatCode>General</c:formatCode>
                <c:ptCount val="5"/>
                <c:pt idx="0">
                  <c:v>34762</c:v>
                </c:pt>
                <c:pt idx="1">
                  <c:v>49843</c:v>
                </c:pt>
                <c:pt idx="2">
                  <c:v>43613</c:v>
                </c:pt>
                <c:pt idx="3">
                  <c:v>47210</c:v>
                </c:pt>
                <c:pt idx="4">
                  <c:v>58869</c:v>
                </c:pt>
              </c:numCache>
            </c:numRef>
          </c:val>
        </c:ser>
        <c:ser>
          <c:idx val="1"/>
          <c:order val="2"/>
          <c:tx>
            <c:strRef>
              <c:f>主要财政支出变化情况!$H$6</c:f>
              <c:strCache>
                <c:ptCount val="1"/>
                <c:pt idx="0">
                  <c:v>卫生健康、社会保障与就业支出</c:v>
                </c:pt>
              </c:strCache>
            </c:strRef>
          </c:tx>
          <c:invertIfNegative val="false"/>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主要财政支出变化情况!$I$6:$M$6</c:f>
              <c:numCache>
                <c:formatCode>General</c:formatCode>
                <c:ptCount val="5"/>
                <c:pt idx="0">
                  <c:v>38607</c:v>
                </c:pt>
                <c:pt idx="1">
                  <c:v>51786</c:v>
                </c:pt>
                <c:pt idx="2">
                  <c:v>51708</c:v>
                </c:pt>
                <c:pt idx="3">
                  <c:v>53284</c:v>
                </c:pt>
                <c:pt idx="4">
                  <c:v>67519</c:v>
                </c:pt>
              </c:numCache>
            </c:numRef>
          </c:val>
        </c:ser>
        <c:ser>
          <c:idx val="2"/>
          <c:order val="3"/>
          <c:tx>
            <c:strRef>
              <c:f>主要财政支出变化情况!$H$8</c:f>
              <c:strCache>
                <c:ptCount val="1"/>
                <c:pt idx="0">
                  <c:v>农林水、城乡社区支出</c:v>
                </c:pt>
              </c:strCache>
            </c:strRef>
          </c:tx>
          <c:invertIfNegative val="false"/>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主要财政支出变化情况!$I$8:$M$8</c:f>
              <c:numCache>
                <c:formatCode>General</c:formatCode>
                <c:ptCount val="5"/>
                <c:pt idx="0">
                  <c:v>22101</c:v>
                </c:pt>
                <c:pt idx="1">
                  <c:v>33790</c:v>
                </c:pt>
                <c:pt idx="2">
                  <c:v>53598</c:v>
                </c:pt>
                <c:pt idx="3">
                  <c:v>64747</c:v>
                </c:pt>
                <c:pt idx="4">
                  <c:v>26816</c:v>
                </c:pt>
              </c:numCache>
            </c:numRef>
          </c:val>
        </c:ser>
        <c:ser>
          <c:idx val="3"/>
          <c:order val="4"/>
          <c:tx>
            <c:strRef>
              <c:f>主要财政支出变化情况!$H$10</c:f>
              <c:strCache>
                <c:ptCount val="1"/>
                <c:pt idx="0">
                  <c:v>节能环保支出</c:v>
                </c:pt>
              </c:strCache>
            </c:strRef>
          </c:tx>
          <c:invertIfNegative val="false"/>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主要财政支出变化情况!$I$10:$M$10</c:f>
              <c:numCache>
                <c:formatCode>General</c:formatCode>
                <c:ptCount val="5"/>
                <c:pt idx="0">
                  <c:v>6563</c:v>
                </c:pt>
                <c:pt idx="1">
                  <c:v>19675</c:v>
                </c:pt>
                <c:pt idx="2">
                  <c:v>40555</c:v>
                </c:pt>
                <c:pt idx="3">
                  <c:v>70173</c:v>
                </c:pt>
                <c:pt idx="4">
                  <c:v>87110</c:v>
                </c:pt>
              </c:numCache>
            </c:numRef>
          </c:val>
        </c:ser>
        <c:ser>
          <c:idx val="4"/>
          <c:order val="5"/>
          <c:tx>
            <c:strRef>
              <c:f>主要财政支出变化情况!$H$12</c:f>
              <c:strCache>
                <c:ptCount val="1"/>
                <c:pt idx="0">
                  <c:v>住房保障支出</c:v>
                </c:pt>
              </c:strCache>
            </c:strRef>
          </c:tx>
          <c:invertIfNegative val="false"/>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主要财政支出变化情况!$I$12:$M$12</c:f>
              <c:numCache>
                <c:formatCode>General</c:formatCode>
                <c:ptCount val="5"/>
                <c:pt idx="0">
                  <c:v>6846</c:v>
                </c:pt>
                <c:pt idx="1">
                  <c:v>10262</c:v>
                </c:pt>
                <c:pt idx="2">
                  <c:v>10921</c:v>
                </c:pt>
                <c:pt idx="3">
                  <c:v>41533</c:v>
                </c:pt>
                <c:pt idx="4">
                  <c:v>66944</c:v>
                </c:pt>
              </c:numCache>
            </c:numRef>
          </c:val>
        </c:ser>
        <c:dLbls>
          <c:showLegendKey val="false"/>
          <c:showVal val="false"/>
          <c:showCatName val="false"/>
          <c:showSerName val="false"/>
          <c:showPercent val="false"/>
          <c:showBubbleSize val="false"/>
        </c:dLbls>
        <c:gapWidth val="150"/>
        <c:axId val="161904896"/>
        <c:axId val="161931264"/>
      </c:barChart>
      <c:lineChart>
        <c:grouping val="standard"/>
        <c:varyColors val="false"/>
        <c:ser>
          <c:idx val="6"/>
          <c:order val="6"/>
          <c:tx>
            <c:strRef>
              <c:f>主要财政支出变化情况!$H$3</c:f>
              <c:strCache>
                <c:ptCount val="1"/>
                <c:pt idx="0">
                  <c:v>一般公共服务和公共安全支出占比</c:v>
                </c:pt>
              </c:strCache>
            </c:strRef>
          </c:tx>
          <c:marker>
            <c:symbol val="none"/>
          </c:marker>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主要财政支出变化情况!$I$3:$M$3</c:f>
              <c:numCache>
                <c:formatCode>0.00%</c:formatCode>
                <c:ptCount val="5"/>
                <c:pt idx="0">
                  <c:v>0.173887435931595</c:v>
                </c:pt>
                <c:pt idx="1">
                  <c:v>0.194150676594012</c:v>
                </c:pt>
                <c:pt idx="2">
                  <c:v>0.222722085432575</c:v>
                </c:pt>
                <c:pt idx="3">
                  <c:v>0.184697286128176</c:v>
                </c:pt>
                <c:pt idx="4">
                  <c:v>0.105199113521549</c:v>
                </c:pt>
              </c:numCache>
            </c:numRef>
          </c:val>
          <c:smooth val="false"/>
        </c:ser>
        <c:ser>
          <c:idx val="7"/>
          <c:order val="7"/>
          <c:tx>
            <c:strRef>
              <c:f>主要财政支出变化情况!$H$5</c:f>
              <c:strCache>
                <c:ptCount val="1"/>
                <c:pt idx="0">
                  <c:v>文体旅与传媒、教育、科技支出占比</c:v>
                </c:pt>
              </c:strCache>
            </c:strRef>
          </c:tx>
          <c:marker>
            <c:symbol val="none"/>
          </c:marker>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主要财政支出变化情况!$I$5:$M$5</c:f>
              <c:numCache>
                <c:formatCode>0.00%</c:formatCode>
                <c:ptCount val="5"/>
                <c:pt idx="0">
                  <c:v>0.243736897090891</c:v>
                </c:pt>
                <c:pt idx="1">
                  <c:v>0.228092494542859</c:v>
                </c:pt>
                <c:pt idx="2">
                  <c:v>0.160036547910421</c:v>
                </c:pt>
                <c:pt idx="3">
                  <c:v>0.130763307610918</c:v>
                </c:pt>
                <c:pt idx="4">
                  <c:v>0.162068633253954</c:v>
                </c:pt>
              </c:numCache>
            </c:numRef>
          </c:val>
          <c:smooth val="false"/>
        </c:ser>
        <c:ser>
          <c:idx val="8"/>
          <c:order val="8"/>
          <c:tx>
            <c:strRef>
              <c:f>主要财政支出变化情况!$H$7</c:f>
              <c:strCache>
                <c:ptCount val="1"/>
                <c:pt idx="0">
                  <c:v>卫生健康、社会保障与就业支出占比</c:v>
                </c:pt>
              </c:strCache>
            </c:strRef>
          </c:tx>
          <c:marker>
            <c:symbol val="none"/>
          </c:marker>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主要财政支出变化情况!$I$7:$M$7</c:f>
              <c:numCache>
                <c:formatCode>0.00%</c:formatCode>
                <c:ptCount val="5"/>
                <c:pt idx="0">
                  <c:v>0.270696461250447</c:v>
                </c:pt>
                <c:pt idx="1">
                  <c:v>0.236984088485775</c:v>
                </c:pt>
                <c:pt idx="2">
                  <c:v>0.189740898799717</c:v>
                </c:pt>
                <c:pt idx="3">
                  <c:v>0.147587207853</c:v>
                </c:pt>
                <c:pt idx="4">
                  <c:v>0.185882417718557</c:v>
                </c:pt>
              </c:numCache>
            </c:numRef>
          </c:val>
          <c:smooth val="false"/>
        </c:ser>
        <c:ser>
          <c:idx val="9"/>
          <c:order val="9"/>
          <c:tx>
            <c:strRef>
              <c:f>主要财政支出变化情况!$H$9</c:f>
              <c:strCache>
                <c:ptCount val="1"/>
                <c:pt idx="0">
                  <c:v>农林水、城乡社区支出占比</c:v>
                </c:pt>
              </c:strCache>
            </c:strRef>
          </c:tx>
          <c:marker>
            <c:symbol val="none"/>
          </c:marker>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主要财政支出变化情况!$I$9:$M$9</c:f>
              <c:numCache>
                <c:formatCode>0.00%</c:formatCode>
                <c:ptCount val="5"/>
                <c:pt idx="0">
                  <c:v>0.154963154093717</c:v>
                </c:pt>
                <c:pt idx="1">
                  <c:v>0.154630447416953</c:v>
                </c:pt>
                <c:pt idx="2">
                  <c:v>0.19667619505429</c:v>
                </c:pt>
                <c:pt idx="3">
                  <c:v>0.179337680107691</c:v>
                </c:pt>
                <c:pt idx="4">
                  <c:v>0.0738254848789351</c:v>
                </c:pt>
              </c:numCache>
            </c:numRef>
          </c:val>
          <c:smooth val="false"/>
        </c:ser>
        <c:ser>
          <c:idx val="10"/>
          <c:order val="10"/>
          <c:tx>
            <c:strRef>
              <c:f>主要财政支出变化情况!$H$11</c:f>
              <c:strCache>
                <c:ptCount val="1"/>
                <c:pt idx="0">
                  <c:v>节能环保支出占比</c:v>
                </c:pt>
              </c:strCache>
            </c:strRef>
          </c:tx>
          <c:marker>
            <c:symbol val="none"/>
          </c:marker>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主要财政支出变化情况!$I$11:$M$11</c:f>
              <c:numCache>
                <c:formatCode>0.00%</c:formatCode>
                <c:ptCount val="5"/>
                <c:pt idx="0">
                  <c:v>0.0460170662104459</c:v>
                </c:pt>
                <c:pt idx="1">
                  <c:v>0.0900371131378678</c:v>
                </c:pt>
                <c:pt idx="2">
                  <c:v>0.1488153119599</c:v>
                </c:pt>
                <c:pt idx="3">
                  <c:v>0.194366735542913</c:v>
                </c:pt>
                <c:pt idx="4">
                  <c:v>0.239817198232549</c:v>
                </c:pt>
              </c:numCache>
            </c:numRef>
          </c:val>
          <c:smooth val="false"/>
        </c:ser>
        <c:ser>
          <c:idx val="11"/>
          <c:order val="11"/>
          <c:tx>
            <c:strRef>
              <c:f>主要财政支出变化情况!$H$13</c:f>
              <c:strCache>
                <c:ptCount val="1"/>
                <c:pt idx="0">
                  <c:v>住房保障支出占比</c:v>
                </c:pt>
              </c:strCache>
            </c:strRef>
          </c:tx>
          <c:marker>
            <c:symbol val="none"/>
          </c:marker>
          <c:dLbls>
            <c:delete val="true"/>
          </c:dLbls>
          <c:cat>
            <c:numRef>
              <c:f>主要财政支出变化情况!$I$1:$M$1</c:f>
              <c:numCache>
                <c:formatCode>General</c:formatCode>
                <c:ptCount val="5"/>
                <c:pt idx="0">
                  <c:v>2016</c:v>
                </c:pt>
                <c:pt idx="1">
                  <c:v>2017</c:v>
                </c:pt>
                <c:pt idx="2">
                  <c:v>2018</c:v>
                </c:pt>
                <c:pt idx="3">
                  <c:v>2019</c:v>
                </c:pt>
                <c:pt idx="4">
                  <c:v>2020</c:v>
                </c:pt>
              </c:numCache>
            </c:numRef>
          </c:cat>
          <c:val>
            <c:numRef>
              <c:f>主要财政支出变化情况!$I$13:$M$13</c:f>
              <c:numCache>
                <c:formatCode>0.00%</c:formatCode>
                <c:ptCount val="5"/>
                <c:pt idx="0">
                  <c:v>0.0480013462253104</c:v>
                </c:pt>
                <c:pt idx="1">
                  <c:v>0.0469611616274866</c:v>
                </c:pt>
                <c:pt idx="2">
                  <c:v>0.0400742700508955</c:v>
                </c:pt>
                <c:pt idx="3">
                  <c:v>0.11503902679526</c:v>
                </c:pt>
                <c:pt idx="4">
                  <c:v>0.184299420485361</c:v>
                </c:pt>
              </c:numCache>
            </c:numRef>
          </c:val>
          <c:smooth val="false"/>
        </c:ser>
        <c:dLbls>
          <c:showLegendKey val="false"/>
          <c:showVal val="false"/>
          <c:showCatName val="false"/>
          <c:showSerName val="false"/>
          <c:showPercent val="false"/>
          <c:showBubbleSize val="false"/>
        </c:dLbls>
        <c:marker val="false"/>
        <c:smooth val="false"/>
        <c:axId val="161934336"/>
        <c:axId val="161932800"/>
      </c:lineChart>
      <c:catAx>
        <c:axId val="161904896"/>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700" b="0" i="0" u="none" strike="noStrike" kern="1200" baseline="0">
                <a:solidFill>
                  <a:schemeClr val="tx1"/>
                </a:solidFill>
                <a:latin typeface="+mn-lt"/>
                <a:ea typeface="+mn-ea"/>
                <a:cs typeface="+mn-cs"/>
              </a:defRPr>
            </a:pPr>
          </a:p>
        </c:txPr>
        <c:crossAx val="161931264"/>
        <c:crosses val="autoZero"/>
        <c:auto val="true"/>
        <c:lblAlgn val="ctr"/>
        <c:lblOffset val="100"/>
        <c:noMultiLvlLbl val="false"/>
      </c:catAx>
      <c:valAx>
        <c:axId val="161931264"/>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700" b="0" i="0" u="none" strike="noStrike" kern="1200" baseline="0">
                <a:solidFill>
                  <a:schemeClr val="tx1"/>
                </a:solidFill>
                <a:latin typeface="+mn-lt"/>
                <a:ea typeface="+mn-ea"/>
                <a:cs typeface="+mn-cs"/>
              </a:defRPr>
            </a:pPr>
          </a:p>
        </c:txPr>
        <c:crossAx val="161904896"/>
        <c:crosses val="autoZero"/>
        <c:crossBetween val="between"/>
      </c:valAx>
      <c:catAx>
        <c:axId val="161934336"/>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700" b="0" i="0" u="none" strike="noStrike" kern="1200" baseline="0">
                <a:solidFill>
                  <a:schemeClr val="tx1"/>
                </a:solidFill>
                <a:latin typeface="+mn-lt"/>
                <a:ea typeface="+mn-ea"/>
                <a:cs typeface="+mn-cs"/>
              </a:defRPr>
            </a:pPr>
          </a:p>
        </c:txPr>
        <c:crossAx val="161932800"/>
        <c:crosses val="autoZero"/>
        <c:auto val="true"/>
        <c:lblAlgn val="ctr"/>
        <c:lblOffset val="100"/>
        <c:noMultiLvlLbl val="false"/>
      </c:catAx>
      <c:valAx>
        <c:axId val="161932800"/>
        <c:scaling>
          <c:orientation val="minMax"/>
        </c:scaling>
        <c:delete val="false"/>
        <c:axPos val="r"/>
        <c:numFmt formatCode="0.00%" sourceLinked="true"/>
        <c:majorTickMark val="out"/>
        <c:minorTickMark val="none"/>
        <c:tickLblPos val="nextTo"/>
        <c:txPr>
          <a:bodyPr rot="-60000000" spcFirstLastPara="0" vertOverflow="ellipsis" vert="horz" wrap="square" anchor="ctr" anchorCtr="true"/>
          <a:lstStyle/>
          <a:p>
            <a:pPr>
              <a:defRPr lang="zh-CN" sz="700" b="0" i="0" u="none" strike="noStrike" kern="1200" baseline="0">
                <a:solidFill>
                  <a:schemeClr val="tx1"/>
                </a:solidFill>
                <a:latin typeface="+mn-lt"/>
                <a:ea typeface="+mn-ea"/>
                <a:cs typeface="+mn-cs"/>
              </a:defRPr>
            </a:pPr>
          </a:p>
        </c:txPr>
        <c:crossAx val="161934336"/>
        <c:crosses val="max"/>
        <c:crossBetween val="between"/>
      </c:valAx>
      <c:dTable>
        <c:showHorzBorder val="true"/>
        <c:showVertBorder val="true"/>
        <c:showOutline val="true"/>
        <c:showKeys val="true"/>
        <c:txPr>
          <a:bodyPr rot="0" spcFirstLastPara="0" vertOverflow="ellipsis" vert="horz" wrap="square" anchor="ctr" anchorCtr="true"/>
          <a:lstStyle/>
          <a:p>
            <a:pPr>
              <a:defRPr lang="zh-CN" sz="700" b="0" i="0" u="none" strike="noStrike" kern="1200" baseline="0">
                <a:solidFill>
                  <a:schemeClr val="tx1"/>
                </a:solidFill>
                <a:latin typeface="+mn-lt"/>
                <a:ea typeface="+mn-ea"/>
                <a:cs typeface="+mn-cs"/>
              </a:defRPr>
            </a:pPr>
          </a:p>
        </c:txPr>
      </c:dTable>
    </c:plotArea>
    <c:plotVisOnly val="true"/>
    <c:dispBlanksAs val="gap"/>
    <c:showDLblsOverMax val="false"/>
  </c:chart>
  <c:txPr>
    <a:bodyPr/>
    <a:lstStyle/>
    <a:p>
      <a:pPr>
        <a:defRPr lang="zh-CN" sz="700"/>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1"/>
          <c:order val="0"/>
          <c:tx>
            <c:strRef>
              <c:f>民生支出规模和比重!$H$2</c:f>
              <c:strCache>
                <c:ptCount val="1"/>
                <c:pt idx="0">
                  <c:v>一般公共预算支出合计</c:v>
                </c:pt>
              </c:strCache>
            </c:strRef>
          </c:tx>
          <c:invertIfNegative val="false"/>
          <c:dLbls>
            <c:delete val="true"/>
          </c:dLbls>
          <c:cat>
            <c:numRef>
              <c:f>民生支出规模和比重!$I$1:$M$1</c:f>
              <c:numCache>
                <c:formatCode>General</c:formatCode>
                <c:ptCount val="5"/>
                <c:pt idx="0">
                  <c:v>2016</c:v>
                </c:pt>
                <c:pt idx="1">
                  <c:v>2017</c:v>
                </c:pt>
                <c:pt idx="2">
                  <c:v>2018</c:v>
                </c:pt>
                <c:pt idx="3">
                  <c:v>2019</c:v>
                </c:pt>
                <c:pt idx="4">
                  <c:v>2020</c:v>
                </c:pt>
              </c:numCache>
            </c:numRef>
          </c:cat>
          <c:val>
            <c:numRef>
              <c:f>民生支出规模和比重!$I$2:$M$2</c:f>
              <c:numCache>
                <c:formatCode>General</c:formatCode>
                <c:ptCount val="5"/>
                <c:pt idx="0">
                  <c:v>142621</c:v>
                </c:pt>
                <c:pt idx="1">
                  <c:v>218521</c:v>
                </c:pt>
                <c:pt idx="2">
                  <c:v>272519</c:v>
                </c:pt>
                <c:pt idx="3">
                  <c:v>361034</c:v>
                </c:pt>
                <c:pt idx="4">
                  <c:v>363235</c:v>
                </c:pt>
              </c:numCache>
            </c:numRef>
          </c:val>
        </c:ser>
        <c:ser>
          <c:idx val="2"/>
          <c:order val="1"/>
          <c:tx>
            <c:strRef>
              <c:f>民生支出规模和比重!$H$3</c:f>
              <c:strCache>
                <c:ptCount val="1"/>
                <c:pt idx="0">
                  <c:v>民生总支出</c:v>
                </c:pt>
              </c:strCache>
            </c:strRef>
          </c:tx>
          <c:invertIfNegative val="false"/>
          <c:dLbls>
            <c:delete val="true"/>
          </c:dLbls>
          <c:cat>
            <c:numRef>
              <c:f>民生支出规模和比重!$I$1:$M$1</c:f>
              <c:numCache>
                <c:formatCode>General</c:formatCode>
                <c:ptCount val="5"/>
                <c:pt idx="0">
                  <c:v>2016</c:v>
                </c:pt>
                <c:pt idx="1">
                  <c:v>2017</c:v>
                </c:pt>
                <c:pt idx="2">
                  <c:v>2018</c:v>
                </c:pt>
                <c:pt idx="3">
                  <c:v>2019</c:v>
                </c:pt>
                <c:pt idx="4">
                  <c:v>2020</c:v>
                </c:pt>
              </c:numCache>
            </c:numRef>
          </c:cat>
          <c:val>
            <c:numRef>
              <c:f>民生支出规模和比重!$I$3:$M$3</c:f>
              <c:numCache>
                <c:formatCode>General</c:formatCode>
                <c:ptCount val="5"/>
                <c:pt idx="0">
                  <c:v>116529</c:v>
                </c:pt>
                <c:pt idx="1">
                  <c:v>177655</c:v>
                </c:pt>
                <c:pt idx="2">
                  <c:v>211283</c:v>
                </c:pt>
                <c:pt idx="3">
                  <c:v>288198</c:v>
                </c:pt>
                <c:pt idx="4">
                  <c:v>317647</c:v>
                </c:pt>
              </c:numCache>
            </c:numRef>
          </c:val>
        </c:ser>
        <c:dLbls>
          <c:showLegendKey val="false"/>
          <c:showVal val="false"/>
          <c:showCatName val="false"/>
          <c:showSerName val="false"/>
          <c:showPercent val="false"/>
          <c:showBubbleSize val="false"/>
        </c:dLbls>
        <c:gapWidth val="150"/>
        <c:axId val="156093056"/>
        <c:axId val="351773056"/>
      </c:barChart>
      <c:lineChart>
        <c:grouping val="standard"/>
        <c:varyColors val="false"/>
        <c:ser>
          <c:idx val="3"/>
          <c:order val="2"/>
          <c:tx>
            <c:strRef>
              <c:f>民生支出规模和比重!$H$4</c:f>
              <c:strCache>
                <c:ptCount val="1"/>
                <c:pt idx="0">
                  <c:v>民生支出占比</c:v>
                </c:pt>
              </c:strCache>
            </c:strRef>
          </c:tx>
          <c:marker>
            <c:symbol val="none"/>
          </c:marker>
          <c:dLbls>
            <c:delete val="true"/>
          </c:dLbls>
          <c:cat>
            <c:numRef>
              <c:f>民生支出规模和比重!$I$1:$M$1</c:f>
              <c:numCache>
                <c:formatCode>General</c:formatCode>
                <c:ptCount val="5"/>
                <c:pt idx="0">
                  <c:v>2016</c:v>
                </c:pt>
                <c:pt idx="1">
                  <c:v>2017</c:v>
                </c:pt>
                <c:pt idx="2">
                  <c:v>2018</c:v>
                </c:pt>
                <c:pt idx="3">
                  <c:v>2019</c:v>
                </c:pt>
                <c:pt idx="4">
                  <c:v>2020</c:v>
                </c:pt>
              </c:numCache>
            </c:numRef>
          </c:cat>
          <c:val>
            <c:numRef>
              <c:f>民生支出规模和比重!$I$4:$M$4</c:f>
              <c:numCache>
                <c:formatCode>0.00%</c:formatCode>
                <c:ptCount val="5"/>
                <c:pt idx="0">
                  <c:v>0.817053589583582</c:v>
                </c:pt>
                <c:pt idx="1">
                  <c:v>0.812988225387949</c:v>
                </c:pt>
                <c:pt idx="2">
                  <c:v>0.775296401351832</c:v>
                </c:pt>
                <c:pt idx="3">
                  <c:v>0.798257227851117</c:v>
                </c:pt>
                <c:pt idx="4">
                  <c:v>0.874494473274877</c:v>
                </c:pt>
              </c:numCache>
            </c:numRef>
          </c:val>
          <c:smooth val="false"/>
        </c:ser>
        <c:dLbls>
          <c:showLegendKey val="false"/>
          <c:showVal val="false"/>
          <c:showCatName val="false"/>
          <c:showSerName val="false"/>
          <c:showPercent val="false"/>
          <c:showBubbleSize val="false"/>
        </c:dLbls>
        <c:marker val="false"/>
        <c:smooth val="false"/>
        <c:axId val="351776128"/>
        <c:axId val="351774592"/>
      </c:lineChart>
      <c:catAx>
        <c:axId val="156093056"/>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51773056"/>
        <c:crosses val="autoZero"/>
        <c:auto val="true"/>
        <c:lblAlgn val="ctr"/>
        <c:lblOffset val="100"/>
        <c:noMultiLvlLbl val="false"/>
      </c:catAx>
      <c:valAx>
        <c:axId val="351773056"/>
        <c:scaling>
          <c:orientation val="minMax"/>
        </c:scaling>
        <c:delete val="false"/>
        <c:axPos val="l"/>
        <c:majorGridlines/>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156093056"/>
        <c:crosses val="autoZero"/>
        <c:crossBetween val="between"/>
      </c:valAx>
      <c:catAx>
        <c:axId val="351776128"/>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51774592"/>
        <c:crosses val="autoZero"/>
        <c:auto val="true"/>
        <c:lblAlgn val="ctr"/>
        <c:lblOffset val="100"/>
        <c:noMultiLvlLbl val="false"/>
      </c:catAx>
      <c:valAx>
        <c:axId val="351774592"/>
        <c:scaling>
          <c:orientation val="minMax"/>
        </c:scaling>
        <c:delete val="false"/>
        <c:axPos val="r"/>
        <c:numFmt formatCode="0.00%"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51776128"/>
        <c:crosses val="max"/>
        <c:crossBetween val="between"/>
      </c:valAx>
      <c:dTable>
        <c:showHorzBorder val="true"/>
        <c:showVertBorder val="true"/>
        <c:showOutline val="true"/>
        <c:showKeys val="true"/>
        <c:txPr>
          <a:bodyPr rot="0" spcFirstLastPara="0" vertOverflow="ellipsis" vert="horz" wrap="square" anchor="ctr" anchorCtr="true"/>
          <a:lstStyle/>
          <a:p>
            <a:pPr>
              <a:defRPr lang="zh-CN" sz="900" b="0" i="0" u="none" strike="noStrike" kern="1200" baseline="0">
                <a:solidFill>
                  <a:schemeClr val="tx1"/>
                </a:solidFill>
                <a:latin typeface="+mn-lt"/>
                <a:ea typeface="+mn-ea"/>
                <a:cs typeface="+mn-cs"/>
              </a:defRPr>
            </a:pPr>
          </a:p>
        </c:txPr>
      </c:dTable>
    </c:plotArea>
    <c:plotVisOnly val="true"/>
    <c:dispBlanksAs val="gap"/>
    <c:showDLblsOverMax val="false"/>
  </c:chart>
  <c:txPr>
    <a:bodyPr/>
    <a:lstStyle/>
    <a:p>
      <a:pPr>
        <a:defRPr lang="zh-CN"/>
      </a:pPr>
    </a:p>
  </c:txPr>
  <c:externalData r:id="rId1">
    <c:autoUpdate val="false"/>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1"/>
          <c:order val="0"/>
          <c:tx>
            <c:strRef>
              <c:f>节能环保支出!$A$2</c:f>
              <c:strCache>
                <c:ptCount val="1"/>
                <c:pt idx="0">
                  <c:v>节能环保支出</c:v>
                </c:pt>
              </c:strCache>
            </c:strRef>
          </c:tx>
          <c:invertIfNegative val="false"/>
          <c:dLbls>
            <c:delete val="true"/>
          </c:dLbls>
          <c:cat>
            <c:numRef>
              <c:f>节能环保支出!$B$1:$F$1</c:f>
              <c:numCache>
                <c:formatCode>General</c:formatCode>
                <c:ptCount val="5"/>
                <c:pt idx="0">
                  <c:v>2016</c:v>
                </c:pt>
                <c:pt idx="1">
                  <c:v>2017</c:v>
                </c:pt>
                <c:pt idx="2">
                  <c:v>2018</c:v>
                </c:pt>
                <c:pt idx="3">
                  <c:v>2019</c:v>
                </c:pt>
                <c:pt idx="4">
                  <c:v>2020</c:v>
                </c:pt>
              </c:numCache>
            </c:numRef>
          </c:cat>
          <c:val>
            <c:numRef>
              <c:f>节能环保支出!$B$2:$F$2</c:f>
              <c:numCache>
                <c:formatCode>General</c:formatCode>
                <c:ptCount val="5"/>
                <c:pt idx="0">
                  <c:v>6563</c:v>
                </c:pt>
                <c:pt idx="1">
                  <c:v>19675</c:v>
                </c:pt>
                <c:pt idx="2">
                  <c:v>40555</c:v>
                </c:pt>
                <c:pt idx="3">
                  <c:v>70173</c:v>
                </c:pt>
                <c:pt idx="4">
                  <c:v>87110</c:v>
                </c:pt>
              </c:numCache>
            </c:numRef>
          </c:val>
        </c:ser>
        <c:dLbls>
          <c:showLegendKey val="false"/>
          <c:showVal val="false"/>
          <c:showCatName val="false"/>
          <c:showSerName val="false"/>
          <c:showPercent val="false"/>
          <c:showBubbleSize val="false"/>
        </c:dLbls>
        <c:gapWidth val="150"/>
        <c:axId val="351879936"/>
        <c:axId val="351881472"/>
      </c:barChart>
      <c:catAx>
        <c:axId val="351879936"/>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51881472"/>
        <c:crosses val="autoZero"/>
        <c:auto val="true"/>
        <c:lblAlgn val="ctr"/>
        <c:lblOffset val="100"/>
        <c:noMultiLvlLbl val="false"/>
      </c:catAx>
      <c:valAx>
        <c:axId val="351881472"/>
        <c:scaling>
          <c:orientation val="minMax"/>
        </c:scaling>
        <c:delete val="false"/>
        <c:axPos val="l"/>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51879936"/>
        <c:crosses val="autoZero"/>
        <c:crossBetween val="between"/>
      </c:valAx>
      <c:dTable>
        <c:showHorzBorder val="true"/>
        <c:showVertBorder val="true"/>
        <c:showOutline val="true"/>
        <c:showKeys val="true"/>
        <c:txPr>
          <a:bodyPr rot="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dTable>
    </c:plotArea>
    <c:plotVisOnly val="true"/>
    <c:dispBlanksAs val="gap"/>
    <c:showDLblsOverMax val="false"/>
  </c:chart>
  <c:txPr>
    <a:bodyPr/>
    <a:lstStyle/>
    <a:p>
      <a:pPr>
        <a:defRPr lang="zh-CN"/>
      </a:pPr>
    </a:p>
  </c:txPr>
  <c:externalData r:id="rId1">
    <c:autoUpdate val="false"/>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0"/>
          <c:order val="0"/>
          <c:tx>
            <c:strRef>
              <c:f>住房保障!$A$2</c:f>
              <c:strCache>
                <c:ptCount val="1"/>
                <c:pt idx="0">
                  <c:v>住房保障支出</c:v>
                </c:pt>
              </c:strCache>
            </c:strRef>
          </c:tx>
          <c:spPr>
            <a:solidFill>
              <a:schemeClr val="accent1">
                <a:lumMod val="60000"/>
                <a:lumOff val="40000"/>
              </a:schemeClr>
            </a:solidFill>
            <a:ln w="9525" cap="flat" cmpd="sng" algn="ctr">
              <a:noFill/>
              <a:prstDash val="solid"/>
              <a:round/>
            </a:ln>
          </c:spPr>
          <c:invertIfNegative val="false"/>
          <c:dLbls>
            <c:delete val="true"/>
          </c:dLbls>
          <c:cat>
            <c:numRef>
              <c:f>住房保障!$C$1:$G$1</c:f>
              <c:numCache>
                <c:formatCode>General</c:formatCode>
                <c:ptCount val="5"/>
                <c:pt idx="0">
                  <c:v>2016</c:v>
                </c:pt>
                <c:pt idx="1">
                  <c:v>2017</c:v>
                </c:pt>
                <c:pt idx="2">
                  <c:v>2018</c:v>
                </c:pt>
                <c:pt idx="3">
                  <c:v>2019</c:v>
                </c:pt>
                <c:pt idx="4">
                  <c:v>2020</c:v>
                </c:pt>
              </c:numCache>
            </c:numRef>
          </c:cat>
          <c:val>
            <c:numRef>
              <c:f>住房保障!$C$2:$G$2</c:f>
              <c:numCache>
                <c:formatCode>General</c:formatCode>
                <c:ptCount val="5"/>
                <c:pt idx="0">
                  <c:v>6846</c:v>
                </c:pt>
                <c:pt idx="1">
                  <c:v>10262</c:v>
                </c:pt>
                <c:pt idx="2">
                  <c:v>10921</c:v>
                </c:pt>
                <c:pt idx="3">
                  <c:v>41533</c:v>
                </c:pt>
                <c:pt idx="4">
                  <c:v>66944</c:v>
                </c:pt>
              </c:numCache>
            </c:numRef>
          </c:val>
        </c:ser>
        <c:dLbls>
          <c:showLegendKey val="false"/>
          <c:showVal val="false"/>
          <c:showCatName val="false"/>
          <c:showSerName val="false"/>
          <c:showPercent val="false"/>
          <c:showBubbleSize val="false"/>
        </c:dLbls>
        <c:gapWidth val="150"/>
        <c:axId val="352013696"/>
        <c:axId val="352056448"/>
      </c:barChart>
      <c:catAx>
        <c:axId val="352013696"/>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dk1"/>
                </a:solidFill>
                <a:latin typeface="+mn-lt"/>
                <a:ea typeface="+mn-ea"/>
                <a:cs typeface="+mn-cs"/>
              </a:defRPr>
            </a:pPr>
          </a:p>
        </c:txPr>
        <c:crossAx val="352056448"/>
        <c:crosses val="autoZero"/>
        <c:auto val="true"/>
        <c:lblAlgn val="ctr"/>
        <c:lblOffset val="100"/>
        <c:noMultiLvlLbl val="false"/>
      </c:catAx>
      <c:valAx>
        <c:axId val="352056448"/>
        <c:scaling>
          <c:orientation val="minMax"/>
        </c:scaling>
        <c:delete val="false"/>
        <c:axPos val="l"/>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dk1"/>
                </a:solidFill>
                <a:latin typeface="+mn-lt"/>
                <a:ea typeface="+mn-ea"/>
                <a:cs typeface="+mn-cs"/>
              </a:defRPr>
            </a:pPr>
          </a:p>
        </c:txPr>
        <c:crossAx val="352013696"/>
        <c:crosses val="autoZero"/>
        <c:crossBetween val="between"/>
      </c:valAx>
      <c:dTable>
        <c:showHorzBorder val="true"/>
        <c:showVertBorder val="true"/>
        <c:showOutline val="true"/>
        <c:showKeys val="true"/>
        <c:txPr>
          <a:bodyPr rot="0" spcFirstLastPara="0" vertOverflow="ellipsis" vert="horz" wrap="square" anchor="ctr" anchorCtr="true"/>
          <a:lstStyle/>
          <a:p>
            <a:pPr>
              <a:defRPr lang="zh-CN" sz="1000" b="0" i="0" u="none" strike="noStrike" kern="1200" baseline="0">
                <a:solidFill>
                  <a:schemeClr val="dk1"/>
                </a:solidFill>
                <a:latin typeface="+mn-lt"/>
                <a:ea typeface="+mn-ea"/>
                <a:cs typeface="+mn-cs"/>
              </a:defRPr>
            </a:pPr>
          </a:p>
        </c:txPr>
      </c:dTable>
      <c:spPr>
        <a:noFill/>
        <a:ln>
          <a:noFill/>
        </a:ln>
      </c:spPr>
    </c:plotArea>
    <c:plotVisOnly val="true"/>
    <c:dispBlanksAs val="gap"/>
    <c:showDLblsOverMax val="false"/>
  </c:chart>
  <c:spPr>
    <a:ln w="9525" cap="flat" cmpd="sng" algn="ctr">
      <a:solidFill>
        <a:prstClr val="black"/>
      </a:solidFill>
      <a:prstDash val="solid"/>
      <a:round/>
    </a:ln>
  </c:spPr>
  <c:txPr>
    <a:bodyPr/>
    <a:lstStyle/>
    <a:p>
      <a:pPr>
        <a:defRPr lang="zh-CN"/>
      </a:pPr>
    </a:p>
  </c:txPr>
  <c:externalData r:id="rId1">
    <c:autoUpdate val="false"/>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manualLayout>
          <c:layoutTarget val="inner"/>
          <c:xMode val="edge"/>
          <c:yMode val="edge"/>
          <c:x val="0.238845800524934"/>
          <c:y val="0.0745487022455526"/>
          <c:w val="0.716709755030621"/>
          <c:h val="0.778445610965296"/>
        </c:manualLayout>
      </c:layout>
      <c:barChart>
        <c:barDir val="col"/>
        <c:grouping val="clustered"/>
        <c:varyColors val="false"/>
        <c:ser>
          <c:idx val="0"/>
          <c:order val="0"/>
          <c:tx>
            <c:strRef>
              <c:f>住房保障!$E$15</c:f>
              <c:strCache>
                <c:ptCount val="1"/>
                <c:pt idx="0">
                  <c:v>城乡社区支出</c:v>
                </c:pt>
              </c:strCache>
            </c:strRef>
          </c:tx>
          <c:spPr>
            <a:solidFill>
              <a:schemeClr val="accent1">
                <a:lumMod val="60000"/>
                <a:lumOff val="40000"/>
              </a:schemeClr>
            </a:solidFill>
          </c:spPr>
          <c:invertIfNegative val="false"/>
          <c:dLbls>
            <c:delete val="true"/>
          </c:dLbls>
          <c:cat>
            <c:numRef>
              <c:f>住房保障!$F$14:$J$14</c:f>
              <c:numCache>
                <c:formatCode>General</c:formatCode>
                <c:ptCount val="5"/>
                <c:pt idx="0">
                  <c:v>2016</c:v>
                </c:pt>
                <c:pt idx="1">
                  <c:v>2017</c:v>
                </c:pt>
                <c:pt idx="2">
                  <c:v>2018</c:v>
                </c:pt>
                <c:pt idx="3">
                  <c:v>2019</c:v>
                </c:pt>
                <c:pt idx="4">
                  <c:v>2020</c:v>
                </c:pt>
              </c:numCache>
            </c:numRef>
          </c:cat>
          <c:val>
            <c:numRef>
              <c:f>住房保障!$F$15:$J$15</c:f>
              <c:numCache>
                <c:formatCode>General</c:formatCode>
                <c:ptCount val="5"/>
                <c:pt idx="0">
                  <c:v>3325</c:v>
                </c:pt>
                <c:pt idx="1">
                  <c:v>13366</c:v>
                </c:pt>
                <c:pt idx="2">
                  <c:v>28041</c:v>
                </c:pt>
                <c:pt idx="3">
                  <c:v>48666</c:v>
                </c:pt>
                <c:pt idx="4">
                  <c:v>6856</c:v>
                </c:pt>
              </c:numCache>
            </c:numRef>
          </c:val>
        </c:ser>
        <c:dLbls>
          <c:showLegendKey val="false"/>
          <c:showVal val="false"/>
          <c:showCatName val="false"/>
          <c:showSerName val="false"/>
          <c:showPercent val="false"/>
          <c:showBubbleSize val="false"/>
        </c:dLbls>
        <c:gapWidth val="150"/>
        <c:axId val="352446720"/>
        <c:axId val="352489472"/>
      </c:barChart>
      <c:catAx>
        <c:axId val="352446720"/>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52489472"/>
        <c:crosses val="autoZero"/>
        <c:auto val="true"/>
        <c:lblAlgn val="ctr"/>
        <c:lblOffset val="100"/>
        <c:noMultiLvlLbl val="false"/>
      </c:catAx>
      <c:valAx>
        <c:axId val="352489472"/>
        <c:scaling>
          <c:orientation val="minMax"/>
        </c:scaling>
        <c:delete val="false"/>
        <c:axPos val="l"/>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52446720"/>
        <c:crosses val="autoZero"/>
        <c:crossBetween val="between"/>
      </c:valAx>
      <c:dTable>
        <c:showHorzBorder val="true"/>
        <c:showVertBorder val="true"/>
        <c:showOutline val="true"/>
        <c:showKeys val="true"/>
        <c:txPr>
          <a:bodyPr rot="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dTable>
    </c:plotArea>
    <c:plotVisOnly val="true"/>
    <c:dispBlanksAs val="gap"/>
    <c:showDLblsOverMax val="false"/>
  </c:chart>
  <c:txPr>
    <a:bodyPr/>
    <a:lstStyle/>
    <a:p>
      <a:pPr>
        <a:defRPr lang="zh-CN"/>
      </a:pPr>
    </a:p>
  </c:txPr>
  <c:externalData r:id="rId1">
    <c:autoUpdate val="false"/>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1"/>
          <c:order val="0"/>
          <c:tx>
            <c:strRef>
              <c:f>澄江县教育支出!$A$2</c:f>
              <c:strCache>
                <c:ptCount val="1"/>
                <c:pt idx="0">
                  <c:v>教育支出</c:v>
                </c:pt>
              </c:strCache>
            </c:strRef>
          </c:tx>
          <c:invertIfNegative val="false"/>
          <c:dLbls>
            <c:delete val="true"/>
          </c:dLbls>
          <c:cat>
            <c:numRef>
              <c:f>澄江县教育支出!$B$1:$F$1</c:f>
              <c:numCache>
                <c:formatCode>General</c:formatCode>
                <c:ptCount val="5"/>
                <c:pt idx="0">
                  <c:v>2016</c:v>
                </c:pt>
                <c:pt idx="1">
                  <c:v>2017</c:v>
                </c:pt>
                <c:pt idx="2">
                  <c:v>2018</c:v>
                </c:pt>
                <c:pt idx="3">
                  <c:v>2019</c:v>
                </c:pt>
                <c:pt idx="4">
                  <c:v>2020</c:v>
                </c:pt>
              </c:numCache>
            </c:numRef>
          </c:cat>
          <c:val>
            <c:numRef>
              <c:f>澄江县教育支出!$B$2:$F$2</c:f>
              <c:numCache>
                <c:formatCode>General</c:formatCode>
                <c:ptCount val="5"/>
                <c:pt idx="0">
                  <c:v>29727</c:v>
                </c:pt>
                <c:pt idx="1">
                  <c:v>40555</c:v>
                </c:pt>
                <c:pt idx="2">
                  <c:v>39417</c:v>
                </c:pt>
                <c:pt idx="3">
                  <c:v>43274</c:v>
                </c:pt>
                <c:pt idx="4">
                  <c:v>43403</c:v>
                </c:pt>
              </c:numCache>
            </c:numRef>
          </c:val>
        </c:ser>
        <c:dLbls>
          <c:showLegendKey val="false"/>
          <c:showVal val="false"/>
          <c:showCatName val="false"/>
          <c:showSerName val="false"/>
          <c:showPercent val="false"/>
          <c:showBubbleSize val="false"/>
        </c:dLbls>
        <c:gapWidth val="150"/>
        <c:axId val="352441088"/>
        <c:axId val="352442624"/>
      </c:barChart>
      <c:catAx>
        <c:axId val="352441088"/>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52442624"/>
        <c:crosses val="autoZero"/>
        <c:auto val="true"/>
        <c:lblAlgn val="ctr"/>
        <c:lblOffset val="100"/>
        <c:noMultiLvlLbl val="false"/>
      </c:catAx>
      <c:valAx>
        <c:axId val="352442624"/>
        <c:scaling>
          <c:orientation val="minMax"/>
        </c:scaling>
        <c:delete val="false"/>
        <c:axPos val="l"/>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352441088"/>
        <c:crosses val="autoZero"/>
        <c:crossBetween val="between"/>
      </c:valAx>
      <c:dTable>
        <c:showHorzBorder val="true"/>
        <c:showVertBorder val="true"/>
        <c:showOutline val="true"/>
        <c:showKeys val="true"/>
        <c:txPr>
          <a:bodyPr rot="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dTable>
    </c:plotArea>
    <c:plotVisOnly val="true"/>
    <c:dispBlanksAs val="gap"/>
    <c:showDLblsOverMax val="false"/>
  </c:chart>
  <c:txPr>
    <a:bodyPr/>
    <a:lstStyle/>
    <a:p>
      <a:pPr>
        <a:defRPr lang="zh-CN"/>
      </a:pPr>
    </a:p>
  </c:txPr>
  <c:externalData r:id="rId1">
    <c:autoUpdate val="false"/>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1"/>
          <c:order val="0"/>
          <c:tx>
            <c:strRef>
              <c:f>社会保障和就业支出!$A$2</c:f>
              <c:strCache>
                <c:ptCount val="1"/>
                <c:pt idx="0">
                  <c:v>社保和就业支出</c:v>
                </c:pt>
              </c:strCache>
            </c:strRef>
          </c:tx>
          <c:invertIfNegative val="false"/>
          <c:dLbls>
            <c:delete val="true"/>
          </c:dLbls>
          <c:cat>
            <c:numRef>
              <c:f>社会保障和就业支出!$B$1:$F$1</c:f>
              <c:numCache>
                <c:formatCode>General</c:formatCode>
                <c:ptCount val="5"/>
                <c:pt idx="0">
                  <c:v>2016</c:v>
                </c:pt>
                <c:pt idx="1">
                  <c:v>2017</c:v>
                </c:pt>
                <c:pt idx="2">
                  <c:v>2018</c:v>
                </c:pt>
                <c:pt idx="3">
                  <c:v>2019</c:v>
                </c:pt>
                <c:pt idx="4">
                  <c:v>2020</c:v>
                </c:pt>
              </c:numCache>
            </c:numRef>
          </c:cat>
          <c:val>
            <c:numRef>
              <c:f>社会保障和就业支出!$B$2:$F$2</c:f>
              <c:numCache>
                <c:formatCode>General</c:formatCode>
                <c:ptCount val="5"/>
                <c:pt idx="0">
                  <c:v>22571</c:v>
                </c:pt>
                <c:pt idx="1">
                  <c:v>35873</c:v>
                </c:pt>
                <c:pt idx="2">
                  <c:v>33804</c:v>
                </c:pt>
                <c:pt idx="3">
                  <c:v>34360</c:v>
                </c:pt>
                <c:pt idx="4">
                  <c:v>32009</c:v>
                </c:pt>
              </c:numCache>
            </c:numRef>
          </c:val>
        </c:ser>
        <c:dLbls>
          <c:showLegendKey val="false"/>
          <c:showVal val="false"/>
          <c:showCatName val="false"/>
          <c:showSerName val="false"/>
          <c:showPercent val="false"/>
          <c:showBubbleSize val="false"/>
        </c:dLbls>
        <c:gapWidth val="150"/>
        <c:axId val="435899776"/>
        <c:axId val="435942528"/>
      </c:barChart>
      <c:catAx>
        <c:axId val="435899776"/>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35942528"/>
        <c:crosses val="autoZero"/>
        <c:auto val="true"/>
        <c:lblAlgn val="ctr"/>
        <c:lblOffset val="100"/>
        <c:noMultiLvlLbl val="false"/>
      </c:catAx>
      <c:valAx>
        <c:axId val="435942528"/>
        <c:scaling>
          <c:orientation val="minMax"/>
        </c:scaling>
        <c:delete val="false"/>
        <c:axPos val="l"/>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35899776"/>
        <c:crosses val="autoZero"/>
        <c:crossBetween val="between"/>
      </c:valAx>
      <c:dTable>
        <c:showHorzBorder val="true"/>
        <c:showVertBorder val="true"/>
        <c:showOutline val="true"/>
        <c:showKeys val="true"/>
        <c:txPr>
          <a:bodyPr rot="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dTable>
    </c:plotArea>
    <c:plotVisOnly val="true"/>
    <c:dispBlanksAs val="gap"/>
    <c:showDLblsOverMax val="false"/>
  </c:chart>
  <c:txPr>
    <a:bodyPr/>
    <a:lstStyle/>
    <a:p>
      <a:pPr>
        <a:defRPr lang="zh-CN"/>
      </a:pPr>
    </a:p>
  </c:txPr>
  <c:externalData r:id="rId1">
    <c:autoUpdate val="false"/>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true"/>
    <c:plotArea>
      <c:layout/>
      <c:barChart>
        <c:barDir val="col"/>
        <c:grouping val="clustered"/>
        <c:varyColors val="false"/>
        <c:ser>
          <c:idx val="1"/>
          <c:order val="0"/>
          <c:tx>
            <c:strRef>
              <c:f>卫生健康支出!$A$2</c:f>
              <c:strCache>
                <c:ptCount val="1"/>
                <c:pt idx="0">
                  <c:v>卫生健康支出</c:v>
                </c:pt>
              </c:strCache>
            </c:strRef>
          </c:tx>
          <c:invertIfNegative val="false"/>
          <c:dLbls>
            <c:delete val="true"/>
          </c:dLbls>
          <c:cat>
            <c:numRef>
              <c:f>卫生健康支出!$B$1:$F$1</c:f>
              <c:numCache>
                <c:formatCode>General</c:formatCode>
                <c:ptCount val="5"/>
                <c:pt idx="0">
                  <c:v>2016</c:v>
                </c:pt>
                <c:pt idx="1">
                  <c:v>2017</c:v>
                </c:pt>
                <c:pt idx="2">
                  <c:v>2018</c:v>
                </c:pt>
                <c:pt idx="3">
                  <c:v>2019</c:v>
                </c:pt>
                <c:pt idx="4">
                  <c:v>2020</c:v>
                </c:pt>
              </c:numCache>
            </c:numRef>
          </c:cat>
          <c:val>
            <c:numRef>
              <c:f>卫生健康支出!$B$2:$F$2</c:f>
              <c:numCache>
                <c:formatCode>General</c:formatCode>
                <c:ptCount val="5"/>
                <c:pt idx="0">
                  <c:v>16036</c:v>
                </c:pt>
                <c:pt idx="1">
                  <c:v>15913</c:v>
                </c:pt>
                <c:pt idx="2">
                  <c:v>17904</c:v>
                </c:pt>
                <c:pt idx="3">
                  <c:v>18924</c:v>
                </c:pt>
                <c:pt idx="4">
                  <c:v>35510</c:v>
                </c:pt>
              </c:numCache>
            </c:numRef>
          </c:val>
        </c:ser>
        <c:dLbls>
          <c:showLegendKey val="false"/>
          <c:showVal val="false"/>
          <c:showCatName val="false"/>
          <c:showSerName val="false"/>
          <c:showPercent val="false"/>
          <c:showBubbleSize val="false"/>
        </c:dLbls>
        <c:gapWidth val="150"/>
        <c:axId val="436447488"/>
        <c:axId val="464797696"/>
      </c:barChart>
      <c:catAx>
        <c:axId val="436447488"/>
        <c:scaling>
          <c:orientation val="minMax"/>
        </c:scaling>
        <c:delete val="false"/>
        <c:axPos val="b"/>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64797696"/>
        <c:crosses val="autoZero"/>
        <c:auto val="true"/>
        <c:lblAlgn val="ctr"/>
        <c:lblOffset val="100"/>
        <c:noMultiLvlLbl val="false"/>
      </c:catAx>
      <c:valAx>
        <c:axId val="464797696"/>
        <c:scaling>
          <c:orientation val="minMax"/>
        </c:scaling>
        <c:delete val="false"/>
        <c:axPos val="l"/>
        <c:numFmt formatCode="General" sourceLinked="true"/>
        <c:majorTickMark val="none"/>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436447488"/>
        <c:crosses val="autoZero"/>
        <c:crossBetween val="between"/>
      </c:valAx>
      <c:dTable>
        <c:showHorzBorder val="true"/>
        <c:showVertBorder val="true"/>
        <c:showOutline val="true"/>
        <c:showKeys val="true"/>
        <c:txPr>
          <a:bodyPr rot="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dTable>
    </c:plotArea>
    <c:plotVisOnly val="true"/>
    <c:dispBlanksAs val="gap"/>
    <c:showDLblsOverMax val="false"/>
  </c:chart>
  <c:txPr>
    <a:bodyPr/>
    <a:lstStyle/>
    <a:p>
      <a:pPr>
        <a:defRPr lang="zh-CN"/>
      </a:pPr>
    </a:p>
  </c:txPr>
  <c:externalData r:id="rId1">
    <c:autoUpdate val="false"/>
  </c:externalData>
</c:chartSpace>
</file>

<file path=word/drawings/drawing1.xml><?xml version="1.0" encoding="utf-8"?>
<c:userShapes xmlns:c="http://schemas.openxmlformats.org/drawingml/2006/chart">
  <cdr:relSizeAnchor xmlns:cdr="http://schemas.openxmlformats.org/drawingml/2006/chartDrawing">
    <cdr:from>
      <cdr:x>0.14387</cdr:x>
      <cdr:y>0.01873</cdr:y>
    </cdr:from>
    <cdr:to>
      <cdr:x>0.23446</cdr:x>
      <cdr:y>0.11236</cdr:y>
    </cdr:to>
    <cdr:sp>
      <cdr:nvSpPr>
        <cdr:cNvPr id="2" name="矩形 1"/>
        <cdr:cNvSpPr/>
      </cdr:nvSpPr>
      <cdr:spPr xmlns:a="http://schemas.openxmlformats.org/drawingml/2006/main">
        <a:xfrm xmlns:a="http://schemas.openxmlformats.org/drawingml/2006/main">
          <a:off x="771526" y="47625"/>
          <a:ext cx="485775" cy="238125"/>
        </a:xfrm>
        <a:prstGeom xmlns:a="http://schemas.openxmlformats.org/drawingml/2006/main" prst="rect">
          <a:avLst/>
        </a:prstGeom>
      </cdr:spPr>
      <cdr:txBody xmlns:a="http://schemas.openxmlformats.org/drawingml/2006/main">
        <a:bodyPr vertOverflow="clip" vert="horz" wrap="square" lIns="45720" tIns="45720" rIns="45720" bIns="45720" rtlCol="0" anchor="t" anchorCtr="false">
          <a:normAutofit/>
        </a:bodyPr>
        <a:lstStyle/>
        <a:p>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0.26667</cdr:x>
      <cdr:y>0.01389</cdr:y>
    </cdr:from>
    <cdr:to>
      <cdr:x>0.41042</cdr:x>
      <cdr:y>0.13542</cdr:y>
    </cdr:to>
    <cdr:sp>
      <cdr:nvSpPr>
        <cdr:cNvPr id="2" name="矩形 1"/>
        <cdr:cNvSpPr/>
      </cdr:nvSpPr>
      <cdr:spPr xmlns:a="http://schemas.openxmlformats.org/drawingml/2006/main">
        <a:xfrm xmlns:a="http://schemas.openxmlformats.org/drawingml/2006/main">
          <a:off x="1219200" y="38100"/>
          <a:ext cx="657225" cy="333375"/>
        </a:xfrm>
        <a:prstGeom xmlns:a="http://schemas.openxmlformats.org/drawingml/2006/main" prst="rect">
          <a:avLst/>
        </a:prstGeom>
      </cdr:spPr>
      <cdr:txBody xmlns:a="http://schemas.openxmlformats.org/drawingml/2006/main">
        <a:bodyPr vertOverflow="clip" vert="horz" wrap="square" lIns="45720" tIns="45720" rIns="45720" bIns="45720" rtlCol="0" anchor="t" anchorCtr="false">
          <a:normAutofit/>
        </a:bodyPr>
        <a:lstStyle/>
        <a:p>
          <a:endParaRPr lang="zh-CN"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0.27917</cdr:x>
      <cdr:y>0.03472</cdr:y>
    </cdr:from>
    <cdr:to>
      <cdr:x>0.45417</cdr:x>
      <cdr:y>0.22388</cdr:y>
    </cdr:to>
    <cdr:sp>
      <cdr:nvSpPr>
        <cdr:cNvPr id="2" name="矩形 1"/>
        <cdr:cNvSpPr/>
      </cdr:nvSpPr>
      <cdr:spPr xmlns:a="http://schemas.openxmlformats.org/drawingml/2006/main">
        <a:xfrm xmlns:a="http://schemas.openxmlformats.org/drawingml/2006/main">
          <a:off x="1326533" y="64994"/>
          <a:ext cx="831549" cy="354105"/>
        </a:xfrm>
        <a:prstGeom xmlns:a="http://schemas.openxmlformats.org/drawingml/2006/main" prst="rect">
          <a:avLst/>
        </a:prstGeom>
      </cdr:spPr>
      <cdr:txBody xmlns:a="http://schemas.openxmlformats.org/drawingml/2006/main">
        <a:bodyPr vertOverflow="clip" vert="horz" wrap="square" lIns="45720" tIns="45720" rIns="45720" bIns="45720" rtlCol="0" anchor="t" anchorCtr="false">
          <a:normAutofit/>
        </a:bodyPr>
        <a:lstStyle/>
        <a:p>
          <a:endParaRPr lang="zh-CN" alt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0.30833</cdr:x>
      <cdr:y>0.04</cdr:y>
    </cdr:from>
    <cdr:to>
      <cdr:x>0.4375</cdr:x>
      <cdr:y>0.12308</cdr:y>
    </cdr:to>
    <cdr:sp>
      <cdr:nvSpPr>
        <cdr:cNvPr id="2" name="矩形 1"/>
        <cdr:cNvSpPr/>
      </cdr:nvSpPr>
      <cdr:spPr xmlns:a="http://schemas.openxmlformats.org/drawingml/2006/main">
        <a:xfrm xmlns:a="http://schemas.openxmlformats.org/drawingml/2006/main">
          <a:off x="1409700" y="123825"/>
          <a:ext cx="590550" cy="257175"/>
        </a:xfrm>
        <a:prstGeom xmlns:a="http://schemas.openxmlformats.org/drawingml/2006/main" prst="rect">
          <a:avLst/>
        </a:prstGeom>
      </cdr:spPr>
      <cdr:txBody xmlns:a="http://schemas.openxmlformats.org/drawingml/2006/main">
        <a:bodyPr vertOverflow="clip" vert="horz" wrap="square" lIns="45720" tIns="45720" rIns="45720" bIns="45720" rtlCol="0" anchor="t" anchorCtr="false">
          <a:normAutofit/>
        </a:bodyPr>
        <a:lstStyle/>
        <a:p>
          <a:endParaRPr lang="zh-CN" alt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0.23963</cdr:x>
      <cdr:y>0.05882</cdr:y>
    </cdr:from>
    <cdr:to>
      <cdr:x>0.39401</cdr:x>
      <cdr:y>0.15441</cdr:y>
    </cdr:to>
    <cdr:sp>
      <cdr:nvSpPr>
        <cdr:cNvPr id="2" name="矩形 1"/>
        <cdr:cNvSpPr/>
      </cdr:nvSpPr>
      <cdr:spPr xmlns:a="http://schemas.openxmlformats.org/drawingml/2006/main">
        <a:xfrm xmlns:a="http://schemas.openxmlformats.org/drawingml/2006/main">
          <a:off x="990601" y="152400"/>
          <a:ext cx="638175" cy="247650"/>
        </a:xfrm>
        <a:prstGeom xmlns:a="http://schemas.openxmlformats.org/drawingml/2006/main" prst="rect">
          <a:avLst/>
        </a:prstGeom>
      </cdr:spPr>
      <cdr:txBody xmlns:a="http://schemas.openxmlformats.org/drawingml/2006/main">
        <a:bodyPr vertOverflow="clip" vert="horz" wrap="square" lIns="45720" tIns="45720" rIns="45720" bIns="45720" rtlCol="0" anchor="t" anchorCtr="false">
          <a:normAutofit/>
        </a:bodyPr>
        <a:lstStyle/>
        <a:p>
          <a:endParaRPr lang="zh-CN" alt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0.12708</cdr:x>
      <cdr:y>0.03472</cdr:y>
    </cdr:from>
    <cdr:to>
      <cdr:x>0.25</cdr:x>
      <cdr:y>0.20185</cdr:y>
    </cdr:to>
    <cdr:sp>
      <cdr:nvSpPr>
        <cdr:cNvPr id="2" name="矩形 1"/>
        <cdr:cNvSpPr/>
      </cdr:nvSpPr>
      <cdr:spPr xmlns:a="http://schemas.openxmlformats.org/drawingml/2006/main">
        <a:xfrm xmlns:a="http://schemas.openxmlformats.org/drawingml/2006/main">
          <a:off x="645002" y="73726"/>
          <a:ext cx="623887" cy="354899"/>
        </a:xfrm>
        <a:prstGeom xmlns:a="http://schemas.openxmlformats.org/drawingml/2006/main" prst="rect">
          <a:avLst/>
        </a:prstGeom>
      </cdr:spPr>
      <cdr:txBody xmlns:a="http://schemas.openxmlformats.org/drawingml/2006/main">
        <a:bodyPr vertOverflow="clip" vert="horz" wrap="square" lIns="45720" tIns="45720" rIns="45720" bIns="45720" rtlCol="0" anchor="t" anchorCtr="false">
          <a:normAutofit/>
        </a:bodyPr>
        <a:lstStyle/>
        <a:p>
          <a:pPr algn="ctr"/>
          <a:endParaRPr lang="zh-CN" altLang="en-US" sz="1100"/>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8227</Words>
  <Characters>46897</Characters>
  <Lines>390</Lines>
  <Paragraphs>110</Paragraphs>
  <TotalTime>369</TotalTime>
  <ScaleCrop>false</ScaleCrop>
  <LinksUpToDate>false</LinksUpToDate>
  <CharactersWithSpaces>55014</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2021-01-30T16:05:00Z</dcterms:created>
  <dc:creator>zhrp</dc:creator>
  <cp:lastModifiedBy>user</cp:lastModifiedBy>
  <dcterms:modified xsi:type="dcterms:W3CDTF">2024-12-11T10:12:02Z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1277776089355EAE0874B7656C5933EE</vt:lpwstr>
  </property>
</Properties>
</file>