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eastAsiaTheme="minorEastAsia"/>
          <w:b/>
          <w:bCs/>
          <w:color w:val="000000" w:themeColor="text1"/>
          <w:sz w:val="44"/>
          <w:szCs w:val="44"/>
          <w:highlight w:val="none"/>
          <w14:textFill>
            <w14:solidFill>
              <w14:schemeClr w14:val="tx1"/>
            </w14:solidFill>
          </w14:textFill>
        </w:rPr>
      </w:pPr>
    </w:p>
    <w:p>
      <w:pPr>
        <w:pStyle w:val="2"/>
        <w:rPr>
          <w:rFonts w:hint="eastAsia"/>
          <w:color w:val="000000" w:themeColor="text1"/>
          <w:highlight w:val="none"/>
          <w:lang w:eastAsia="zh-CN"/>
          <w14:textFill>
            <w14:solidFill>
              <w14:schemeClr w14:val="tx1"/>
            </w14:solidFill>
          </w14:textFill>
        </w:rPr>
      </w:pPr>
    </w:p>
    <w:p>
      <w:pPr>
        <w:rPr>
          <w:rFonts w:hint="eastAsia"/>
          <w:lang w:eastAsia="zh-CN"/>
        </w:rPr>
      </w:pPr>
    </w:p>
    <w:p>
      <w:pPr>
        <w:jc w:val="center"/>
        <w:rPr>
          <w:rFonts w:hint="default" w:ascii="Times New Roman" w:hAnsi="Times New Roman" w:cs="Times New Roman" w:eastAsiaTheme="minorEastAsia"/>
          <w:b/>
          <w:bCs/>
          <w:color w:val="000000" w:themeColor="text1"/>
          <w:sz w:val="56"/>
          <w:szCs w:val="56"/>
          <w:highlight w:val="none"/>
          <w14:textFill>
            <w14:solidFill>
              <w14:schemeClr w14:val="tx1"/>
            </w14:solidFill>
          </w14:textFill>
        </w:rPr>
      </w:pPr>
      <w:r>
        <w:rPr>
          <w:rFonts w:hint="default" w:ascii="Times New Roman" w:hAnsi="Times New Roman" w:cs="Times New Roman" w:eastAsiaTheme="minorEastAsia"/>
          <w:b/>
          <w:bCs/>
          <w:color w:val="000000" w:themeColor="text1"/>
          <w:sz w:val="56"/>
          <w:szCs w:val="56"/>
          <w:highlight w:val="none"/>
          <w14:textFill>
            <w14:solidFill>
              <w14:schemeClr w14:val="tx1"/>
            </w14:solidFill>
          </w14:textFill>
        </w:rPr>
        <w:t>抚仙湖流域水环境保护治理</w:t>
      </w:r>
    </w:p>
    <w:p>
      <w:pPr>
        <w:jc w:val="center"/>
        <w:rPr>
          <w:rFonts w:hint="default" w:ascii="Times New Roman" w:hAnsi="Times New Roman" w:cs="Times New Roman" w:eastAsiaTheme="minorEastAsia"/>
          <w:bCs/>
          <w:color w:val="000000" w:themeColor="text1"/>
          <w:sz w:val="44"/>
          <w:szCs w:val="44"/>
          <w:highlight w:val="none"/>
          <w14:textFill>
            <w14:solidFill>
              <w14:schemeClr w14:val="tx1"/>
            </w14:solidFill>
          </w14:textFill>
        </w:rPr>
      </w:pPr>
      <w:r>
        <w:rPr>
          <w:rFonts w:hint="default" w:ascii="Times New Roman" w:hAnsi="Times New Roman" w:cs="Times New Roman" w:eastAsiaTheme="minorEastAsia"/>
          <w:b/>
          <w:bCs/>
          <w:color w:val="000000" w:themeColor="text1"/>
          <w:sz w:val="56"/>
          <w:szCs w:val="56"/>
          <w:highlight w:val="none"/>
          <w14:textFill>
            <w14:solidFill>
              <w14:schemeClr w14:val="tx1"/>
            </w14:solidFill>
          </w14:textFill>
        </w:rPr>
        <w:t>“十四五”规划中期执行情况评估</w:t>
      </w:r>
    </w:p>
    <w:p>
      <w:pPr>
        <w:jc w:val="center"/>
        <w:rPr>
          <w:rFonts w:hint="default" w:ascii="Times New Roman" w:hAnsi="Times New Roman" w:cs="Times New Roman" w:eastAsiaTheme="minorEastAsia"/>
          <w:bCs/>
          <w:color w:val="000000" w:themeColor="text1"/>
          <w:sz w:val="44"/>
          <w:szCs w:val="44"/>
          <w:highlight w:val="none"/>
          <w14:textFill>
            <w14:solidFill>
              <w14:schemeClr w14:val="tx1"/>
            </w14:solidFill>
          </w14:textFill>
        </w:rPr>
      </w:pPr>
    </w:p>
    <w:p>
      <w:pPr>
        <w:rPr>
          <w:rFonts w:hint="eastAsia" w:ascii="Times New Roman" w:hAnsi="Times New Roman" w:cs="Times New Roman" w:eastAsiaTheme="minorEastAsia"/>
          <w:color w:val="000000" w:themeColor="text1"/>
          <w:highlight w:val="none"/>
          <w:lang w:eastAsia="zh-CN"/>
          <w14:textFill>
            <w14:solidFill>
              <w14:schemeClr w14:val="tx1"/>
            </w14:solidFill>
          </w14:textFill>
        </w:rPr>
      </w:pPr>
    </w:p>
    <w:p>
      <w:pPr>
        <w:rPr>
          <w:rFonts w:hint="eastAsia" w:ascii="Times New Roman" w:hAnsi="Times New Roman" w:cs="Times New Roman" w:eastAsiaTheme="minorEastAsia"/>
          <w:color w:val="000000" w:themeColor="text1"/>
          <w:highlight w:val="none"/>
          <w:lang w:eastAsia="zh-CN"/>
          <w14:textFill>
            <w14:solidFill>
              <w14:schemeClr w14:val="tx1"/>
            </w14:solidFill>
          </w14:textFill>
        </w:rPr>
      </w:pPr>
    </w:p>
    <w:p>
      <w:pPr>
        <w:pStyle w:val="2"/>
        <w:rPr>
          <w:rFonts w:hint="eastAsia" w:ascii="Times New Roman" w:hAnsi="Times New Roman" w:cs="Times New Roman" w:eastAsiaTheme="minorEastAsia"/>
          <w:color w:val="000000" w:themeColor="text1"/>
          <w:highlight w:val="none"/>
          <w:lang w:eastAsia="zh-CN"/>
          <w14:textFill>
            <w14:solidFill>
              <w14:schemeClr w14:val="tx1"/>
            </w14:solidFill>
          </w14:textFill>
        </w:rPr>
      </w:pPr>
    </w:p>
    <w:p>
      <w:pPr>
        <w:rPr>
          <w:rFonts w:hint="eastAsia" w:ascii="Times New Roman" w:hAnsi="Times New Roman" w:cs="Times New Roman" w:eastAsiaTheme="minorEastAsia"/>
          <w:color w:val="000000" w:themeColor="text1"/>
          <w:highlight w:val="none"/>
          <w:lang w:eastAsia="zh-CN"/>
          <w14:textFill>
            <w14:solidFill>
              <w14:schemeClr w14:val="tx1"/>
            </w14:solidFill>
          </w14:textFill>
        </w:rPr>
      </w:pPr>
    </w:p>
    <w:p>
      <w:pPr>
        <w:pStyle w:val="2"/>
        <w:rPr>
          <w:rFonts w:hint="eastAsia" w:ascii="Times New Roman" w:hAnsi="Times New Roman" w:cs="Times New Roman" w:eastAsiaTheme="minorEastAsia"/>
          <w:color w:val="000000" w:themeColor="text1"/>
          <w:highlight w:val="none"/>
          <w:lang w:eastAsia="zh-CN"/>
          <w14:textFill>
            <w14:solidFill>
              <w14:schemeClr w14:val="tx1"/>
            </w14:solidFill>
          </w14:textFill>
        </w:rPr>
      </w:pPr>
    </w:p>
    <w:p>
      <w:pPr>
        <w:rPr>
          <w:rFonts w:hint="eastAsia"/>
          <w:lang w:eastAsia="zh-CN"/>
        </w:rPr>
      </w:pPr>
    </w:p>
    <w:p>
      <w:pPr>
        <w:rPr>
          <w:rFonts w:hint="eastAsia" w:ascii="Times New Roman" w:hAnsi="Times New Roman" w:cs="Times New Roman" w:eastAsiaTheme="minorEastAsia"/>
          <w:color w:val="000000" w:themeColor="text1"/>
          <w:highlight w:val="none"/>
          <w:lang w:eastAsia="zh-CN"/>
          <w14:textFill>
            <w14:solidFill>
              <w14:schemeClr w14:val="tx1"/>
            </w14:solidFill>
          </w14:textFill>
        </w:rPr>
      </w:pPr>
    </w:p>
    <w:p>
      <w:pPr>
        <w:rPr>
          <w:rFonts w:hint="eastAsia" w:ascii="Times New Roman" w:hAnsi="Times New Roman" w:cs="Times New Roman" w:eastAsiaTheme="minorEastAsia"/>
          <w:color w:val="000000" w:themeColor="text1"/>
          <w:highlight w:val="none"/>
          <w:lang w:eastAsia="zh-CN"/>
          <w14:textFill>
            <w14:solidFill>
              <w14:schemeClr w14:val="tx1"/>
            </w14:solidFill>
          </w14:textFill>
        </w:rPr>
      </w:pPr>
    </w:p>
    <w:p>
      <w:pPr>
        <w:rPr>
          <w:rFonts w:hint="eastAsia" w:ascii="Times New Roman" w:hAnsi="Times New Roman" w:cs="Times New Roman" w:eastAsiaTheme="minorEastAsia"/>
          <w:color w:val="000000" w:themeColor="text1"/>
          <w:highlight w:val="none"/>
          <w:lang w:eastAsia="zh-CN"/>
          <w14:textFill>
            <w14:solidFill>
              <w14:schemeClr w14:val="tx1"/>
            </w14:solidFill>
          </w14:textFill>
        </w:rPr>
      </w:pPr>
    </w:p>
    <w:p>
      <w:pPr>
        <w:rPr>
          <w:rFonts w:hint="eastAsia" w:ascii="Times New Roman" w:hAnsi="Times New Roman" w:cs="Times New Roman" w:eastAsiaTheme="minorEastAsia"/>
          <w:color w:val="000000" w:themeColor="text1"/>
          <w:highlight w:val="none"/>
          <w:lang w:eastAsia="zh-CN"/>
          <w14:textFill>
            <w14:solidFill>
              <w14:schemeClr w14:val="tx1"/>
            </w14:solidFill>
          </w14:textFill>
        </w:rPr>
      </w:pPr>
    </w:p>
    <w:p>
      <w:pPr>
        <w:pStyle w:val="2"/>
        <w:rPr>
          <w:rFonts w:hint="eastAsia"/>
          <w:lang w:eastAsia="zh-CN"/>
        </w:rPr>
      </w:pPr>
    </w:p>
    <w:p>
      <w:pPr>
        <w:rPr>
          <w:rFonts w:hint="eastAsia" w:ascii="Times New Roman" w:hAnsi="Times New Roman" w:cs="Times New Roman" w:eastAsiaTheme="minorEastAsia"/>
          <w:color w:val="000000" w:themeColor="text1"/>
          <w:highlight w:val="none"/>
          <w:lang w:eastAsia="zh-CN"/>
          <w14:textFill>
            <w14:solidFill>
              <w14:schemeClr w14:val="tx1"/>
            </w14:solidFill>
          </w14:textFill>
        </w:rPr>
      </w:pPr>
    </w:p>
    <w:p>
      <w:pPr>
        <w:pStyle w:val="2"/>
        <w:rPr>
          <w:rFonts w:hint="eastAsia"/>
          <w:color w:val="000000" w:themeColor="text1"/>
          <w:highlight w:val="none"/>
          <w:lang w:eastAsia="zh-CN"/>
          <w14:textFill>
            <w14:solidFill>
              <w14:schemeClr w14:val="tx1"/>
            </w14:solidFill>
          </w14:textFill>
        </w:rPr>
      </w:pPr>
    </w:p>
    <w:p>
      <w:pPr>
        <w:rPr>
          <w:rFonts w:hint="eastAsia"/>
          <w:lang w:eastAsia="zh-CN"/>
        </w:rPr>
      </w:pPr>
    </w:p>
    <w:p>
      <w:pPr>
        <w:rPr>
          <w:rFonts w:hint="eastAsia" w:ascii="Times New Roman" w:hAnsi="Times New Roman" w:cs="Times New Roman" w:eastAsiaTheme="minorEastAsia"/>
          <w:color w:val="000000" w:themeColor="text1"/>
          <w:highlight w:val="none"/>
          <w:lang w:eastAsia="zh-CN"/>
          <w14:textFill>
            <w14:solidFill>
              <w14:schemeClr w14:val="tx1"/>
            </w14:solidFill>
          </w14:textFill>
        </w:rPr>
      </w:pPr>
    </w:p>
    <w:p>
      <w:pPr>
        <w:rPr>
          <w:rFonts w:hint="eastAsia" w:ascii="Times New Roman" w:hAnsi="Times New Roman" w:cs="Times New Roman" w:eastAsiaTheme="minorEastAsia"/>
          <w:color w:val="000000" w:themeColor="text1"/>
          <w:highlight w:val="none"/>
          <w:lang w:eastAsia="zh-CN"/>
          <w14:textFill>
            <w14:solidFill>
              <w14:schemeClr w14:val="tx1"/>
            </w14:solidFill>
          </w14:textFill>
        </w:rPr>
      </w:pPr>
    </w:p>
    <w:p>
      <w:pPr>
        <w:rPr>
          <w:rFonts w:hint="eastAsia" w:ascii="Times New Roman" w:hAnsi="Times New Roman" w:cs="Times New Roman" w:eastAsiaTheme="minorEastAsia"/>
          <w:color w:val="000000" w:themeColor="text1"/>
          <w:highlight w:val="none"/>
          <w:lang w:eastAsia="zh-CN"/>
          <w14:textFill>
            <w14:solidFill>
              <w14:schemeClr w14:val="tx1"/>
            </w14:solidFill>
          </w14:textFill>
        </w:rPr>
      </w:pPr>
    </w:p>
    <w:p>
      <w:pPr>
        <w:jc w:val="center"/>
        <w:rPr>
          <w:rFonts w:hint="default" w:ascii="Times New Roman" w:hAnsi="Times New Roman" w:cs="Times New Roman" w:eastAsiaTheme="minorEastAsia"/>
          <w:b/>
          <w:bCs w:val="0"/>
          <w:color w:val="000000" w:themeColor="text1"/>
          <w:sz w:val="36"/>
          <w:szCs w:val="36"/>
          <w:highlight w:val="none"/>
          <w14:textFill>
            <w14:solidFill>
              <w14:schemeClr w14:val="tx1"/>
            </w14:solidFill>
          </w14:textFill>
        </w:rPr>
      </w:pPr>
      <w:r>
        <w:rPr>
          <w:rFonts w:hint="default" w:ascii="Times New Roman" w:hAnsi="Times New Roman" w:cs="Times New Roman" w:eastAsiaTheme="minorEastAsia"/>
          <w:b/>
          <w:bCs w:val="0"/>
          <w:color w:val="000000" w:themeColor="text1"/>
          <w:sz w:val="36"/>
          <w:szCs w:val="36"/>
          <w:highlight w:val="none"/>
          <w14:textFill>
            <w14:solidFill>
              <w14:schemeClr w14:val="tx1"/>
            </w14:solidFill>
          </w14:textFill>
        </w:rPr>
        <w:t>澄江市人民政府</w:t>
      </w:r>
    </w:p>
    <w:p>
      <w:pPr>
        <w:jc w:val="center"/>
        <w:rPr>
          <w:rFonts w:hint="default" w:ascii="Times New Roman" w:hAnsi="Times New Roman" w:cs="Times New Roman" w:eastAsiaTheme="minorEastAsia"/>
          <w:b/>
          <w:bCs w:val="0"/>
          <w:color w:val="000000" w:themeColor="text1"/>
          <w:sz w:val="36"/>
          <w:szCs w:val="36"/>
          <w:highlight w:val="none"/>
          <w14:textFill>
            <w14:solidFill>
              <w14:schemeClr w14:val="tx1"/>
            </w14:solidFill>
          </w14:textFill>
        </w:rPr>
      </w:pPr>
      <w:r>
        <w:rPr>
          <w:rFonts w:hint="default" w:ascii="Times New Roman" w:hAnsi="Times New Roman" w:cs="Times New Roman" w:eastAsiaTheme="minorEastAsia"/>
          <w:b/>
          <w:bCs w:val="0"/>
          <w:color w:val="000000" w:themeColor="text1"/>
          <w:sz w:val="36"/>
          <w:szCs w:val="36"/>
          <w:highlight w:val="none"/>
          <w14:textFill>
            <w14:solidFill>
              <w14:schemeClr w14:val="tx1"/>
            </w14:solidFill>
          </w14:textFill>
        </w:rPr>
        <w:t>二</w:t>
      </w:r>
      <w:r>
        <w:rPr>
          <w:rFonts w:hint="eastAsia" w:cs="Times New Roman" w:eastAsiaTheme="minorEastAsia"/>
          <w:b/>
          <w:bCs w:val="0"/>
          <w:color w:val="000000" w:themeColor="text1"/>
          <w:sz w:val="36"/>
          <w:szCs w:val="36"/>
          <w:highlight w:val="none"/>
          <w:lang w:eastAsia="zh-CN"/>
          <w14:textFill>
            <w14:solidFill>
              <w14:schemeClr w14:val="tx1"/>
            </w14:solidFill>
          </w14:textFill>
        </w:rPr>
        <w:t>〇</w:t>
      </w:r>
      <w:r>
        <w:rPr>
          <w:rFonts w:hint="default" w:ascii="Times New Roman" w:hAnsi="Times New Roman" w:cs="Times New Roman" w:eastAsiaTheme="minorEastAsia"/>
          <w:b/>
          <w:bCs w:val="0"/>
          <w:color w:val="000000" w:themeColor="text1"/>
          <w:sz w:val="36"/>
          <w:szCs w:val="36"/>
          <w:highlight w:val="none"/>
          <w14:textFill>
            <w14:solidFill>
              <w14:schemeClr w14:val="tx1"/>
            </w14:solidFill>
          </w14:textFill>
        </w:rPr>
        <w:t>二</w:t>
      </w:r>
      <w:r>
        <w:rPr>
          <w:rFonts w:hint="eastAsia" w:cs="Times New Roman" w:eastAsiaTheme="minorEastAsia"/>
          <w:b/>
          <w:bCs w:val="0"/>
          <w:color w:val="000000" w:themeColor="text1"/>
          <w:sz w:val="36"/>
          <w:szCs w:val="36"/>
          <w:highlight w:val="none"/>
          <w:lang w:eastAsia="zh-CN"/>
          <w14:textFill>
            <w14:solidFill>
              <w14:schemeClr w14:val="tx1"/>
            </w14:solidFill>
          </w14:textFill>
        </w:rPr>
        <w:t>四</w:t>
      </w:r>
      <w:r>
        <w:rPr>
          <w:rFonts w:hint="default" w:ascii="Times New Roman" w:hAnsi="Times New Roman" w:cs="Times New Roman" w:eastAsiaTheme="minorEastAsia"/>
          <w:b/>
          <w:bCs w:val="0"/>
          <w:color w:val="000000" w:themeColor="text1"/>
          <w:sz w:val="36"/>
          <w:szCs w:val="36"/>
          <w:highlight w:val="none"/>
          <w14:textFill>
            <w14:solidFill>
              <w14:schemeClr w14:val="tx1"/>
            </w14:solidFill>
          </w14:textFill>
        </w:rPr>
        <w:t>年</w:t>
      </w:r>
      <w:r>
        <w:rPr>
          <w:rFonts w:hint="eastAsia" w:cs="Times New Roman" w:eastAsiaTheme="minorEastAsia"/>
          <w:b/>
          <w:bCs w:val="0"/>
          <w:color w:val="000000" w:themeColor="text1"/>
          <w:sz w:val="36"/>
          <w:szCs w:val="36"/>
          <w:highlight w:val="none"/>
          <w:lang w:val="en-US" w:eastAsia="zh-CN"/>
          <w14:textFill>
            <w14:solidFill>
              <w14:schemeClr w14:val="tx1"/>
            </w14:solidFill>
          </w14:textFill>
        </w:rPr>
        <w:t>一</w:t>
      </w:r>
      <w:r>
        <w:rPr>
          <w:rFonts w:hint="default" w:ascii="Times New Roman" w:hAnsi="Times New Roman" w:cs="Times New Roman" w:eastAsiaTheme="minorEastAsia"/>
          <w:b/>
          <w:bCs w:val="0"/>
          <w:color w:val="000000" w:themeColor="text1"/>
          <w:sz w:val="36"/>
          <w:szCs w:val="36"/>
          <w:highlight w:val="none"/>
          <w14:textFill>
            <w14:solidFill>
              <w14:schemeClr w14:val="tx1"/>
            </w14:solidFill>
          </w14:textFill>
        </w:rPr>
        <w:t>月</w:t>
      </w:r>
    </w:p>
    <w:p>
      <w:pPr>
        <w:jc w:val="center"/>
        <w:rPr>
          <w:rFonts w:hint="eastAsia" w:ascii="Times New Roman" w:hAnsi="Times New Roman" w:cs="Times New Roman" w:eastAsiaTheme="minorEastAsia"/>
          <w:bCs/>
          <w:color w:val="000000" w:themeColor="text1"/>
          <w:sz w:val="36"/>
          <w:szCs w:val="36"/>
          <w:highlight w:val="none"/>
          <w:lang w:eastAsia="zh-CN"/>
          <w14:textFill>
            <w14:solidFill>
              <w14:schemeClr w14:val="tx1"/>
            </w14:solidFill>
          </w14:textFill>
        </w:rPr>
      </w:pPr>
    </w:p>
    <w:p>
      <w:pPr>
        <w:spacing w:before="120" w:line="480" w:lineRule="auto"/>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pPr>
      <w:r>
        <w:rPr>
          <w:rStyle w:val="20"/>
          <w:rFonts w:hint="default" w:ascii="Times New Roman" w:hAnsi="Times New Roman" w:cs="Times New Roman" w:eastAsiaTheme="minorEastAsia"/>
          <w:b/>
          <w:bCs/>
          <w:caps/>
          <w:color w:val="000000" w:themeColor="text1"/>
          <w:sz w:val="28"/>
          <w:szCs w:val="28"/>
          <w:highlight w:val="none"/>
          <w:u w:val="none"/>
          <w14:textFill>
            <w14:solidFill>
              <w14:schemeClr w14:val="tx1"/>
            </w14:solidFill>
          </w14:textFill>
        </w:rPr>
        <w:t>项目委托：</w:t>
      </w:r>
      <w:r>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t>澄江市抚仙湖管理局、玉溪市湖泊管理局</w:t>
      </w:r>
    </w:p>
    <w:p>
      <w:pPr>
        <w:spacing w:before="120" w:line="480" w:lineRule="auto"/>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pPr>
      <w:r>
        <w:rPr>
          <w:rStyle w:val="20"/>
          <w:rFonts w:hint="default" w:ascii="Times New Roman" w:hAnsi="Times New Roman" w:cs="Times New Roman" w:eastAsiaTheme="minorEastAsia"/>
          <w:b/>
          <w:bCs/>
          <w:caps/>
          <w:color w:val="000000" w:themeColor="text1"/>
          <w:sz w:val="28"/>
          <w:szCs w:val="28"/>
          <w:highlight w:val="none"/>
          <w:u w:val="none"/>
          <w14:textFill>
            <w14:solidFill>
              <w14:schemeClr w14:val="tx1"/>
            </w14:solidFill>
          </w14:textFill>
        </w:rPr>
        <w:t>项目名称：</w:t>
      </w:r>
      <w:r>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t>抚仙湖流域水环境保护治理</w:t>
      </w:r>
      <w:r>
        <w:rPr>
          <w:rStyle w:val="20"/>
          <w:rFonts w:hint="eastAsia" w:ascii="Times New Roman" w:hAnsi="Times New Roman" w:cs="Times New Roman" w:eastAsiaTheme="minorEastAsia"/>
          <w:smallCaps/>
          <w:color w:val="000000" w:themeColor="text1"/>
          <w:sz w:val="28"/>
          <w:szCs w:val="28"/>
          <w:highlight w:val="none"/>
          <w:u w:val="none"/>
          <w:lang w:eastAsia="zh-CN"/>
          <w14:textFill>
            <w14:solidFill>
              <w14:schemeClr w14:val="tx1"/>
            </w14:solidFill>
          </w14:textFill>
        </w:rPr>
        <w:t>“</w:t>
      </w:r>
      <w:r>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t>十四五</w:t>
      </w:r>
      <w:r>
        <w:rPr>
          <w:rStyle w:val="20"/>
          <w:rFonts w:hint="eastAsia" w:ascii="Times New Roman" w:hAnsi="Times New Roman" w:cs="Times New Roman" w:eastAsiaTheme="minorEastAsia"/>
          <w:smallCaps/>
          <w:color w:val="000000" w:themeColor="text1"/>
          <w:sz w:val="28"/>
          <w:szCs w:val="28"/>
          <w:highlight w:val="none"/>
          <w:u w:val="none"/>
          <w:lang w:eastAsia="zh-CN"/>
          <w14:textFill>
            <w14:solidFill>
              <w14:schemeClr w14:val="tx1"/>
            </w14:solidFill>
          </w14:textFill>
        </w:rPr>
        <w:t>”</w:t>
      </w:r>
      <w:r>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t>规划中期执行情况评估报告</w:t>
      </w:r>
    </w:p>
    <w:p>
      <w:pPr>
        <w:keepNext w:val="0"/>
        <w:keepLines w:val="0"/>
        <w:pageBreakBefore w:val="0"/>
        <w:widowControl w:val="0"/>
        <w:kinsoku/>
        <w:wordWrap/>
        <w:overflowPunct/>
        <w:topLinePunct w:val="0"/>
        <w:autoSpaceDE/>
        <w:autoSpaceDN/>
        <w:bidi w:val="0"/>
        <w:adjustRightInd/>
        <w:snapToGrid/>
        <w:spacing w:before="120" w:line="480" w:lineRule="auto"/>
        <w:textAlignment w:val="auto"/>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pPr>
      <w:r>
        <w:rPr>
          <w:rStyle w:val="20"/>
          <w:rFonts w:hint="default" w:ascii="Times New Roman" w:hAnsi="Times New Roman" w:cs="Times New Roman" w:eastAsiaTheme="minorEastAsia"/>
          <w:b/>
          <w:bCs/>
          <w:caps/>
          <w:color w:val="000000" w:themeColor="text1"/>
          <w:sz w:val="28"/>
          <w:szCs w:val="28"/>
          <w:highlight w:val="none"/>
          <w:u w:val="none"/>
          <w14:textFill>
            <w14:solidFill>
              <w14:schemeClr w14:val="tx1"/>
            </w14:solidFill>
          </w14:textFill>
        </w:rPr>
        <w:t>编制单位：</w:t>
      </w:r>
      <w:r>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t>云南省生态环境科学研究院</w:t>
      </w:r>
    </w:p>
    <w:p>
      <w:pPr>
        <w:keepNext w:val="0"/>
        <w:keepLines w:val="0"/>
        <w:pageBreakBefore w:val="0"/>
        <w:widowControl w:val="0"/>
        <w:kinsoku/>
        <w:wordWrap/>
        <w:overflowPunct/>
        <w:topLinePunct w:val="0"/>
        <w:autoSpaceDE/>
        <w:autoSpaceDN/>
        <w:bidi w:val="0"/>
        <w:adjustRightInd/>
        <w:snapToGrid/>
        <w:spacing w:before="120" w:line="480" w:lineRule="auto"/>
        <w:textAlignment w:val="auto"/>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pPr>
      <w:r>
        <w:rPr>
          <w:rStyle w:val="20"/>
          <w:rFonts w:hint="default" w:ascii="Times New Roman" w:hAnsi="Times New Roman" w:cs="Times New Roman" w:eastAsiaTheme="minorEastAsia"/>
          <w:b/>
          <w:bCs/>
          <w:caps/>
          <w:color w:val="000000" w:themeColor="text1"/>
          <w:sz w:val="28"/>
          <w:szCs w:val="28"/>
          <w:highlight w:val="none"/>
          <w:u w:val="none"/>
          <w14:textFill>
            <w14:solidFill>
              <w14:schemeClr w14:val="tx1"/>
            </w14:solidFill>
          </w14:textFill>
        </w:rPr>
        <w:t>院长：</w:t>
      </w:r>
      <w:r>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t>陈异晖（正高级工程师）</w:t>
      </w:r>
    </w:p>
    <w:p>
      <w:pPr>
        <w:spacing w:before="120" w:line="480" w:lineRule="auto"/>
        <w:rPr>
          <w:rFonts w:hint="default" w:ascii="Times New Roman" w:hAnsi="Times New Roman" w:cs="Times New Roman" w:eastAsiaTheme="minorEastAsia"/>
          <w:color w:val="000000" w:themeColor="text1"/>
          <w:sz w:val="28"/>
          <w:szCs w:val="28"/>
          <w:highlight w:val="none"/>
          <w14:textFill>
            <w14:solidFill>
              <w14:schemeClr w14:val="tx1"/>
            </w14:solidFill>
          </w14:textFill>
        </w:rPr>
      </w:pPr>
      <w:r>
        <w:rPr>
          <w:rStyle w:val="20"/>
          <w:rFonts w:hint="default" w:ascii="Times New Roman" w:hAnsi="Times New Roman" w:cs="Times New Roman" w:eastAsiaTheme="minorEastAsia"/>
          <w:b/>
          <w:bCs/>
          <w:caps/>
          <w:color w:val="000000" w:themeColor="text1"/>
          <w:sz w:val="28"/>
          <w:szCs w:val="28"/>
          <w:highlight w:val="none"/>
          <w:u w:val="none"/>
          <w14:textFill>
            <w14:solidFill>
              <w14:schemeClr w14:val="tx1"/>
            </w14:solidFill>
          </w14:textFill>
        </w:rPr>
        <w:t>主管副院长：</w:t>
      </w:r>
      <w:r>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t>吴学灿（正高级工程师）</w:t>
      </w:r>
    </w:p>
    <w:p>
      <w:pPr>
        <w:tabs>
          <w:tab w:val="left" w:pos="1843"/>
        </w:tabs>
        <w:spacing w:before="120" w:line="480" w:lineRule="auto"/>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pPr>
      <w:r>
        <w:rPr>
          <w:rStyle w:val="20"/>
          <w:rFonts w:hint="default" w:ascii="Times New Roman" w:hAnsi="Times New Roman" w:cs="Times New Roman" w:eastAsiaTheme="minorEastAsia"/>
          <w:b/>
          <w:bCs/>
          <w:caps/>
          <w:color w:val="000000" w:themeColor="text1"/>
          <w:sz w:val="28"/>
          <w:szCs w:val="28"/>
          <w:highlight w:val="none"/>
          <w:u w:val="none"/>
          <w14:textFill>
            <w14:solidFill>
              <w14:schemeClr w14:val="tx1"/>
            </w14:solidFill>
          </w14:textFill>
        </w:rPr>
        <w:t>项目负责人：</w:t>
      </w:r>
      <w:r>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t>戴丽（正高级工程师）、王慧梅（</w:t>
      </w:r>
      <w:r>
        <w:rPr>
          <w:rStyle w:val="20"/>
          <w:rFonts w:hint="eastAsia" w:cs="Times New Roman" w:eastAsiaTheme="minorEastAsia"/>
          <w:smallCaps/>
          <w:color w:val="000000" w:themeColor="text1"/>
          <w:sz w:val="28"/>
          <w:szCs w:val="28"/>
          <w:highlight w:val="none"/>
          <w:u w:val="none"/>
          <w:lang w:val="en-US" w:eastAsia="zh-CN"/>
          <w14:textFill>
            <w14:solidFill>
              <w14:schemeClr w14:val="tx1"/>
            </w14:solidFill>
          </w14:textFill>
        </w:rPr>
        <w:t>高级</w:t>
      </w:r>
      <w:r>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t>工程师）</w:t>
      </w:r>
    </w:p>
    <w:p>
      <w:pPr>
        <w:spacing w:before="120"/>
        <w:rPr>
          <w:rFonts w:hint="default" w:ascii="Times New Roman" w:hAnsi="Times New Roman" w:cs="Times New Roman" w:eastAsiaTheme="minorEastAsia"/>
          <w:color w:val="000000" w:themeColor="text1"/>
          <w:highlight w:val="none"/>
          <w14:textFill>
            <w14:solidFill>
              <w14:schemeClr w14:val="tx1"/>
            </w14:solidFill>
          </w14:textFill>
        </w:rPr>
      </w:pPr>
      <w:r>
        <w:rPr>
          <w:rStyle w:val="20"/>
          <w:rFonts w:hint="default" w:ascii="Times New Roman" w:hAnsi="Times New Roman" w:cs="Times New Roman" w:eastAsiaTheme="minorEastAsia"/>
          <w:b/>
          <w:bCs/>
          <w:caps/>
          <w:color w:val="000000" w:themeColor="text1"/>
          <w:sz w:val="28"/>
          <w:szCs w:val="28"/>
          <w:highlight w:val="none"/>
          <w:u w:val="none"/>
          <w14:textFill>
            <w14:solidFill>
              <w14:schemeClr w14:val="tx1"/>
            </w14:solidFill>
          </w14:textFill>
        </w:rPr>
        <w:t>其他编制人员：</w:t>
      </w:r>
      <w:r>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t>胡玉之（高级工程师）</w:t>
      </w:r>
    </w:p>
    <w:p>
      <w:pPr>
        <w:ind w:firstLine="2240" w:firstLineChars="800"/>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pPr>
      <w:r>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t>卢露（助理工程师）</w:t>
      </w:r>
    </w:p>
    <w:p>
      <w:pPr>
        <w:spacing w:before="120"/>
        <w:ind w:firstLine="2240" w:firstLineChars="800"/>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pPr>
      <w:r>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t>詹海斌（助理工程师澄江市抚仙湖管理局）</w:t>
      </w:r>
    </w:p>
    <w:p>
      <w:pPr>
        <w:spacing w:before="120"/>
        <w:ind w:firstLine="2240" w:firstLineChars="800"/>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pPr>
      <w:r>
        <w:rPr>
          <w:rStyle w:val="20"/>
          <w:rFonts w:hint="eastAsia" w:ascii="Times New Roman" w:hAnsi="Times New Roman" w:cs="Times New Roman" w:eastAsiaTheme="minorEastAsia"/>
          <w:smallCaps/>
          <w:color w:val="000000" w:themeColor="text1"/>
          <w:sz w:val="28"/>
          <w:szCs w:val="28"/>
          <w:highlight w:val="none"/>
          <w:u w:val="none"/>
          <w:lang w:val="en-US" w:eastAsia="zh-CN"/>
          <w14:textFill>
            <w14:solidFill>
              <w14:schemeClr w14:val="tx1"/>
            </w14:solidFill>
          </w14:textFill>
        </w:rPr>
        <w:t>曹钰晟</w:t>
      </w:r>
      <w:r>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t>（助理工程师澄江市抚仙湖管理局）</w:t>
      </w:r>
    </w:p>
    <w:p>
      <w:pPr>
        <w:spacing w:before="120"/>
        <w:ind w:firstLine="2240" w:firstLineChars="800"/>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pPr>
      <w:r>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t>吕雨桐（助理工程师澄江市抚仙湖管理局）</w:t>
      </w:r>
    </w:p>
    <w:p>
      <w:pPr>
        <w:spacing w:before="120"/>
        <w:ind w:firstLine="2240" w:firstLineChars="800"/>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pPr>
      <w:r>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t>伍雪（助理工程师澄江市抚仙湖管理局）</w:t>
      </w:r>
    </w:p>
    <w:p>
      <w:pPr>
        <w:spacing w:before="120"/>
        <w:ind w:firstLine="2240" w:firstLineChars="800"/>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pPr>
      <w:r>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t>陈姿秀（助理工程师澄江市抚仙湖管理局）</w:t>
      </w:r>
    </w:p>
    <w:p>
      <w:pPr>
        <w:spacing w:before="120"/>
        <w:ind w:firstLine="2240" w:firstLineChars="800"/>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pPr>
      <w:r>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t>李蓉（工程师澄江市抚仙湖管理局）</w:t>
      </w:r>
    </w:p>
    <w:p>
      <w:pPr>
        <w:spacing w:before="120"/>
        <w:ind w:firstLine="2240" w:firstLineChars="800"/>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pPr>
      <w:r>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t>徐澍（工程师澄江市抚仙湖管理局）</w:t>
      </w:r>
    </w:p>
    <w:p>
      <w:pPr>
        <w:spacing w:before="120"/>
        <w:ind w:firstLine="2240" w:firstLineChars="800"/>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pPr>
      <w:r>
        <w:rPr>
          <w:rStyle w:val="20"/>
          <w:rFonts w:hint="default" w:ascii="Times New Roman" w:hAnsi="Times New Roman" w:cs="Times New Roman" w:eastAsiaTheme="minorEastAsia"/>
          <w:smallCaps/>
          <w:color w:val="000000" w:themeColor="text1"/>
          <w:sz w:val="28"/>
          <w:szCs w:val="28"/>
          <w:highlight w:val="none"/>
          <w:u w:val="none"/>
          <w14:textFill>
            <w14:solidFill>
              <w14:schemeClr w14:val="tx1"/>
            </w14:solidFill>
          </w14:textFill>
        </w:rPr>
        <w:t>张艳兵（工程师澄江市抚仙湖管理局）</w:t>
      </w:r>
    </w:p>
    <w:p>
      <w:pPr>
        <w:rPr>
          <w:rFonts w:hint="default" w:ascii="Times New Roman" w:hAnsi="Times New Roman" w:cs="Times New Roman" w:eastAsiaTheme="minorEastAsia"/>
          <w:color w:val="000000" w:themeColor="text1"/>
          <w:sz w:val="20"/>
          <w:szCs w:val="18"/>
          <w:highlight w:val="none"/>
          <w14:textFill>
            <w14:solidFill>
              <w14:schemeClr w14:val="tx1"/>
            </w14:solidFill>
          </w14:textFill>
        </w:rPr>
      </w:pPr>
      <w:r>
        <w:rPr>
          <w:rFonts w:hint="default" w:ascii="Times New Roman" w:hAnsi="Times New Roman" w:cs="Times New Roman" w:eastAsiaTheme="minorEastAsia"/>
          <w:i/>
          <w:iCs/>
          <w:color w:val="000000" w:themeColor="text1"/>
          <w:kern w:val="0"/>
          <w:szCs w:val="24"/>
          <w:highlight w:val="none"/>
          <w14:textFill>
            <w14:solidFill>
              <w14:schemeClr w14:val="tx1"/>
            </w14:solidFill>
          </w14:textFill>
        </w:rPr>
        <w:t>备注：除特殊说明外，其他均为云南省生态环境科学研究院人员</w:t>
      </w:r>
    </w:p>
    <w:p>
      <w:pPr>
        <w:spacing w:line="480" w:lineRule="auto"/>
        <w:ind w:firstLine="3000" w:firstLineChars="1000"/>
        <w:jc w:val="left"/>
        <w:rPr>
          <w:rFonts w:hint="default" w:ascii="Times New Roman" w:hAnsi="Times New Roman" w:cs="Times New Roman" w:eastAsiaTheme="minorEastAsia"/>
          <w:color w:val="000000" w:themeColor="text1"/>
          <w:sz w:val="30"/>
          <w:szCs w:val="30"/>
          <w:highlight w:val="none"/>
          <w14:textFill>
            <w14:solidFill>
              <w14:schemeClr w14:val="tx1"/>
            </w14:solidFill>
          </w14:textFill>
        </w:rPr>
      </w:pPr>
    </w:p>
    <w:p>
      <w:pPr>
        <w:rPr>
          <w:rFonts w:hint="default" w:ascii="Times New Roman" w:hAnsi="Times New Roman" w:cs="Times New Roman" w:eastAsiaTheme="minorEastAsia"/>
          <w:color w:val="000000" w:themeColor="text1"/>
          <w:sz w:val="28"/>
          <w:szCs w:val="28"/>
          <w:highlight w:val="none"/>
          <w14:textFill>
            <w14:solidFill>
              <w14:schemeClr w14:val="tx1"/>
            </w14:solidFill>
          </w14:textFill>
        </w:rPr>
      </w:pPr>
    </w:p>
    <w:p>
      <w:pPr>
        <w:jc w:val="center"/>
        <w:rPr>
          <w:rFonts w:hint="default" w:ascii="Times New Roman" w:hAnsi="Times New Roman" w:cs="Times New Roman" w:eastAsiaTheme="minorEastAsia"/>
          <w:bCs/>
          <w:color w:val="000000" w:themeColor="text1"/>
          <w:sz w:val="30"/>
          <w:szCs w:val="30"/>
          <w:highlight w:val="none"/>
          <w14:textFill>
            <w14:solidFill>
              <w14:schemeClr w14:val="tx1"/>
            </w14:solidFill>
          </w14:textFill>
        </w:rPr>
        <w:sectPr>
          <w:pgSz w:w="11906" w:h="16838" w:orient="landscape"/>
          <w:pgMar w:top="1440" w:right="1587" w:bottom="1440" w:left="1587" w:header="720" w:footer="720" w:gutter="0"/>
          <w:pgBorders>
            <w:top w:val="none" w:sz="0" w:space="0"/>
            <w:left w:val="none" w:sz="0" w:space="0"/>
            <w:bottom w:val="none" w:sz="0" w:space="0"/>
            <w:right w:val="none" w:sz="0" w:space="0"/>
          </w:pgBorders>
          <w:pgNumType w:start="1"/>
          <w:cols w:space="720" w:num="1"/>
          <w:rtlGutter w:val="0"/>
          <w:docGrid w:type="lines" w:linePitch="312" w:charSpace="0"/>
        </w:sectPr>
      </w:pPr>
    </w:p>
    <w:p>
      <w:pPr>
        <w:jc w:val="center"/>
        <w:rPr>
          <w:rFonts w:hint="default" w:ascii="Times New Roman" w:hAnsi="Times New Roman" w:cs="Times New Roman" w:eastAsiaTheme="minorEastAsia"/>
          <w:color w:val="000000" w:themeColor="text1"/>
          <w:sz w:val="28"/>
          <w:szCs w:val="28"/>
          <w:highlight w:val="none"/>
          <w14:textFill>
            <w14:solidFill>
              <w14:schemeClr w14:val="tx1"/>
            </w14:solidFill>
          </w14:textFill>
        </w:rPr>
      </w:pPr>
      <w:r>
        <w:rPr>
          <w:rFonts w:hint="default" w:ascii="Times New Roman" w:hAnsi="Times New Roman" w:cs="Times New Roman" w:eastAsiaTheme="minorEastAsia"/>
          <w:b/>
          <w:bCs w:val="0"/>
          <w:color w:val="000000" w:themeColor="text1"/>
          <w:sz w:val="30"/>
          <w:szCs w:val="30"/>
          <w:highlight w:val="none"/>
          <w14:textFill>
            <w14:solidFill>
              <w14:schemeClr w14:val="tx1"/>
            </w14:solidFill>
          </w14:textFill>
        </w:rPr>
        <w:t>前言</w:t>
      </w:r>
    </w:p>
    <w:p>
      <w:pPr>
        <w:ind w:firstLine="560" w:firstLineChars="200"/>
        <w:rPr>
          <w:rFonts w:hint="default" w:ascii="Times New Roman" w:hAnsi="Times New Roman" w:cs="Times New Roman" w:eastAsiaTheme="minorEastAsia"/>
          <w:color w:val="000000" w:themeColor="text1"/>
          <w:sz w:val="28"/>
          <w:szCs w:val="28"/>
          <w:highlight w:val="none"/>
          <w14:textFill>
            <w14:solidFill>
              <w14:schemeClr w14:val="tx1"/>
            </w14:solidFill>
          </w14:textFill>
        </w:rPr>
      </w:pPr>
      <w:r>
        <w:rPr>
          <w:rFonts w:hint="default" w:ascii="Times New Roman" w:hAnsi="Times New Roman" w:cs="Times New Roman" w:eastAsiaTheme="minorEastAsia"/>
          <w:color w:val="000000" w:themeColor="text1"/>
          <w:sz w:val="28"/>
          <w:szCs w:val="28"/>
          <w:highlight w:val="none"/>
          <w14:textFill>
            <w14:solidFill>
              <w14:schemeClr w14:val="tx1"/>
            </w14:solidFill>
          </w14:textFill>
        </w:rPr>
        <w:t>根据云南省水利厅云南省生态环境厅关于开展云南省“十四五”九大高原湖泊保护治理规划中期评估的通知要求和玉溪市人民政府任务下达，云南省生态环境科学研究院承担了《抚仙湖流域水环境保护治理“十四五”规划》（下简称《“十四五”规划》）执行情况中期评估工作。本评估报告评估时段为2021年1月-2023年6月，以2020年为基准，时期资料为2021年、2022年、2023年。</w:t>
      </w:r>
    </w:p>
    <w:p>
      <w:pPr>
        <w:ind w:firstLine="560" w:firstLineChars="200"/>
        <w:rPr>
          <w:rFonts w:hint="eastAsia" w:ascii="Times New Roman" w:hAnsi="Times New Roman" w:cs="Times New Roman" w:eastAsiaTheme="minorEastAsia"/>
          <w:color w:val="000000" w:themeColor="text1"/>
          <w:sz w:val="28"/>
          <w:szCs w:val="2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8"/>
          <w:szCs w:val="28"/>
          <w:highlight w:val="none"/>
          <w14:textFill>
            <w14:solidFill>
              <w14:schemeClr w14:val="tx1"/>
            </w14:solidFill>
          </w14:textFill>
        </w:rPr>
        <w:t>在报告编制过程中，得到了玉溪市和澄江市的抚管、</w:t>
      </w:r>
      <w:r>
        <w:rPr>
          <w:rFonts w:hint="eastAsia" w:cs="Times New Roman" w:eastAsiaTheme="minorEastAsia"/>
          <w:color w:val="000000" w:themeColor="text1"/>
          <w:sz w:val="28"/>
          <w:szCs w:val="28"/>
          <w:highlight w:val="none"/>
          <w:lang w:val="en-US" w:eastAsia="zh-CN"/>
          <w14:textFill>
            <w14:solidFill>
              <w14:schemeClr w14:val="tx1"/>
            </w14:solidFill>
          </w14:textFill>
        </w:rPr>
        <w:t>生态环境</w:t>
      </w:r>
      <w:r>
        <w:rPr>
          <w:rFonts w:hint="default" w:ascii="Times New Roman" w:hAnsi="Times New Roman" w:cs="Times New Roman" w:eastAsiaTheme="minorEastAsia"/>
          <w:color w:val="000000" w:themeColor="text1"/>
          <w:sz w:val="28"/>
          <w:szCs w:val="28"/>
          <w:highlight w:val="none"/>
          <w14:textFill>
            <w14:solidFill>
              <w14:schemeClr w14:val="tx1"/>
            </w14:solidFill>
          </w14:textFill>
        </w:rPr>
        <w:t>、发改、农业</w:t>
      </w:r>
      <w:r>
        <w:rPr>
          <w:rFonts w:hint="eastAsia" w:cs="Times New Roman" w:eastAsiaTheme="minorEastAsia"/>
          <w:color w:val="000000" w:themeColor="text1"/>
          <w:sz w:val="28"/>
          <w:szCs w:val="28"/>
          <w:highlight w:val="none"/>
          <w:lang w:val="en-US" w:eastAsia="zh-CN"/>
          <w14:textFill>
            <w14:solidFill>
              <w14:schemeClr w14:val="tx1"/>
            </w14:solidFill>
          </w14:textFill>
        </w:rPr>
        <w:t>农村</w:t>
      </w:r>
      <w:r>
        <w:rPr>
          <w:rFonts w:hint="default" w:ascii="Times New Roman" w:hAnsi="Times New Roman" w:cs="Times New Roman" w:eastAsiaTheme="minorEastAsia"/>
          <w:color w:val="000000" w:themeColor="text1"/>
          <w:sz w:val="28"/>
          <w:szCs w:val="28"/>
          <w:highlight w:val="none"/>
          <w14:textFill>
            <w14:solidFill>
              <w14:schemeClr w14:val="tx1"/>
            </w14:solidFill>
          </w14:textFill>
        </w:rPr>
        <w:t>、林</w:t>
      </w:r>
      <w:r>
        <w:rPr>
          <w:rFonts w:hint="eastAsia" w:cs="Times New Roman" w:eastAsiaTheme="minorEastAsia"/>
          <w:color w:val="000000" w:themeColor="text1"/>
          <w:sz w:val="28"/>
          <w:szCs w:val="28"/>
          <w:highlight w:val="none"/>
          <w:lang w:val="en-US" w:eastAsia="zh-CN"/>
          <w14:textFill>
            <w14:solidFill>
              <w14:schemeClr w14:val="tx1"/>
            </w14:solidFill>
          </w14:textFill>
        </w:rPr>
        <w:t>草</w:t>
      </w:r>
      <w:r>
        <w:rPr>
          <w:rFonts w:hint="default" w:ascii="Times New Roman" w:hAnsi="Times New Roman" w:cs="Times New Roman" w:eastAsiaTheme="minorEastAsia"/>
          <w:color w:val="000000" w:themeColor="text1"/>
          <w:sz w:val="28"/>
          <w:szCs w:val="28"/>
          <w:highlight w:val="none"/>
          <w14:textFill>
            <w14:solidFill>
              <w14:schemeClr w14:val="tx1"/>
            </w14:solidFill>
          </w14:textFill>
        </w:rPr>
        <w:t>、水利、</w:t>
      </w:r>
      <w:r>
        <w:rPr>
          <w:rFonts w:hint="eastAsia" w:cs="Times New Roman" w:eastAsiaTheme="minorEastAsia"/>
          <w:color w:val="000000" w:themeColor="text1"/>
          <w:sz w:val="28"/>
          <w:szCs w:val="28"/>
          <w:highlight w:val="none"/>
          <w:lang w:val="en-US" w:eastAsia="zh-CN"/>
          <w14:textFill>
            <w14:solidFill>
              <w14:schemeClr w14:val="tx1"/>
            </w14:solidFill>
          </w14:textFill>
        </w:rPr>
        <w:t>自然资源</w:t>
      </w:r>
      <w:r>
        <w:rPr>
          <w:rFonts w:hint="default" w:ascii="Times New Roman" w:hAnsi="Times New Roman" w:cs="Times New Roman" w:eastAsiaTheme="minorEastAsia"/>
          <w:color w:val="000000" w:themeColor="text1"/>
          <w:sz w:val="28"/>
          <w:szCs w:val="28"/>
          <w:highlight w:val="none"/>
          <w14:textFill>
            <w14:solidFill>
              <w14:schemeClr w14:val="tx1"/>
            </w14:solidFill>
          </w14:textFill>
        </w:rPr>
        <w:t>、</w:t>
      </w:r>
      <w:r>
        <w:rPr>
          <w:rFonts w:hint="eastAsia" w:cs="Times New Roman" w:eastAsiaTheme="minorEastAsia"/>
          <w:color w:val="000000" w:themeColor="text1"/>
          <w:sz w:val="28"/>
          <w:szCs w:val="28"/>
          <w:highlight w:val="none"/>
          <w:lang w:val="en-US" w:eastAsia="zh-CN"/>
          <w14:textFill>
            <w14:solidFill>
              <w14:schemeClr w14:val="tx1"/>
            </w14:solidFill>
          </w14:textFill>
        </w:rPr>
        <w:t>住</w:t>
      </w:r>
      <w:r>
        <w:rPr>
          <w:rFonts w:hint="default" w:ascii="Times New Roman" w:hAnsi="Times New Roman" w:cs="Times New Roman" w:eastAsiaTheme="minorEastAsia"/>
          <w:color w:val="000000" w:themeColor="text1"/>
          <w:sz w:val="28"/>
          <w:szCs w:val="28"/>
          <w:highlight w:val="none"/>
          <w14:textFill>
            <w14:solidFill>
              <w14:schemeClr w14:val="tx1"/>
            </w14:solidFill>
          </w14:textFill>
        </w:rPr>
        <w:t>建、财政、</w:t>
      </w:r>
      <w:r>
        <w:rPr>
          <w:rFonts w:hint="eastAsia" w:cs="Times New Roman" w:eastAsiaTheme="minorEastAsia"/>
          <w:color w:val="000000" w:themeColor="text1"/>
          <w:sz w:val="28"/>
          <w:szCs w:val="28"/>
          <w:highlight w:val="none"/>
          <w:lang w:val="en-US" w:eastAsia="zh-CN"/>
          <w14:textFill>
            <w14:solidFill>
              <w14:schemeClr w14:val="tx1"/>
            </w14:solidFill>
          </w14:textFill>
        </w:rPr>
        <w:t>城管</w:t>
      </w:r>
      <w:r>
        <w:rPr>
          <w:rFonts w:hint="default" w:ascii="Times New Roman" w:hAnsi="Times New Roman" w:cs="Times New Roman" w:eastAsiaTheme="minorEastAsia"/>
          <w:color w:val="000000" w:themeColor="text1"/>
          <w:sz w:val="28"/>
          <w:szCs w:val="28"/>
          <w:highlight w:val="none"/>
          <w14:textFill>
            <w14:solidFill>
              <w14:schemeClr w14:val="tx1"/>
            </w14:solidFill>
          </w14:textFill>
        </w:rPr>
        <w:t>等各部门的大力支持，在此表示深深的感谢！</w:t>
      </w:r>
    </w:p>
    <w:p>
      <w:pPr>
        <w:rPr>
          <w:rFonts w:hint="eastAsia" w:ascii="Times New Roman" w:hAnsi="Times New Roman" w:cs="Times New Roman" w:eastAsiaTheme="minorEastAsia"/>
          <w:color w:val="000000" w:themeColor="text1"/>
          <w:sz w:val="28"/>
          <w:szCs w:val="28"/>
          <w:highlight w:val="none"/>
          <w:lang w:eastAsia="zh-CN"/>
          <w14:textFill>
            <w14:solidFill>
              <w14:schemeClr w14:val="tx1"/>
            </w14:solidFill>
          </w14:textFill>
        </w:rPr>
      </w:pPr>
    </w:p>
    <w:p>
      <w:pPr>
        <w:jc w:val="center"/>
        <w:rPr>
          <w:rFonts w:hint="default" w:ascii="Times New Roman" w:hAnsi="Times New Roman" w:cs="Times New Roman" w:eastAsiaTheme="minorEastAsia"/>
          <w:color w:val="000000" w:themeColor="text1"/>
          <w:sz w:val="28"/>
          <w:szCs w:val="28"/>
          <w:highlight w:val="none"/>
          <w14:textFill>
            <w14:solidFill>
              <w14:schemeClr w14:val="tx1"/>
            </w14:solidFill>
          </w14:textFill>
        </w:rPr>
      </w:pPr>
      <w:r>
        <w:rPr>
          <w:rFonts w:hint="default" w:ascii="Times New Roman" w:hAnsi="Times New Roman" w:cs="Times New Roman" w:eastAsiaTheme="minorEastAsia"/>
          <w:color w:val="000000" w:themeColor="text1"/>
          <w:sz w:val="28"/>
          <w:szCs w:val="28"/>
          <w:highlight w:val="none"/>
          <w14:textFill>
            <w14:solidFill>
              <w14:schemeClr w14:val="tx1"/>
            </w14:solidFill>
          </w14:textFill>
        </w:rPr>
        <w:t>课题组</w:t>
      </w:r>
    </w:p>
    <w:p>
      <w:pPr>
        <w:jc w:val="right"/>
        <w:rPr>
          <w:rFonts w:hint="default" w:ascii="Times New Roman" w:hAnsi="Times New Roman" w:cs="Times New Roman" w:eastAsiaTheme="minorEastAsia"/>
          <w:color w:val="000000" w:themeColor="text1"/>
          <w:highlight w:val="none"/>
          <w14:textFill>
            <w14:solidFill>
              <w14:schemeClr w14:val="tx1"/>
            </w14:solidFill>
          </w14:textFill>
        </w:rPr>
        <w:sectPr>
          <w:footerReference r:id="rId5" w:type="default"/>
          <w:pgSz w:w="11906" w:h="16838" w:orient="landscape"/>
          <w:pgMar w:top="1440" w:right="1587" w:bottom="1440" w:left="1587" w:header="720" w:footer="720" w:gutter="0"/>
          <w:pgBorders>
            <w:top w:val="none" w:sz="0" w:space="0"/>
            <w:left w:val="none" w:sz="0" w:space="0"/>
            <w:bottom w:val="none" w:sz="0" w:space="0"/>
            <w:right w:val="none" w:sz="0" w:space="0"/>
          </w:pgBorders>
          <w:pgNumType w:start="1"/>
          <w:cols w:space="720" w:num="1"/>
          <w:rtlGutter w:val="0"/>
          <w:docGrid w:type="lines" w:linePitch="312" w:charSpace="0"/>
        </w:sectPr>
      </w:pPr>
      <w:r>
        <w:rPr>
          <w:rFonts w:hint="default" w:ascii="Times New Roman" w:hAnsi="Times New Roman" w:cs="Times New Roman" w:eastAsiaTheme="minorEastAsia"/>
          <w:color w:val="000000" w:themeColor="text1"/>
          <w:sz w:val="28"/>
          <w:szCs w:val="28"/>
          <w:highlight w:val="none"/>
          <w14:textFill>
            <w14:solidFill>
              <w14:schemeClr w14:val="tx1"/>
            </w14:solidFill>
          </w14:textFill>
        </w:rPr>
        <w:t>2023年</w:t>
      </w:r>
      <w:r>
        <w:rPr>
          <w:rFonts w:hint="eastAsia" w:cs="Times New Roman" w:eastAsiaTheme="minorEastAsia"/>
          <w:color w:val="000000" w:themeColor="text1"/>
          <w:sz w:val="28"/>
          <w:szCs w:val="28"/>
          <w:highlight w:val="none"/>
          <w:lang w:val="en-US" w:eastAsia="zh-CN"/>
          <w14:textFill>
            <w14:solidFill>
              <w14:schemeClr w14:val="tx1"/>
            </w14:solidFill>
          </w14:textFill>
        </w:rPr>
        <w:t>12</w:t>
      </w:r>
      <w:r>
        <w:rPr>
          <w:rFonts w:hint="default" w:ascii="Times New Roman" w:hAnsi="Times New Roman" w:cs="Times New Roman" w:eastAsiaTheme="minorEastAsia"/>
          <w:color w:val="000000" w:themeColor="text1"/>
          <w:sz w:val="28"/>
          <w:szCs w:val="28"/>
          <w:highlight w:val="none"/>
          <w14:textFill>
            <w14:solidFill>
              <w14:schemeClr w14:val="tx1"/>
            </w14:solidFill>
          </w14:textFill>
        </w:rPr>
        <w:t>月</w:t>
      </w:r>
      <w:r>
        <w:rPr>
          <w:rFonts w:hint="eastAsia" w:cs="Times New Roman" w:eastAsiaTheme="minorEastAsia"/>
          <w:color w:val="000000" w:themeColor="text1"/>
          <w:sz w:val="28"/>
          <w:szCs w:val="28"/>
          <w:highlight w:val="none"/>
          <w:lang w:val="en-US" w:eastAsia="zh-CN"/>
          <w14:textFill>
            <w14:solidFill>
              <w14:schemeClr w14:val="tx1"/>
            </w14:solidFill>
          </w14:textFill>
        </w:rPr>
        <w:t>30</w:t>
      </w:r>
      <w:r>
        <w:rPr>
          <w:rFonts w:hint="default" w:ascii="Times New Roman" w:hAnsi="Times New Roman" w:cs="Times New Roman" w:eastAsiaTheme="minorEastAsia"/>
          <w:color w:val="000000" w:themeColor="text1"/>
          <w:sz w:val="28"/>
          <w:szCs w:val="28"/>
          <w:highlight w:val="none"/>
          <w14:textFill>
            <w14:solidFill>
              <w14:schemeClr w14:val="tx1"/>
            </w14:solidFill>
          </w14:textFill>
        </w:rPr>
        <w:t>日</w:t>
      </w:r>
    </w:p>
    <w:p>
      <w:pPr>
        <w:jc w:val="right"/>
        <w:rPr>
          <w:rFonts w:hint="default" w:ascii="Times New Roman" w:hAnsi="Times New Roman" w:cs="Times New Roman" w:eastAsiaTheme="minorEastAsia"/>
          <w:color w:val="000000" w:themeColor="text1"/>
          <w:highlight w:val="none"/>
          <w14:textFill>
            <w14:solidFill>
              <w14:schemeClr w14:val="tx1"/>
            </w14:solidFill>
          </w14:textFill>
        </w:rPr>
      </w:pPr>
    </w:p>
    <w:p>
      <w:pPr>
        <w:widowControl/>
        <w:spacing w:line="240" w:lineRule="auto"/>
        <w:jc w:val="left"/>
        <w:rPr>
          <w:rFonts w:hint="default" w:ascii="Times New Roman" w:hAnsi="Times New Roman" w:cs="Times New Roman" w:eastAsiaTheme="minorEastAsia"/>
          <w:bCs/>
          <w:color w:val="000000" w:themeColor="text1"/>
          <w:highlight w:val="none"/>
          <w14:textFill>
            <w14:solidFill>
              <w14:schemeClr w14:val="tx1"/>
            </w14:solidFill>
          </w14:textFill>
        </w:rPr>
        <w:sectPr>
          <w:footerReference r:id="rId6" w:type="default"/>
          <w:type w:val="continuous"/>
          <w:pgSz w:w="11906" w:h="16838" w:orient="landscape"/>
          <w:pgMar w:top="1440" w:right="1587" w:bottom="1440" w:left="1587" w:header="720" w:footer="720" w:gutter="0"/>
          <w:pgBorders>
            <w:top w:val="none" w:sz="0" w:space="0"/>
            <w:left w:val="none" w:sz="0" w:space="0"/>
            <w:bottom w:val="none" w:sz="0" w:space="0"/>
            <w:right w:val="none" w:sz="0" w:space="0"/>
          </w:pgBorders>
          <w:cols w:space="720" w:num="1"/>
          <w:rtlGutter w:val="0"/>
          <w:docGrid w:type="lines" w:linePitch="312" w:charSpace="0"/>
        </w:sectPr>
      </w:pP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beforeAutospacing="0" w:afterAutospacing="0" w:line="500" w:lineRule="exact"/>
        <w:jc w:val="center"/>
        <w:textAlignment w:val="auto"/>
        <w:rPr>
          <w:rFonts w:hint="default" w:ascii="Times New Roman" w:hAnsi="Times New Roman" w:cs="Times New Roman" w:eastAsiaTheme="minorEastAsia"/>
          <w:color w:val="000000" w:themeColor="text1"/>
          <w:kern w:val="2"/>
          <w:sz w:val="28"/>
          <w:szCs w:val="28"/>
          <w:highlight w:val="none"/>
          <w:lang w:val="en-US" w:eastAsia="zh-CN" w:bidi="ar-SA"/>
          <w14:textFill>
            <w14:solidFill>
              <w14:schemeClr w14:val="tx1"/>
            </w14:solidFill>
          </w14:textFill>
        </w:rPr>
      </w:pPr>
      <w:bookmarkStart w:id="0" w:name="_Toc370932424"/>
      <w:bookmarkEnd w:id="0"/>
      <w:bookmarkStart w:id="1" w:name="_Toc14836"/>
      <w:bookmarkEnd w:id="1"/>
      <w:bookmarkStart w:id="2" w:name="_Toc370932141"/>
      <w:bookmarkEnd w:id="2"/>
      <w:r>
        <w:rPr>
          <w:rFonts w:hint="default" w:ascii="Times New Roman" w:hAnsi="Times New Roman" w:cs="Times New Roman" w:eastAsiaTheme="minorEastAsia"/>
          <w:b/>
          <w:bCs/>
          <w:color w:val="000000" w:themeColor="text1"/>
          <w:sz w:val="32"/>
          <w:szCs w:val="32"/>
          <w:highlight w:val="none"/>
          <w14:textFill>
            <w14:solidFill>
              <w14:schemeClr w14:val="tx1"/>
            </w14:solidFill>
          </w14:textFill>
        </w:rPr>
        <w:t>目录</w:t>
      </w:r>
      <w:bookmarkStart w:id="3" w:name="_Toc12242"/>
      <w:bookmarkStart w:id="4" w:name="_Toc520215403"/>
      <w:bookmarkStart w:id="5" w:name="_Toc1400"/>
      <w:r>
        <w:rPr>
          <w:rFonts w:hint="default" w:ascii="Times New Roman" w:hAnsi="Times New Roman" w:cs="Times New Roman" w:eastAsiaTheme="minorEastAsia"/>
          <w:color w:val="000000" w:themeColor="text1"/>
          <w:sz w:val="28"/>
          <w:szCs w:val="28"/>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sz w:val="28"/>
          <w:szCs w:val="28"/>
          <w:highlight w:val="none"/>
          <w14:textFill>
            <w14:solidFill>
              <w14:schemeClr w14:val="tx1"/>
            </w14:solidFill>
          </w14:textFill>
        </w:rPr>
        <w:instrText xml:space="preserve">TOC \o "1-4" \h  \u </w:instrText>
      </w:r>
      <w:r>
        <w:rPr>
          <w:rFonts w:hint="default" w:ascii="Times New Roman" w:hAnsi="Times New Roman" w:cs="Times New Roman" w:eastAsiaTheme="minorEastAsia"/>
          <w:color w:val="000000" w:themeColor="text1"/>
          <w:sz w:val="28"/>
          <w:szCs w:val="28"/>
          <w:highlight w:val="none"/>
          <w14:textFill>
            <w14:solidFill>
              <w14:schemeClr w14:val="tx1"/>
            </w14:solidFill>
          </w14:textFill>
        </w:rPr>
        <w:fldChar w:fldCharType="separate"/>
      </w:r>
    </w:p>
    <w:p>
      <w:pPr>
        <w:pStyle w:val="14"/>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_Toc10990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1总则</w:t>
      </w:r>
      <w:r>
        <w:tab/>
      </w:r>
      <w:r>
        <w:fldChar w:fldCharType="begin"/>
      </w:r>
      <w:r>
        <w:instrText xml:space="preserve"> PAGEREF _Toc10990 \h </w:instrText>
      </w:r>
      <w:r>
        <w:fldChar w:fldCharType="separate"/>
      </w:r>
      <w:r>
        <w:t>1</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_Toc10892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1.1评估目的意义</w:t>
      </w:r>
      <w:r>
        <w:tab/>
      </w:r>
      <w:r>
        <w:fldChar w:fldCharType="begin"/>
      </w:r>
      <w:r>
        <w:instrText xml:space="preserve"> PAGEREF _Toc10892 \h </w:instrText>
      </w:r>
      <w:r>
        <w:fldChar w:fldCharType="separate"/>
      </w:r>
      <w:r>
        <w:t>1</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_Toc27952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1.2评估必要性和紧迫性</w:t>
      </w:r>
      <w:r>
        <w:tab/>
      </w:r>
      <w:r>
        <w:fldChar w:fldCharType="begin"/>
      </w:r>
      <w:r>
        <w:instrText xml:space="preserve"> PAGEREF _Toc27952 \h </w:instrText>
      </w:r>
      <w:r>
        <w:fldChar w:fldCharType="separate"/>
      </w:r>
      <w:r>
        <w:t>1</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_Toc19386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1.3主要编制依据</w:t>
      </w:r>
      <w:r>
        <w:tab/>
      </w:r>
      <w:r>
        <w:fldChar w:fldCharType="begin"/>
      </w:r>
      <w:r>
        <w:instrText xml:space="preserve"> PAGEREF _Toc19386 \h </w:instrText>
      </w:r>
      <w:r>
        <w:fldChar w:fldCharType="separate"/>
      </w:r>
      <w:r>
        <w:t>1</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0"/>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_Toc15339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szCs w:val="28"/>
          <w:highlight w:val="none"/>
        </w:rPr>
        <w:t>1.3.1法律法规</w:t>
      </w:r>
      <w:r>
        <w:tab/>
      </w:r>
      <w:r>
        <w:fldChar w:fldCharType="begin"/>
      </w:r>
      <w:r>
        <w:instrText xml:space="preserve"> PAGEREF _Toc15339 \h </w:instrText>
      </w:r>
      <w:r>
        <w:fldChar w:fldCharType="separate"/>
      </w:r>
      <w:r>
        <w:t>1</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0"/>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_Toc2653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szCs w:val="28"/>
          <w:highlight w:val="none"/>
        </w:rPr>
        <w:t>1.3.2标准规范</w:t>
      </w:r>
      <w:r>
        <w:tab/>
      </w:r>
      <w:r>
        <w:fldChar w:fldCharType="begin"/>
      </w:r>
      <w:r>
        <w:instrText xml:space="preserve"> PAGEREF _Toc2653 \h </w:instrText>
      </w:r>
      <w:r>
        <w:fldChar w:fldCharType="separate"/>
      </w:r>
      <w:r>
        <w:t>2</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0"/>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_Toc15011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szCs w:val="28"/>
          <w:highlight w:val="none"/>
        </w:rPr>
        <w:t>1.3.3政策文件</w:t>
      </w:r>
      <w:r>
        <w:tab/>
      </w:r>
      <w:r>
        <w:fldChar w:fldCharType="begin"/>
      </w:r>
      <w:r>
        <w:instrText xml:space="preserve"> PAGEREF _Toc15011 \h </w:instrText>
      </w:r>
      <w:r>
        <w:fldChar w:fldCharType="separate"/>
      </w:r>
      <w:r>
        <w:t>3</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0"/>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_Toc11500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szCs w:val="28"/>
          <w:highlight w:val="none"/>
        </w:rPr>
        <w:t>1.3.4其他相关技术资料</w:t>
      </w:r>
      <w:r>
        <w:tab/>
      </w:r>
      <w:r>
        <w:fldChar w:fldCharType="begin"/>
      </w:r>
      <w:r>
        <w:instrText xml:space="preserve"> PAGEREF _Toc11500 \h </w:instrText>
      </w:r>
      <w:r>
        <w:fldChar w:fldCharType="separate"/>
      </w:r>
      <w:r>
        <w:t>4</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_Toc2803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1.4评估时段</w:t>
      </w:r>
      <w:r>
        <w:tab/>
      </w:r>
      <w:r>
        <w:fldChar w:fldCharType="begin"/>
      </w:r>
      <w:r>
        <w:instrText xml:space="preserve"> PAGEREF _Toc2803 \h </w:instrText>
      </w:r>
      <w:r>
        <w:fldChar w:fldCharType="separate"/>
      </w:r>
      <w:r>
        <w:t>5</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_Toc22439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1.5评估技术路线</w:t>
      </w:r>
      <w:r>
        <w:tab/>
      </w:r>
      <w:r>
        <w:fldChar w:fldCharType="begin"/>
      </w:r>
      <w:r>
        <w:instrText xml:space="preserve"> PAGEREF _Toc22439 \h </w:instrText>
      </w:r>
      <w:r>
        <w:fldChar w:fldCharType="separate"/>
      </w:r>
      <w:r>
        <w:t>5</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4"/>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_Toc27875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2湖泊自然环境与社会经济概况</w:t>
      </w:r>
      <w:r>
        <w:tab/>
      </w:r>
      <w:r>
        <w:fldChar w:fldCharType="begin"/>
      </w:r>
      <w:r>
        <w:instrText xml:space="preserve"> PAGEREF _Toc27875 \h </w:instrText>
      </w:r>
      <w:r>
        <w:fldChar w:fldCharType="separate"/>
      </w:r>
      <w:r>
        <w:t>6</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_Toc27671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2.1自然环境概况</w:t>
      </w:r>
      <w:r>
        <w:tab/>
      </w:r>
      <w:r>
        <w:fldChar w:fldCharType="begin"/>
      </w:r>
      <w:r>
        <w:instrText xml:space="preserve"> PAGEREF _Toc27671 \h </w:instrText>
      </w:r>
      <w:r>
        <w:fldChar w:fldCharType="separate"/>
      </w:r>
      <w:r>
        <w:t>6</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_Toc8211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2.2社会经济概况</w:t>
      </w:r>
      <w:r>
        <w:tab/>
      </w:r>
      <w:r>
        <w:fldChar w:fldCharType="begin"/>
      </w:r>
      <w:r>
        <w:instrText xml:space="preserve"> PAGEREF _Toc8211 \h </w:instrText>
      </w:r>
      <w:r>
        <w:fldChar w:fldCharType="separate"/>
      </w:r>
      <w:r>
        <w:t>11</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4"/>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_Toc696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3规划实施目标指标总体进展情况</w:t>
      </w:r>
      <w:r>
        <w:tab/>
      </w:r>
      <w:r>
        <w:fldChar w:fldCharType="begin"/>
      </w:r>
      <w:r>
        <w:instrText xml:space="preserve"> PAGEREF _Toc696 \h </w:instrText>
      </w:r>
      <w:r>
        <w:fldChar w:fldCharType="separate"/>
      </w:r>
      <w:r>
        <w:t>20</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_Toc8472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3.1主要目标指标完成总体情况</w:t>
      </w:r>
      <w:r>
        <w:tab/>
      </w:r>
      <w:r>
        <w:fldChar w:fldCharType="begin"/>
      </w:r>
      <w:r>
        <w:instrText xml:space="preserve"> PAGEREF _Toc8472 \h </w:instrText>
      </w:r>
      <w:r>
        <w:fldChar w:fldCharType="separate"/>
      </w:r>
      <w:r>
        <w:t>20</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_Toc2898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3.2主要目标指标进展</w:t>
      </w:r>
      <w:r>
        <w:tab/>
      </w:r>
      <w:r>
        <w:fldChar w:fldCharType="begin"/>
      </w:r>
      <w:r>
        <w:instrText xml:space="preserve"> PAGEREF _Toc2898 \h </w:instrText>
      </w:r>
      <w:r>
        <w:fldChar w:fldCharType="separate"/>
      </w:r>
      <w:r>
        <w:t>22</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4"/>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_Toc9236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4规划项目执行情况评估</w:t>
      </w:r>
      <w:r>
        <w:tab/>
      </w:r>
      <w:r>
        <w:fldChar w:fldCharType="begin"/>
      </w:r>
      <w:r>
        <w:instrText xml:space="preserve"> PAGEREF _Toc9236 \h </w:instrText>
      </w:r>
      <w:r>
        <w:fldChar w:fldCharType="separate"/>
      </w:r>
      <w:r>
        <w:t>31</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_Toc31044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4.1规划项目总体执行情况</w:t>
      </w:r>
      <w:r>
        <w:tab/>
      </w:r>
      <w:r>
        <w:fldChar w:fldCharType="begin"/>
      </w:r>
      <w:r>
        <w:instrText xml:space="preserve"> PAGEREF _Toc31044 \h </w:instrText>
      </w:r>
      <w:r>
        <w:fldChar w:fldCharType="separate"/>
      </w:r>
      <w:r>
        <w:t>31</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_Toc18360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4.2规划任务落实情况评估</w:t>
      </w:r>
      <w:r>
        <w:tab/>
      </w:r>
      <w:r>
        <w:fldChar w:fldCharType="begin"/>
      </w:r>
      <w:r>
        <w:instrText xml:space="preserve"> PAGEREF _Toc18360 \h </w:instrText>
      </w:r>
      <w:r>
        <w:fldChar w:fldCharType="separate"/>
      </w:r>
      <w:r>
        <w:t>44</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4"/>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_Toc6572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5规划实施面临的主要问题和风险挑战</w:t>
      </w:r>
      <w:r>
        <w:tab/>
      </w:r>
      <w:r>
        <w:fldChar w:fldCharType="begin"/>
      </w:r>
      <w:r>
        <w:instrText xml:space="preserve"> PAGEREF _Toc6572 \h </w:instrText>
      </w:r>
      <w:r>
        <w:fldChar w:fldCharType="separate"/>
      </w:r>
      <w:r>
        <w:t>83</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_Toc14330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5.1主要评价结论</w:t>
      </w:r>
      <w:r>
        <w:tab/>
      </w:r>
      <w:r>
        <w:fldChar w:fldCharType="begin"/>
      </w:r>
      <w:r>
        <w:instrText xml:space="preserve"> PAGEREF _Toc14330 \h </w:instrText>
      </w:r>
      <w:r>
        <w:fldChar w:fldCharType="separate"/>
      </w:r>
      <w:r>
        <w:t>83</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_Toc19851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5.2主要成效</w:t>
      </w:r>
      <w:r>
        <w:tab/>
      </w:r>
      <w:r>
        <w:fldChar w:fldCharType="begin"/>
      </w:r>
      <w:r>
        <w:instrText xml:space="preserve"> PAGEREF _Toc19851 \h </w:instrText>
      </w:r>
      <w:r>
        <w:fldChar w:fldCharType="separate"/>
      </w:r>
      <w:r>
        <w:t>84</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_Toc9019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5.3存在问题及风险挑战</w:t>
      </w:r>
      <w:r>
        <w:tab/>
      </w:r>
      <w:r>
        <w:fldChar w:fldCharType="begin"/>
      </w:r>
      <w:r>
        <w:instrText xml:space="preserve"> PAGEREF _Toc9019 \h </w:instrText>
      </w:r>
      <w:r>
        <w:fldChar w:fldCharType="separate"/>
      </w:r>
      <w:r>
        <w:t>89</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4"/>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_Toc7331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6进一步推进规划实施的对策建议</w:t>
      </w:r>
      <w:r>
        <w:tab/>
      </w:r>
      <w:r>
        <w:fldChar w:fldCharType="begin"/>
      </w:r>
      <w:r>
        <w:instrText xml:space="preserve"> PAGEREF _Toc7331 \h </w:instrText>
      </w:r>
      <w:r>
        <w:fldChar w:fldCharType="separate"/>
      </w:r>
      <w:r>
        <w:t>93</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_Toc13540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6.1推进规划管理及保障建议</w:t>
      </w:r>
      <w:r>
        <w:tab/>
      </w:r>
      <w:r>
        <w:fldChar w:fldCharType="begin"/>
      </w:r>
      <w:r>
        <w:instrText xml:space="preserve"> PAGEREF _Toc13540 \h </w:instrText>
      </w:r>
      <w:r>
        <w:fldChar w:fldCharType="separate"/>
      </w:r>
      <w:r>
        <w:t>93</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_Toc14721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6.2调减项目建议</w:t>
      </w:r>
      <w:r>
        <w:tab/>
      </w:r>
      <w:r>
        <w:fldChar w:fldCharType="begin"/>
      </w:r>
      <w:r>
        <w:instrText xml:space="preserve"> PAGEREF _Toc14721 \h </w:instrText>
      </w:r>
      <w:r>
        <w:fldChar w:fldCharType="separate"/>
      </w:r>
      <w:r>
        <w:t>95</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_Toc23277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6.3调整项目建议</w:t>
      </w:r>
      <w:r>
        <w:tab/>
      </w:r>
      <w:r>
        <w:fldChar w:fldCharType="begin"/>
      </w:r>
      <w:r>
        <w:instrText xml:space="preserve"> PAGEREF _Toc23277 \h </w:instrText>
      </w:r>
      <w:r>
        <w:fldChar w:fldCharType="separate"/>
      </w:r>
      <w:r>
        <w:t>98</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_Toc17358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6.4调增项目建议</w:t>
      </w:r>
      <w:r>
        <w:tab/>
      </w:r>
      <w:r>
        <w:fldChar w:fldCharType="begin"/>
      </w:r>
      <w:r>
        <w:instrText xml:space="preserve"> PAGEREF _Toc17358 \h </w:instrText>
      </w:r>
      <w:r>
        <w:fldChar w:fldCharType="separate"/>
      </w:r>
      <w:r>
        <w:t>114</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_Toc9313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eastAsiaTheme="minorEastAsia"/>
          <w:highlight w:val="none"/>
        </w:rPr>
        <w:t>6.</w:t>
      </w:r>
      <w:r>
        <w:rPr>
          <w:rFonts w:hint="eastAsia" w:ascii="Times New Roman" w:hAnsi="Times New Roman" w:cs="Times New Roman" w:eastAsiaTheme="minorEastAsia"/>
          <w:highlight w:val="none"/>
          <w:lang w:val="en-US" w:eastAsia="zh-CN"/>
        </w:rPr>
        <w:t>6</w:t>
      </w:r>
      <w:r>
        <w:rPr>
          <w:rFonts w:hint="default" w:ascii="Times New Roman" w:hAnsi="Times New Roman" w:cs="Times New Roman" w:eastAsiaTheme="minorEastAsia"/>
          <w:highlight w:val="none"/>
        </w:rPr>
        <w:t>调整后“十四五”规划项目总体情况</w:t>
      </w:r>
      <w:r>
        <w:tab/>
      </w:r>
      <w:r>
        <w:fldChar w:fldCharType="begin"/>
      </w:r>
      <w:r>
        <w:instrText xml:space="preserve"> PAGEREF _Toc9313 \h </w:instrText>
      </w:r>
      <w:r>
        <w:fldChar w:fldCharType="separate"/>
      </w:r>
      <w:r>
        <w:t>122</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4"/>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_Toc11124 </w:instrText>
      </w:r>
      <w:r>
        <w:rPr>
          <w:rFonts w:hint="default" w:ascii="Times New Roman" w:hAnsi="Times New Roman" w:cs="Times New Roman" w:eastAsiaTheme="minorEastAsia"/>
          <w:szCs w:val="28"/>
          <w:highlight w:val="none"/>
        </w:rPr>
        <w:fldChar w:fldCharType="separate"/>
      </w:r>
      <w:r>
        <w:rPr>
          <w:rFonts w:hint="eastAsia" w:cs="Times New Roman" w:eastAsiaTheme="minorEastAsia"/>
          <w:bCs/>
          <w:kern w:val="44"/>
          <w:szCs w:val="32"/>
          <w:highlight w:val="none"/>
          <w:lang w:val="en-US" w:eastAsia="zh-CN"/>
        </w:rPr>
        <w:t>7</w:t>
      </w:r>
      <w:r>
        <w:rPr>
          <w:rFonts w:hint="default" w:ascii="Times New Roman" w:hAnsi="Times New Roman" w:cs="Times New Roman" w:eastAsiaTheme="minorEastAsia"/>
          <w:bCs/>
          <w:kern w:val="44"/>
          <w:szCs w:val="32"/>
          <w:highlight w:val="none"/>
        </w:rPr>
        <w:t>目标可达性及效益分析</w:t>
      </w:r>
      <w:r>
        <w:tab/>
      </w:r>
      <w:r>
        <w:fldChar w:fldCharType="begin"/>
      </w:r>
      <w:r>
        <w:instrText xml:space="preserve"> PAGEREF _Toc11124 \h </w:instrText>
      </w:r>
      <w:r>
        <w:fldChar w:fldCharType="separate"/>
      </w:r>
      <w:r>
        <w:t>123</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_Toc12232 </w:instrText>
      </w:r>
      <w:r>
        <w:rPr>
          <w:rFonts w:hint="default" w:ascii="Times New Roman" w:hAnsi="Times New Roman" w:cs="Times New Roman" w:eastAsiaTheme="minorEastAsia"/>
          <w:szCs w:val="28"/>
          <w:highlight w:val="none"/>
        </w:rPr>
        <w:fldChar w:fldCharType="separate"/>
      </w:r>
      <w:r>
        <w:rPr>
          <w:rFonts w:hint="eastAsia" w:cs="Times New Roman" w:eastAsiaTheme="minorEastAsia"/>
          <w:bCs/>
          <w:szCs w:val="30"/>
          <w:highlight w:val="none"/>
          <w:lang w:val="en-US" w:eastAsia="zh-CN"/>
        </w:rPr>
        <w:t>7</w:t>
      </w:r>
      <w:r>
        <w:rPr>
          <w:rFonts w:hint="default" w:ascii="Times New Roman" w:hAnsi="Times New Roman" w:cs="Times New Roman" w:eastAsiaTheme="minorEastAsia"/>
          <w:bCs/>
          <w:szCs w:val="30"/>
          <w:highlight w:val="none"/>
        </w:rPr>
        <w:t>.1污染物总量控制目标可达性分析</w:t>
      </w:r>
      <w:r>
        <w:tab/>
      </w:r>
      <w:r>
        <w:fldChar w:fldCharType="begin"/>
      </w:r>
      <w:r>
        <w:instrText xml:space="preserve"> PAGEREF _Toc12232 \h </w:instrText>
      </w:r>
      <w:r>
        <w:fldChar w:fldCharType="separate"/>
      </w:r>
      <w:r>
        <w:t>123</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_Toc19666 </w:instrText>
      </w:r>
      <w:r>
        <w:rPr>
          <w:rFonts w:hint="default" w:ascii="Times New Roman" w:hAnsi="Times New Roman" w:cs="Times New Roman" w:eastAsiaTheme="minorEastAsia"/>
          <w:szCs w:val="28"/>
          <w:highlight w:val="none"/>
        </w:rPr>
        <w:fldChar w:fldCharType="separate"/>
      </w:r>
      <w:r>
        <w:rPr>
          <w:rFonts w:hint="eastAsia" w:cs="Times New Roman" w:eastAsiaTheme="minorEastAsia"/>
          <w:bCs/>
          <w:szCs w:val="28"/>
          <w:highlight w:val="none"/>
          <w:lang w:val="en-US" w:eastAsia="zh-CN"/>
        </w:rPr>
        <w:t>7</w:t>
      </w:r>
      <w:r>
        <w:rPr>
          <w:rFonts w:hint="default" w:ascii="Times New Roman" w:hAnsi="Times New Roman" w:cs="Times New Roman" w:eastAsiaTheme="minorEastAsia"/>
          <w:bCs/>
          <w:szCs w:val="28"/>
          <w:highlight w:val="none"/>
        </w:rPr>
        <w:t>.2规划管理指标可达性分析</w:t>
      </w:r>
      <w:r>
        <w:tab/>
      </w:r>
      <w:r>
        <w:fldChar w:fldCharType="begin"/>
      </w:r>
      <w:r>
        <w:instrText xml:space="preserve"> PAGEREF _Toc19666 \h </w:instrText>
      </w:r>
      <w:r>
        <w:fldChar w:fldCharType="separate"/>
      </w:r>
      <w:r>
        <w:t>126</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_Toc21393 </w:instrText>
      </w:r>
      <w:r>
        <w:rPr>
          <w:rFonts w:hint="default" w:ascii="Times New Roman" w:hAnsi="Times New Roman" w:cs="Times New Roman" w:eastAsiaTheme="minorEastAsia"/>
          <w:szCs w:val="28"/>
          <w:highlight w:val="none"/>
        </w:rPr>
        <w:fldChar w:fldCharType="separate"/>
      </w:r>
      <w:r>
        <w:rPr>
          <w:rFonts w:hint="eastAsia" w:cs="Times New Roman" w:eastAsiaTheme="minorEastAsia"/>
          <w:bCs/>
          <w:szCs w:val="28"/>
          <w:highlight w:val="none"/>
          <w:lang w:val="en-US" w:eastAsia="zh-CN"/>
        </w:rPr>
        <w:t>7</w:t>
      </w:r>
      <w:r>
        <w:rPr>
          <w:rFonts w:hint="default" w:ascii="Times New Roman" w:hAnsi="Times New Roman" w:cs="Times New Roman" w:eastAsiaTheme="minorEastAsia"/>
          <w:bCs/>
          <w:szCs w:val="28"/>
          <w:highlight w:val="none"/>
        </w:rPr>
        <w:t>.3效益分析</w:t>
      </w:r>
      <w:r>
        <w:tab/>
      </w:r>
      <w:r>
        <w:fldChar w:fldCharType="begin"/>
      </w:r>
      <w:r>
        <w:instrText xml:space="preserve"> PAGEREF _Toc21393 \h </w:instrText>
      </w:r>
      <w:r>
        <w:fldChar w:fldCharType="separate"/>
      </w:r>
      <w:r>
        <w:t>126</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4"/>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_Toc5930 </w:instrText>
      </w:r>
      <w:r>
        <w:rPr>
          <w:rFonts w:hint="default" w:ascii="Times New Roman" w:hAnsi="Times New Roman" w:cs="Times New Roman" w:eastAsiaTheme="minorEastAsia"/>
          <w:szCs w:val="28"/>
          <w:highlight w:val="none"/>
        </w:rPr>
        <w:fldChar w:fldCharType="separate"/>
      </w:r>
      <w:r>
        <w:rPr>
          <w:rFonts w:hint="eastAsia" w:cs="Times New Roman" w:eastAsiaTheme="minorEastAsia"/>
          <w:bCs/>
          <w:kern w:val="44"/>
          <w:szCs w:val="32"/>
          <w:highlight w:val="none"/>
          <w:lang w:val="en-US" w:eastAsia="zh-CN"/>
        </w:rPr>
        <w:t>8附件</w:t>
      </w:r>
      <w:r>
        <w:tab/>
      </w:r>
      <w:r>
        <w:fldChar w:fldCharType="begin"/>
      </w:r>
      <w:r>
        <w:instrText xml:space="preserve"> PAGEREF _Toc5930 \h </w:instrText>
      </w:r>
      <w:r>
        <w:fldChar w:fldCharType="separate"/>
      </w:r>
      <w:r>
        <w:t>132</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_Toc27432 </w:instrText>
      </w:r>
      <w:r>
        <w:rPr>
          <w:rFonts w:hint="default" w:ascii="Times New Roman" w:hAnsi="Times New Roman" w:cs="Times New Roman" w:eastAsiaTheme="minorEastAsia"/>
          <w:szCs w:val="28"/>
          <w:highlight w:val="none"/>
        </w:rPr>
        <w:fldChar w:fldCharType="separate"/>
      </w:r>
      <w:r>
        <w:rPr>
          <w:rFonts w:hint="eastAsia" w:cs="Times New Roman" w:eastAsiaTheme="minorEastAsia"/>
          <w:bCs/>
          <w:szCs w:val="30"/>
          <w:highlight w:val="none"/>
          <w:lang w:val="en-US" w:eastAsia="zh-CN"/>
        </w:rPr>
        <w:t>8</w:t>
      </w:r>
      <w:r>
        <w:rPr>
          <w:rFonts w:hint="default" w:ascii="Times New Roman" w:hAnsi="Times New Roman" w:cs="Times New Roman" w:eastAsiaTheme="minorEastAsia"/>
          <w:bCs/>
          <w:szCs w:val="30"/>
          <w:highlight w:val="none"/>
        </w:rPr>
        <w:t>.1</w:t>
      </w:r>
      <w:r>
        <w:rPr>
          <w:rFonts w:hint="eastAsia" w:ascii="Times New Roman" w:hAnsi="Times New Roman" w:cs="Times New Roman" w:eastAsiaTheme="minorEastAsia"/>
          <w:bCs/>
          <w:szCs w:val="30"/>
          <w:highlight w:val="none"/>
          <w:lang w:val="en-US" w:eastAsia="zh-CN"/>
        </w:rPr>
        <w:t>附表1</w:t>
      </w:r>
      <w:r>
        <w:rPr>
          <w:rFonts w:hint="default" w:ascii="Times New Roman" w:hAnsi="Times New Roman" w:cs="Times New Roman" w:eastAsiaTheme="minorEastAsia"/>
          <w:bCs/>
          <w:szCs w:val="30"/>
          <w:highlight w:val="none"/>
        </w:rPr>
        <w:t>抚仙湖水环境保护治理“十四五”规划工程措施表（24个项目，74.92亿元）</w:t>
      </w:r>
      <w:r>
        <w:tab/>
      </w:r>
      <w:r>
        <w:fldChar w:fldCharType="begin"/>
      </w:r>
      <w:r>
        <w:instrText xml:space="preserve"> PAGEREF _Toc27432 \h </w:instrText>
      </w:r>
      <w:r>
        <w:fldChar w:fldCharType="separate"/>
      </w:r>
      <w:r>
        <w:t>132</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_Toc20733 </w:instrText>
      </w:r>
      <w:r>
        <w:rPr>
          <w:rFonts w:hint="default" w:ascii="Times New Roman" w:hAnsi="Times New Roman" w:cs="Times New Roman" w:eastAsiaTheme="minorEastAsia"/>
          <w:szCs w:val="28"/>
          <w:highlight w:val="none"/>
        </w:rPr>
        <w:fldChar w:fldCharType="separate"/>
      </w:r>
      <w:r>
        <w:rPr>
          <w:rFonts w:hint="eastAsia" w:cs="Times New Roman" w:eastAsiaTheme="minorEastAsia"/>
          <w:bCs/>
          <w:szCs w:val="30"/>
          <w:highlight w:val="none"/>
          <w:lang w:val="en-US" w:eastAsia="zh-CN"/>
        </w:rPr>
        <w:t>8</w:t>
      </w:r>
      <w:r>
        <w:rPr>
          <w:rFonts w:hint="default" w:ascii="Times New Roman" w:hAnsi="Times New Roman" w:cs="Times New Roman" w:eastAsiaTheme="minorEastAsia"/>
          <w:bCs/>
          <w:szCs w:val="30"/>
          <w:highlight w:val="none"/>
        </w:rPr>
        <w:t>.</w:t>
      </w:r>
      <w:r>
        <w:rPr>
          <w:rFonts w:hint="eastAsia" w:cs="Times New Roman" w:eastAsiaTheme="minorEastAsia"/>
          <w:bCs/>
          <w:szCs w:val="30"/>
          <w:highlight w:val="none"/>
          <w:lang w:val="en-US" w:eastAsia="zh-CN"/>
        </w:rPr>
        <w:t>2附表2</w:t>
      </w:r>
      <w:r>
        <w:rPr>
          <w:rFonts w:hint="default" w:ascii="Times New Roman" w:hAnsi="Times New Roman" w:cs="Times New Roman" w:eastAsiaTheme="minorEastAsia"/>
          <w:bCs/>
          <w:szCs w:val="30"/>
          <w:highlight w:val="none"/>
        </w:rPr>
        <w:t>抚仙湖流域水环境保护治理“十四五”规划中期执行情况</w:t>
      </w:r>
      <w:r>
        <w:rPr>
          <w:rFonts w:hint="eastAsia" w:cs="Times New Roman" w:eastAsiaTheme="minorEastAsia"/>
          <w:bCs/>
          <w:szCs w:val="30"/>
          <w:highlight w:val="none"/>
          <w:lang w:val="en-US" w:eastAsia="zh-CN"/>
        </w:rPr>
        <w:t>新增、调整、调减项目表</w:t>
      </w:r>
      <w:r>
        <w:tab/>
      </w:r>
      <w:r>
        <w:fldChar w:fldCharType="begin"/>
      </w:r>
      <w:r>
        <w:instrText xml:space="preserve"> PAGEREF _Toc20733 \h </w:instrText>
      </w:r>
      <w:r>
        <w:fldChar w:fldCharType="separate"/>
      </w:r>
      <w:r>
        <w:t>145</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_Toc20165 </w:instrText>
      </w:r>
      <w:r>
        <w:rPr>
          <w:rFonts w:hint="default" w:ascii="Times New Roman" w:hAnsi="Times New Roman" w:cs="Times New Roman" w:eastAsiaTheme="minorEastAsia"/>
          <w:szCs w:val="28"/>
          <w:highlight w:val="none"/>
        </w:rPr>
        <w:fldChar w:fldCharType="separate"/>
      </w:r>
      <w:r>
        <w:rPr>
          <w:rFonts w:hint="eastAsia" w:ascii="Times New Roman" w:hAnsi="Times New Roman" w:cs="Times New Roman" w:eastAsiaTheme="minorEastAsia"/>
          <w:bCs/>
          <w:szCs w:val="30"/>
          <w:highlight w:val="none"/>
          <w:lang w:val="en-US" w:eastAsia="zh-CN"/>
        </w:rPr>
        <w:t>8</w:t>
      </w:r>
      <w:r>
        <w:rPr>
          <w:rFonts w:hint="default" w:ascii="Times New Roman" w:hAnsi="Times New Roman" w:cs="Times New Roman" w:eastAsiaTheme="minorEastAsia"/>
          <w:bCs/>
          <w:szCs w:val="30"/>
          <w:highlight w:val="none"/>
          <w:lang w:val="en-US" w:eastAsia="zh-CN"/>
        </w:rPr>
        <w:t>.</w:t>
      </w:r>
      <w:r>
        <w:rPr>
          <w:rFonts w:hint="eastAsia" w:ascii="Times New Roman" w:hAnsi="Times New Roman" w:cs="Times New Roman" w:eastAsiaTheme="minorEastAsia"/>
          <w:bCs/>
          <w:szCs w:val="30"/>
          <w:highlight w:val="none"/>
          <w:lang w:val="en-US" w:eastAsia="zh-CN"/>
        </w:rPr>
        <w:t>3附表3</w:t>
      </w:r>
      <w:r>
        <w:rPr>
          <w:rFonts w:hint="default" w:ascii="Times New Roman" w:hAnsi="Times New Roman" w:cs="Times New Roman" w:eastAsiaTheme="minorEastAsia"/>
          <w:bCs/>
          <w:szCs w:val="30"/>
          <w:highlight w:val="none"/>
          <w:lang w:val="en-US" w:eastAsia="zh-CN"/>
        </w:rPr>
        <w:t>抚仙湖流域水环境保护治理“十四五”规划中期执行</w:t>
      </w:r>
      <w:r>
        <w:rPr>
          <w:rFonts w:hint="eastAsia" w:ascii="Times New Roman" w:hAnsi="Times New Roman" w:cs="Times New Roman" w:eastAsiaTheme="minorEastAsia"/>
          <w:bCs/>
          <w:szCs w:val="30"/>
          <w:highlight w:val="none"/>
          <w:lang w:val="en-US" w:eastAsia="zh-CN"/>
        </w:rPr>
        <w:t>评估后</w:t>
      </w:r>
      <w:r>
        <w:rPr>
          <w:rFonts w:hint="default" w:ascii="Times New Roman" w:hAnsi="Times New Roman" w:cs="Times New Roman" w:eastAsiaTheme="minorEastAsia"/>
          <w:bCs/>
          <w:szCs w:val="30"/>
          <w:highlight w:val="none"/>
          <w:lang w:val="en-US" w:eastAsia="zh-CN"/>
        </w:rPr>
        <w:t>规划项目清单</w:t>
      </w:r>
      <w:r>
        <w:rPr>
          <w:rFonts w:hint="eastAsia" w:ascii="Times New Roman" w:hAnsi="Times New Roman" w:cs="Times New Roman" w:eastAsiaTheme="minorEastAsia"/>
          <w:bCs/>
          <w:szCs w:val="30"/>
          <w:highlight w:val="none"/>
          <w:lang w:val="en-US" w:eastAsia="zh-CN"/>
        </w:rPr>
        <w:t>（33个项目，67.77亿元）</w:t>
      </w:r>
      <w:r>
        <w:tab/>
      </w:r>
      <w:r>
        <w:fldChar w:fldCharType="begin"/>
      </w:r>
      <w:r>
        <w:instrText xml:space="preserve"> PAGEREF _Toc20165 \h </w:instrText>
      </w:r>
      <w:r>
        <w:fldChar w:fldCharType="separate"/>
      </w:r>
      <w:r>
        <w:t>155</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6"/>
        <w:tabs>
          <w:tab w:val="right" w:leader="dot" w:pos="8732"/>
        </w:tabs>
        <w:spacing w:line="240" w:lineRule="auto"/>
      </w:pP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begin"/>
      </w:r>
      <w:r>
        <w:rPr>
          <w:rFonts w:hint="default" w:ascii="Times New Roman" w:hAnsi="Times New Roman" w:cs="Times New Roman" w:eastAsiaTheme="minorEastAsia"/>
          <w:szCs w:val="28"/>
          <w:highlight w:val="none"/>
        </w:rPr>
        <w:instrText xml:space="preserve"> HYPERLINK \l _Toc2438 </w:instrText>
      </w:r>
      <w:r>
        <w:rPr>
          <w:rFonts w:hint="default" w:ascii="Times New Roman" w:hAnsi="Times New Roman" w:cs="Times New Roman" w:eastAsiaTheme="minorEastAsia"/>
          <w:szCs w:val="28"/>
          <w:highlight w:val="none"/>
        </w:rPr>
        <w:fldChar w:fldCharType="separate"/>
      </w:r>
      <w:r>
        <w:rPr>
          <w:rFonts w:hint="eastAsia" w:cs="Times New Roman" w:eastAsiaTheme="minorEastAsia"/>
          <w:bCs/>
          <w:szCs w:val="30"/>
          <w:highlight w:val="none"/>
          <w:lang w:val="en-US" w:eastAsia="zh-CN"/>
        </w:rPr>
        <w:t>8</w:t>
      </w:r>
      <w:r>
        <w:rPr>
          <w:rFonts w:hint="default" w:ascii="Times New Roman" w:hAnsi="Times New Roman" w:cs="Times New Roman" w:eastAsiaTheme="minorEastAsia"/>
          <w:bCs/>
          <w:szCs w:val="30"/>
          <w:highlight w:val="none"/>
        </w:rPr>
        <w:t>.</w:t>
      </w:r>
      <w:r>
        <w:rPr>
          <w:rFonts w:hint="eastAsia" w:ascii="Times New Roman" w:hAnsi="Times New Roman" w:cs="Times New Roman" w:eastAsiaTheme="minorEastAsia"/>
          <w:bCs/>
          <w:szCs w:val="30"/>
          <w:highlight w:val="none"/>
          <w:lang w:val="en-US" w:eastAsia="zh-CN"/>
        </w:rPr>
        <w:t>4附件专家评审意见</w:t>
      </w:r>
      <w:r>
        <w:tab/>
      </w:r>
      <w:r>
        <w:fldChar w:fldCharType="begin"/>
      </w:r>
      <w:r>
        <w:instrText xml:space="preserve"> PAGEREF _Toc2438 \h </w:instrText>
      </w:r>
      <w:r>
        <w:fldChar w:fldCharType="separate"/>
      </w:r>
      <w:r>
        <w:t>169</w:t>
      </w:r>
      <w:r>
        <w:fldChar w:fldCharType="end"/>
      </w:r>
      <w:r>
        <w:rPr>
          <w:rFonts w:hint="default" w:ascii="Times New Roman" w:hAnsi="Times New Roman" w:cs="Times New Roman" w:eastAsiaTheme="minorEastAsia"/>
          <w:color w:val="000000" w:themeColor="text1"/>
          <w:szCs w:val="28"/>
          <w:highlight w:val="none"/>
          <w14:textFill>
            <w14:solidFill>
              <w14:schemeClr w14:val="tx1"/>
            </w14:solidFill>
          </w14:textFill>
        </w:rPr>
        <w:fldChar w:fldCharType="end"/>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beforeAutospacing="0" w:afterAutospacing="0" w:line="500" w:lineRule="exact"/>
        <w:jc w:val="center"/>
        <w:textAlignment w:val="auto"/>
        <w:rPr>
          <w:rFonts w:hint="eastAsia" w:ascii="Times New Roman" w:hAnsi="Times New Roman" w:cs="Times New Roman" w:eastAsiaTheme="minorEastAsia"/>
          <w:color w:val="000000" w:themeColor="text1"/>
          <w:highlight w:val="none"/>
          <w:lang w:eastAsia="zh-CN"/>
          <w14:textFill>
            <w14:solidFill>
              <w14:schemeClr w14:val="tx1"/>
            </w14:solidFill>
          </w14:textFill>
        </w:rPr>
        <w:sectPr>
          <w:footerReference r:id="rId7" w:type="default"/>
          <w:pgSz w:w="11906" w:h="16838" w:orient="landscape"/>
          <w:pgMar w:top="1440" w:right="1587" w:bottom="1440" w:left="1587" w:header="720" w:footer="720" w:gutter="0"/>
          <w:pgBorders>
            <w:top w:val="none" w:sz="0" w:space="0"/>
            <w:left w:val="none" w:sz="0" w:space="0"/>
            <w:bottom w:val="none" w:sz="0" w:space="0"/>
            <w:right w:val="none" w:sz="0" w:space="0"/>
          </w:pgBorders>
          <w:pgNumType w:fmt="upperRoman" w:start="1"/>
          <w:cols w:space="720" w:num="1"/>
          <w:rtlGutter w:val="0"/>
          <w:docGrid w:type="lines" w:linePitch="312" w:charSpace="0"/>
        </w:sectPr>
      </w:pPr>
      <w:r>
        <w:rPr>
          <w:rFonts w:hint="default" w:ascii="Times New Roman" w:hAnsi="Times New Roman" w:cs="Times New Roman" w:eastAsiaTheme="minorEastAsia"/>
          <w:color w:val="000000" w:themeColor="text1"/>
          <w:sz w:val="28"/>
          <w:szCs w:val="28"/>
          <w:highlight w:val="none"/>
          <w14:textFill>
            <w14:solidFill>
              <w14:schemeClr w14:val="tx1"/>
            </w14:solidFill>
          </w14:textFill>
        </w:rPr>
        <w:fldChar w:fldCharType="end"/>
      </w:r>
    </w:p>
    <w:p>
      <w:pPr>
        <w:pStyle w:val="3"/>
        <w:rPr>
          <w:rFonts w:hint="default" w:ascii="Times New Roman" w:hAnsi="Times New Roman" w:cs="Times New Roman" w:eastAsiaTheme="minorEastAsia"/>
          <w:color w:val="000000" w:themeColor="text1"/>
          <w:highlight w:val="none"/>
          <w14:textFill>
            <w14:solidFill>
              <w14:schemeClr w14:val="tx1"/>
            </w14:solidFill>
          </w14:textFill>
        </w:rPr>
      </w:pPr>
      <w:bookmarkStart w:id="6" w:name="_Toc535866168"/>
      <w:bookmarkStart w:id="7" w:name="_Toc10990"/>
      <w:r>
        <w:rPr>
          <w:rFonts w:hint="default" w:ascii="Times New Roman" w:hAnsi="Times New Roman" w:cs="Times New Roman" w:eastAsiaTheme="minorEastAsia"/>
          <w:color w:val="000000" w:themeColor="text1"/>
          <w:highlight w:val="none"/>
          <w14:textFill>
            <w14:solidFill>
              <w14:schemeClr w14:val="tx1"/>
            </w14:solidFill>
          </w14:textFill>
        </w:rPr>
        <w:t>1总则</w:t>
      </w:r>
      <w:bookmarkEnd w:id="3"/>
      <w:bookmarkEnd w:id="4"/>
      <w:bookmarkEnd w:id="5"/>
      <w:bookmarkEnd w:id="6"/>
      <w:bookmarkEnd w:id="7"/>
    </w:p>
    <w:p>
      <w:pPr>
        <w:pStyle w:val="4"/>
        <w:rPr>
          <w:rFonts w:hint="default" w:ascii="Times New Roman" w:hAnsi="Times New Roman" w:cs="Times New Roman" w:eastAsiaTheme="minorEastAsia"/>
          <w:color w:val="000000" w:themeColor="text1"/>
          <w:highlight w:val="none"/>
          <w14:textFill>
            <w14:solidFill>
              <w14:schemeClr w14:val="tx1"/>
            </w14:solidFill>
          </w14:textFill>
        </w:rPr>
      </w:pPr>
      <w:bookmarkStart w:id="8" w:name="_Toc535866169"/>
      <w:bookmarkStart w:id="9" w:name="_Toc520215404"/>
      <w:bookmarkStart w:id="10" w:name="_Toc10892"/>
      <w:bookmarkStart w:id="11" w:name="_Toc31459"/>
      <w:bookmarkStart w:id="12" w:name="_Toc369267112"/>
      <w:bookmarkStart w:id="13" w:name="_Toc3748"/>
      <w:r>
        <w:rPr>
          <w:rFonts w:hint="default" w:ascii="Times New Roman" w:hAnsi="Times New Roman" w:cs="Times New Roman" w:eastAsiaTheme="minorEastAsia"/>
          <w:color w:val="000000" w:themeColor="text1"/>
          <w:highlight w:val="none"/>
          <w14:textFill>
            <w14:solidFill>
              <w14:schemeClr w14:val="tx1"/>
            </w14:solidFill>
          </w14:textFill>
        </w:rPr>
        <w:t>1.1评估目的意义</w:t>
      </w:r>
      <w:bookmarkEnd w:id="8"/>
      <w:bookmarkEnd w:id="9"/>
      <w:bookmarkEnd w:id="10"/>
      <w:bookmarkEnd w:id="11"/>
      <w:bookmarkEnd w:id="12"/>
      <w:bookmarkEnd w:id="13"/>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bookmarkStart w:id="14" w:name="_Toc520215405"/>
      <w:bookmarkStart w:id="15" w:name="_Toc535866170"/>
      <w:bookmarkStart w:id="16" w:name="_Toc28493"/>
      <w:bookmarkStart w:id="17" w:name="_Toc30420"/>
      <w:bookmarkStart w:id="18" w:name="_Toc369267113"/>
      <w:r>
        <w:rPr>
          <w:rFonts w:hint="default" w:ascii="Times New Roman" w:hAnsi="Times New Roman" w:cs="Times New Roman" w:eastAsiaTheme="minorEastAsia"/>
          <w:color w:val="000000" w:themeColor="text1"/>
          <w:szCs w:val="24"/>
          <w:highlight w:val="none"/>
          <w14:textFill>
            <w14:solidFill>
              <w14:schemeClr w14:val="tx1"/>
            </w14:solidFill>
          </w14:textFill>
        </w:rPr>
        <w:t>中期评估是规划动态科学管理中的重要环节。通过全面、客观的评价《抚仙湖流域水环境保护治理“十四五”规划》确定的主要目标、重点任务、重大工程和保障措施的落实情况，总结规划实施经验，分析实施过程中存在的问题和原因，提出进一步推动规划实施的对策措施、提高规划的可操作性与指导性，确保全面完成规划提出的目标任务，保障抚仙湖流域水污染防治工作适应发展需求，水质与生态环境得到改善等具有重要的意义。</w:t>
      </w:r>
    </w:p>
    <w:p>
      <w:pPr>
        <w:pStyle w:val="4"/>
        <w:rPr>
          <w:rFonts w:hint="default" w:ascii="Times New Roman" w:hAnsi="Times New Roman" w:cs="Times New Roman" w:eastAsiaTheme="minorEastAsia"/>
          <w:color w:val="000000" w:themeColor="text1"/>
          <w:highlight w:val="none"/>
          <w14:textFill>
            <w14:solidFill>
              <w14:schemeClr w14:val="tx1"/>
            </w14:solidFill>
          </w14:textFill>
        </w:rPr>
      </w:pPr>
      <w:bookmarkStart w:id="19" w:name="_Toc27952"/>
      <w:r>
        <w:rPr>
          <w:rFonts w:hint="default" w:ascii="Times New Roman" w:hAnsi="Times New Roman" w:cs="Times New Roman" w:eastAsiaTheme="minorEastAsia"/>
          <w:color w:val="000000" w:themeColor="text1"/>
          <w:highlight w:val="none"/>
          <w14:textFill>
            <w14:solidFill>
              <w14:schemeClr w14:val="tx1"/>
            </w14:solidFill>
          </w14:textFill>
        </w:rPr>
        <w:t>1.2评估必要性和紧迫性</w:t>
      </w:r>
      <w:bookmarkEnd w:id="14"/>
      <w:bookmarkEnd w:id="15"/>
      <w:bookmarkEnd w:id="16"/>
      <w:bookmarkEnd w:id="17"/>
      <w:bookmarkEnd w:id="18"/>
      <w:bookmarkEnd w:id="19"/>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bookmarkStart w:id="20" w:name="_Toc369267114"/>
      <w:bookmarkEnd w:id="20"/>
      <w:bookmarkStart w:id="21" w:name="_Toc7612"/>
      <w:bookmarkStart w:id="22" w:name="_Toc535866171"/>
      <w:bookmarkStart w:id="23" w:name="_Toc520215406"/>
      <w:bookmarkStart w:id="24" w:name="_Toc14274"/>
      <w:r>
        <w:rPr>
          <w:rFonts w:hint="default" w:ascii="Times New Roman" w:hAnsi="Times New Roman" w:cs="Times New Roman" w:eastAsiaTheme="minorEastAsia"/>
          <w:color w:val="000000" w:themeColor="text1"/>
          <w:highlight w:val="none"/>
          <w14:textFill>
            <w14:solidFill>
              <w14:schemeClr w14:val="tx1"/>
            </w14:solidFill>
          </w14:textFill>
        </w:rPr>
        <w:t>随着抚仙湖湖周经济的快速发展，特别是近年来旅游业的迅猛发展，人流、物流剧增。抚仙湖2022年水质已为Ⅱ类，湖泊水质稳定达标的压力越来越大。为确保“十四五”规划目标的实现，有必要对规划中期执行情况开展系统评估，提高规划工作的权威性，切实推进规划项目执行，优化重点任务部署，加强和改善宏观调控的全面有效实施，并保持规划的动态科学管理，开展规划中期评估是非常迫切的。</w:t>
      </w:r>
    </w:p>
    <w:p>
      <w:pPr>
        <w:pStyle w:val="4"/>
        <w:rPr>
          <w:rFonts w:hint="default" w:ascii="Times New Roman" w:hAnsi="Times New Roman" w:cs="Times New Roman" w:eastAsiaTheme="minorEastAsia"/>
          <w:color w:val="000000" w:themeColor="text1"/>
          <w:highlight w:val="none"/>
          <w14:textFill>
            <w14:solidFill>
              <w14:schemeClr w14:val="tx1"/>
            </w14:solidFill>
          </w14:textFill>
        </w:rPr>
      </w:pPr>
      <w:bookmarkStart w:id="25" w:name="_Toc19386"/>
      <w:r>
        <w:rPr>
          <w:rFonts w:hint="default" w:ascii="Times New Roman" w:hAnsi="Times New Roman" w:cs="Times New Roman" w:eastAsiaTheme="minorEastAsia"/>
          <w:color w:val="000000" w:themeColor="text1"/>
          <w:highlight w:val="none"/>
          <w14:textFill>
            <w14:solidFill>
              <w14:schemeClr w14:val="tx1"/>
            </w14:solidFill>
          </w14:textFill>
        </w:rPr>
        <w:t>1.3主要编制依据</w:t>
      </w:r>
      <w:bookmarkEnd w:id="21"/>
      <w:bookmarkEnd w:id="22"/>
      <w:bookmarkEnd w:id="23"/>
      <w:bookmarkEnd w:id="24"/>
      <w:bookmarkEnd w:id="25"/>
    </w:p>
    <w:p>
      <w:pPr>
        <w:pStyle w:val="5"/>
        <w:autoSpaceDE w:val="0"/>
        <w:autoSpaceDN w:val="0"/>
        <w:adjustRightInd w:val="0"/>
        <w:spacing w:before="312" w:beforeLines="100" w:after="120" w:line="360" w:lineRule="auto"/>
        <w:jc w:val="left"/>
        <w:rPr>
          <w:rFonts w:hint="default" w:ascii="Times New Roman" w:hAnsi="Times New Roman" w:cs="Times New Roman" w:eastAsiaTheme="minorEastAsia"/>
          <w:color w:val="000000" w:themeColor="text1"/>
          <w:sz w:val="28"/>
          <w:szCs w:val="28"/>
          <w:highlight w:val="none"/>
          <w14:textFill>
            <w14:solidFill>
              <w14:schemeClr w14:val="tx1"/>
            </w14:solidFill>
          </w14:textFill>
        </w:rPr>
      </w:pPr>
      <w:bookmarkStart w:id="26" w:name="_Toc23995"/>
      <w:bookmarkStart w:id="27" w:name="_Toc217990544"/>
      <w:bookmarkStart w:id="28" w:name="_Toc193987211"/>
      <w:bookmarkStart w:id="29" w:name="_Toc27755"/>
      <w:bookmarkStart w:id="30" w:name="_Toc24182"/>
      <w:bookmarkStart w:id="31" w:name="_Toc15339"/>
      <w:bookmarkStart w:id="32" w:name="_Toc9320"/>
      <w:bookmarkStart w:id="33" w:name="_Toc20598"/>
      <w:r>
        <w:rPr>
          <w:rFonts w:hint="default" w:ascii="Times New Roman" w:hAnsi="Times New Roman" w:cs="Times New Roman" w:eastAsiaTheme="minorEastAsia"/>
          <w:color w:val="000000" w:themeColor="text1"/>
          <w:sz w:val="28"/>
          <w:szCs w:val="28"/>
          <w:highlight w:val="none"/>
          <w14:textFill>
            <w14:solidFill>
              <w14:schemeClr w14:val="tx1"/>
            </w14:solidFill>
          </w14:textFill>
        </w:rPr>
        <w:t>1.3.1法律法规</w:t>
      </w:r>
      <w:bookmarkEnd w:id="26"/>
      <w:bookmarkEnd w:id="27"/>
      <w:bookmarkEnd w:id="28"/>
      <w:bookmarkEnd w:id="29"/>
      <w:bookmarkEnd w:id="30"/>
      <w:bookmarkEnd w:id="31"/>
      <w:bookmarkEnd w:id="32"/>
      <w:bookmarkEnd w:id="33"/>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bookmarkStart w:id="34" w:name="_Toc217990545"/>
      <w:bookmarkStart w:id="35" w:name="_Toc193987212"/>
      <w:r>
        <w:rPr>
          <w:rFonts w:hint="default" w:ascii="Times New Roman" w:hAnsi="Times New Roman" w:cs="Times New Roman" w:eastAsiaTheme="minorEastAsia"/>
          <w:color w:val="000000" w:themeColor="text1"/>
          <w:szCs w:val="24"/>
          <w:highlight w:val="none"/>
          <w14:textFill>
            <w14:solidFill>
              <w14:schemeClr w14:val="tx1"/>
            </w14:solidFill>
          </w14:textFill>
        </w:rPr>
        <w:t>（1）《中华人民共和国环境保护法》（2014年4月24日修订）</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（2）《中华人民共和国水污染防治法》（2017年6月27日修订）</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（3）《中华人民共和国水法》（2016年7月2日修订）</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（4）《中华人民共和国防洪法》（2016年7月2日修订）</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（5）《中华人民共和国水土保持法》（2011年3月1日施行）</w:t>
      </w:r>
    </w:p>
    <w:p>
      <w:pPr>
        <w:tabs>
          <w:tab w:val="left" w:pos="851"/>
          <w:tab w:val="left" w:pos="1134"/>
        </w:tabs>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（6）《中华人民共和国农业法》（2012年修订）</w:t>
      </w:r>
    </w:p>
    <w:p>
      <w:pPr>
        <w:tabs>
          <w:tab w:val="left" w:pos="851"/>
          <w:tab w:val="left" w:pos="1134"/>
        </w:tabs>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（7）《中华人民共和国土地管理法》（2004年修正）</w:t>
      </w:r>
    </w:p>
    <w:p>
      <w:pPr>
        <w:tabs>
          <w:tab w:val="left" w:pos="851"/>
          <w:tab w:val="left" w:pos="1134"/>
        </w:tabs>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（8）《中华人民共和国城乡规划法》（2008年1月1日施行）</w:t>
      </w:r>
    </w:p>
    <w:p>
      <w:pPr>
        <w:tabs>
          <w:tab w:val="left" w:pos="851"/>
          <w:tab w:val="left" w:pos="1134"/>
        </w:tabs>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（9）《中华人民共和国农产品质量安全法》（2006年11月1日施行）</w:t>
      </w:r>
    </w:p>
    <w:p>
      <w:pPr>
        <w:tabs>
          <w:tab w:val="left" w:pos="851"/>
          <w:tab w:val="left" w:pos="1134"/>
        </w:tabs>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（10）《中华人民共和国畜牧法》（2006年7月1日施行）</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（11）《中华人民共和国渔业法》（2004年修订）</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（12）《中华人民共和国农业技术推广法》（2012年8月31日修订）</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（13）《中华人民共和国森林法》（2009年8月27日修订）</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（14）《中华人民共和国森林法实施条例》（2016年2月6日修订）</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（15）《中华人民共和国固体废物污染环境防治法》（2016年11月7日修订）</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（16）《中华人民共和国河道管理条例》（2017年10月7日施行）</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（17）《国家湿地公园管理办法》（2019年8月1日施行）</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（18）《风景名胜区</w:t>
      </w:r>
      <w:bookmarkStart w:id="584" w:name="_GoBack"/>
      <w:bookmarkEnd w:id="584"/>
      <w:r>
        <w:rPr>
          <w:rFonts w:hint="default" w:ascii="Times New Roman" w:hAnsi="Times New Roman" w:cs="Times New Roman" w:eastAsiaTheme="minorEastAsia"/>
          <w:color w:val="000000" w:themeColor="text1"/>
          <w:szCs w:val="24"/>
          <w:highlight w:val="none"/>
          <w14:textFill>
            <w14:solidFill>
              <w14:schemeClr w14:val="tx1"/>
            </w14:solidFill>
          </w14:textFill>
        </w:rPr>
        <w:t>条例》（2006年9月6日施行）</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（19）《畜禽规模养殖污染防治条例》（2014年1月1日施行）</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（20）《云南省抚仙湖保护条例》（2016年9月29日修订）</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（21）《云南省湿地保护条例》（2014年1月1日施行）</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（22）《云南省水土保持条例》（2014年10月1日施行）</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（23）《云南省基本农田保护条例》（2000年修订）</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（24）《云南省风景名胜区条例》（2012年1月1日施行）</w:t>
      </w:r>
    </w:p>
    <w:p>
      <w:pPr>
        <w:pStyle w:val="5"/>
        <w:autoSpaceDE w:val="0"/>
        <w:autoSpaceDN w:val="0"/>
        <w:adjustRightInd w:val="0"/>
        <w:spacing w:before="312" w:beforeLines="100" w:after="120" w:line="360" w:lineRule="auto"/>
        <w:jc w:val="left"/>
        <w:rPr>
          <w:rFonts w:hint="eastAsia" w:ascii="Times New Roman" w:hAnsi="Times New Roman" w:cs="Times New Roman" w:eastAsiaTheme="minorEastAsia"/>
          <w:color w:val="000000" w:themeColor="text1"/>
          <w:sz w:val="28"/>
          <w:szCs w:val="28"/>
          <w:highlight w:val="none"/>
          <w:lang w:eastAsia="zh-CN"/>
          <w14:textFill>
            <w14:solidFill>
              <w14:schemeClr w14:val="tx1"/>
            </w14:solidFill>
          </w14:textFill>
        </w:rPr>
      </w:pPr>
      <w:bookmarkStart w:id="36" w:name="_Toc10493"/>
      <w:bookmarkStart w:id="37" w:name="_Toc2653"/>
      <w:bookmarkStart w:id="38" w:name="_Toc2317"/>
      <w:bookmarkStart w:id="39" w:name="_Toc17769"/>
      <w:bookmarkStart w:id="40" w:name="_Toc466"/>
      <w:bookmarkStart w:id="41" w:name="_Toc5102"/>
      <w:r>
        <w:rPr>
          <w:rFonts w:hint="default" w:ascii="Times New Roman" w:hAnsi="Times New Roman" w:cs="Times New Roman" w:eastAsiaTheme="minorEastAsia"/>
          <w:color w:val="000000" w:themeColor="text1"/>
          <w:sz w:val="28"/>
          <w:szCs w:val="28"/>
          <w:highlight w:val="none"/>
          <w14:textFill>
            <w14:solidFill>
              <w14:schemeClr w14:val="tx1"/>
            </w14:solidFill>
          </w14:textFill>
        </w:rPr>
        <w:t>1.3.2</w:t>
      </w:r>
      <w:bookmarkEnd w:id="34"/>
      <w:bookmarkEnd w:id="35"/>
      <w:r>
        <w:rPr>
          <w:rFonts w:hint="default" w:ascii="Times New Roman" w:hAnsi="Times New Roman" w:cs="Times New Roman" w:eastAsiaTheme="minorEastAsia"/>
          <w:color w:val="000000" w:themeColor="text1"/>
          <w:sz w:val="28"/>
          <w:szCs w:val="28"/>
          <w:highlight w:val="none"/>
          <w14:textFill>
            <w14:solidFill>
              <w14:schemeClr w14:val="tx1"/>
            </w14:solidFill>
          </w14:textFill>
        </w:rPr>
        <w:t>标准规范</w:t>
      </w:r>
      <w:bookmarkEnd w:id="36"/>
      <w:bookmarkEnd w:id="37"/>
      <w:bookmarkEnd w:id="38"/>
      <w:bookmarkEnd w:id="39"/>
      <w:bookmarkEnd w:id="40"/>
      <w:bookmarkEnd w:id="41"/>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bookmarkStart w:id="42" w:name="_Toc217990546"/>
      <w:bookmarkStart w:id="43" w:name="_Toc193987213"/>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（1）《地表水环境质量标准》（GB3838-2002）</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（2）《生活饮用水水源水质标准》（CJ3020-93）</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（3）《污水综合排放标准》（GB8978-1996）</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（4）《地下水质量标准》（GB/T14848-93）</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（5）《全国环境监察标准化建设标准》（环发〔2011</w:t>
      </w:r>
      <w:r>
        <w:rPr>
          <w:rFonts w:hint="default" w:ascii="Times New Roman" w:hAnsi="Times New Roman" w:cs="Times New Roman" w:eastAsiaTheme="minorEastAsia"/>
          <w:color w:val="000000" w:themeColor="text1"/>
          <w:kern w:val="0"/>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97号）</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（6）《全国环境监测站建设标准》（环发〔2007</w:t>
      </w:r>
      <w:r>
        <w:rPr>
          <w:rFonts w:hint="default" w:ascii="Times New Roman" w:hAnsi="Times New Roman" w:cs="Times New Roman" w:eastAsiaTheme="minorEastAsia"/>
          <w:color w:val="000000" w:themeColor="text1"/>
          <w:kern w:val="0"/>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56号）</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（7）《土壤环境质量农用地土壤污染风险管控标准（试行）》（GB15618-2018）</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（8）《农田灌溉水质标准》（GB5084-2005）</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（9）《畜禽养殖业污染物排放标准》（GB18596-2001）</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（10）《云南省用水定额》（2019版）</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（11）《地表水资源质量评价技术规程》（SL395-2007）；</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（12）《水资源供需预测分析技术规范》（SL429-2008）</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（13）《测土配方施肥技术规范》（2011年修订）</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（14）《地表水环境质量评价办法（试行）》（环办〔2011</w:t>
      </w:r>
      <w:r>
        <w:rPr>
          <w:rFonts w:hint="default" w:ascii="Times New Roman" w:hAnsi="Times New Roman" w:cs="Times New Roman" w:eastAsiaTheme="minorEastAsia"/>
          <w:color w:val="000000" w:themeColor="text1"/>
          <w:kern w:val="0"/>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22号）</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（15）《水污染防治工作方案编制技术指南》（2016年3月23日）</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（16）《水体达标方案编制技术指南》（2015年10月22日）</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（17）《全国水环境容量核定技术指南》（2003年9月1日）</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（18）《云南省九大高原湖泊基于总量控制的基础调查技术指南》</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（19）《云南九大高原湖泊“十四五”水环境保护治理规划编制技术指南》</w:t>
      </w:r>
    </w:p>
    <w:p>
      <w:pPr>
        <w:pStyle w:val="5"/>
        <w:autoSpaceDE w:val="0"/>
        <w:autoSpaceDN w:val="0"/>
        <w:adjustRightInd w:val="0"/>
        <w:spacing w:before="312" w:beforeLines="100" w:after="120" w:line="360" w:lineRule="auto"/>
        <w:jc w:val="left"/>
        <w:rPr>
          <w:rFonts w:hint="default" w:ascii="Times New Roman" w:hAnsi="Times New Roman" w:cs="Times New Roman" w:eastAsiaTheme="minorEastAsia"/>
          <w:color w:val="000000" w:themeColor="text1"/>
          <w:sz w:val="28"/>
          <w:szCs w:val="28"/>
          <w:highlight w:val="none"/>
          <w14:textFill>
            <w14:solidFill>
              <w14:schemeClr w14:val="tx1"/>
            </w14:solidFill>
          </w14:textFill>
        </w:rPr>
      </w:pPr>
      <w:bookmarkStart w:id="44" w:name="_Toc10703"/>
      <w:bookmarkStart w:id="45" w:name="_Toc4424"/>
      <w:bookmarkStart w:id="46" w:name="_Toc6328"/>
      <w:bookmarkStart w:id="47" w:name="_Toc2532"/>
      <w:bookmarkStart w:id="48" w:name="_Toc15011"/>
      <w:bookmarkStart w:id="49" w:name="_Toc27370"/>
      <w:bookmarkStart w:id="50" w:name="_Toc531870965"/>
      <w:r>
        <w:rPr>
          <w:rFonts w:hint="default" w:ascii="Times New Roman" w:hAnsi="Times New Roman" w:cs="Times New Roman" w:eastAsiaTheme="minorEastAsia"/>
          <w:color w:val="000000" w:themeColor="text1"/>
          <w:sz w:val="28"/>
          <w:szCs w:val="28"/>
          <w:highlight w:val="none"/>
          <w14:textFill>
            <w14:solidFill>
              <w14:schemeClr w14:val="tx1"/>
            </w14:solidFill>
          </w14:textFill>
        </w:rPr>
        <w:t>1.3.3政策文件</w:t>
      </w:r>
      <w:bookmarkEnd w:id="44"/>
      <w:bookmarkEnd w:id="45"/>
      <w:bookmarkEnd w:id="46"/>
      <w:bookmarkEnd w:id="47"/>
      <w:bookmarkEnd w:id="48"/>
      <w:bookmarkEnd w:id="49"/>
      <w:bookmarkEnd w:id="50"/>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（1）《水污染防治行动计划》（2015年4月2日发布）</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（2）《国家河长制实施意见》（厅字〔2016</w:t>
      </w:r>
      <w:r>
        <w:rPr>
          <w:rFonts w:hint="default" w:ascii="Times New Roman" w:hAnsi="Times New Roman" w:cs="Times New Roman" w:eastAsiaTheme="minorEastAsia"/>
          <w:color w:val="000000" w:themeColor="text1"/>
          <w:kern w:val="0"/>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42号）</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（3）《国务院办公厅关于加快推进畜禽养殖废弃物资源化利用的意见》（国办发〔2017</w:t>
      </w:r>
      <w:r>
        <w:rPr>
          <w:rFonts w:hint="default" w:ascii="Times New Roman" w:hAnsi="Times New Roman" w:cs="Times New Roman" w:eastAsiaTheme="minorEastAsia"/>
          <w:color w:val="000000" w:themeColor="text1"/>
          <w:kern w:val="0"/>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48号）</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（4）《中共云南省委云南省人民政府关于全面加强生态环境保护坚决打好污染防治攻坚战的实施意见》</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（5）《云南省人民政府办公厅关于印发云南省畜禽养殖废弃物资源化利用工作方案的通知》</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（6）《云南省人民政府办公厅关于加强环境监管执法的实施意见》（2015年7月14日）</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（7）《农业部门办公厅关于印发&lt;畜禽粪污土地承载力测算技术指南&gt;的通知》（农办牧〔2018</w:t>
      </w:r>
      <w:r>
        <w:rPr>
          <w:rFonts w:hint="default" w:ascii="Times New Roman" w:hAnsi="Times New Roman" w:cs="Times New Roman" w:eastAsiaTheme="minorEastAsia"/>
          <w:color w:val="000000" w:themeColor="text1"/>
          <w:kern w:val="0"/>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1号）</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（8）《云南省农业厅关于印发云南省九大高原湖泊及牛栏江流域畜禽养殖禁养区、限养区划定方案的通知》</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（9）《云南省水污染防治工作方案》（2016年1月10日发布）</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（10）《云南省水污染防治目标责任书》</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（11）《云南省全面贯彻落实湖长制的实施方案》</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（12）《云南省全面推行河长制的实施意见》（2017年5月）</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（13）《云南省九大高原湖泊保护治理攻坚战战实施方案》（云办发〔2019</w:t>
      </w:r>
      <w:r>
        <w:rPr>
          <w:rFonts w:hint="default" w:ascii="Times New Roman" w:hAnsi="Times New Roman" w:cs="Times New Roman" w:eastAsiaTheme="minorEastAsia"/>
          <w:color w:val="000000" w:themeColor="text1"/>
          <w:kern w:val="0"/>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8号）</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（14）《关于进一步调整优化抚仙湖星云湖杞麓湖管理机构的实施方案》</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（15）《云南省河长制办公室关于开展九大高原湖泊保护治理规划编制工作的通知》</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（16）《中共云南省委云南省人民政府关于“湖泊革命”攻坚战的实施意见》</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（17）《中共玉溪市委玉溪市人民政府关于印发〈玉溪市“湖泊革命”实施方案〉的通知》（玉办通〔2021</w:t>
      </w:r>
      <w:r>
        <w:rPr>
          <w:rFonts w:hint="default" w:ascii="Times New Roman" w:hAnsi="Times New Roman" w:cs="Times New Roman" w:eastAsiaTheme="minorEastAsia"/>
          <w:color w:val="000000" w:themeColor="text1"/>
          <w:kern w:val="0"/>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36号）</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（18）《中共澄江市委澄江市人民政府关于印发〈澄江市抚仙湖“湖泊革命”实施方案〉的通知》（澄发〔2021</w:t>
      </w:r>
      <w:r>
        <w:rPr>
          <w:rFonts w:hint="default" w:ascii="Times New Roman" w:hAnsi="Times New Roman" w:cs="Times New Roman" w:eastAsiaTheme="minorEastAsia"/>
          <w:color w:val="000000" w:themeColor="text1"/>
          <w:kern w:val="0"/>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9号）</w:t>
      </w:r>
    </w:p>
    <w:bookmarkEnd w:id="42"/>
    <w:bookmarkEnd w:id="43"/>
    <w:p>
      <w:pPr>
        <w:pStyle w:val="5"/>
        <w:autoSpaceDE w:val="0"/>
        <w:autoSpaceDN w:val="0"/>
        <w:adjustRightInd w:val="0"/>
        <w:spacing w:before="312" w:beforeLines="100" w:after="120" w:line="360" w:lineRule="auto"/>
        <w:jc w:val="left"/>
        <w:rPr>
          <w:rFonts w:hint="default" w:ascii="Times New Roman" w:hAnsi="Times New Roman" w:cs="Times New Roman" w:eastAsiaTheme="minorEastAsia"/>
          <w:color w:val="000000" w:themeColor="text1"/>
          <w:sz w:val="28"/>
          <w:szCs w:val="28"/>
          <w:highlight w:val="none"/>
          <w14:textFill>
            <w14:solidFill>
              <w14:schemeClr w14:val="tx1"/>
            </w14:solidFill>
          </w14:textFill>
        </w:rPr>
      </w:pPr>
      <w:bookmarkStart w:id="51" w:name="_Toc9129"/>
      <w:bookmarkStart w:id="52" w:name="_Toc31046"/>
      <w:bookmarkStart w:id="53" w:name="_Toc19721"/>
      <w:bookmarkStart w:id="54" w:name="_Toc27221"/>
      <w:bookmarkStart w:id="55" w:name="_Toc11500"/>
      <w:bookmarkStart w:id="56" w:name="_Toc23937"/>
      <w:bookmarkStart w:id="57" w:name="_Toc531870966"/>
      <w:r>
        <w:rPr>
          <w:rFonts w:hint="default" w:ascii="Times New Roman" w:hAnsi="Times New Roman" w:cs="Times New Roman" w:eastAsiaTheme="minorEastAsia"/>
          <w:color w:val="000000" w:themeColor="text1"/>
          <w:sz w:val="28"/>
          <w:szCs w:val="28"/>
          <w:highlight w:val="none"/>
          <w14:textFill>
            <w14:solidFill>
              <w14:schemeClr w14:val="tx1"/>
            </w14:solidFill>
          </w14:textFill>
        </w:rPr>
        <w:t>1.3.4其他相关技术资料</w:t>
      </w:r>
      <w:bookmarkEnd w:id="51"/>
      <w:bookmarkEnd w:id="52"/>
      <w:bookmarkEnd w:id="53"/>
      <w:bookmarkEnd w:id="54"/>
      <w:bookmarkEnd w:id="55"/>
      <w:bookmarkEnd w:id="56"/>
      <w:bookmarkEnd w:id="57"/>
      <w:r>
        <w:rPr>
          <w:rFonts w:hint="default" w:ascii="Times New Roman" w:hAnsi="Times New Roman" w:cs="Times New Roman" w:eastAsiaTheme="minorEastAsia"/>
          <w:color w:val="000000" w:themeColor="text1"/>
          <w:sz w:val="28"/>
          <w:szCs w:val="28"/>
          <w:highlight w:val="none"/>
          <w14:textFill>
            <w14:solidFill>
              <w14:schemeClr w14:val="tx1"/>
            </w14:solidFill>
          </w14:textFill>
        </w:rPr>
        <w:tab/>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（1）《抚仙湖水环境保护治理“十四五”规划》（2016-2020年）</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（2）《抚仙湖“十</w:t>
      </w:r>
      <w:r>
        <w:rPr>
          <w:rFonts w:hint="eastAsia" w:cs="Times New Roman" w:eastAsiaTheme="minorEastAsia"/>
          <w:color w:val="000000" w:themeColor="text1"/>
          <w:szCs w:val="24"/>
          <w:highlight w:val="none"/>
          <w:lang w:val="en-US" w:eastAsia="zh-CN"/>
          <w14:textFill>
            <w14:solidFill>
              <w14:schemeClr w14:val="tx1"/>
            </w14:solidFill>
          </w14:textFill>
        </w:rPr>
        <w:t>三</w:t>
      </w:r>
      <w:r>
        <w:rPr>
          <w:rFonts w:hint="default" w:ascii="Times New Roman" w:hAnsi="Times New Roman" w:cs="Times New Roman" w:eastAsiaTheme="minorEastAsia"/>
          <w:color w:val="000000" w:themeColor="text1"/>
          <w:szCs w:val="24"/>
          <w:highlight w:val="none"/>
          <w14:textFill>
            <w14:solidFill>
              <w14:schemeClr w14:val="tx1"/>
            </w14:solidFill>
          </w14:textFill>
        </w:rPr>
        <w:t>五”规划绩效评估报告》</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（3）《抚仙湖“十四五”规划中期评估报告》</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（4）《云南省抚仙湖山水林田湖草生态保护修复工程试点项目实施方案》</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（5）《抚仙湖综合保护治理三年行动计划》</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（6）《保卫抚仙湖“雷霆行动”百日攻坚方案》</w:t>
      </w:r>
    </w:p>
    <w:p>
      <w:pPr>
        <w:ind w:firstLine="480" w:firstLineChars="200"/>
        <w:rPr>
          <w:rFonts w:hint="default" w:ascii="Times New Roman" w:hAnsi="Times New Roman" w:cs="Times New Roman" w:eastAsiaTheme="minorEastAsia"/>
          <w:color w:val="000000" w:themeColor="text1"/>
          <w:szCs w:val="24"/>
          <w:highlight w:val="none"/>
          <w:shd w:val="clear" w:color="auto" w:fill="FFFFFF"/>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（7）《云南省抚仙湖“一湖一策”方案》（2018-2020年）</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（8）《抚仙湖生态安全调查与评估报告》</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（9）《深水贫营养湖泊水环境特征研究报告》</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（10）《抚仙湖水质监测预警关键技术研究及应用示范》</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（11）《澄江市抚仙湖径流区土地流转休耕轮作发展生态农业实施方案》</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（12）《抚仙湖流域禁止开发控制区规划》</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（13）《抚仙湖流域国土空间和保护利用专项规划（2021-2035年）》</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（14）《云南玉溪抚仙湖国家湿地公园总体规划》</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（15）《云南省抚仙湖湖滨生态红线及湖泊生态黄线“两线”划定方案》</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（16）《澄江市概念性规划及城市设计》</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（17）《澄江市“十四五”新型工业化发展规划》</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（18）《云南省抚仙湖保护治理中长期规划（2018-2035年）》</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（19）《云南省抚仙湖“一湖一策”保护治理行动方案（2021—2025年）》</w:t>
      </w:r>
    </w:p>
    <w:p>
      <w:pPr>
        <w:ind w:firstLine="480" w:firstLineChars="200"/>
        <w:rPr>
          <w:rFonts w:hint="eastAsia" w:ascii="Times New Roman" w:hAnsi="Times New Roman" w:cs="Times New Roman" w:eastAsiaTheme="minorEastAsia"/>
          <w:color w:val="000000" w:themeColor="text1"/>
          <w:szCs w:val="24"/>
          <w:highlight w:val="none"/>
          <w:lang w:eastAsia="zh-CN"/>
          <w14:textFill>
            <w14:solidFill>
              <w14:schemeClr w14:val="tx1"/>
            </w14:solidFill>
          </w14:textFill>
        </w:rPr>
      </w:pPr>
      <w:r>
        <w:rPr>
          <w:rFonts w:hint="eastAsia" w:cs="Times New Roman" w:eastAsiaTheme="minorEastAsia"/>
          <w:color w:val="000000" w:themeColor="text1"/>
          <w:szCs w:val="24"/>
          <w:highlight w:val="none"/>
          <w:lang w:eastAsia="zh-CN"/>
          <w14:textFill>
            <w14:solidFill>
              <w14:schemeClr w14:val="tx1"/>
            </w14:solidFill>
          </w14:textFill>
        </w:rPr>
        <w:t>（</w:t>
      </w:r>
      <w:r>
        <w:rPr>
          <w:rFonts w:hint="eastAsia" w:cs="Times New Roman" w:eastAsiaTheme="minorEastAsia"/>
          <w:color w:val="000000" w:themeColor="text1"/>
          <w:szCs w:val="24"/>
          <w:highlight w:val="none"/>
          <w:lang w:val="en-US" w:eastAsia="zh-CN"/>
          <w14:textFill>
            <w14:solidFill>
              <w14:schemeClr w14:val="tx1"/>
            </w14:solidFill>
          </w14:textFill>
        </w:rPr>
        <w:t>20</w:t>
      </w:r>
      <w:r>
        <w:rPr>
          <w:rFonts w:hint="eastAsia" w:cs="Times New Roman" w:eastAsiaTheme="minorEastAsia"/>
          <w:color w:val="000000" w:themeColor="text1"/>
          <w:szCs w:val="24"/>
          <w:highlight w:val="none"/>
          <w:lang w:eastAsia="zh-CN"/>
          <w14:textFill>
            <w14:solidFill>
              <w14:schemeClr w14:val="tx1"/>
            </w14:solidFill>
          </w14:textFill>
        </w:rPr>
        <w:t>）《云南省“十四五”九大高原湖泊保护治理规划中期评估报告》（云水发〔2023〕90号）</w:t>
      </w:r>
    </w:p>
    <w:p>
      <w:pPr>
        <w:pStyle w:val="4"/>
        <w:spacing w:line="240" w:lineRule="auto"/>
        <w:rPr>
          <w:rFonts w:hint="default" w:ascii="Times New Roman" w:hAnsi="Times New Roman" w:cs="Times New Roman" w:eastAsiaTheme="minorEastAsia"/>
          <w:color w:val="000000" w:themeColor="text1"/>
          <w:highlight w:val="none"/>
          <w14:textFill>
            <w14:solidFill>
              <w14:schemeClr w14:val="tx1"/>
            </w14:solidFill>
          </w14:textFill>
        </w:rPr>
      </w:pPr>
      <w:bookmarkStart w:id="58" w:name="_Toc369267115"/>
      <w:bookmarkEnd w:id="58"/>
      <w:bookmarkStart w:id="59" w:name="_Toc520215407"/>
      <w:bookmarkStart w:id="60" w:name="_Toc4703"/>
      <w:bookmarkStart w:id="61" w:name="_Toc2803"/>
      <w:bookmarkStart w:id="62" w:name="_Toc535866172"/>
      <w:bookmarkStart w:id="63" w:name="_Toc12839"/>
      <w:r>
        <w:rPr>
          <w:rFonts w:hint="default" w:ascii="Times New Roman" w:hAnsi="Times New Roman" w:cs="Times New Roman" w:eastAsiaTheme="minorEastAsia"/>
          <w:color w:val="000000" w:themeColor="text1"/>
          <w:highlight w:val="none"/>
          <w14:textFill>
            <w14:solidFill>
              <w14:schemeClr w14:val="tx1"/>
            </w14:solidFill>
          </w14:textFill>
        </w:rPr>
        <w:t>1.4评估时段</w:t>
      </w:r>
      <w:bookmarkEnd w:id="59"/>
      <w:bookmarkEnd w:id="60"/>
      <w:bookmarkEnd w:id="61"/>
      <w:bookmarkEnd w:id="62"/>
      <w:bookmarkEnd w:id="63"/>
    </w:p>
    <w:p>
      <w:pPr>
        <w:ind w:firstLine="480" w:firstLineChars="200"/>
        <w:rPr>
          <w:rFonts w:hint="default" w:ascii="Times New Roman" w:hAnsi="Times New Roman" w:cs="Times New Roman" w:eastAsiaTheme="minorEastAsia"/>
          <w:color w:val="000000" w:themeColor="text1"/>
          <w:sz w:val="28"/>
          <w:szCs w:val="28"/>
          <w:highlight w:val="none"/>
          <w14:textFill>
            <w14:solidFill>
              <w14:schemeClr w14:val="tx1"/>
            </w14:solidFill>
          </w14:textFill>
        </w:rPr>
      </w:pPr>
      <w:bookmarkStart w:id="64" w:name="_Toc369267116"/>
      <w:bookmarkEnd w:id="64"/>
      <w:bookmarkStart w:id="65" w:name="_Toc520215408"/>
      <w:bookmarkStart w:id="66" w:name="_Toc535866173"/>
      <w:bookmarkStart w:id="67" w:name="_Toc14618"/>
      <w:bookmarkStart w:id="68" w:name="_Toc8469"/>
      <w:r>
        <w:rPr>
          <w:rFonts w:hint="default" w:ascii="Times New Roman" w:hAnsi="Times New Roman" w:cs="Times New Roman" w:eastAsiaTheme="minorEastAsia"/>
          <w:color w:val="000000" w:themeColor="text1"/>
          <w:szCs w:val="24"/>
          <w:highlight w:val="none"/>
          <w14:textFill>
            <w14:solidFill>
              <w14:schemeClr w14:val="tx1"/>
            </w14:solidFill>
          </w14:textFill>
        </w:rPr>
        <w:t>评估时段为2021年1月-2023年6月，以2020年为基准，时期资料为2021年、2022年和2023年1-6月。</w:t>
      </w:r>
    </w:p>
    <w:p>
      <w:pPr>
        <w:pStyle w:val="4"/>
        <w:rPr>
          <w:rFonts w:hint="default" w:ascii="Times New Roman" w:hAnsi="Times New Roman" w:cs="Times New Roman" w:eastAsiaTheme="minorEastAsia"/>
          <w:color w:val="000000" w:themeColor="text1"/>
          <w:highlight w:val="none"/>
          <w14:textFill>
            <w14:solidFill>
              <w14:schemeClr w14:val="tx1"/>
            </w14:solidFill>
          </w14:textFill>
        </w:rPr>
      </w:pPr>
      <w:bookmarkStart w:id="69" w:name="_Toc22439"/>
      <w:r>
        <w:rPr>
          <w:rFonts w:hint="default" w:ascii="Times New Roman" w:hAnsi="Times New Roman" w:cs="Times New Roman" w:eastAsiaTheme="minorEastAsia"/>
          <w:color w:val="000000" w:themeColor="text1"/>
          <w:highlight w:val="none"/>
          <w14:textFill>
            <w14:solidFill>
              <w14:schemeClr w14:val="tx1"/>
            </w14:solidFill>
          </w14:textFill>
        </w:rPr>
        <w:t>1.5评估技术路线</w:t>
      </w:r>
      <w:bookmarkEnd w:id="65"/>
      <w:bookmarkEnd w:id="66"/>
      <w:bookmarkEnd w:id="67"/>
      <w:bookmarkEnd w:id="68"/>
      <w:bookmarkEnd w:id="69"/>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bookmarkStart w:id="70" w:name="_Toc369267017"/>
      <w:bookmarkEnd w:id="70"/>
      <w:bookmarkStart w:id="71" w:name="_Toc369254871"/>
      <w:bookmarkEnd w:id="71"/>
      <w:bookmarkStart w:id="72" w:name="_Toc369267119"/>
      <w:r>
        <w:rPr>
          <w:rFonts w:hint="default" w:ascii="Times New Roman" w:hAnsi="Times New Roman" w:cs="Times New Roman" w:eastAsiaTheme="minorEastAsia"/>
          <w:color w:val="000000" w:themeColor="text1"/>
          <w:highlight w:val="none"/>
          <w14:textFill>
            <w14:solidFill>
              <w14:schemeClr w14:val="tx1"/>
            </w14:solidFill>
          </w14:textFill>
        </w:rPr>
        <w:t>以《</w:t>
      </w:r>
      <w:bookmarkEnd w:id="72"/>
      <w:r>
        <w:rPr>
          <w:rFonts w:hint="default" w:ascii="Times New Roman" w:hAnsi="Times New Roman" w:cs="Times New Roman" w:eastAsiaTheme="minorEastAsia"/>
          <w:color w:val="000000" w:themeColor="text1"/>
          <w:highlight w:val="none"/>
          <w14:textFill>
            <w14:solidFill>
              <w14:schemeClr w14:val="tx1"/>
            </w14:solidFill>
          </w14:textFill>
        </w:rPr>
        <w:t>抚仙湖流域水环境保护治理“十四五”规划》为依据，按照云南省环境保护厅（现云南省生态环境厅）《云南省九湖流域水环境保护治理“十四五”规划执行情况中期评估技术方案》的要求，对照规划目标，进行现场踏勘与调研，重点围绕规划项目执行情况、规划目标与考核指标实现情况、规划任务落实情况、监督管理保障四个方面开展评估，查找规划执行存在问题、与规划目标实现的差距，为下一步采取针对性措施提供依据。具体工作技术路线见图1</w:t>
      </w:r>
      <w:r>
        <w:rPr>
          <w:rFonts w:hint="eastAsia" w:cs="Times New Roman" w:eastAsiaTheme="minorEastAsia"/>
          <w:color w:val="000000" w:themeColor="text1"/>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highlight w:val="none"/>
          <w14:textFill>
            <w14:solidFill>
              <w14:schemeClr w14:val="tx1"/>
            </w14:solidFill>
          </w14:textFill>
        </w:rPr>
        <w:t>-1。</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p>
    <w:p>
      <w:pPr>
        <w:widowControl/>
        <w:spacing w:line="240" w:lineRule="auto"/>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drawing>
          <wp:inline distT="0" distB="0" distL="114300" distR="114300">
            <wp:extent cx="4506595" cy="4324350"/>
            <wp:effectExtent l="0" t="0" r="4445" b="3810"/>
            <wp:docPr id="6" name="图片 64" descr="C:\Users\DELL\AppData\Local\Temp\ksohtml\wpsA0A2.tmp.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4" descr="C:\Users\DELL\AppData\Local\Temp\ksohtml\wpsA0A2.tmp.jpg"/>
                    <pic:cNvPicPr>
                      <a:picLocks noChangeAspect="true"/>
                    </pic:cNvPicPr>
                  </pic:nvPicPr>
                  <pic:blipFill>
                    <a:blip r:embed="rId15" cstate="print"/>
                    <a:stretch>
                      <a:fillRect/>
                    </a:stretch>
                  </pic:blipFill>
                  <pic:spPr>
                    <a:xfrm>
                      <a:off x="0" y="0"/>
                      <a:ext cx="4506595" cy="4324350"/>
                    </a:xfrm>
                    <a:prstGeom prst="rect">
                      <a:avLst/>
                    </a:prstGeom>
                    <a:noFill/>
                    <a:ln w="9525">
                      <a:noFill/>
                    </a:ln>
                  </pic:spPr>
                </pic:pic>
              </a:graphicData>
            </a:graphic>
          </wp:inline>
        </w:drawing>
      </w:r>
    </w:p>
    <w:p>
      <w:pPr>
        <w:widowControl/>
        <w:spacing w:line="240" w:lineRule="auto"/>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图1</w:t>
      </w:r>
      <w:r>
        <w:rPr>
          <w:rFonts w:hint="eastAsia" w:cs="Times New Roman" w:eastAsiaTheme="minorEastAsia"/>
          <w:b/>
          <w:bCs/>
          <w:color w:val="000000" w:themeColor="text1"/>
          <w:sz w:val="21"/>
          <w:szCs w:val="21"/>
          <w:highlight w:val="none"/>
          <w:lang w:val="en-US" w:eastAsia="zh-CN"/>
          <w14:textFill>
            <w14:solidFill>
              <w14:schemeClr w14:val="tx1"/>
            </w14:solidFill>
          </w14:textFill>
        </w:rPr>
        <w:t>.5</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-1抚仙湖流域《“十四五”规划》中期评估技术路线</w:t>
      </w:r>
    </w:p>
    <w:p>
      <w:pPr>
        <w:widowControl/>
        <w:spacing w:line="240" w:lineRule="auto"/>
        <w:jc w:val="center"/>
        <w:rPr>
          <w:rFonts w:hint="default" w:ascii="Times New Roman" w:hAnsi="Times New Roman" w:cs="Times New Roman" w:eastAsiaTheme="minorEastAsia"/>
          <w:color w:val="000000" w:themeColor="text1"/>
          <w:highlight w:val="none"/>
          <w14:textFill>
            <w14:solidFill>
              <w14:schemeClr w14:val="tx1"/>
            </w14:solidFill>
          </w14:textFill>
        </w:rPr>
        <w:sectPr>
          <w:footerReference r:id="rId8" w:type="default"/>
          <w:pgSz w:w="11906" w:h="16838" w:orient="landscape"/>
          <w:pgMar w:top="1440" w:right="1587" w:bottom="1440" w:left="1587" w:header="720" w:footer="720" w:gutter="0"/>
          <w:pgBorders>
            <w:top w:val="none" w:sz="0" w:space="0"/>
            <w:left w:val="none" w:sz="0" w:space="0"/>
            <w:bottom w:val="none" w:sz="0" w:space="0"/>
            <w:right w:val="none" w:sz="0" w:space="0"/>
          </w:pgBorders>
          <w:pgNumType w:start="1"/>
          <w:cols w:space="720" w:num="1"/>
          <w:rtlGutter w:val="0"/>
          <w:docGrid w:type="lines" w:linePitch="312" w:charSpace="0"/>
        </w:sectPr>
      </w:pPr>
    </w:p>
    <w:p>
      <w:pPr>
        <w:pStyle w:val="3"/>
        <w:rPr>
          <w:rFonts w:hint="default" w:ascii="Times New Roman" w:hAnsi="Times New Roman" w:cs="Times New Roman" w:eastAsiaTheme="minorEastAsia"/>
          <w:color w:val="000000" w:themeColor="text1"/>
          <w:highlight w:val="none"/>
          <w14:textFill>
            <w14:solidFill>
              <w14:schemeClr w14:val="tx1"/>
            </w14:solidFill>
          </w14:textFill>
        </w:rPr>
      </w:pPr>
      <w:bookmarkStart w:id="73" w:name="_Toc369267123"/>
      <w:bookmarkEnd w:id="73"/>
      <w:bookmarkStart w:id="74" w:name="_Toc520215409"/>
      <w:bookmarkStart w:id="75" w:name="_Toc30926"/>
      <w:bookmarkStart w:id="76" w:name="_Toc27875"/>
      <w:bookmarkStart w:id="77" w:name="_Toc535866174"/>
      <w:bookmarkStart w:id="78" w:name="_Toc10693"/>
      <w:r>
        <w:rPr>
          <w:rFonts w:hint="default" w:ascii="Times New Roman" w:hAnsi="Times New Roman" w:cs="Times New Roman" w:eastAsiaTheme="minorEastAsia"/>
          <w:color w:val="000000" w:themeColor="text1"/>
          <w:highlight w:val="none"/>
          <w14:textFill>
            <w14:solidFill>
              <w14:schemeClr w14:val="tx1"/>
            </w14:solidFill>
          </w14:textFill>
        </w:rPr>
        <w:t>2湖泊自然环境与社会经济概况</w:t>
      </w:r>
      <w:bookmarkEnd w:id="74"/>
      <w:bookmarkEnd w:id="75"/>
      <w:bookmarkEnd w:id="76"/>
      <w:bookmarkEnd w:id="77"/>
      <w:bookmarkEnd w:id="78"/>
    </w:p>
    <w:p>
      <w:pPr>
        <w:pStyle w:val="4"/>
        <w:rPr>
          <w:rFonts w:hint="default" w:ascii="Times New Roman" w:hAnsi="Times New Roman" w:cs="Times New Roman" w:eastAsiaTheme="minorEastAsia"/>
          <w:color w:val="000000" w:themeColor="text1"/>
          <w:highlight w:val="none"/>
          <w14:textFill>
            <w14:solidFill>
              <w14:schemeClr w14:val="tx1"/>
            </w14:solidFill>
          </w14:textFill>
        </w:rPr>
      </w:pPr>
      <w:bookmarkStart w:id="79" w:name="_Toc520215410"/>
      <w:bookmarkStart w:id="80" w:name="_Toc22329"/>
      <w:bookmarkStart w:id="81" w:name="_Toc16682"/>
      <w:bookmarkStart w:id="82" w:name="_Toc535866175"/>
      <w:bookmarkStart w:id="83" w:name="_Toc369267124"/>
      <w:bookmarkStart w:id="84" w:name="_Toc27671"/>
      <w:r>
        <w:rPr>
          <w:rFonts w:hint="default" w:ascii="Times New Roman" w:hAnsi="Times New Roman" w:cs="Times New Roman" w:eastAsiaTheme="minorEastAsia"/>
          <w:color w:val="000000" w:themeColor="text1"/>
          <w:highlight w:val="none"/>
          <w14:textFill>
            <w14:solidFill>
              <w14:schemeClr w14:val="tx1"/>
            </w14:solidFill>
          </w14:textFill>
        </w:rPr>
        <w:t>2.1自然环境概况</w:t>
      </w:r>
      <w:bookmarkEnd w:id="79"/>
      <w:bookmarkEnd w:id="80"/>
      <w:bookmarkEnd w:id="81"/>
      <w:bookmarkEnd w:id="82"/>
      <w:bookmarkEnd w:id="83"/>
      <w:bookmarkEnd w:id="84"/>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85" w:name="_Toc369267125"/>
      <w:bookmarkEnd w:id="85"/>
      <w:bookmarkStart w:id="86" w:name="_Toc520215411"/>
      <w:bookmarkStart w:id="87" w:name="_Toc14025"/>
      <w:bookmarkStart w:id="88" w:name="_Toc20942"/>
      <w:bookmarkStart w:id="89" w:name="_Toc535866176"/>
      <w:bookmarkStart w:id="90" w:name="_Toc10156"/>
      <w:bookmarkStart w:id="91" w:name="_Toc23922"/>
      <w:bookmarkStart w:id="92" w:name="_Toc24304"/>
      <w:bookmarkStart w:id="93" w:name="_Toc1101"/>
      <w:r>
        <w:rPr>
          <w:rFonts w:hint="default" w:ascii="Times New Roman" w:hAnsi="Times New Roman" w:cs="Times New Roman" w:eastAsiaTheme="minorEastAsia"/>
          <w:color w:val="000000" w:themeColor="text1"/>
          <w:highlight w:val="none"/>
          <w14:textFill>
            <w14:solidFill>
              <w14:schemeClr w14:val="tx1"/>
            </w14:solidFill>
          </w14:textFill>
        </w:rPr>
        <w:t>2.1.1</w:t>
      </w:r>
      <w:bookmarkEnd w:id="86"/>
      <w:bookmarkEnd w:id="87"/>
      <w:bookmarkEnd w:id="88"/>
      <w:bookmarkEnd w:id="89"/>
      <w:r>
        <w:rPr>
          <w:rFonts w:hint="default" w:ascii="Times New Roman" w:hAnsi="Times New Roman" w:cs="Times New Roman" w:eastAsiaTheme="minorEastAsia"/>
          <w:color w:val="000000" w:themeColor="text1"/>
          <w:highlight w:val="none"/>
          <w14:textFill>
            <w14:solidFill>
              <w14:schemeClr w14:val="tx1"/>
            </w14:solidFill>
          </w14:textFill>
        </w:rPr>
        <w:t>地理位置</w:t>
      </w:r>
      <w:bookmarkEnd w:id="90"/>
      <w:bookmarkEnd w:id="91"/>
      <w:bookmarkEnd w:id="92"/>
      <w:bookmarkEnd w:id="93"/>
    </w:p>
    <w:p>
      <w:pPr>
        <w:spacing w:line="520" w:lineRule="exact"/>
        <w:ind w:firstLine="480" w:firstLineChars="200"/>
        <w:rPr>
          <w:rFonts w:hint="default" w:ascii="Times New Roman" w:hAnsi="Times New Roman" w:cs="Times New Roman" w:eastAsiaTheme="minorEastAsia"/>
          <w:bCs/>
          <w:color w:val="000000" w:themeColor="text1"/>
          <w:szCs w:val="28"/>
          <w:highlight w:val="none"/>
          <w14:textFill>
            <w14:solidFill>
              <w14:schemeClr w14:val="tx1"/>
            </w14:solidFill>
          </w14:textFill>
        </w:rPr>
      </w:pPr>
      <w:bookmarkStart w:id="94" w:name="_Toc369267126"/>
      <w:bookmarkEnd w:id="94"/>
      <w:bookmarkStart w:id="95" w:name="_Toc29175"/>
      <w:bookmarkStart w:id="96" w:name="_Toc535866177"/>
      <w:bookmarkStart w:id="97" w:name="_Toc5439"/>
      <w:bookmarkStart w:id="98" w:name="_Toc520215412"/>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抚仙湖位于云南省玉溪市境内，居滇中盆地中心，位于昆明市东南60km处，</w:t>
      </w:r>
      <w:r>
        <w:rPr>
          <w:rFonts w:hint="default" w:ascii="Times New Roman" w:hAnsi="Times New Roman" w:cs="Times New Roman" w:eastAsiaTheme="minorEastAsia"/>
          <w:color w:val="000000" w:themeColor="text1"/>
          <w:szCs w:val="28"/>
          <w:highlight w:val="none"/>
          <w14:textFill>
            <w14:solidFill>
              <w14:schemeClr w14:val="tx1"/>
            </w14:solidFill>
          </w14:textFill>
        </w:rPr>
        <w:t>地处长江流域和珠江流域分水岭地带，属南盘江流域西江水系，位于滇中湖群五大湖泊（抚仙湖、星云湖、杞麓湖、阳宗海和滇池）的中心部位，与滇池、杞麓湖、阳宗海的水平距离分别为17km、18km、27km，南部有2.5km长的隔河与星云湖相通。跨澄江、江川和华宁三县，地理位置为东经102°39′~103°00′，北纬24°13′~24°46′。抚仙湖片区不仅位于云南省中部地带，而且也处于昆明、玉溪、曲靖三大城市和个（旧）开（远）蒙（自）城市群的中心，地理区位优势十分明显。</w:t>
      </w:r>
      <w:r>
        <w:rPr>
          <w:rFonts w:hint="default" w:ascii="Times New Roman" w:hAnsi="Times New Roman" w:cs="Times New Roman" w:eastAsiaTheme="minorEastAsia"/>
          <w:bCs/>
          <w:color w:val="000000" w:themeColor="text1"/>
          <w:szCs w:val="28"/>
          <w:highlight w:val="none"/>
          <w14:textFill>
            <w14:solidFill>
              <w14:schemeClr w14:val="tx1"/>
            </w14:solidFill>
          </w14:textFill>
        </w:rPr>
        <w:t>见图2.1.1-1。</w:t>
      </w:r>
    </w:p>
    <w:p>
      <w:pPr>
        <w:pStyle w:val="2"/>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drawing>
          <wp:inline distT="0" distB="0" distL="114300" distR="114300">
            <wp:extent cx="3423920" cy="4627245"/>
            <wp:effectExtent l="0" t="0" r="5080" b="5715"/>
            <wp:docPr id="41" name="图片 41"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descr="图片1"/>
                    <pic:cNvPicPr>
                      <a:picLocks noChangeAspect="true"/>
                    </pic:cNvPicPr>
                  </pic:nvPicPr>
                  <pic:blipFill>
                    <a:blip r:embed="rId16"/>
                    <a:stretch>
                      <a:fillRect/>
                    </a:stretch>
                  </pic:blipFill>
                  <pic:spPr>
                    <a:xfrm>
                      <a:off x="0" y="0"/>
                      <a:ext cx="3423920" cy="4627245"/>
                    </a:xfrm>
                    <a:prstGeom prst="rect">
                      <a:avLst/>
                    </a:prstGeom>
                  </pic:spPr>
                </pic:pic>
              </a:graphicData>
            </a:graphic>
          </wp:inline>
        </w:drawing>
      </w:r>
    </w:p>
    <w:p>
      <w:pPr>
        <w:spacing w:line="520" w:lineRule="exact"/>
        <w:ind w:firstLine="481" w:firstLineChars="200"/>
        <w:jc w:val="center"/>
        <w:rPr>
          <w:rFonts w:hint="default" w:ascii="Times New Roman" w:hAnsi="Times New Roman" w:cs="Times New Roman" w:eastAsiaTheme="minorEastAsia"/>
          <w:b/>
          <w:color w:val="000000" w:themeColor="text1"/>
          <w:szCs w:val="28"/>
          <w:highlight w:val="none"/>
          <w14:textFill>
            <w14:solidFill>
              <w14:schemeClr w14:val="tx1"/>
            </w14:solidFill>
          </w14:textFill>
        </w:rPr>
      </w:pPr>
      <w:r>
        <w:rPr>
          <w:rFonts w:hint="default" w:ascii="Times New Roman" w:hAnsi="Times New Roman" w:cs="Times New Roman" w:eastAsiaTheme="minorEastAsia"/>
          <w:b/>
          <w:color w:val="000000" w:themeColor="text1"/>
          <w:szCs w:val="28"/>
          <w:highlight w:val="none"/>
          <w14:textFill>
            <w14:solidFill>
              <w14:schemeClr w14:val="tx1"/>
            </w14:solidFill>
          </w14:textFill>
        </w:rPr>
        <w:t>图2.1.1-1抚仙湖流域地理位置图</w:t>
      </w: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99" w:name="_Toc25930"/>
      <w:bookmarkStart w:id="100" w:name="_Toc28027"/>
      <w:bookmarkStart w:id="101" w:name="_Toc24339"/>
      <w:bookmarkStart w:id="102" w:name="_Toc18907"/>
      <w:r>
        <w:rPr>
          <w:rFonts w:hint="default" w:ascii="Times New Roman" w:hAnsi="Times New Roman" w:cs="Times New Roman" w:eastAsiaTheme="minorEastAsia"/>
          <w:color w:val="000000" w:themeColor="text1"/>
          <w:highlight w:val="none"/>
          <w14:textFill>
            <w14:solidFill>
              <w14:schemeClr w14:val="tx1"/>
            </w14:solidFill>
          </w14:textFill>
        </w:rPr>
        <w:t>2.1.2地质地貌</w:t>
      </w:r>
      <w:bookmarkEnd w:id="95"/>
      <w:bookmarkEnd w:id="96"/>
      <w:bookmarkEnd w:id="97"/>
      <w:bookmarkEnd w:id="98"/>
      <w:bookmarkEnd w:id="99"/>
      <w:bookmarkEnd w:id="100"/>
      <w:bookmarkEnd w:id="101"/>
      <w:bookmarkEnd w:id="102"/>
    </w:p>
    <w:p>
      <w:pPr>
        <w:widowControl/>
        <w:adjustRightInd w:val="0"/>
        <w:snapToGrid w:val="0"/>
        <w:ind w:firstLine="480" w:firstLineChars="200"/>
        <w:jc w:val="left"/>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bookmarkStart w:id="103" w:name="_Toc369267127"/>
      <w:bookmarkEnd w:id="103"/>
      <w:bookmarkStart w:id="104" w:name="_Toc535866178"/>
      <w:bookmarkStart w:id="105" w:name="_Toc4943"/>
      <w:bookmarkStart w:id="106" w:name="_Toc15874"/>
      <w:bookmarkStart w:id="107" w:name="_Toc520215413"/>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抚仙湖流域属滇中红土高原湖盆区，以高原地貌为主，由于受构造盆地影响，区域内地势周围高、中间低，相对高差大。湖泊东、南、西三面环山，北面与澄江坝子相连，湖面形似葫芦状，南北向发育，中间窄两端宽，北端最宽11.5km，中段最窄为3.2km，平均宽度6.78km。地质构造上，抚仙湖属断陷构造湖盆，按照地质构造和地形的特征及其形成因素，湖区地貌大致分为构造—剥蚀地貌和堆积地貌。小江断裂带自巧家至汤丹和东川附近分成两支，东支经宜良至南盘江，西支则经阳宗海、抚仙湖至通海。抚仙湖湖盆四周出露的地层按岩性主要有三大类：（1）以石灰岩为主的碳酸盐岩。大面积分布于东岸，北、西岸有少量分布，约占湖区岩类面积的60%；（2）以砂岩及页岩为主的碎岩类。分布于北、西岸。面积占岩类面积的40%，多冲沟破箐，岩石易风化，是水土保持的重点地区；（3）玄武岩分布面积约55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。它们分别是震旦系澄江组砂砾岩和灯影组石灰岩、白云岩；寒武系砂页岩；泥盆、石灰系白云岩和灰岩；二叠系玄武岩及白云岩和灰岩，以及侏罗系岩和泥岩等。</w:t>
      </w:r>
    </w:p>
    <w:p>
      <w:pPr>
        <w:widowControl/>
        <w:adjustRightInd w:val="0"/>
        <w:snapToGrid w:val="0"/>
        <w:ind w:firstLine="480" w:firstLineChars="200"/>
        <w:jc w:val="left"/>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抚仙湖东西两岸山势陡峭，呈北东走向，与构造线基本一致。区内最高点为梁王山，海拔高2820m。山脉经东虎山（2628m）、黑汉山（2494m）、谷堆山（2648m）、老君山（2319m）等一系列山由北向南东延伸，形成金沙江水系（滇池）与珠江水系（抚仙湖、星云湖）的分水岭，这些山脉象一道屏障，屹立在抚仙湖西岸。</w:t>
      </w:r>
    </w:p>
    <w:p>
      <w:pPr>
        <w:widowControl/>
        <w:adjustRightInd w:val="0"/>
        <w:snapToGrid w:val="0"/>
        <w:ind w:firstLine="480" w:firstLineChars="200"/>
        <w:jc w:val="left"/>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抚仙湖东岸，由梁王山余脉经献抉饭山（2274m）、东鸡哨（2065m）、老祖右头（2144.2m）、标杆山（2195.1m），过海口河后，再经子弹山（2386m）、阴登山（2381m）、磨豆山（2663.1m）一直由北向南延伸至马鞍山（2469m），这一南北走向的山脉与抚仙湖西岸的分水岭平行，它是抚仙湖东岸的天然屏障，是抚仙湖与南盘江的分水岭。</w:t>
      </w:r>
    </w:p>
    <w:p>
      <w:pPr>
        <w:pStyle w:val="2"/>
        <w:ind w:left="0" w:leftChars="0" w:firstLine="0" w:firstLineChars="0"/>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drawing>
          <wp:inline distT="0" distB="0" distL="114300" distR="114300">
            <wp:extent cx="4164965" cy="5891530"/>
            <wp:effectExtent l="0" t="0" r="10795" b="6350"/>
            <wp:docPr id="43" name="图片 43" descr="图片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descr="图片2"/>
                    <pic:cNvPicPr>
                      <a:picLocks noChangeAspect="true"/>
                    </pic:cNvPicPr>
                  </pic:nvPicPr>
                  <pic:blipFill>
                    <a:blip r:embed="rId17"/>
                    <a:stretch>
                      <a:fillRect/>
                    </a:stretch>
                  </pic:blipFill>
                  <pic:spPr>
                    <a:xfrm>
                      <a:off x="0" y="0"/>
                      <a:ext cx="4164965" cy="5891530"/>
                    </a:xfrm>
                    <a:prstGeom prst="rect">
                      <a:avLst/>
                    </a:prstGeom>
                  </pic:spPr>
                </pic:pic>
              </a:graphicData>
            </a:graphic>
          </wp:inline>
        </w:drawing>
      </w:r>
    </w:p>
    <w:p>
      <w:pPr>
        <w:pStyle w:val="2"/>
        <w:jc w:val="center"/>
        <w:rPr>
          <w:rFonts w:hint="default" w:ascii="Times New Roman" w:hAnsi="Times New Roman" w:cs="Times New Roman" w:eastAsiaTheme="minorEastAsia"/>
          <w:b/>
          <w:color w:val="000000" w:themeColor="text1"/>
          <w:szCs w:val="24"/>
          <w:highlight w:val="none"/>
          <w14:textFill>
            <w14:solidFill>
              <w14:schemeClr w14:val="tx1"/>
            </w14:solidFill>
          </w14:textFill>
        </w:rPr>
      </w:pPr>
      <w:r>
        <w:rPr>
          <w:rFonts w:hint="default" w:ascii="Times New Roman" w:hAnsi="Times New Roman" w:cs="Times New Roman" w:eastAsiaTheme="minorEastAsia"/>
          <w:b/>
          <w:color w:val="000000" w:themeColor="text1"/>
          <w:szCs w:val="24"/>
          <w:highlight w:val="none"/>
          <w14:textFill>
            <w14:solidFill>
              <w14:schemeClr w14:val="tx1"/>
            </w14:solidFill>
          </w14:textFill>
        </w:rPr>
        <w:t>图2.1.2-1抚仙湖流域地形地貌图</w:t>
      </w: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108" w:name="_Toc29997"/>
      <w:bookmarkStart w:id="109" w:name="_Toc31892"/>
      <w:bookmarkStart w:id="110" w:name="_Toc9033"/>
      <w:bookmarkStart w:id="111" w:name="_Toc19617"/>
      <w:r>
        <w:rPr>
          <w:rFonts w:hint="default" w:ascii="Times New Roman" w:hAnsi="Times New Roman" w:cs="Times New Roman" w:eastAsiaTheme="minorEastAsia"/>
          <w:color w:val="000000" w:themeColor="text1"/>
          <w:highlight w:val="none"/>
          <w14:textFill>
            <w14:solidFill>
              <w14:schemeClr w14:val="tx1"/>
            </w14:solidFill>
          </w14:textFill>
        </w:rPr>
        <w:t>2.1.3气候气象</w:t>
      </w:r>
      <w:bookmarkEnd w:id="104"/>
      <w:bookmarkEnd w:id="105"/>
      <w:bookmarkEnd w:id="106"/>
      <w:bookmarkEnd w:id="107"/>
      <w:bookmarkEnd w:id="108"/>
      <w:bookmarkEnd w:id="109"/>
      <w:bookmarkEnd w:id="110"/>
      <w:bookmarkEnd w:id="111"/>
    </w:p>
    <w:p>
      <w:pPr>
        <w:widowControl/>
        <w:adjustRightInd w:val="0"/>
        <w:snapToGrid w:val="0"/>
        <w:ind w:firstLine="480" w:firstLineChars="200"/>
        <w:jc w:val="both"/>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bookmarkStart w:id="112" w:name="_Toc369267128"/>
      <w:bookmarkEnd w:id="112"/>
      <w:bookmarkStart w:id="113" w:name="_Toc520215414"/>
      <w:bookmarkStart w:id="114" w:name="_Toc11277"/>
      <w:bookmarkStart w:id="115" w:name="_Toc535866179"/>
      <w:bookmarkStart w:id="116" w:name="_Toc23084"/>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抚仙湖流域属于亚热带高原季风气候，多年平均气温15.6℃，最高气温32.5℃，最低气温-4.4℃；最冷月为1月，最热月为6月；全年日照总时数2117h，多年平均湿度75%，流域内风向多为南风，多年平均风速2m/s。具有冬无严寒、夏无酷暑</w:t>
      </w:r>
      <w:r>
        <w:rPr>
          <w:rFonts w:hint="default" w:ascii="Times New Roman" w:hAnsi="Times New Roman" w:cs="Times New Roman" w:eastAsiaTheme="minorEastAsia"/>
          <w:color w:val="000000" w:themeColor="text1"/>
          <w:kern w:val="0"/>
          <w:szCs w:val="24"/>
          <w:highlight w:val="none"/>
          <w:lang w:eastAsia="zh-CN"/>
          <w14:textFill>
            <w14:solidFill>
              <w14:schemeClr w14:val="tx1"/>
            </w14:solidFill>
          </w14:textFill>
        </w:rPr>
        <w:t>的优越气候</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干湿分明、雨热同季；气温年较差小、日较差大的特点。干（旱）季（11~4月）主要受印度大陆北部干暖气流的控制，空气干燥，晴天多，云雨少，日照丰富。湿（雨）季（5~10月）主要受来自印度洋和南海海面的西南与东南暖湿气流的影响，天气阴晦，湿度变大，云雨急剧增多，当与南下冷空气相遇后往往形成大量降水。雨季一般开始于5月下旬，结束于10月下旬。5~10月半年降水量约占全年降水量的85%，而最集中的6~8月三个月降水量占了年降水量的55%；12~次年2月三个月降水量仅占年降水量的5%。</w:t>
      </w: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117" w:name="_Toc10685"/>
      <w:bookmarkStart w:id="118" w:name="_Toc13933"/>
      <w:bookmarkStart w:id="119" w:name="_Toc22915"/>
      <w:bookmarkStart w:id="120" w:name="_Toc8981"/>
      <w:r>
        <w:rPr>
          <w:rFonts w:hint="default" w:ascii="Times New Roman" w:hAnsi="Times New Roman" w:cs="Times New Roman" w:eastAsiaTheme="minorEastAsia"/>
          <w:color w:val="000000" w:themeColor="text1"/>
          <w:highlight w:val="none"/>
          <w14:textFill>
            <w14:solidFill>
              <w14:schemeClr w14:val="tx1"/>
            </w14:solidFill>
          </w14:textFill>
        </w:rPr>
        <w:t>2.1.4土壤类型</w:t>
      </w:r>
      <w:bookmarkEnd w:id="113"/>
      <w:bookmarkEnd w:id="114"/>
      <w:bookmarkEnd w:id="115"/>
      <w:bookmarkEnd w:id="116"/>
      <w:bookmarkEnd w:id="117"/>
      <w:bookmarkEnd w:id="118"/>
      <w:bookmarkEnd w:id="119"/>
      <w:bookmarkEnd w:id="120"/>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bookmarkStart w:id="121" w:name="_Toc369267129"/>
      <w:bookmarkEnd w:id="121"/>
      <w:r>
        <w:rPr>
          <w:rFonts w:hint="default" w:ascii="Times New Roman" w:hAnsi="Times New Roman" w:cs="Times New Roman" w:eastAsiaTheme="minorEastAsia"/>
          <w:color w:val="000000" w:themeColor="text1"/>
          <w:highlight w:val="none"/>
          <w14:textFill>
            <w14:solidFill>
              <w14:schemeClr w14:val="tx1"/>
            </w14:solidFill>
          </w14:textFill>
        </w:rPr>
        <w:t>抚仙湖流域的土壤共有5个类型。土壤水平分布变化不明显，</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但</w:t>
      </w:r>
      <w:r>
        <w:rPr>
          <w:rFonts w:hint="default" w:ascii="Times New Roman" w:hAnsi="Times New Roman" w:cs="Times New Roman" w:eastAsiaTheme="minorEastAsia"/>
          <w:color w:val="000000" w:themeColor="text1"/>
          <w:highlight w:val="none"/>
          <w14:textFill>
            <w14:solidFill>
              <w14:schemeClr w14:val="tx1"/>
            </w14:solidFill>
          </w14:textFill>
        </w:rPr>
        <w:t>具有一定的垂直分布规律。</w:t>
      </w:r>
      <w:r>
        <w:rPr>
          <w:rFonts w:hint="default" w:ascii="Times New Roman" w:hAnsi="Times New Roman" w:cs="Times New Roman" w:eastAsiaTheme="minorEastAsia"/>
          <w:bCs/>
          <w:color w:val="000000" w:themeColor="text1"/>
          <w:szCs w:val="28"/>
          <w:highlight w:val="none"/>
          <w14:textFill>
            <w14:solidFill>
              <w14:schemeClr w14:val="tx1"/>
            </w14:solidFill>
          </w14:textFill>
        </w:rPr>
        <w:t>根据《云南植被》的总体规划，流域属“西部半湿润常绿阔叶林亚区域”中的“滇中、滇东高原半湿润常绿阔叶林、云南松林区”。目前流域区的植被以云南松林、华山松林、灌丛、灌草丛等次生植被为主。分布面积最大的是云南松、华山松</w:t>
      </w:r>
      <w:r>
        <w:rPr>
          <w:rFonts w:hint="default" w:ascii="Times New Roman" w:hAnsi="Times New Roman" w:cs="Times New Roman" w:eastAsiaTheme="minorEastAsia"/>
          <w:bCs/>
          <w:color w:val="000000" w:themeColor="text1"/>
          <w:szCs w:val="28"/>
          <w:highlight w:val="none"/>
          <w:lang w:eastAsia="zh-CN"/>
          <w14:textFill>
            <w14:solidFill>
              <w14:schemeClr w14:val="tx1"/>
            </w14:solidFill>
          </w14:textFill>
        </w:rPr>
        <w:t>为主的</w:t>
      </w:r>
      <w:r>
        <w:rPr>
          <w:rFonts w:hint="default" w:ascii="Times New Roman" w:hAnsi="Times New Roman" w:cs="Times New Roman" w:eastAsiaTheme="minorEastAsia"/>
          <w:bCs/>
          <w:color w:val="000000" w:themeColor="text1"/>
          <w:szCs w:val="28"/>
          <w:highlight w:val="none"/>
          <w14:textFill>
            <w14:solidFill>
              <w14:schemeClr w14:val="tx1"/>
            </w14:solidFill>
          </w14:textFill>
        </w:rPr>
        <w:t>针叶林，其次是禾草灌丛及石灰岩灌丛。森林植被垂直分布规律明显，分为暖温性植被、温凉性植被、冷凉性植被三种类型。</w:t>
      </w: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122" w:name="_Toc31763"/>
      <w:bookmarkStart w:id="123" w:name="_Toc13277"/>
      <w:bookmarkStart w:id="124" w:name="_Toc535866180"/>
      <w:bookmarkStart w:id="125" w:name="_Toc7516"/>
      <w:bookmarkStart w:id="126" w:name="_Toc520215415"/>
      <w:bookmarkStart w:id="127" w:name="_Toc19091"/>
      <w:bookmarkStart w:id="128" w:name="_Toc25616"/>
      <w:bookmarkStart w:id="129" w:name="_Toc16373"/>
      <w:r>
        <w:rPr>
          <w:rFonts w:hint="default" w:ascii="Times New Roman" w:hAnsi="Times New Roman" w:cs="Times New Roman" w:eastAsiaTheme="minorEastAsia"/>
          <w:color w:val="000000" w:themeColor="text1"/>
          <w:highlight w:val="none"/>
          <w14:textFill>
            <w14:solidFill>
              <w14:schemeClr w14:val="tx1"/>
            </w14:solidFill>
          </w14:textFill>
        </w:rPr>
        <w:t>2.1.5水文水系</w:t>
      </w:r>
      <w:bookmarkEnd w:id="122"/>
      <w:bookmarkEnd w:id="123"/>
      <w:bookmarkEnd w:id="124"/>
      <w:bookmarkEnd w:id="125"/>
      <w:bookmarkEnd w:id="126"/>
      <w:bookmarkEnd w:id="127"/>
      <w:bookmarkEnd w:id="128"/>
      <w:bookmarkEnd w:id="129"/>
    </w:p>
    <w:p>
      <w:pPr>
        <w:widowControl/>
        <w:adjustRightInd w:val="0"/>
        <w:snapToGrid w:val="0"/>
        <w:ind w:firstLine="480" w:firstLineChars="200"/>
        <w:jc w:val="both"/>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抚仙湖是云南高原抬升过程中形成的断陷型深水湖泊，系珠江源头第一大湖，抚仙湖湖形似葫芦，北宽而深，南窄而浅，中间细长如颈。当湖水位</w:t>
      </w:r>
      <w:r>
        <w:rPr>
          <w:rFonts w:hint="default" w:ascii="Times New Roman" w:hAnsi="Times New Roman" w:cs="Times New Roman" w:eastAsiaTheme="minorEastAsia"/>
          <w:color w:val="000000" w:themeColor="text1"/>
          <w:kern w:val="0"/>
          <w:szCs w:val="24"/>
          <w:highlight w:val="none"/>
          <w:lang w:eastAsia="zh-CN"/>
          <w14:textFill>
            <w14:solidFill>
              <w14:schemeClr w14:val="tx1"/>
            </w14:solidFill>
          </w14:textFill>
        </w:rPr>
        <w:t>达到</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1722.50m时，湖长约31.4km，湖最宽处约11.8km，最大水深158.9m，平均水深95.2m，湖岸线总长100.8km，水面面积216.6km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，相应蓄水量206.2亿m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。抚仙湖是我国水质较好的淡水湖泊之一，蓄水量占九大高原湖泊蓄水总量的68.3%。2016年修订的《云南省抚仙湖保护条例》规定抚仙湖最高蓄水位为1723.35m（1985国家高程基准），最低运行水位为1721.65m。</w:t>
      </w:r>
    </w:p>
    <w:p>
      <w:pPr>
        <w:widowControl/>
        <w:adjustRightInd w:val="0"/>
        <w:snapToGrid w:val="0"/>
        <w:ind w:firstLine="480" w:firstLineChars="200"/>
        <w:jc w:val="both"/>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抚仙湖流域共有大小入湖河渠103条（含季节河、农田排灌沟），其中非农灌沟的河道有60多条，集水面积大于30km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的有2条，为东大河和梁王河，10km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~30km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的有6条，小于10km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的有18条。抚仙湖流域河流普遍短小，最长的梁王河21km，其次是东大河19.9km，其余多在10km以下。抚仙湖纳入河长制管理的河流有44条，分别是抚澄河（马料河）、东大河、代村河、路居河（大鲫鱼河）、隔河、牛摩河、尖山河、山冲河、梁王河、龙溪沟、马房中沟、马房西沟、窑泥沟、大清沟、居乐河、五车大河、矣度河、巴西河、白沙地河、大摆沟、大沟河、地涧沟、东大深沟、独房大沟、高低沟、官井沟、海镜基沟、红沙地河、茴香沟、老仓沟、老李河沟、路歧河、清水沟、沙亥河、世家大河、锁水桥沟、塘子基沟、塘子小河、西大深沟、小湾河、野脚沟、矣马谷大河、矣马谷小河、直沟河。</w:t>
      </w:r>
    </w:p>
    <w:p>
      <w:pPr>
        <w:widowControl/>
        <w:adjustRightInd w:val="0"/>
        <w:snapToGrid w:val="0"/>
        <w:ind w:firstLine="480" w:firstLineChars="200"/>
        <w:jc w:val="both"/>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由于抚仙湖属雨水补给型湖泊，河道径流调节性能很差：多为间歇性河流</w:t>
      </w:r>
      <w:r>
        <w:rPr>
          <w:rFonts w:hint="default" w:ascii="Times New Roman" w:hAnsi="Times New Roman" w:cs="Times New Roman" w:eastAsiaTheme="minorEastAsia"/>
          <w:color w:val="000000" w:themeColor="text1"/>
          <w:kern w:val="0"/>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暴涨暴落</w:t>
      </w:r>
      <w:r>
        <w:rPr>
          <w:rFonts w:hint="default" w:ascii="Times New Roman" w:hAnsi="Times New Roman" w:cs="Times New Roman" w:eastAsiaTheme="minorEastAsia"/>
          <w:color w:val="000000" w:themeColor="text1"/>
          <w:kern w:val="0"/>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汇流时间短</w:t>
      </w:r>
      <w:r>
        <w:rPr>
          <w:rFonts w:hint="default" w:ascii="Times New Roman" w:hAnsi="Times New Roman" w:cs="Times New Roman" w:eastAsiaTheme="minorEastAsia"/>
          <w:color w:val="000000" w:themeColor="text1"/>
          <w:kern w:val="0"/>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并携带大量泥沙入湖。湖岸周围有地下水补给，例如东岸</w:t>
      </w:r>
      <w:r>
        <w:rPr>
          <w:rFonts w:hint="default" w:ascii="Times New Roman" w:hAnsi="Times New Roman" w:cs="Times New Roman" w:eastAsiaTheme="minorEastAsia"/>
          <w:color w:val="000000" w:themeColor="text1"/>
          <w:kern w:val="0"/>
          <w:szCs w:val="24"/>
          <w:highlight w:val="none"/>
          <w:lang w:eastAsia="zh-CN"/>
          <w14:textFill>
            <w14:solidFill>
              <w14:schemeClr w14:val="tx1"/>
            </w14:solidFill>
          </w14:textFill>
        </w:rPr>
        <w:t>的</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老鹰地溶洞、猪嘴山溶洞群</w:t>
      </w:r>
      <w:r>
        <w:rPr>
          <w:rFonts w:hint="default" w:ascii="Times New Roman" w:hAnsi="Times New Roman" w:cs="Times New Roman" w:eastAsiaTheme="minorEastAsia"/>
          <w:color w:val="000000" w:themeColor="text1"/>
          <w:kern w:val="0"/>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大湾、小船尖落水洞、热水塘</w:t>
      </w:r>
      <w:r>
        <w:rPr>
          <w:rFonts w:hint="default" w:ascii="Times New Roman" w:hAnsi="Times New Roman" w:cs="Times New Roman" w:eastAsiaTheme="minorEastAsia"/>
          <w:color w:val="000000" w:themeColor="text1"/>
          <w:kern w:val="0"/>
          <w:szCs w:val="24"/>
          <w:highlight w:val="none"/>
          <w:lang w:eastAsia="zh-CN"/>
          <w14:textFill>
            <w14:solidFill>
              <w14:schemeClr w14:val="tx1"/>
            </w14:solidFill>
          </w14:textFill>
        </w:rPr>
        <w:t>；西岸的</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禄充大洞、甸朵大洞，北岸的西龙潭。海口河是抚仙湖历史上唯一的明河出水口，从海口村起东流约14.5km入南盘江。玉带河（也称隔河），是抚仙湖与星云湖的连接水道，原星云湖水经隔河进入抚仙湖，2008年实施出流改道，星云湖水不再流入抚仙湖。</w:t>
      </w:r>
    </w:p>
    <w:p>
      <w:pPr>
        <w:ind w:firstLine="480" w:firstLineChars="200"/>
        <w:jc w:val="both"/>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径流区饮用水地表水源包括梁王河水库、东大河水库、虎山水库、山冲河水库等。径流区饮用水地表水源一级保护区范围根据澄江市政府的相关批复文件确定。径流区饮用水地下水源保护区主要涉及西龙潭、老母猪龙潭、黑蟆地小石洞、甸垛村等区域。</w:t>
      </w:r>
    </w:p>
    <w:p>
      <w:pPr>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drawing>
          <wp:inline distT="0" distB="0" distL="114300" distR="114300">
            <wp:extent cx="3895090" cy="5506720"/>
            <wp:effectExtent l="0" t="0" r="6350" b="10160"/>
            <wp:docPr id="44" name="图片 44" descr="图片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descr="图片5"/>
                    <pic:cNvPicPr>
                      <a:picLocks noChangeAspect="true"/>
                    </pic:cNvPicPr>
                  </pic:nvPicPr>
                  <pic:blipFill>
                    <a:blip r:embed="rId18"/>
                    <a:stretch>
                      <a:fillRect/>
                    </a:stretch>
                  </pic:blipFill>
                  <pic:spPr>
                    <a:xfrm>
                      <a:off x="0" y="0"/>
                      <a:ext cx="3895090" cy="5506720"/>
                    </a:xfrm>
                    <a:prstGeom prst="rect">
                      <a:avLst/>
                    </a:prstGeom>
                  </pic:spPr>
                </pic:pic>
              </a:graphicData>
            </a:graphic>
          </wp:inline>
        </w:drawing>
      </w:r>
    </w:p>
    <w:p>
      <w:pPr>
        <w:jc w:val="center"/>
        <w:rPr>
          <w:rFonts w:hint="default" w:ascii="Times New Roman" w:hAnsi="Times New Roman" w:cs="Times New Roman" w:eastAsiaTheme="minorEastAsia"/>
          <w:b/>
          <w:bCs/>
          <w:color w:val="000000" w:themeColor="text1"/>
          <w:highlight w:val="none"/>
          <w14:textFill>
            <w14:solidFill>
              <w14:schemeClr w14:val="tx1"/>
            </w14:solidFill>
          </w14:textFill>
        </w:rPr>
      </w:pPr>
      <w:r>
        <w:rPr>
          <w:rFonts w:hint="default" w:ascii="Times New Roman" w:hAnsi="Times New Roman" w:cs="Times New Roman" w:eastAsiaTheme="minorEastAsia"/>
          <w:b/>
          <w:bCs/>
          <w:color w:val="000000" w:themeColor="text1"/>
          <w:highlight w:val="none"/>
          <w14:textFill>
            <w14:solidFill>
              <w14:schemeClr w14:val="tx1"/>
            </w14:solidFill>
          </w14:textFill>
        </w:rPr>
        <w:t>图2.1.5-1抚仙湖主要入湖河流位置图</w:t>
      </w:r>
    </w:p>
    <w:p>
      <w:pPr>
        <w:pStyle w:val="4"/>
        <w:rPr>
          <w:rFonts w:hint="default" w:ascii="Times New Roman" w:hAnsi="Times New Roman" w:cs="Times New Roman" w:eastAsiaTheme="minorEastAsia"/>
          <w:color w:val="000000" w:themeColor="text1"/>
          <w:highlight w:val="none"/>
          <w14:textFill>
            <w14:solidFill>
              <w14:schemeClr w14:val="tx1"/>
            </w14:solidFill>
          </w14:textFill>
        </w:rPr>
      </w:pPr>
      <w:bookmarkStart w:id="130" w:name="_Toc369267131"/>
      <w:bookmarkEnd w:id="130"/>
      <w:bookmarkStart w:id="131" w:name="_Toc520215418"/>
      <w:bookmarkStart w:id="132" w:name="_Toc924"/>
      <w:bookmarkStart w:id="133" w:name="_Toc16128"/>
      <w:bookmarkStart w:id="134" w:name="_Toc535866183"/>
      <w:bookmarkStart w:id="135" w:name="_Toc8211"/>
      <w:r>
        <w:rPr>
          <w:rFonts w:hint="default" w:ascii="Times New Roman" w:hAnsi="Times New Roman" w:cs="Times New Roman" w:eastAsiaTheme="minorEastAsia"/>
          <w:color w:val="000000" w:themeColor="text1"/>
          <w:highlight w:val="none"/>
          <w14:textFill>
            <w14:solidFill>
              <w14:schemeClr w14:val="tx1"/>
            </w14:solidFill>
          </w14:textFill>
        </w:rPr>
        <w:t>2.2社会经济概况</w:t>
      </w:r>
      <w:bookmarkEnd w:id="131"/>
      <w:bookmarkEnd w:id="132"/>
      <w:bookmarkEnd w:id="133"/>
      <w:bookmarkEnd w:id="134"/>
      <w:bookmarkEnd w:id="135"/>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136" w:name="_Toc6841"/>
      <w:bookmarkStart w:id="137" w:name="_Toc16053"/>
      <w:bookmarkStart w:id="138" w:name="_Toc26710"/>
      <w:bookmarkStart w:id="139" w:name="_Toc25370"/>
      <w:bookmarkStart w:id="140" w:name="_Toc520215419"/>
      <w:bookmarkStart w:id="141" w:name="_Toc1786"/>
      <w:bookmarkStart w:id="142" w:name="_Toc535866184"/>
      <w:bookmarkStart w:id="143" w:name="_Toc25978"/>
      <w:r>
        <w:rPr>
          <w:rFonts w:hint="default" w:ascii="Times New Roman" w:hAnsi="Times New Roman" w:cs="Times New Roman" w:eastAsiaTheme="minorEastAsia"/>
          <w:color w:val="000000" w:themeColor="text1"/>
          <w:highlight w:val="none"/>
          <w14:textFill>
            <w14:solidFill>
              <w14:schemeClr w14:val="tx1"/>
            </w14:solidFill>
          </w14:textFill>
        </w:rPr>
        <w:t>2.2.1行政区划及人口</w:t>
      </w:r>
      <w:bookmarkEnd w:id="136"/>
      <w:bookmarkEnd w:id="137"/>
      <w:bookmarkEnd w:id="138"/>
      <w:bookmarkEnd w:id="139"/>
      <w:bookmarkEnd w:id="140"/>
      <w:bookmarkEnd w:id="141"/>
      <w:bookmarkEnd w:id="142"/>
      <w:bookmarkEnd w:id="143"/>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抚仙湖流域面积674.69km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，涉及澄江市6个街道（乡镇）凤麓街道、龙街街道、右所镇、九村镇、海口、路居镇，</w:t>
      </w:r>
      <w:r>
        <w:rPr>
          <w:rFonts w:hint="default" w:ascii="Times New Roman" w:hAnsi="Times New Roman" w:cs="Times New Roman" w:eastAsiaTheme="minorEastAsia"/>
          <w:color w:val="000000" w:themeColor="text1"/>
          <w:szCs w:val="28"/>
          <w:highlight w:val="none"/>
          <w14:textFill>
            <w14:solidFill>
              <w14:schemeClr w14:val="tx1"/>
            </w14:solidFill>
          </w14:textFill>
        </w:rPr>
        <w:t>总计44个行政村或社区，255个自然村</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w:t>
      </w:r>
    </w:p>
    <w:p>
      <w:pPr>
        <w:spacing w:before="156" w:beforeLines="50" w:after="156" w:afterLines="50"/>
        <w:jc w:val="center"/>
        <w:rPr>
          <w:rFonts w:hint="default" w:ascii="Times New Roman" w:hAnsi="Times New Roman" w:cs="Times New Roman" w:eastAsiaTheme="minorEastAsia"/>
          <w:b/>
          <w:color w:val="000000" w:themeColor="text1"/>
          <w:szCs w:val="24"/>
          <w:highlight w:val="none"/>
          <w14:textFill>
            <w14:solidFill>
              <w14:schemeClr w14:val="tx1"/>
            </w14:solidFill>
          </w14:textFill>
        </w:rPr>
      </w:pPr>
    </w:p>
    <w:p>
      <w:pPr>
        <w:spacing w:before="156" w:beforeLines="50" w:after="156" w:afterLines="50"/>
        <w:jc w:val="center"/>
        <w:rPr>
          <w:rFonts w:hint="default" w:ascii="Times New Roman" w:hAnsi="Times New Roman" w:cs="Times New Roman" w:eastAsiaTheme="minorEastAsia"/>
          <w:b/>
          <w:color w:val="000000" w:themeColor="text1"/>
          <w:szCs w:val="24"/>
          <w:highlight w:val="none"/>
          <w14:textFill>
            <w14:solidFill>
              <w14:schemeClr w14:val="tx1"/>
            </w14:solidFill>
          </w14:textFill>
        </w:rPr>
      </w:pPr>
    </w:p>
    <w:p>
      <w:pPr>
        <w:spacing w:before="156" w:beforeLines="50" w:after="156" w:afterLines="50"/>
        <w:jc w:val="center"/>
        <w:rPr>
          <w:rFonts w:hint="default" w:ascii="Times New Roman" w:hAnsi="Times New Roman" w:cs="Times New Roman" w:eastAsiaTheme="minorEastAsia"/>
          <w:b/>
          <w:color w:val="000000" w:themeColor="text1"/>
          <w:szCs w:val="24"/>
          <w:highlight w:val="none"/>
          <w14:textFill>
            <w14:solidFill>
              <w14:schemeClr w14:val="tx1"/>
            </w14:solidFill>
          </w14:textFill>
        </w:rPr>
      </w:pPr>
    </w:p>
    <w:p>
      <w:pPr>
        <w:spacing w:before="156" w:beforeLines="50" w:after="156" w:afterLines="50"/>
        <w:jc w:val="center"/>
        <w:rPr>
          <w:rFonts w:hint="default" w:ascii="Times New Roman" w:hAnsi="Times New Roman" w:cs="Times New Roman" w:eastAsiaTheme="minorEastAsia"/>
          <w:b/>
          <w:color w:val="000000" w:themeColor="text1"/>
          <w:szCs w:val="24"/>
          <w:highlight w:val="none"/>
          <w14:textFill>
            <w14:solidFill>
              <w14:schemeClr w14:val="tx1"/>
            </w14:solidFill>
          </w14:textFill>
        </w:rPr>
      </w:pPr>
      <w:r>
        <w:rPr>
          <w:rFonts w:hint="default" w:ascii="Times New Roman" w:hAnsi="Times New Roman" w:cs="Times New Roman" w:eastAsiaTheme="minorEastAsia"/>
          <w:b/>
          <w:color w:val="000000" w:themeColor="text1"/>
          <w:szCs w:val="24"/>
          <w:highlight w:val="none"/>
          <w14:textFill>
            <w14:solidFill>
              <w14:schemeClr w14:val="tx1"/>
            </w14:solidFill>
          </w14:textFill>
        </w:rPr>
        <w:t>表2.2.1-1抚仙湖流域行政区划表</w:t>
      </w:r>
    </w:p>
    <w:tbl>
      <w:tblPr>
        <w:tblStyle w:val="17"/>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421"/>
        <w:gridCol w:w="1421"/>
        <w:gridCol w:w="4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t>流域</w:t>
            </w:r>
          </w:p>
        </w:tc>
        <w:tc>
          <w:tcPr>
            <w:tcW w:w="142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t>属地</w:t>
            </w:r>
          </w:p>
        </w:tc>
        <w:tc>
          <w:tcPr>
            <w:tcW w:w="142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t>所包含乡镇</w:t>
            </w:r>
          </w:p>
        </w:tc>
        <w:tc>
          <w:tcPr>
            <w:tcW w:w="48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t>所包含行政村或社区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5" w:type="dxa"/>
            <w:vMerge w:val="restart"/>
            <w:tcBorders>
              <w:top w:val="single" w:color="auto" w:sz="4" w:space="0"/>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抚</w:t>
            </w:r>
          </w:p>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仙</w:t>
            </w:r>
          </w:p>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湖</w:t>
            </w:r>
          </w:p>
        </w:tc>
        <w:tc>
          <w:tcPr>
            <w:tcW w:w="1421" w:type="dxa"/>
            <w:vMerge w:val="restart"/>
            <w:tcBorders>
              <w:top w:val="single" w:color="auto" w:sz="4" w:space="0"/>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澄江市</w:t>
            </w:r>
          </w:p>
        </w:tc>
        <w:tc>
          <w:tcPr>
            <w:tcW w:w="142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路居镇</w:t>
            </w:r>
          </w:p>
        </w:tc>
        <w:tc>
          <w:tcPr>
            <w:tcW w:w="48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上坝村、中坝村、下坝村、红石岩村、小凹村、三百亩村、明星村、牛摩村、孤山村、海门村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805" w:type="dxa"/>
            <w:vMerge w:val="continue"/>
            <w:tcBorders>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c>
          <w:tcPr>
            <w:tcW w:w="1421" w:type="dxa"/>
            <w:vMerge w:val="continue"/>
            <w:tcBorders>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c>
          <w:tcPr>
            <w:tcW w:w="142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凤麓街道</w:t>
            </w:r>
          </w:p>
        </w:tc>
        <w:tc>
          <w:tcPr>
            <w:tcW w:w="48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拥晖社区、澄波社区、揽秀社区、仪凤社区、溪泉社区、鼎新社区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5" w:type="dxa"/>
            <w:vMerge w:val="continue"/>
            <w:tcBorders>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c>
          <w:tcPr>
            <w:tcW w:w="1421" w:type="dxa"/>
            <w:vMerge w:val="continue"/>
            <w:tcBorders>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c>
          <w:tcPr>
            <w:tcW w:w="142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龙街街道</w:t>
            </w:r>
          </w:p>
        </w:tc>
        <w:tc>
          <w:tcPr>
            <w:tcW w:w="48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龙街村、万海村、广龙村、尖山村、养白牛村、立昌村、双树村、左所村、高西村、华光村、忠窑村、梁王村、提古村、禄充村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5" w:type="dxa"/>
            <w:vMerge w:val="continue"/>
            <w:tcBorders>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c>
          <w:tcPr>
            <w:tcW w:w="1421" w:type="dxa"/>
            <w:vMerge w:val="continue"/>
            <w:tcBorders>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c>
          <w:tcPr>
            <w:tcW w:w="142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右所镇</w:t>
            </w:r>
          </w:p>
        </w:tc>
        <w:tc>
          <w:tcPr>
            <w:tcW w:w="48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小西村、右所村、旧城村、吉花村、矣旧村、小湾村、补益村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5" w:type="dxa"/>
            <w:vMerge w:val="continue"/>
            <w:tcBorders>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c>
          <w:tcPr>
            <w:tcW w:w="1421" w:type="dxa"/>
            <w:vMerge w:val="continue"/>
            <w:tcBorders>
              <w:left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c>
          <w:tcPr>
            <w:tcW w:w="142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海口镇</w:t>
            </w:r>
          </w:p>
        </w:tc>
        <w:tc>
          <w:tcPr>
            <w:tcW w:w="48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海口村、新村、松园、海关村、海镜村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805" w:type="dxa"/>
            <w:vMerge w:val="continue"/>
            <w:tcBorders>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c>
          <w:tcPr>
            <w:tcW w:w="1421" w:type="dxa"/>
            <w:vMerge w:val="continue"/>
            <w:tcBorders>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c>
          <w:tcPr>
            <w:tcW w:w="142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九村镇</w:t>
            </w:r>
          </w:p>
        </w:tc>
        <w:tc>
          <w:tcPr>
            <w:tcW w:w="485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龙潭村、东山村</w:t>
            </w:r>
          </w:p>
        </w:tc>
      </w:tr>
    </w:tbl>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144" w:name="_Toc421009428"/>
      <w:bookmarkEnd w:id="144"/>
      <w:bookmarkStart w:id="145" w:name="_Toc326853637"/>
      <w:bookmarkEnd w:id="145"/>
      <w:bookmarkStart w:id="146" w:name="_Toc326849936"/>
      <w:bookmarkEnd w:id="146"/>
      <w:bookmarkStart w:id="147" w:name="_Toc466369294"/>
      <w:bookmarkEnd w:id="147"/>
      <w:bookmarkStart w:id="148" w:name="_Toc31198"/>
      <w:bookmarkStart w:id="149" w:name="_Toc520215420"/>
      <w:bookmarkStart w:id="150" w:name="_Toc10711"/>
      <w:bookmarkStart w:id="151" w:name="_Toc535866185"/>
      <w:bookmarkStart w:id="152" w:name="_Toc9072"/>
      <w:bookmarkStart w:id="153" w:name="_Toc13442"/>
      <w:bookmarkStart w:id="154" w:name="_Toc27504"/>
      <w:bookmarkStart w:id="155" w:name="_Toc21708"/>
      <w:r>
        <w:rPr>
          <w:rFonts w:hint="default" w:ascii="Times New Roman" w:hAnsi="Times New Roman" w:cs="Times New Roman" w:eastAsiaTheme="minorEastAsia"/>
          <w:color w:val="000000" w:themeColor="text1"/>
          <w:highlight w:val="none"/>
          <w14:textFill>
            <w14:solidFill>
              <w14:schemeClr w14:val="tx1"/>
            </w14:solidFill>
          </w14:textFill>
        </w:rPr>
        <w:t>2.2.2人口分布</w:t>
      </w:r>
      <w:bookmarkEnd w:id="148"/>
      <w:bookmarkEnd w:id="149"/>
      <w:bookmarkEnd w:id="150"/>
      <w:bookmarkEnd w:id="151"/>
      <w:bookmarkEnd w:id="152"/>
      <w:bookmarkEnd w:id="153"/>
      <w:bookmarkEnd w:id="154"/>
      <w:bookmarkEnd w:id="155"/>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szCs w:val="28"/>
          <w:highlight w:val="none"/>
          <w14:textFill>
            <w14:solidFill>
              <w14:schemeClr w14:val="tx1"/>
            </w14:solidFill>
          </w14:textFill>
        </w:rPr>
        <w:t>抚仙湖流域内2020年末总人口182109人，农村人口128078人，城镇人口54031人。详见表2.2.2-1。</w:t>
      </w:r>
    </w:p>
    <w:p>
      <w:pPr>
        <w:spacing w:before="156" w:beforeLines="50" w:after="156" w:afterLines="50"/>
        <w:jc w:val="center"/>
        <w:rPr>
          <w:rFonts w:hint="default" w:ascii="Times New Roman" w:hAnsi="Times New Roman" w:cs="Times New Roman" w:eastAsiaTheme="minorEastAsia"/>
          <w:b/>
          <w:color w:val="000000" w:themeColor="text1"/>
          <w:szCs w:val="24"/>
          <w:highlight w:val="none"/>
          <w14:textFill>
            <w14:solidFill>
              <w14:schemeClr w14:val="tx1"/>
            </w14:solidFill>
          </w14:textFill>
        </w:rPr>
      </w:pPr>
      <w:r>
        <w:rPr>
          <w:rFonts w:hint="default" w:ascii="Times New Roman" w:hAnsi="Times New Roman" w:cs="Times New Roman" w:eastAsiaTheme="minorEastAsia"/>
          <w:b/>
          <w:color w:val="000000" w:themeColor="text1"/>
          <w:szCs w:val="24"/>
          <w:highlight w:val="none"/>
          <w14:textFill>
            <w14:solidFill>
              <w14:schemeClr w14:val="tx1"/>
            </w14:solidFill>
          </w14:textFill>
        </w:rPr>
        <w:t>表2.2.2-1抚仙湖流域人口统计表单位：人</w:t>
      </w:r>
    </w:p>
    <w:tbl>
      <w:tblPr>
        <w:tblStyle w:val="17"/>
        <w:tblW w:w="8865"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1782"/>
        <w:gridCol w:w="1775"/>
        <w:gridCol w:w="1775"/>
        <w:gridCol w:w="1771"/>
        <w:gridCol w:w="1762"/>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30" w:hRule="atLeast"/>
        </w:trPr>
        <w:tc>
          <w:tcPr>
            <w:tcW w:w="1782" w:type="dxa"/>
            <w:vMerge w:val="restart"/>
            <w:tcBorders>
              <w:left w:val="single" w:color="auto" w:sz="4" w:space="0"/>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Cs w:val="24"/>
                <w:highlight w:val="none"/>
                <w14:textFill>
                  <w14:solidFill>
                    <w14:schemeClr w14:val="tx1"/>
                  </w14:solidFill>
                </w14:textFill>
              </w:rPr>
            </w:pPr>
            <w:r>
              <w:rPr>
                <w:rFonts w:hint="default" w:ascii="Times New Roman" w:hAnsi="Times New Roman" w:cs="Times New Roman" w:eastAsiaTheme="minorEastAsia"/>
                <w:b/>
                <w:color w:val="000000" w:themeColor="text1"/>
                <w:kern w:val="0"/>
                <w:szCs w:val="24"/>
                <w:highlight w:val="none"/>
                <w:lang w:bidi="ar"/>
                <w14:textFill>
                  <w14:solidFill>
                    <w14:schemeClr w14:val="tx1"/>
                  </w14:solidFill>
                </w14:textFill>
              </w:rPr>
              <w:t>镇（街道）</w:t>
            </w:r>
          </w:p>
        </w:tc>
        <w:tc>
          <w:tcPr>
            <w:tcW w:w="1775" w:type="dxa"/>
            <w:tcBorders>
              <w:left w:val="nil"/>
              <w:bottom w:val="nil"/>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Cs w:val="24"/>
                <w:highlight w:val="none"/>
                <w14:textFill>
                  <w14:solidFill>
                    <w14:schemeClr w14:val="tx1"/>
                  </w14:solidFill>
                </w14:textFill>
              </w:rPr>
            </w:pPr>
            <w:r>
              <w:rPr>
                <w:rFonts w:hint="default" w:ascii="Times New Roman" w:hAnsi="Times New Roman" w:cs="Times New Roman" w:eastAsiaTheme="minorEastAsia"/>
                <w:b/>
                <w:color w:val="000000" w:themeColor="text1"/>
                <w:kern w:val="0"/>
                <w:szCs w:val="24"/>
                <w:highlight w:val="none"/>
                <w:lang w:bidi="ar"/>
                <w14:textFill>
                  <w14:solidFill>
                    <w14:schemeClr w14:val="tx1"/>
                  </w14:solidFill>
                </w14:textFill>
              </w:rPr>
              <w:t>村委会</w:t>
            </w:r>
          </w:p>
        </w:tc>
        <w:tc>
          <w:tcPr>
            <w:tcW w:w="1775" w:type="dxa"/>
            <w:vMerge w:val="restart"/>
            <w:tcBorders>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Cs w:val="24"/>
                <w:highlight w:val="none"/>
                <w14:textFill>
                  <w14:solidFill>
                    <w14:schemeClr w14:val="tx1"/>
                  </w14:solidFill>
                </w14:textFill>
              </w:rPr>
            </w:pPr>
            <w:r>
              <w:rPr>
                <w:rFonts w:hint="default" w:ascii="Times New Roman" w:hAnsi="Times New Roman" w:cs="Times New Roman" w:eastAsiaTheme="minorEastAsia"/>
                <w:b/>
                <w:color w:val="000000" w:themeColor="text1"/>
                <w:kern w:val="0"/>
                <w:szCs w:val="24"/>
                <w:highlight w:val="none"/>
                <w:lang w:bidi="ar"/>
                <w14:textFill>
                  <w14:solidFill>
                    <w14:schemeClr w14:val="tx1"/>
                  </w14:solidFill>
                </w14:textFill>
              </w:rPr>
              <w:t>人口总数</w:t>
            </w:r>
          </w:p>
        </w:tc>
        <w:tc>
          <w:tcPr>
            <w:tcW w:w="1771" w:type="dxa"/>
            <w:tcBorders>
              <w:left w:val="nil"/>
              <w:bottom w:val="nil"/>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Cs w:val="24"/>
                <w:highlight w:val="none"/>
                <w14:textFill>
                  <w14:solidFill>
                    <w14:schemeClr w14:val="tx1"/>
                  </w14:solidFill>
                </w14:textFill>
              </w:rPr>
            </w:pPr>
            <w:r>
              <w:rPr>
                <w:rFonts w:hint="default" w:ascii="Times New Roman" w:hAnsi="Times New Roman" w:cs="Times New Roman" w:eastAsiaTheme="minorEastAsia"/>
                <w:b/>
                <w:color w:val="000000" w:themeColor="text1"/>
                <w:kern w:val="0"/>
                <w:szCs w:val="24"/>
                <w:highlight w:val="none"/>
                <w:lang w:bidi="ar"/>
                <w14:textFill>
                  <w14:solidFill>
                    <w14:schemeClr w14:val="tx1"/>
                  </w14:solidFill>
                </w14:textFill>
              </w:rPr>
              <w:t>农村</w:t>
            </w:r>
          </w:p>
        </w:tc>
        <w:tc>
          <w:tcPr>
            <w:tcW w:w="1762" w:type="dxa"/>
            <w:vMerge w:val="restart"/>
            <w:tcBorders>
              <w:left w:val="nil"/>
              <w:bottom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Cs w:val="24"/>
                <w:highlight w:val="none"/>
                <w14:textFill>
                  <w14:solidFill>
                    <w14:schemeClr w14:val="tx1"/>
                  </w14:solidFill>
                </w14:textFill>
              </w:rPr>
            </w:pPr>
            <w:r>
              <w:rPr>
                <w:rFonts w:hint="default" w:ascii="Times New Roman" w:hAnsi="Times New Roman" w:cs="Times New Roman" w:eastAsiaTheme="minorEastAsia"/>
                <w:b/>
                <w:color w:val="000000" w:themeColor="text1"/>
                <w:kern w:val="0"/>
                <w:szCs w:val="24"/>
                <w:highlight w:val="none"/>
                <w:lang w:bidi="ar"/>
                <w14:textFill>
                  <w14:solidFill>
                    <w14:schemeClr w14:val="tx1"/>
                  </w14:solidFill>
                </w14:textFill>
              </w:rPr>
              <w:t>城镇人口数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5" w:hRule="atLeast"/>
        </w:trPr>
        <w:tc>
          <w:tcPr>
            <w:tcW w:w="1782" w:type="dxa"/>
            <w:vMerge w:val="continue"/>
            <w:tcBorders>
              <w:top w:val="single" w:color="000000" w:sz="8" w:space="0"/>
              <w:left w:val="single" w:color="auto" w:sz="4" w:space="0"/>
              <w:bottom w:val="single" w:color="000000" w:sz="8" w:space="0"/>
              <w:right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b/>
                <w:color w:val="000000" w:themeColor="text1"/>
                <w:szCs w:val="24"/>
                <w:highlight w:val="none"/>
                <w14:textFill>
                  <w14:solidFill>
                    <w14:schemeClr w14:val="tx1"/>
                  </w14:solidFill>
                </w14:textFill>
              </w:rPr>
            </w:pPr>
          </w:p>
        </w:tc>
        <w:tc>
          <w:tcPr>
            <w:tcW w:w="1775"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Cs w:val="24"/>
                <w:highlight w:val="none"/>
                <w14:textFill>
                  <w14:solidFill>
                    <w14:schemeClr w14:val="tx1"/>
                  </w14:solidFill>
                </w14:textFill>
              </w:rPr>
            </w:pPr>
            <w:r>
              <w:rPr>
                <w:rFonts w:hint="default" w:ascii="Times New Roman" w:hAnsi="Times New Roman" w:cs="Times New Roman" w:eastAsiaTheme="minorEastAsia"/>
                <w:b/>
                <w:color w:val="000000" w:themeColor="text1"/>
                <w:kern w:val="0"/>
                <w:szCs w:val="24"/>
                <w:highlight w:val="none"/>
                <w:lang w:bidi="ar"/>
                <w14:textFill>
                  <w14:solidFill>
                    <w14:schemeClr w14:val="tx1"/>
                  </w14:solidFill>
                </w14:textFill>
              </w:rPr>
              <w:t>个数</w:t>
            </w:r>
          </w:p>
        </w:tc>
        <w:tc>
          <w:tcPr>
            <w:tcW w:w="1775" w:type="dxa"/>
            <w:vMerge w:val="continue"/>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b/>
                <w:color w:val="000000" w:themeColor="text1"/>
                <w:szCs w:val="24"/>
                <w:highlight w:val="none"/>
                <w14:textFill>
                  <w14:solidFill>
                    <w14:schemeClr w14:val="tx1"/>
                  </w14:solidFill>
                </w14:textFill>
              </w:rPr>
            </w:pPr>
          </w:p>
        </w:tc>
        <w:tc>
          <w:tcPr>
            <w:tcW w:w="1771"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Cs w:val="24"/>
                <w:highlight w:val="none"/>
                <w14:textFill>
                  <w14:solidFill>
                    <w14:schemeClr w14:val="tx1"/>
                  </w14:solidFill>
                </w14:textFill>
              </w:rPr>
            </w:pPr>
            <w:r>
              <w:rPr>
                <w:rFonts w:hint="default" w:ascii="Times New Roman" w:hAnsi="Times New Roman" w:cs="Times New Roman" w:eastAsiaTheme="minorEastAsia"/>
                <w:b/>
                <w:color w:val="000000" w:themeColor="text1"/>
                <w:kern w:val="0"/>
                <w:szCs w:val="24"/>
                <w:highlight w:val="none"/>
                <w:lang w:bidi="ar"/>
                <w14:textFill>
                  <w14:solidFill>
                    <w14:schemeClr w14:val="tx1"/>
                  </w14:solidFill>
                </w14:textFill>
              </w:rPr>
              <w:t>人口数</w:t>
            </w:r>
          </w:p>
        </w:tc>
        <w:tc>
          <w:tcPr>
            <w:tcW w:w="1762" w:type="dxa"/>
            <w:vMerge w:val="continue"/>
            <w:tcBorders>
              <w:top w:val="single" w:color="000000" w:sz="8" w:space="0"/>
              <w:left w:val="nil"/>
              <w:bottom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b/>
                <w:color w:val="000000" w:themeColor="text1"/>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5" w:hRule="atLeast"/>
        </w:trPr>
        <w:tc>
          <w:tcPr>
            <w:tcW w:w="1782" w:type="dxa"/>
            <w:tcBorders>
              <w:top w:val="nil"/>
              <w:left w:val="single" w:color="auto" w:sz="4" w:space="0"/>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凤麓街道</w:t>
            </w:r>
          </w:p>
        </w:tc>
        <w:tc>
          <w:tcPr>
            <w:tcW w:w="1775"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6</w:t>
            </w:r>
          </w:p>
        </w:tc>
        <w:tc>
          <w:tcPr>
            <w:tcW w:w="1775" w:type="dxa"/>
            <w:tcBorders>
              <w:top w:val="nil"/>
              <w:left w:val="nil"/>
              <w:bottom w:val="single" w:color="000000" w:sz="8" w:space="0"/>
              <w:right w:val="single" w:color="000000" w:sz="8" w:space="0"/>
            </w:tcBorders>
            <w:shd w:val="clear" w:color="auto" w:fill="auto"/>
            <w:tcMar>
              <w:top w:w="10" w:type="dxa"/>
              <w:left w:w="10" w:type="dxa"/>
              <w:right w:w="10" w:type="dxa"/>
            </w:tcMar>
          </w:tcPr>
          <w:p>
            <w:pPr>
              <w:jc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21984</w:t>
            </w:r>
          </w:p>
        </w:tc>
        <w:tc>
          <w:tcPr>
            <w:tcW w:w="1771" w:type="dxa"/>
            <w:tcBorders>
              <w:top w:val="nil"/>
              <w:left w:val="nil"/>
              <w:bottom w:val="single" w:color="000000" w:sz="8" w:space="0"/>
              <w:right w:val="single" w:color="000000" w:sz="8" w:space="0"/>
            </w:tcBorders>
            <w:shd w:val="clear" w:color="auto" w:fill="auto"/>
            <w:tcMar>
              <w:top w:w="10" w:type="dxa"/>
              <w:left w:w="10" w:type="dxa"/>
              <w:right w:w="10" w:type="dxa"/>
            </w:tcMar>
          </w:tcPr>
          <w:p>
            <w:pPr>
              <w:jc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0</w:t>
            </w:r>
          </w:p>
        </w:tc>
        <w:tc>
          <w:tcPr>
            <w:tcW w:w="1762" w:type="dxa"/>
            <w:tcBorders>
              <w:top w:val="nil"/>
              <w:left w:val="nil"/>
              <w:bottom w:val="single" w:color="000000" w:sz="8" w:space="0"/>
            </w:tcBorders>
            <w:shd w:val="clear" w:color="auto" w:fill="auto"/>
            <w:tcMar>
              <w:top w:w="10" w:type="dxa"/>
              <w:left w:w="10" w:type="dxa"/>
              <w:right w:w="10" w:type="dxa"/>
            </w:tcMar>
          </w:tcPr>
          <w:p>
            <w:pPr>
              <w:jc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21984</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5" w:hRule="atLeast"/>
        </w:trPr>
        <w:tc>
          <w:tcPr>
            <w:tcW w:w="1782" w:type="dxa"/>
            <w:tcBorders>
              <w:top w:val="nil"/>
              <w:left w:val="single" w:color="auto" w:sz="4" w:space="0"/>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龙街街道</w:t>
            </w:r>
          </w:p>
        </w:tc>
        <w:tc>
          <w:tcPr>
            <w:tcW w:w="1775"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14</w:t>
            </w:r>
          </w:p>
        </w:tc>
        <w:tc>
          <w:tcPr>
            <w:tcW w:w="1775" w:type="dxa"/>
            <w:tcBorders>
              <w:top w:val="nil"/>
              <w:left w:val="nil"/>
              <w:bottom w:val="single" w:color="000000" w:sz="8" w:space="0"/>
              <w:right w:val="single" w:color="000000" w:sz="8" w:space="0"/>
            </w:tcBorders>
            <w:shd w:val="clear" w:color="auto" w:fill="auto"/>
            <w:tcMar>
              <w:top w:w="10" w:type="dxa"/>
              <w:left w:w="10" w:type="dxa"/>
              <w:right w:w="10" w:type="dxa"/>
            </w:tcMar>
          </w:tcPr>
          <w:p>
            <w:pPr>
              <w:jc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61039</w:t>
            </w:r>
          </w:p>
        </w:tc>
        <w:tc>
          <w:tcPr>
            <w:tcW w:w="1771" w:type="dxa"/>
            <w:tcBorders>
              <w:top w:val="nil"/>
              <w:left w:val="nil"/>
              <w:bottom w:val="single" w:color="000000" w:sz="8" w:space="0"/>
              <w:right w:val="single" w:color="000000" w:sz="8" w:space="0"/>
            </w:tcBorders>
            <w:shd w:val="clear" w:color="auto" w:fill="auto"/>
            <w:tcMar>
              <w:top w:w="10" w:type="dxa"/>
              <w:left w:w="10" w:type="dxa"/>
              <w:right w:w="10" w:type="dxa"/>
            </w:tcMar>
          </w:tcPr>
          <w:p>
            <w:pPr>
              <w:jc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45331</w:t>
            </w:r>
          </w:p>
        </w:tc>
        <w:tc>
          <w:tcPr>
            <w:tcW w:w="1762" w:type="dxa"/>
            <w:tcBorders>
              <w:top w:val="nil"/>
              <w:left w:val="nil"/>
              <w:bottom w:val="single" w:color="000000" w:sz="8" w:space="0"/>
            </w:tcBorders>
            <w:shd w:val="clear" w:color="auto" w:fill="auto"/>
            <w:tcMar>
              <w:top w:w="10" w:type="dxa"/>
              <w:left w:w="10" w:type="dxa"/>
              <w:right w:w="10" w:type="dxa"/>
            </w:tcMar>
          </w:tcPr>
          <w:p>
            <w:pPr>
              <w:jc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15708</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5" w:hRule="atLeast"/>
        </w:trPr>
        <w:tc>
          <w:tcPr>
            <w:tcW w:w="1782" w:type="dxa"/>
            <w:tcBorders>
              <w:top w:val="nil"/>
              <w:left w:val="single" w:color="auto" w:sz="4" w:space="0"/>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右所镇</w:t>
            </w:r>
          </w:p>
        </w:tc>
        <w:tc>
          <w:tcPr>
            <w:tcW w:w="1775"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7</w:t>
            </w:r>
          </w:p>
        </w:tc>
        <w:tc>
          <w:tcPr>
            <w:tcW w:w="1775" w:type="dxa"/>
            <w:tcBorders>
              <w:top w:val="nil"/>
              <w:left w:val="nil"/>
              <w:bottom w:val="single" w:color="000000" w:sz="8" w:space="0"/>
              <w:right w:val="single" w:color="000000" w:sz="8" w:space="0"/>
            </w:tcBorders>
            <w:shd w:val="clear" w:color="auto" w:fill="auto"/>
            <w:tcMar>
              <w:top w:w="10" w:type="dxa"/>
              <w:left w:w="10" w:type="dxa"/>
              <w:right w:w="10" w:type="dxa"/>
            </w:tcMar>
          </w:tcPr>
          <w:p>
            <w:pPr>
              <w:jc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40618</w:t>
            </w:r>
          </w:p>
        </w:tc>
        <w:tc>
          <w:tcPr>
            <w:tcW w:w="1771" w:type="dxa"/>
            <w:tcBorders>
              <w:top w:val="nil"/>
              <w:left w:val="nil"/>
              <w:bottom w:val="single" w:color="000000" w:sz="8" w:space="0"/>
              <w:right w:val="single" w:color="000000" w:sz="8" w:space="0"/>
            </w:tcBorders>
            <w:shd w:val="clear" w:color="auto" w:fill="auto"/>
            <w:tcMar>
              <w:top w:w="10" w:type="dxa"/>
              <w:left w:w="10" w:type="dxa"/>
              <w:right w:w="10" w:type="dxa"/>
            </w:tcMar>
          </w:tcPr>
          <w:p>
            <w:pPr>
              <w:jc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29568</w:t>
            </w:r>
          </w:p>
        </w:tc>
        <w:tc>
          <w:tcPr>
            <w:tcW w:w="1762" w:type="dxa"/>
            <w:tcBorders>
              <w:top w:val="nil"/>
              <w:left w:val="nil"/>
              <w:bottom w:val="single" w:color="000000" w:sz="8" w:space="0"/>
            </w:tcBorders>
            <w:shd w:val="clear" w:color="auto" w:fill="auto"/>
            <w:tcMar>
              <w:top w:w="10" w:type="dxa"/>
              <w:left w:w="10" w:type="dxa"/>
              <w:right w:w="10" w:type="dxa"/>
            </w:tcMar>
          </w:tcPr>
          <w:p>
            <w:pPr>
              <w:jc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11050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30" w:hRule="atLeast"/>
        </w:trPr>
        <w:tc>
          <w:tcPr>
            <w:tcW w:w="1782" w:type="dxa"/>
            <w:tcBorders>
              <w:top w:val="nil"/>
              <w:left w:val="single" w:color="auto" w:sz="4" w:space="0"/>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海口镇</w:t>
            </w:r>
          </w:p>
        </w:tc>
        <w:tc>
          <w:tcPr>
            <w:tcW w:w="1775"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5</w:t>
            </w:r>
          </w:p>
        </w:tc>
        <w:tc>
          <w:tcPr>
            <w:tcW w:w="1775" w:type="dxa"/>
            <w:tcBorders>
              <w:top w:val="nil"/>
              <w:left w:val="nil"/>
              <w:bottom w:val="single" w:color="000000" w:sz="8" w:space="0"/>
              <w:right w:val="single" w:color="000000" w:sz="8" w:space="0"/>
            </w:tcBorders>
            <w:shd w:val="clear" w:color="auto" w:fill="auto"/>
            <w:tcMar>
              <w:top w:w="10" w:type="dxa"/>
              <w:left w:w="10" w:type="dxa"/>
              <w:right w:w="10" w:type="dxa"/>
            </w:tcMar>
          </w:tcPr>
          <w:p>
            <w:pPr>
              <w:jc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19783</w:t>
            </w:r>
          </w:p>
        </w:tc>
        <w:tc>
          <w:tcPr>
            <w:tcW w:w="1771" w:type="dxa"/>
            <w:tcBorders>
              <w:top w:val="nil"/>
              <w:left w:val="nil"/>
              <w:bottom w:val="single" w:color="000000" w:sz="8" w:space="0"/>
              <w:right w:val="single" w:color="000000" w:sz="8" w:space="0"/>
            </w:tcBorders>
            <w:shd w:val="clear" w:color="auto" w:fill="auto"/>
            <w:tcMar>
              <w:top w:w="10" w:type="dxa"/>
              <w:left w:w="10" w:type="dxa"/>
              <w:right w:w="10" w:type="dxa"/>
            </w:tcMar>
          </w:tcPr>
          <w:p>
            <w:pPr>
              <w:jc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19783</w:t>
            </w:r>
          </w:p>
        </w:tc>
        <w:tc>
          <w:tcPr>
            <w:tcW w:w="1762" w:type="dxa"/>
            <w:tcBorders>
              <w:top w:val="nil"/>
              <w:left w:val="nil"/>
              <w:bottom w:val="single" w:color="000000" w:sz="8" w:space="0"/>
            </w:tcBorders>
            <w:shd w:val="clear" w:color="auto" w:fill="auto"/>
            <w:tcMar>
              <w:top w:w="10" w:type="dxa"/>
              <w:left w:w="10" w:type="dxa"/>
              <w:right w:w="10" w:type="dxa"/>
            </w:tcMar>
          </w:tcPr>
          <w:p>
            <w:pPr>
              <w:jc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0" w:hRule="atLeast"/>
        </w:trPr>
        <w:tc>
          <w:tcPr>
            <w:tcW w:w="1782" w:type="dxa"/>
            <w:tcBorders>
              <w:top w:val="nil"/>
              <w:left w:val="single" w:color="auto" w:sz="4" w:space="0"/>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九村镇</w:t>
            </w:r>
          </w:p>
        </w:tc>
        <w:tc>
          <w:tcPr>
            <w:tcW w:w="1775"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2</w:t>
            </w:r>
          </w:p>
        </w:tc>
        <w:tc>
          <w:tcPr>
            <w:tcW w:w="1775" w:type="dxa"/>
            <w:tcBorders>
              <w:top w:val="nil"/>
              <w:left w:val="nil"/>
              <w:bottom w:val="single" w:color="000000" w:sz="8" w:space="0"/>
              <w:right w:val="single" w:color="000000" w:sz="8" w:space="0"/>
            </w:tcBorders>
            <w:shd w:val="clear" w:color="auto" w:fill="auto"/>
            <w:tcMar>
              <w:top w:w="10" w:type="dxa"/>
              <w:left w:w="10" w:type="dxa"/>
              <w:right w:w="10" w:type="dxa"/>
            </w:tcMar>
          </w:tcPr>
          <w:p>
            <w:pPr>
              <w:jc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5941</w:t>
            </w:r>
          </w:p>
        </w:tc>
        <w:tc>
          <w:tcPr>
            <w:tcW w:w="1771" w:type="dxa"/>
            <w:tcBorders>
              <w:top w:val="nil"/>
              <w:left w:val="nil"/>
              <w:bottom w:val="single" w:color="000000" w:sz="8" w:space="0"/>
              <w:right w:val="single" w:color="000000" w:sz="8" w:space="0"/>
            </w:tcBorders>
            <w:shd w:val="clear" w:color="auto" w:fill="auto"/>
            <w:tcMar>
              <w:top w:w="10" w:type="dxa"/>
              <w:left w:w="10" w:type="dxa"/>
              <w:right w:w="10" w:type="dxa"/>
            </w:tcMar>
          </w:tcPr>
          <w:p>
            <w:pPr>
              <w:jc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5941</w:t>
            </w:r>
          </w:p>
        </w:tc>
        <w:tc>
          <w:tcPr>
            <w:tcW w:w="1762" w:type="dxa"/>
            <w:tcBorders>
              <w:top w:val="nil"/>
              <w:left w:val="nil"/>
              <w:bottom w:val="single" w:color="000000" w:sz="8" w:space="0"/>
            </w:tcBorders>
            <w:shd w:val="clear" w:color="auto" w:fill="auto"/>
            <w:tcMar>
              <w:top w:w="10" w:type="dxa"/>
              <w:left w:w="10" w:type="dxa"/>
              <w:right w:w="10" w:type="dxa"/>
            </w:tcMar>
          </w:tcPr>
          <w:p>
            <w:pPr>
              <w:jc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0" w:hRule="atLeast"/>
        </w:trPr>
        <w:tc>
          <w:tcPr>
            <w:tcW w:w="1782" w:type="dxa"/>
            <w:tcBorders>
              <w:top w:val="nil"/>
              <w:left w:val="single" w:color="auto" w:sz="4" w:space="0"/>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路居镇</w:t>
            </w:r>
          </w:p>
        </w:tc>
        <w:tc>
          <w:tcPr>
            <w:tcW w:w="1775"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10</w:t>
            </w:r>
          </w:p>
        </w:tc>
        <w:tc>
          <w:tcPr>
            <w:tcW w:w="1775" w:type="dxa"/>
            <w:tcBorders>
              <w:top w:val="nil"/>
              <w:left w:val="nil"/>
              <w:bottom w:val="single" w:color="000000" w:sz="8" w:space="0"/>
              <w:right w:val="single" w:color="000000" w:sz="8" w:space="0"/>
            </w:tcBorders>
            <w:shd w:val="clear" w:color="auto" w:fill="auto"/>
            <w:tcMar>
              <w:top w:w="10" w:type="dxa"/>
              <w:left w:w="10" w:type="dxa"/>
              <w:right w:w="10" w:type="dxa"/>
            </w:tcMar>
          </w:tcPr>
          <w:p>
            <w:pPr>
              <w:jc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32743</w:t>
            </w:r>
          </w:p>
        </w:tc>
        <w:tc>
          <w:tcPr>
            <w:tcW w:w="1771" w:type="dxa"/>
            <w:tcBorders>
              <w:top w:val="nil"/>
              <w:left w:val="nil"/>
              <w:bottom w:val="single" w:color="000000" w:sz="8" w:space="0"/>
              <w:right w:val="single" w:color="000000" w:sz="8" w:space="0"/>
            </w:tcBorders>
            <w:shd w:val="clear" w:color="auto" w:fill="auto"/>
            <w:tcMar>
              <w:top w:w="10" w:type="dxa"/>
              <w:left w:w="10" w:type="dxa"/>
              <w:right w:w="10" w:type="dxa"/>
            </w:tcMar>
          </w:tcPr>
          <w:p>
            <w:pPr>
              <w:jc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27456</w:t>
            </w:r>
          </w:p>
        </w:tc>
        <w:tc>
          <w:tcPr>
            <w:tcW w:w="1762" w:type="dxa"/>
            <w:tcBorders>
              <w:top w:val="nil"/>
              <w:left w:val="nil"/>
              <w:bottom w:val="single" w:color="000000" w:sz="8" w:space="0"/>
            </w:tcBorders>
            <w:shd w:val="clear" w:color="auto" w:fill="auto"/>
            <w:tcMar>
              <w:top w:w="10" w:type="dxa"/>
              <w:left w:w="10" w:type="dxa"/>
              <w:right w:w="10" w:type="dxa"/>
            </w:tcMar>
          </w:tcPr>
          <w:p>
            <w:pPr>
              <w:jc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5288</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0" w:hRule="atLeast"/>
        </w:trPr>
        <w:tc>
          <w:tcPr>
            <w:tcW w:w="1782" w:type="dxa"/>
            <w:tcBorders>
              <w:top w:val="nil"/>
              <w:left w:val="single" w:color="auto" w:sz="4" w:space="0"/>
              <w:right w:val="single" w:color="000000" w:sz="8"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总计</w:t>
            </w:r>
          </w:p>
        </w:tc>
        <w:tc>
          <w:tcPr>
            <w:tcW w:w="1775" w:type="dxa"/>
            <w:tcBorders>
              <w:top w:val="nil"/>
              <w:left w:val="nil"/>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44</w:t>
            </w:r>
          </w:p>
        </w:tc>
        <w:tc>
          <w:tcPr>
            <w:tcW w:w="1775" w:type="dxa"/>
            <w:tcBorders>
              <w:top w:val="nil"/>
              <w:left w:val="nil"/>
              <w:right w:val="single" w:color="000000" w:sz="8" w:space="0"/>
            </w:tcBorders>
            <w:shd w:val="clear" w:color="auto" w:fill="auto"/>
            <w:tcMar>
              <w:top w:w="10" w:type="dxa"/>
              <w:left w:w="10" w:type="dxa"/>
              <w:right w:w="10" w:type="dxa"/>
            </w:tcMar>
          </w:tcPr>
          <w:p>
            <w:pPr>
              <w:jc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182109</w:t>
            </w:r>
          </w:p>
        </w:tc>
        <w:tc>
          <w:tcPr>
            <w:tcW w:w="1771" w:type="dxa"/>
            <w:tcBorders>
              <w:top w:val="nil"/>
              <w:left w:val="nil"/>
              <w:right w:val="single" w:color="000000" w:sz="8" w:space="0"/>
            </w:tcBorders>
            <w:shd w:val="clear" w:color="auto" w:fill="auto"/>
            <w:tcMar>
              <w:top w:w="10" w:type="dxa"/>
              <w:left w:w="10" w:type="dxa"/>
              <w:right w:w="10" w:type="dxa"/>
            </w:tcMar>
          </w:tcPr>
          <w:p>
            <w:pPr>
              <w:jc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128078</w:t>
            </w:r>
          </w:p>
        </w:tc>
        <w:tc>
          <w:tcPr>
            <w:tcW w:w="1762" w:type="dxa"/>
            <w:tcBorders>
              <w:top w:val="nil"/>
              <w:left w:val="nil"/>
            </w:tcBorders>
            <w:shd w:val="clear" w:color="auto" w:fill="auto"/>
            <w:tcMar>
              <w:top w:w="10" w:type="dxa"/>
              <w:left w:w="10" w:type="dxa"/>
              <w:right w:w="10" w:type="dxa"/>
            </w:tcMar>
          </w:tcPr>
          <w:p>
            <w:pPr>
              <w:jc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54031</w:t>
            </w:r>
          </w:p>
        </w:tc>
      </w:tr>
    </w:tbl>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156" w:name="_Toc466369295"/>
      <w:bookmarkEnd w:id="156"/>
      <w:bookmarkStart w:id="157" w:name="_Toc326849937"/>
      <w:bookmarkEnd w:id="157"/>
      <w:bookmarkStart w:id="158" w:name="_Toc326853638"/>
      <w:bookmarkEnd w:id="158"/>
      <w:bookmarkStart w:id="159" w:name="_Toc297014262"/>
      <w:bookmarkEnd w:id="159"/>
      <w:bookmarkStart w:id="160" w:name="_Toc7788"/>
      <w:bookmarkStart w:id="161" w:name="_Toc421009429"/>
      <w:bookmarkStart w:id="162" w:name="_Toc535866186"/>
      <w:bookmarkStart w:id="163" w:name="_Toc3474"/>
      <w:bookmarkStart w:id="164" w:name="_Toc2503"/>
      <w:bookmarkStart w:id="165" w:name="_Toc30870"/>
      <w:bookmarkStart w:id="166" w:name="_Toc10040"/>
      <w:bookmarkStart w:id="167" w:name="_Toc520215421"/>
      <w:bookmarkStart w:id="168" w:name="_Toc20791"/>
      <w:r>
        <w:rPr>
          <w:rFonts w:hint="default" w:ascii="Times New Roman" w:hAnsi="Times New Roman" w:cs="Times New Roman" w:eastAsiaTheme="minorEastAsia"/>
          <w:color w:val="000000" w:themeColor="text1"/>
          <w:highlight w:val="none"/>
          <w14:textFill>
            <w14:solidFill>
              <w14:schemeClr w14:val="tx1"/>
            </w14:solidFill>
          </w14:textFill>
        </w:rPr>
        <w:t>2.2.3土地利用</w:t>
      </w:r>
      <w:bookmarkEnd w:id="160"/>
      <w:bookmarkEnd w:id="161"/>
      <w:bookmarkEnd w:id="162"/>
      <w:bookmarkEnd w:id="163"/>
      <w:bookmarkEnd w:id="164"/>
      <w:bookmarkEnd w:id="165"/>
      <w:bookmarkEnd w:id="166"/>
      <w:bookmarkEnd w:id="167"/>
      <w:bookmarkEnd w:id="168"/>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根据国土部门数据，抚仙湖流域总面积674.69km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，湖泊水面面积为216.6km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，陆域面积458.09km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。流域陆域土地利用类型主要以耕地和有林地为主，耕地占地面积为155.57km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，占径流区陆域总面积的34%，其中旱地面积为97.55km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，占径流区陆域总面积的21.3%，主要分布在北部水田周围及东部区域的海关、海镜片区青龙镇和路居片区的路居镇；水田面积为57.10km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，占径流区陆域总面积的12.46%，主要分布在北岸片区的凤麓街道、右所镇、龙街街道，路居片区的路居镇；有林地面积为138.519km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，占径流区陆域总面积的30.24%，主要分布在流域北部与西部的面山区域。其次，灌木林地及其他林地面积为66.076km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，占径流区陆域面积的14.42%，主要分布在东部区域的青龙镇山区；人工草地及其他草地面积51.91km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，占径流区陆域面积的11.33%，主要分布在流域的西北部；村庄占地14.82km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，占径流区陆域面积3.17%；城镇用地6.337km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，占径流区陆域面积的1.38%；其它地类如园地面积为5.409km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，交通用地1.771km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，坑塘水库3.138km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，滩涂及湿地0.787km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，裸地为8.413km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，风景名胜及特殊用地1.06km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，采矿用地4.292km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。详情见表2.2.3-1与图2.2.3-1。</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通过地形分析，耕地广泛分布在径流区坡度为15°以下的坝区及缓坡地带，面积为112.0102km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，占耕地总面积的69.85%，坡度15°~25°间的耕地面积为36.8933km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，占耕地总面积的23.01%（表2.2.3-2）。坡度大于25°的耕地面积11.4648km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，占耕地总面积的7.15%；这些坡耕地是水土流失的重要发生区之一。</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耕地中，基本农田70.859km</w:t>
      </w:r>
      <w:r>
        <w:rPr>
          <w:rFonts w:hint="default" w:ascii="Times New Roman" w:hAnsi="Times New Roman" w:cs="Times New Roman" w:eastAsiaTheme="minorEastAsia"/>
          <w:color w:val="000000" w:themeColor="text1"/>
          <w:kern w:val="0"/>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，占耕地总面积的45.55%。基本农田分布于凤麓街道、海口镇、九村镇、龙街街道、阳宗镇、右所镇、路居镇，其中77.5%分布于龙街街道、右所镇和路居镇3个乡镇（街道）。详见表2.2.3-1，图2.2.3-2。</w:t>
      </w:r>
    </w:p>
    <w:p>
      <w:pPr>
        <w:pStyle w:val="2"/>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drawing>
          <wp:inline distT="0" distB="0" distL="114300" distR="114300">
            <wp:extent cx="4105275" cy="5842635"/>
            <wp:effectExtent l="0" t="0" r="9525" b="9525"/>
            <wp:docPr id="45" name="图片 45" descr="图片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descr="图片7"/>
                    <pic:cNvPicPr>
                      <a:picLocks noChangeAspect="true"/>
                    </pic:cNvPicPr>
                  </pic:nvPicPr>
                  <pic:blipFill>
                    <a:blip r:embed="rId19"/>
                    <a:stretch>
                      <a:fillRect/>
                    </a:stretch>
                  </pic:blipFill>
                  <pic:spPr>
                    <a:xfrm>
                      <a:off x="0" y="0"/>
                      <a:ext cx="4105275" cy="5842635"/>
                    </a:xfrm>
                    <a:prstGeom prst="rect">
                      <a:avLst/>
                    </a:prstGeom>
                  </pic:spPr>
                </pic:pic>
              </a:graphicData>
            </a:graphic>
          </wp:inline>
        </w:drawing>
      </w:r>
    </w:p>
    <w:p>
      <w:pPr>
        <w:widowControl/>
        <w:ind w:left="4094" w:leftChars="200" w:hanging="3614" w:hangingChars="1500"/>
        <w:jc w:val="center"/>
        <w:rPr>
          <w:rFonts w:hint="default" w:ascii="Times New Roman" w:hAnsi="Times New Roman" w:cs="Times New Roman" w:eastAsiaTheme="minorEastAsia"/>
          <w:b/>
          <w:bCs/>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Cs w:val="21"/>
          <w:highlight w:val="none"/>
          <w14:textFill>
            <w14:solidFill>
              <w14:schemeClr w14:val="tx1"/>
            </w14:solidFill>
          </w14:textFill>
        </w:rPr>
        <w:t>图2.2.3-1土地利用分布图</w:t>
      </w:r>
    </w:p>
    <w:p>
      <w:pPr>
        <w:rPr>
          <w:rFonts w:hint="default" w:ascii="Times New Roman" w:hAnsi="Times New Roman" w:cs="Times New Roman" w:eastAsiaTheme="minorEastAsia"/>
          <w:color w:val="000000" w:themeColor="text1"/>
          <w:highlight w:val="none"/>
          <w14:textFill>
            <w14:solidFill>
              <w14:schemeClr w14:val="tx1"/>
            </w14:solidFill>
          </w14:textFill>
        </w:rPr>
        <w:sectPr>
          <w:pgSz w:w="11906" w:h="16838" w:orient="landscape"/>
          <w:pgMar w:top="1440" w:right="1587" w:bottom="1440" w:left="1587" w:header="720" w:footer="720" w:gutter="0"/>
          <w:pgBorders>
            <w:top w:val="none" w:sz="0" w:space="0"/>
            <w:left w:val="none" w:sz="0" w:space="0"/>
            <w:bottom w:val="none" w:sz="0" w:space="0"/>
            <w:right w:val="none" w:sz="0" w:space="0"/>
          </w:pgBorders>
          <w:cols w:space="720" w:num="1"/>
          <w:rtlGutter w:val="0"/>
          <w:docGrid w:type="lines" w:linePitch="312" w:charSpace="0"/>
        </w:sectPr>
      </w:pPr>
    </w:p>
    <w:tbl>
      <w:tblPr>
        <w:tblStyle w:val="17"/>
        <w:tblW w:w="13258" w:type="dxa"/>
        <w:jc w:val="center"/>
        <w:tblLayout w:type="fixed"/>
        <w:tblCellMar>
          <w:top w:w="0" w:type="dxa"/>
          <w:left w:w="0" w:type="dxa"/>
          <w:bottom w:w="0" w:type="dxa"/>
          <w:right w:w="0" w:type="dxa"/>
        </w:tblCellMar>
      </w:tblPr>
      <w:tblGrid>
        <w:gridCol w:w="776"/>
        <w:gridCol w:w="779"/>
        <w:gridCol w:w="777"/>
        <w:gridCol w:w="777"/>
        <w:gridCol w:w="777"/>
        <w:gridCol w:w="777"/>
        <w:gridCol w:w="777"/>
        <w:gridCol w:w="777"/>
        <w:gridCol w:w="777"/>
        <w:gridCol w:w="777"/>
        <w:gridCol w:w="777"/>
        <w:gridCol w:w="777"/>
        <w:gridCol w:w="777"/>
        <w:gridCol w:w="777"/>
        <w:gridCol w:w="777"/>
        <w:gridCol w:w="777"/>
        <w:gridCol w:w="825"/>
      </w:tblGrid>
      <w:tr>
        <w:tblPrEx>
          <w:tblCellMar>
            <w:top w:w="0" w:type="dxa"/>
            <w:left w:w="0" w:type="dxa"/>
            <w:bottom w:w="0" w:type="dxa"/>
            <w:right w:w="0" w:type="dxa"/>
          </w:tblCellMar>
        </w:tblPrEx>
        <w:trPr>
          <w:trHeight w:val="300" w:hRule="atLeast"/>
          <w:jc w:val="center"/>
        </w:trPr>
        <w:tc>
          <w:tcPr>
            <w:tcW w:w="13258" w:type="dxa"/>
            <w:gridSpan w:val="17"/>
            <w:tcBorders>
              <w:top w:val="nil"/>
              <w:left w:val="nil"/>
              <w:bottom w:val="nil"/>
              <w:right w:val="nil"/>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Cs w:val="21"/>
                <w:highlight w:val="none"/>
                <w14:textFill>
                  <w14:solidFill>
                    <w14:schemeClr w14:val="tx1"/>
                  </w14:solidFill>
                </w14:textFill>
              </w:rPr>
            </w:pPr>
            <w:r>
              <w:rPr>
                <w:rFonts w:hint="default" w:ascii="Times New Roman" w:hAnsi="Times New Roman" w:cs="Times New Roman" w:eastAsiaTheme="minorEastAsia"/>
                <w:b/>
                <w:color w:val="000000" w:themeColor="text1"/>
                <w:kern w:val="0"/>
                <w:szCs w:val="21"/>
                <w:highlight w:val="none"/>
                <w:lang w:bidi="ar"/>
                <w14:textFill>
                  <w14:solidFill>
                    <w14:schemeClr w14:val="tx1"/>
                  </w14:solidFill>
                </w14:textFill>
              </w:rPr>
              <w:t>表2.2.3-1抚仙湖径流区土地利用现状</w:t>
            </w:r>
            <w:r>
              <w:rPr>
                <w:rStyle w:val="29"/>
                <w:rFonts w:hint="default" w:ascii="Times New Roman" w:hAnsi="Times New Roman" w:cs="Times New Roman" w:eastAsiaTheme="minorEastAsia"/>
                <w:color w:val="000000" w:themeColor="text1"/>
                <w:sz w:val="21"/>
                <w:szCs w:val="21"/>
                <w:highlight w:val="none"/>
                <w:lang w:bidi="ar"/>
                <w14:textFill>
                  <w14:solidFill>
                    <w14:schemeClr w14:val="tx1"/>
                  </w14:solidFill>
                </w14:textFill>
              </w:rPr>
              <w:t>统计表</w:t>
            </w:r>
            <w:r>
              <w:rPr>
                <w:rFonts w:hint="default" w:ascii="Times New Roman" w:hAnsi="Times New Roman" w:cs="Times New Roman" w:eastAsiaTheme="minorEastAsia"/>
                <w:b/>
                <w:color w:val="000000" w:themeColor="text1"/>
                <w:kern w:val="0"/>
                <w:szCs w:val="21"/>
                <w:highlight w:val="none"/>
                <w:lang w:bidi="ar"/>
                <w14:textFill>
                  <w14:solidFill>
                    <w14:schemeClr w14:val="tx1"/>
                  </w14:solidFill>
                </w14:textFill>
              </w:rPr>
              <w:t>（不含湖库）</w:t>
            </w:r>
          </w:p>
        </w:tc>
      </w:tr>
      <w:tr>
        <w:tblPrEx>
          <w:tblCellMar>
            <w:top w:w="0" w:type="dxa"/>
            <w:left w:w="0" w:type="dxa"/>
            <w:bottom w:w="0" w:type="dxa"/>
            <w:right w:w="0" w:type="dxa"/>
          </w:tblCellMar>
        </w:tblPrEx>
        <w:trPr>
          <w:trHeight w:val="315" w:hRule="atLeast"/>
          <w:jc w:val="center"/>
        </w:trPr>
        <w:tc>
          <w:tcPr>
            <w:tcW w:w="13258" w:type="dxa"/>
            <w:gridSpan w:val="17"/>
            <w:tcBorders>
              <w:top w:val="nil"/>
              <w:left w:val="nil"/>
              <w:bottom w:val="single" w:color="000000" w:sz="8" w:space="0"/>
              <w:right w:val="nil"/>
            </w:tcBorders>
            <w:shd w:val="clear" w:color="auto" w:fill="auto"/>
            <w:tcMar>
              <w:top w:w="10" w:type="dxa"/>
              <w:left w:w="10" w:type="dxa"/>
              <w:right w:w="10" w:type="dxa"/>
            </w:tcMar>
            <w:vAlign w:val="center"/>
          </w:tcPr>
          <w:p>
            <w:pPr>
              <w:widowControl/>
              <w:jc w:val="right"/>
              <w:textAlignment w:val="center"/>
              <w:rPr>
                <w:rFonts w:hint="eastAsia" w:ascii="Times New Roman" w:hAnsi="Times New Roman" w:cs="Times New Roman" w:eastAsiaTheme="minorEastAsia"/>
                <w:b/>
                <w:color w:val="000000" w:themeColor="text1"/>
                <w:szCs w:val="24"/>
                <w:highlight w:val="none"/>
                <w:lang w:eastAsia="zh-CN"/>
                <w14:textFill>
                  <w14:solidFill>
                    <w14:schemeClr w14:val="tx1"/>
                  </w14:solidFill>
                </w14:textFill>
              </w:rPr>
            </w:pPr>
            <w:r>
              <w:rPr>
                <w:rFonts w:hint="default" w:ascii="Times New Roman" w:hAnsi="Times New Roman" w:cs="Times New Roman" w:eastAsiaTheme="minorEastAsia"/>
                <w:b/>
                <w:color w:val="000000" w:themeColor="text1"/>
                <w:kern w:val="0"/>
                <w:szCs w:val="24"/>
                <w:highlight w:val="none"/>
                <w:lang w:bidi="ar"/>
                <w14:textFill>
                  <w14:solidFill>
                    <w14:schemeClr w14:val="tx1"/>
                  </w14:solidFill>
                </w14:textFill>
              </w:rPr>
              <w:t>单位：</w:t>
            </w:r>
            <w:r>
              <w:rPr>
                <w:rStyle w:val="29"/>
                <w:rFonts w:hint="default" w:ascii="Times New Roman" w:hAnsi="Times New Roman" w:cs="Times New Roman" w:eastAsiaTheme="minorEastAsia"/>
                <w:color w:val="000000" w:themeColor="text1"/>
                <w:highlight w:val="none"/>
                <w:lang w:bidi="ar"/>
                <w14:textFill>
                  <w14:solidFill>
                    <w14:schemeClr w14:val="tx1"/>
                  </w14:solidFill>
                </w14:textFill>
              </w:rPr>
              <w:t>km</w:t>
            </w:r>
            <w:r>
              <w:rPr>
                <w:rFonts w:hint="default" w:ascii="Times New Roman" w:hAnsi="Times New Roman" w:cs="Times New Roman" w:eastAsiaTheme="minorEastAsia"/>
                <w:b/>
                <w:color w:val="000000" w:themeColor="text1"/>
                <w:kern w:val="0"/>
                <w:szCs w:val="24"/>
                <w:highlight w:val="none"/>
                <w:vertAlign w:val="superscript"/>
                <w:lang w:bidi="ar"/>
                <w14:textFill>
                  <w14:solidFill>
                    <w14:schemeClr w14:val="tx1"/>
                  </w14:solidFill>
                </w14:textFill>
              </w:rPr>
              <w:t>2</w:t>
            </w:r>
          </w:p>
        </w:tc>
      </w:tr>
      <w:tr>
        <w:tblPrEx>
          <w:tblCellMar>
            <w:top w:w="0" w:type="dxa"/>
            <w:left w:w="0" w:type="dxa"/>
            <w:bottom w:w="0" w:type="dxa"/>
            <w:right w:w="0" w:type="dxa"/>
          </w:tblCellMar>
        </w:tblPrEx>
        <w:trPr>
          <w:trHeight w:val="295" w:hRule="atLeast"/>
          <w:jc w:val="center"/>
        </w:trPr>
        <w:tc>
          <w:tcPr>
            <w:tcW w:w="776" w:type="dxa"/>
            <w:vMerge w:val="restart"/>
            <w:tcBorders>
              <w:top w:val="nil"/>
              <w:left w:val="single" w:color="000000" w:sz="8" w:space="0"/>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县（市、区）</w:t>
            </w:r>
          </w:p>
        </w:tc>
        <w:tc>
          <w:tcPr>
            <w:tcW w:w="779" w:type="dxa"/>
            <w:vMerge w:val="restart"/>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乡镇</w:t>
            </w:r>
          </w:p>
        </w:tc>
        <w:tc>
          <w:tcPr>
            <w:tcW w:w="777" w:type="dxa"/>
            <w:vMerge w:val="restart"/>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耕地</w:t>
            </w:r>
          </w:p>
        </w:tc>
        <w:tc>
          <w:tcPr>
            <w:tcW w:w="777" w:type="dxa"/>
            <w:vMerge w:val="restart"/>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园地</w:t>
            </w:r>
          </w:p>
        </w:tc>
        <w:tc>
          <w:tcPr>
            <w:tcW w:w="777" w:type="dxa"/>
            <w:vMerge w:val="restart"/>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有林地</w:t>
            </w:r>
          </w:p>
        </w:tc>
        <w:tc>
          <w:tcPr>
            <w:tcW w:w="777" w:type="dxa"/>
            <w:vMerge w:val="restart"/>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灌木林地及其他林地</w:t>
            </w:r>
          </w:p>
        </w:tc>
        <w:tc>
          <w:tcPr>
            <w:tcW w:w="777" w:type="dxa"/>
            <w:vMerge w:val="restart"/>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草地</w:t>
            </w:r>
          </w:p>
        </w:tc>
        <w:tc>
          <w:tcPr>
            <w:tcW w:w="777" w:type="dxa"/>
            <w:vMerge w:val="restart"/>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城镇</w:t>
            </w:r>
          </w:p>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用地</w:t>
            </w:r>
          </w:p>
        </w:tc>
        <w:tc>
          <w:tcPr>
            <w:tcW w:w="777" w:type="dxa"/>
            <w:vMerge w:val="restart"/>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村庄</w:t>
            </w:r>
          </w:p>
        </w:tc>
        <w:tc>
          <w:tcPr>
            <w:tcW w:w="777" w:type="dxa"/>
            <w:vMerge w:val="restart"/>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交通</w:t>
            </w:r>
          </w:p>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用地</w:t>
            </w:r>
          </w:p>
        </w:tc>
        <w:tc>
          <w:tcPr>
            <w:tcW w:w="777" w:type="dxa"/>
            <w:vMerge w:val="restart"/>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坑塘</w:t>
            </w:r>
          </w:p>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水库</w:t>
            </w:r>
          </w:p>
        </w:tc>
        <w:tc>
          <w:tcPr>
            <w:tcW w:w="777" w:type="dxa"/>
            <w:vMerge w:val="restart"/>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裸地</w:t>
            </w:r>
          </w:p>
        </w:tc>
        <w:tc>
          <w:tcPr>
            <w:tcW w:w="777" w:type="dxa"/>
            <w:vMerge w:val="restart"/>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滩涂及湿地</w:t>
            </w:r>
          </w:p>
        </w:tc>
        <w:tc>
          <w:tcPr>
            <w:tcW w:w="777" w:type="dxa"/>
            <w:vMerge w:val="restart"/>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设施农用地</w:t>
            </w:r>
          </w:p>
        </w:tc>
        <w:tc>
          <w:tcPr>
            <w:tcW w:w="777" w:type="dxa"/>
            <w:vMerge w:val="restart"/>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风景名胜及特殊用地</w:t>
            </w:r>
          </w:p>
        </w:tc>
        <w:tc>
          <w:tcPr>
            <w:tcW w:w="777" w:type="dxa"/>
            <w:tcBorders>
              <w:top w:val="single" w:color="000000" w:sz="8" w:space="0"/>
              <w:left w:val="nil"/>
              <w:bottom w:val="nil"/>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采矿</w:t>
            </w:r>
          </w:p>
        </w:tc>
        <w:tc>
          <w:tcPr>
            <w:tcW w:w="825" w:type="dxa"/>
            <w:vMerge w:val="restart"/>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总计</w:t>
            </w:r>
          </w:p>
        </w:tc>
      </w:tr>
      <w:tr>
        <w:tblPrEx>
          <w:tblCellMar>
            <w:top w:w="0" w:type="dxa"/>
            <w:left w:w="0" w:type="dxa"/>
            <w:bottom w:w="0" w:type="dxa"/>
            <w:right w:w="0" w:type="dxa"/>
          </w:tblCellMar>
        </w:tblPrEx>
        <w:trPr>
          <w:trHeight w:val="295" w:hRule="atLeast"/>
          <w:jc w:val="center"/>
        </w:trPr>
        <w:tc>
          <w:tcPr>
            <w:tcW w:w="776" w:type="dxa"/>
            <w:vMerge w:val="continue"/>
            <w:tcBorders>
              <w:top w:val="nil"/>
              <w:left w:val="single" w:color="000000" w:sz="8" w:space="0"/>
              <w:bottom w:val="single" w:color="000000" w:sz="8" w:space="0"/>
              <w:right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p>
        </w:tc>
        <w:tc>
          <w:tcPr>
            <w:tcW w:w="779" w:type="dxa"/>
            <w:vMerge w:val="continue"/>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p>
        </w:tc>
        <w:tc>
          <w:tcPr>
            <w:tcW w:w="777" w:type="dxa"/>
            <w:vMerge w:val="continue"/>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p>
        </w:tc>
        <w:tc>
          <w:tcPr>
            <w:tcW w:w="777" w:type="dxa"/>
            <w:vMerge w:val="continue"/>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p>
        </w:tc>
        <w:tc>
          <w:tcPr>
            <w:tcW w:w="777" w:type="dxa"/>
            <w:vMerge w:val="continue"/>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p>
        </w:tc>
        <w:tc>
          <w:tcPr>
            <w:tcW w:w="777" w:type="dxa"/>
            <w:vMerge w:val="continue"/>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p>
        </w:tc>
        <w:tc>
          <w:tcPr>
            <w:tcW w:w="777" w:type="dxa"/>
            <w:vMerge w:val="continue"/>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p>
        </w:tc>
        <w:tc>
          <w:tcPr>
            <w:tcW w:w="777" w:type="dxa"/>
            <w:vMerge w:val="continue"/>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p>
        </w:tc>
        <w:tc>
          <w:tcPr>
            <w:tcW w:w="777" w:type="dxa"/>
            <w:vMerge w:val="continue"/>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p>
        </w:tc>
        <w:tc>
          <w:tcPr>
            <w:tcW w:w="777" w:type="dxa"/>
            <w:vMerge w:val="continue"/>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p>
        </w:tc>
        <w:tc>
          <w:tcPr>
            <w:tcW w:w="777" w:type="dxa"/>
            <w:vMerge w:val="continue"/>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p>
        </w:tc>
        <w:tc>
          <w:tcPr>
            <w:tcW w:w="777" w:type="dxa"/>
            <w:vMerge w:val="continue"/>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p>
        </w:tc>
        <w:tc>
          <w:tcPr>
            <w:tcW w:w="777" w:type="dxa"/>
            <w:vMerge w:val="continue"/>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p>
        </w:tc>
        <w:tc>
          <w:tcPr>
            <w:tcW w:w="777" w:type="dxa"/>
            <w:vMerge w:val="continue"/>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p>
        </w:tc>
        <w:tc>
          <w:tcPr>
            <w:tcW w:w="777" w:type="dxa"/>
            <w:vMerge w:val="continue"/>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用地</w:t>
            </w:r>
          </w:p>
        </w:tc>
        <w:tc>
          <w:tcPr>
            <w:tcW w:w="825" w:type="dxa"/>
            <w:vMerge w:val="continue"/>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p>
        </w:tc>
      </w:tr>
      <w:tr>
        <w:tblPrEx>
          <w:tblCellMar>
            <w:top w:w="0" w:type="dxa"/>
            <w:left w:w="0" w:type="dxa"/>
            <w:bottom w:w="0" w:type="dxa"/>
            <w:right w:w="0" w:type="dxa"/>
          </w:tblCellMar>
        </w:tblPrEx>
        <w:trPr>
          <w:trHeight w:val="295" w:hRule="atLeast"/>
          <w:jc w:val="center"/>
        </w:trPr>
        <w:tc>
          <w:tcPr>
            <w:tcW w:w="776" w:type="dxa"/>
            <w:vMerge w:val="restart"/>
            <w:tcBorders>
              <w:top w:val="nil"/>
              <w:left w:val="single" w:color="000000" w:sz="8" w:space="0"/>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0"/>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0"/>
                <w:highlight w:val="none"/>
                <w:lang w:bidi="ar"/>
                <w14:textFill>
                  <w14:solidFill>
                    <w14:schemeClr w14:val="tx1"/>
                  </w14:solidFill>
                </w14:textFill>
              </w:rPr>
              <w:t>澄江市</w:t>
            </w:r>
          </w:p>
        </w:tc>
        <w:tc>
          <w:tcPr>
            <w:tcW w:w="779"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0"/>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0"/>
                <w:highlight w:val="none"/>
                <w:lang w:bidi="ar"/>
                <w14:textFill>
                  <w14:solidFill>
                    <w14:schemeClr w14:val="tx1"/>
                  </w14:solidFill>
                </w14:textFill>
              </w:rPr>
              <w:t>凤麓街道</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2.473</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0.049</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1.941</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0.618</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0.254</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2.589</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0.141</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0.039</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0.104</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0.019</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0.056</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0.026</w:t>
            </w:r>
          </w:p>
        </w:tc>
        <w:tc>
          <w:tcPr>
            <w:tcW w:w="825"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8.309</w:t>
            </w:r>
          </w:p>
        </w:tc>
      </w:tr>
      <w:tr>
        <w:tblPrEx>
          <w:tblCellMar>
            <w:top w:w="0" w:type="dxa"/>
            <w:left w:w="0" w:type="dxa"/>
            <w:bottom w:w="0" w:type="dxa"/>
            <w:right w:w="0" w:type="dxa"/>
          </w:tblCellMar>
        </w:tblPrEx>
        <w:trPr>
          <w:trHeight w:val="295" w:hRule="atLeast"/>
          <w:jc w:val="center"/>
        </w:trPr>
        <w:tc>
          <w:tcPr>
            <w:tcW w:w="776" w:type="dxa"/>
            <w:vMerge w:val="continue"/>
            <w:tcBorders>
              <w:top w:val="nil"/>
              <w:left w:val="single" w:color="000000" w:sz="8" w:space="0"/>
              <w:bottom w:val="single" w:color="000000" w:sz="8" w:space="0"/>
              <w:right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color w:val="000000" w:themeColor="text1"/>
                <w:sz w:val="20"/>
                <w:highlight w:val="none"/>
                <w14:textFill>
                  <w14:solidFill>
                    <w14:schemeClr w14:val="tx1"/>
                  </w14:solidFill>
                </w14:textFill>
              </w:rPr>
            </w:pPr>
          </w:p>
        </w:tc>
        <w:tc>
          <w:tcPr>
            <w:tcW w:w="779"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0"/>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0"/>
                <w:highlight w:val="none"/>
                <w:lang w:bidi="ar"/>
                <w14:textFill>
                  <w14:solidFill>
                    <w14:schemeClr w14:val="tx1"/>
                  </w14:solidFill>
                </w14:textFill>
              </w:rPr>
              <w:t>海口镇</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34.06</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0.223</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15.329</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10.692</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9.739</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0.238</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1.723</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0.116</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0.284</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0.63</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0.025</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0.003</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0.002</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0.153</w:t>
            </w:r>
          </w:p>
        </w:tc>
        <w:tc>
          <w:tcPr>
            <w:tcW w:w="825"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73.217</w:t>
            </w:r>
          </w:p>
        </w:tc>
      </w:tr>
      <w:tr>
        <w:tblPrEx>
          <w:tblCellMar>
            <w:top w:w="0" w:type="dxa"/>
            <w:left w:w="0" w:type="dxa"/>
            <w:bottom w:w="0" w:type="dxa"/>
            <w:right w:w="0" w:type="dxa"/>
          </w:tblCellMar>
        </w:tblPrEx>
        <w:trPr>
          <w:trHeight w:val="310" w:hRule="atLeast"/>
          <w:jc w:val="center"/>
        </w:trPr>
        <w:tc>
          <w:tcPr>
            <w:tcW w:w="776" w:type="dxa"/>
            <w:vMerge w:val="continue"/>
            <w:tcBorders>
              <w:top w:val="nil"/>
              <w:left w:val="single" w:color="000000" w:sz="8" w:space="0"/>
              <w:bottom w:val="single" w:color="000000" w:sz="8" w:space="0"/>
              <w:right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color w:val="000000" w:themeColor="text1"/>
                <w:sz w:val="20"/>
                <w:highlight w:val="none"/>
                <w14:textFill>
                  <w14:solidFill>
                    <w14:schemeClr w14:val="tx1"/>
                  </w14:solidFill>
                </w14:textFill>
              </w:rPr>
            </w:pPr>
          </w:p>
        </w:tc>
        <w:tc>
          <w:tcPr>
            <w:tcW w:w="779"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0"/>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0"/>
                <w:highlight w:val="none"/>
                <w:lang w:bidi="ar"/>
                <w14:textFill>
                  <w14:solidFill>
                    <w14:schemeClr w14:val="tx1"/>
                  </w14:solidFill>
                </w14:textFill>
              </w:rPr>
              <w:t>九村镇</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8.564</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0.014</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10.375</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0.883</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2.737</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0.002</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0.432</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0.267</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0.153</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0.165</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0.004</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1.601</w:t>
            </w:r>
          </w:p>
        </w:tc>
        <w:tc>
          <w:tcPr>
            <w:tcW w:w="825"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25.197</w:t>
            </w:r>
          </w:p>
        </w:tc>
      </w:tr>
      <w:tr>
        <w:tblPrEx>
          <w:tblCellMar>
            <w:top w:w="0" w:type="dxa"/>
            <w:left w:w="0" w:type="dxa"/>
            <w:bottom w:w="0" w:type="dxa"/>
            <w:right w:w="0" w:type="dxa"/>
          </w:tblCellMar>
        </w:tblPrEx>
        <w:trPr>
          <w:trHeight w:val="295" w:hRule="atLeast"/>
          <w:jc w:val="center"/>
        </w:trPr>
        <w:tc>
          <w:tcPr>
            <w:tcW w:w="776" w:type="dxa"/>
            <w:vMerge w:val="continue"/>
            <w:tcBorders>
              <w:top w:val="nil"/>
              <w:left w:val="single" w:color="000000" w:sz="8" w:space="0"/>
              <w:bottom w:val="single" w:color="000000" w:sz="8" w:space="0"/>
              <w:right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color w:val="000000" w:themeColor="text1"/>
                <w:sz w:val="20"/>
                <w:highlight w:val="none"/>
                <w14:textFill>
                  <w14:solidFill>
                    <w14:schemeClr w14:val="tx1"/>
                  </w14:solidFill>
                </w14:textFill>
              </w:rPr>
            </w:pPr>
          </w:p>
        </w:tc>
        <w:tc>
          <w:tcPr>
            <w:tcW w:w="779"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0"/>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0"/>
                <w:highlight w:val="none"/>
                <w:lang w:bidi="ar"/>
                <w14:textFill>
                  <w14:solidFill>
                    <w14:schemeClr w14:val="tx1"/>
                  </w14:solidFill>
                </w14:textFill>
              </w:rPr>
              <w:t>龙街街道</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47.103</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1.72</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55.354</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18.976</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19.645</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0.423</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5.318</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0.648</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1.454</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3.373</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0.345</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0.104</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0.202</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1.502</w:t>
            </w:r>
          </w:p>
        </w:tc>
        <w:tc>
          <w:tcPr>
            <w:tcW w:w="825"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156.167</w:t>
            </w:r>
          </w:p>
        </w:tc>
      </w:tr>
      <w:tr>
        <w:tblPrEx>
          <w:tblCellMar>
            <w:top w:w="0" w:type="dxa"/>
            <w:left w:w="0" w:type="dxa"/>
            <w:bottom w:w="0" w:type="dxa"/>
            <w:right w:w="0" w:type="dxa"/>
          </w:tblCellMar>
        </w:tblPrEx>
        <w:trPr>
          <w:trHeight w:val="310" w:hRule="atLeast"/>
          <w:jc w:val="center"/>
        </w:trPr>
        <w:tc>
          <w:tcPr>
            <w:tcW w:w="776" w:type="dxa"/>
            <w:vMerge w:val="continue"/>
            <w:tcBorders>
              <w:top w:val="nil"/>
              <w:left w:val="single" w:color="000000" w:sz="8" w:space="0"/>
              <w:bottom w:val="single" w:color="000000" w:sz="8" w:space="0"/>
              <w:right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color w:val="000000" w:themeColor="text1"/>
                <w:sz w:val="20"/>
                <w:highlight w:val="none"/>
                <w14:textFill>
                  <w14:solidFill>
                    <w14:schemeClr w14:val="tx1"/>
                  </w14:solidFill>
                </w14:textFill>
              </w:rPr>
            </w:pPr>
          </w:p>
        </w:tc>
        <w:tc>
          <w:tcPr>
            <w:tcW w:w="779"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0"/>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0"/>
                <w:highlight w:val="none"/>
                <w:lang w:bidi="ar"/>
                <w14:textFill>
                  <w14:solidFill>
                    <w14:schemeClr w14:val="tx1"/>
                  </w14:solidFill>
                </w14:textFill>
              </w:rPr>
              <w:t>阳宗镇</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1.147</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8.036</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1.3</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4.417</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0.018</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0.023</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0.002</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0.831</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0.003</w:t>
            </w:r>
          </w:p>
        </w:tc>
        <w:tc>
          <w:tcPr>
            <w:tcW w:w="825"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15.777</w:t>
            </w:r>
          </w:p>
        </w:tc>
      </w:tr>
      <w:tr>
        <w:tblPrEx>
          <w:tblCellMar>
            <w:top w:w="0" w:type="dxa"/>
            <w:left w:w="0" w:type="dxa"/>
            <w:bottom w:w="0" w:type="dxa"/>
            <w:right w:w="0" w:type="dxa"/>
          </w:tblCellMar>
        </w:tblPrEx>
        <w:trPr>
          <w:trHeight w:val="280" w:hRule="atLeast"/>
          <w:jc w:val="center"/>
        </w:trPr>
        <w:tc>
          <w:tcPr>
            <w:tcW w:w="776" w:type="dxa"/>
            <w:vMerge w:val="continue"/>
            <w:tcBorders>
              <w:top w:val="nil"/>
              <w:left w:val="single" w:color="000000" w:sz="8" w:space="0"/>
              <w:bottom w:val="single" w:color="000000" w:sz="8" w:space="0"/>
              <w:right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color w:val="000000" w:themeColor="text1"/>
                <w:sz w:val="20"/>
                <w:highlight w:val="none"/>
                <w14:textFill>
                  <w14:solidFill>
                    <w14:schemeClr w14:val="tx1"/>
                  </w14:solidFill>
                </w14:textFill>
              </w:rPr>
            </w:pPr>
          </w:p>
        </w:tc>
        <w:tc>
          <w:tcPr>
            <w:tcW w:w="779"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0"/>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0"/>
                <w:highlight w:val="none"/>
                <w:lang w:bidi="ar"/>
                <w14:textFill>
                  <w14:solidFill>
                    <w14:schemeClr w14:val="tx1"/>
                  </w14:solidFill>
                </w14:textFill>
              </w:rPr>
              <w:t>右所镇</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30.476</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1.682</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20.663</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6.274</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7.625</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1.76</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3.377</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0.491</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0.696</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1.304</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0.263</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0.018</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0.207</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0.815</w:t>
            </w:r>
          </w:p>
        </w:tc>
        <w:tc>
          <w:tcPr>
            <w:tcW w:w="825"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75.651</w:t>
            </w:r>
          </w:p>
        </w:tc>
      </w:tr>
      <w:tr>
        <w:tblPrEx>
          <w:tblCellMar>
            <w:top w:w="0" w:type="dxa"/>
            <w:left w:w="0" w:type="dxa"/>
            <w:bottom w:w="0" w:type="dxa"/>
            <w:right w:w="0" w:type="dxa"/>
          </w:tblCellMar>
        </w:tblPrEx>
        <w:trPr>
          <w:trHeight w:val="280" w:hRule="atLeast"/>
          <w:jc w:val="center"/>
        </w:trPr>
        <w:tc>
          <w:tcPr>
            <w:tcW w:w="776" w:type="dxa"/>
            <w:vMerge w:val="continue"/>
            <w:tcBorders>
              <w:top w:val="nil"/>
              <w:left w:val="single" w:color="000000" w:sz="8" w:space="0"/>
              <w:bottom w:val="single" w:color="000000" w:sz="8" w:space="0"/>
              <w:right w:val="single" w:color="000000" w:sz="8" w:space="0"/>
            </w:tcBorders>
            <w:shd w:val="clear" w:color="auto" w:fill="auto"/>
            <w:tcMar>
              <w:top w:w="10" w:type="dxa"/>
              <w:left w:w="10" w:type="dxa"/>
              <w:right w:w="10" w:type="dxa"/>
            </w:tcMar>
            <w:vAlign w:val="center"/>
          </w:tcPr>
          <w:p>
            <w:pPr>
              <w:jc w:val="center"/>
              <w:rPr>
                <w:rFonts w:hint="default" w:ascii="Times New Roman" w:hAnsi="Times New Roman" w:cs="Times New Roman" w:eastAsiaTheme="minorEastAsia"/>
                <w:color w:val="000000" w:themeColor="text1"/>
                <w:sz w:val="20"/>
                <w:highlight w:val="none"/>
                <w14:textFill>
                  <w14:solidFill>
                    <w14:schemeClr w14:val="tx1"/>
                  </w14:solidFill>
                </w14:textFill>
              </w:rPr>
            </w:pPr>
          </w:p>
        </w:tc>
        <w:tc>
          <w:tcPr>
            <w:tcW w:w="779"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0"/>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0"/>
                <w:highlight w:val="none"/>
                <w:lang w:bidi="ar"/>
                <w14:textFill>
                  <w14:solidFill>
                    <w14:schemeClr w14:val="tx1"/>
                  </w14:solidFill>
                </w14:textFill>
              </w:rPr>
              <w:t>路居镇</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31.742</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1.717</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26.822</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27.335</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7.492</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1.305</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3.529</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0.205</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0.449</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2.108</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0.135</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0.143</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0.594</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0.189</w:t>
            </w:r>
          </w:p>
        </w:tc>
        <w:tc>
          <w:tcPr>
            <w:tcW w:w="825"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103.765</w:t>
            </w:r>
          </w:p>
        </w:tc>
      </w:tr>
      <w:tr>
        <w:tblPrEx>
          <w:tblCellMar>
            <w:top w:w="0" w:type="dxa"/>
            <w:left w:w="0" w:type="dxa"/>
            <w:bottom w:w="0" w:type="dxa"/>
            <w:right w:w="0" w:type="dxa"/>
          </w:tblCellMar>
        </w:tblPrEx>
        <w:trPr>
          <w:trHeight w:val="280" w:hRule="atLeast"/>
          <w:jc w:val="center"/>
        </w:trPr>
        <w:tc>
          <w:tcPr>
            <w:tcW w:w="1555" w:type="dxa"/>
            <w:gridSpan w:val="2"/>
            <w:tcBorders>
              <w:top w:val="nil"/>
              <w:left w:val="single" w:color="000000" w:sz="8" w:space="0"/>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0"/>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0"/>
                <w:highlight w:val="none"/>
                <w:lang w:bidi="ar"/>
                <w14:textFill>
                  <w14:solidFill>
                    <w14:schemeClr w14:val="tx1"/>
                  </w14:solidFill>
                </w14:textFill>
              </w:rPr>
              <w:t>合计</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155.567</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5.409</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138.519</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66.076</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51.907</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6.337</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14.544</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1.771</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3.138</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8.413</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0.787</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0.272</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1.06</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4.292</w:t>
            </w:r>
          </w:p>
        </w:tc>
        <w:tc>
          <w:tcPr>
            <w:tcW w:w="825"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458.092</w:t>
            </w:r>
          </w:p>
        </w:tc>
      </w:tr>
      <w:tr>
        <w:tblPrEx>
          <w:tblCellMar>
            <w:top w:w="0" w:type="dxa"/>
            <w:left w:w="0" w:type="dxa"/>
            <w:bottom w:w="0" w:type="dxa"/>
            <w:right w:w="0" w:type="dxa"/>
          </w:tblCellMar>
        </w:tblPrEx>
        <w:trPr>
          <w:trHeight w:val="280" w:hRule="atLeast"/>
          <w:jc w:val="center"/>
        </w:trPr>
        <w:tc>
          <w:tcPr>
            <w:tcW w:w="1555" w:type="dxa"/>
            <w:gridSpan w:val="2"/>
            <w:tcBorders>
              <w:top w:val="nil"/>
              <w:left w:val="single" w:color="000000" w:sz="8" w:space="0"/>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0"/>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0"/>
                <w:highlight w:val="none"/>
                <w:lang w:bidi="ar"/>
                <w14:textFill>
                  <w14:solidFill>
                    <w14:schemeClr w14:val="tx1"/>
                  </w14:solidFill>
                </w14:textFill>
              </w:rPr>
              <w:t>比例</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30.50%</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1.18%</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30.24%</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14.42%</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0.102</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1.38%</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3.17%</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0.39%</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0.69%</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1.84%</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0.17%</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0.06%</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0.23%</w:t>
            </w:r>
          </w:p>
        </w:tc>
        <w:tc>
          <w:tcPr>
            <w:tcW w:w="777"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0.94%</w:t>
            </w:r>
          </w:p>
        </w:tc>
        <w:tc>
          <w:tcPr>
            <w:tcW w:w="825"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lang w:bidi="ar"/>
                <w14:textFill>
                  <w14:solidFill>
                    <w14:schemeClr w14:val="tx1"/>
                  </w14:solidFill>
                </w14:textFill>
              </w:rPr>
              <w:t>/</w:t>
            </w:r>
          </w:p>
        </w:tc>
      </w:tr>
    </w:tbl>
    <w:p>
      <w:pPr>
        <w:rPr>
          <w:rFonts w:hint="default" w:ascii="Times New Roman" w:hAnsi="Times New Roman" w:cs="Times New Roman" w:eastAsiaTheme="minorEastAsia"/>
          <w:color w:val="000000" w:themeColor="text1"/>
          <w:highlight w:val="none"/>
          <w14:textFill>
            <w14:solidFill>
              <w14:schemeClr w14:val="tx1"/>
            </w14:solidFill>
          </w14:textFill>
        </w:rPr>
        <w:sectPr>
          <w:pgSz w:w="16838" w:h="11906" w:orient="landscape"/>
          <w:pgMar w:top="1588" w:right="1587" w:bottom="1588" w:left="1587" w:header="720" w:footer="720" w:gutter="0"/>
          <w:pgBorders>
            <w:top w:val="none" w:sz="0" w:space="0"/>
            <w:left w:val="none" w:sz="0" w:space="0"/>
            <w:bottom w:val="none" w:sz="0" w:space="0"/>
            <w:right w:val="none" w:sz="0" w:space="0"/>
          </w:pgBorders>
          <w:cols w:space="720" w:num="1"/>
          <w:rtlGutter w:val="0"/>
          <w:docGrid w:type="lines" w:linePitch="312" w:charSpace="0"/>
        </w:sectPr>
      </w:pPr>
    </w:p>
    <w:p>
      <w:pPr>
        <w:pStyle w:val="2"/>
        <w:ind w:left="0" w:leftChars="0" w:firstLine="0" w:firstLineChars="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
          <w:color w:val="000000" w:themeColor="text1"/>
          <w:highlight w:val="none"/>
          <w14:textFill>
            <w14:solidFill>
              <w14:schemeClr w14:val="tx1"/>
            </w14:solidFill>
          </w14:textFill>
        </w:rPr>
        <w:drawing>
          <wp:anchor distT="0" distB="0" distL="114300" distR="114300" simplePos="0" relativeHeight="251659264" behindDoc="0" locked="0" layoutInCell="1" allowOverlap="1">
            <wp:simplePos x="0" y="0"/>
            <wp:positionH relativeFrom="column">
              <wp:posOffset>661670</wp:posOffset>
            </wp:positionH>
            <wp:positionV relativeFrom="paragraph">
              <wp:posOffset>-2540</wp:posOffset>
            </wp:positionV>
            <wp:extent cx="4229100" cy="2717800"/>
            <wp:effectExtent l="9525" t="9525" r="13335" b="15875"/>
            <wp:wrapTopAndBottom/>
            <wp:docPr id="2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true"/>
                    </pic:cNvPicPr>
                  </pic:nvPicPr>
                  <pic:blipFill>
                    <a:blip r:embed="rId20"/>
                    <a:stretch>
                      <a:fillRect/>
                    </a:stretch>
                  </pic:blipFill>
                  <pic:spPr>
                    <a:xfrm>
                      <a:off x="0" y="0"/>
                      <a:ext cx="4229100" cy="2717800"/>
                    </a:xfrm>
                    <a:prstGeom prst="rect">
                      <a:avLst/>
                    </a:prstGeom>
                    <a:noFill/>
                    <a:ln w="9525" cap="flat" cmpd="sng">
                      <a:solidFill>
                        <a:srgbClr val="000000"/>
                      </a:solidFill>
                      <a:prstDash val="solid"/>
                      <a:miter/>
                      <a:headEnd type="none" w="med" len="med"/>
                      <a:tailEnd type="none" w="med" len="med"/>
                    </a:ln>
                  </pic:spPr>
                </pic:pic>
              </a:graphicData>
            </a:graphic>
          </wp:anchor>
        </w:drawing>
      </w:r>
    </w:p>
    <w:p>
      <w:pPr>
        <w:pStyle w:val="8"/>
        <w:ind w:firstLine="0" w:firstLineChars="0"/>
        <w:jc w:val="center"/>
        <w:rPr>
          <w:rFonts w:hint="default" w:ascii="Times New Roman" w:hAnsi="Times New Roman" w:cs="Times New Roman" w:eastAsiaTheme="minorEastAsia"/>
          <w:b/>
          <w:color w:val="000000" w:themeColor="text1"/>
          <w:szCs w:val="24"/>
          <w:highlight w:val="none"/>
          <w14:textFill>
            <w14:solidFill>
              <w14:schemeClr w14:val="tx1"/>
            </w14:solidFill>
          </w14:textFill>
        </w:rPr>
      </w:pPr>
      <w:r>
        <w:rPr>
          <w:rFonts w:hint="default" w:ascii="Times New Roman" w:hAnsi="Times New Roman" w:cs="Times New Roman" w:eastAsiaTheme="minorEastAsia"/>
          <w:b/>
          <w:color w:val="000000" w:themeColor="text1"/>
          <w:szCs w:val="24"/>
          <w:highlight w:val="none"/>
          <w14:textFill>
            <w14:solidFill>
              <w14:schemeClr w14:val="tx1"/>
            </w14:solidFill>
          </w14:textFill>
        </w:rPr>
        <w:t>图2.2.3-2抚仙湖流域土地利用类型比例图</w:t>
      </w:r>
    </w:p>
    <w:p>
      <w:pPr>
        <w:widowControl/>
        <w:spacing w:before="120" w:beforeLines="50"/>
        <w:jc w:val="center"/>
        <w:textAlignment w:val="center"/>
        <w:rPr>
          <w:rFonts w:hint="eastAsia" w:ascii="Times New Roman" w:hAnsi="Times New Roman" w:cs="Times New Roman" w:eastAsiaTheme="minorEastAsia"/>
          <w:b/>
          <w:color w:val="000000" w:themeColor="text1"/>
          <w:kern w:val="0"/>
          <w:szCs w:val="21"/>
          <w:highlight w:val="none"/>
          <w:lang w:eastAsia="zh-CN" w:bidi="ar"/>
          <w14:textFill>
            <w14:solidFill>
              <w14:schemeClr w14:val="tx1"/>
            </w14:solidFill>
          </w14:textFill>
        </w:rPr>
      </w:pPr>
      <w:r>
        <w:rPr>
          <w:rFonts w:hint="default" w:ascii="Times New Roman" w:hAnsi="Times New Roman" w:cs="Times New Roman" w:eastAsiaTheme="minorEastAsia"/>
          <w:b/>
          <w:color w:val="000000" w:themeColor="text1"/>
          <w:kern w:val="0"/>
          <w:szCs w:val="21"/>
          <w:highlight w:val="none"/>
          <w:lang w:bidi="ar"/>
          <w14:textFill>
            <w14:solidFill>
              <w14:schemeClr w14:val="tx1"/>
            </w14:solidFill>
          </w14:textFill>
        </w:rPr>
        <w:t>表2.2.3-2抚仙湖流域耕地坡度分布统计表单位：km</w:t>
      </w:r>
      <w:r>
        <w:rPr>
          <w:rFonts w:hint="default" w:ascii="Times New Roman" w:hAnsi="Times New Roman" w:cs="Times New Roman" w:eastAsiaTheme="minorEastAsia"/>
          <w:b/>
          <w:color w:val="000000" w:themeColor="text1"/>
          <w:kern w:val="0"/>
          <w:szCs w:val="21"/>
          <w:highlight w:val="none"/>
          <w:vertAlign w:val="superscript"/>
          <w:lang w:bidi="ar"/>
          <w14:textFill>
            <w14:solidFill>
              <w14:schemeClr w14:val="tx1"/>
            </w14:solidFill>
          </w14:textFill>
        </w:rPr>
        <w:t>2</w:t>
      </w:r>
    </w:p>
    <w:tbl>
      <w:tblPr>
        <w:tblStyle w:val="17"/>
        <w:tblW w:w="9325" w:type="dxa"/>
        <w:jc w:val="center"/>
        <w:tblLayout w:type="fixed"/>
        <w:tblCellMar>
          <w:top w:w="0" w:type="dxa"/>
          <w:left w:w="0" w:type="dxa"/>
          <w:bottom w:w="0" w:type="dxa"/>
          <w:right w:w="0" w:type="dxa"/>
        </w:tblCellMar>
      </w:tblPr>
      <w:tblGrid>
        <w:gridCol w:w="1004"/>
        <w:gridCol w:w="1006"/>
        <w:gridCol w:w="1099"/>
        <w:gridCol w:w="1004"/>
        <w:gridCol w:w="1004"/>
        <w:gridCol w:w="1004"/>
        <w:gridCol w:w="1004"/>
        <w:gridCol w:w="1100"/>
        <w:gridCol w:w="1100"/>
      </w:tblGrid>
      <w:tr>
        <w:tblPrEx>
          <w:tblCellMar>
            <w:top w:w="0" w:type="dxa"/>
            <w:left w:w="0" w:type="dxa"/>
            <w:bottom w:w="0" w:type="dxa"/>
            <w:right w:w="0" w:type="dxa"/>
          </w:tblCellMar>
        </w:tblPrEx>
        <w:trPr>
          <w:trHeight w:val="555" w:hRule="atLeast"/>
          <w:jc w:val="center"/>
        </w:trPr>
        <w:tc>
          <w:tcPr>
            <w:tcW w:w="1004"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pPr>
            <w: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t>县（市、区）</w:t>
            </w:r>
          </w:p>
        </w:tc>
        <w:tc>
          <w:tcPr>
            <w:tcW w:w="1006" w:type="dxa"/>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pPr>
            <w: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t>乡镇</w:t>
            </w:r>
          </w:p>
        </w:tc>
        <w:tc>
          <w:tcPr>
            <w:tcW w:w="1099" w:type="dxa"/>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pPr>
            <w: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t>≤2°</w:t>
            </w:r>
          </w:p>
        </w:tc>
        <w:tc>
          <w:tcPr>
            <w:tcW w:w="1004" w:type="dxa"/>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pPr>
            <w: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t>2~6°</w:t>
            </w:r>
          </w:p>
        </w:tc>
        <w:tc>
          <w:tcPr>
            <w:tcW w:w="1004" w:type="dxa"/>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pPr>
            <w: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t>6~15°</w:t>
            </w:r>
          </w:p>
        </w:tc>
        <w:tc>
          <w:tcPr>
            <w:tcW w:w="1004" w:type="dxa"/>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pPr>
            <w: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t>15~25°</w:t>
            </w:r>
          </w:p>
        </w:tc>
        <w:tc>
          <w:tcPr>
            <w:tcW w:w="1004" w:type="dxa"/>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pPr>
            <w: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t>≥25°</w:t>
            </w:r>
          </w:p>
        </w:tc>
        <w:tc>
          <w:tcPr>
            <w:tcW w:w="1100" w:type="dxa"/>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pPr>
            <w: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t>总计</w:t>
            </w:r>
          </w:p>
        </w:tc>
        <w:tc>
          <w:tcPr>
            <w:tcW w:w="1100" w:type="dxa"/>
            <w:tcBorders>
              <w:top w:val="single" w:color="000000" w:sz="8" w:space="0"/>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pPr>
            <w: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t>占耕地总面积%</w:t>
            </w:r>
          </w:p>
        </w:tc>
      </w:tr>
      <w:tr>
        <w:tblPrEx>
          <w:tblCellMar>
            <w:top w:w="0" w:type="dxa"/>
            <w:left w:w="0" w:type="dxa"/>
            <w:bottom w:w="0" w:type="dxa"/>
            <w:right w:w="0" w:type="dxa"/>
          </w:tblCellMar>
        </w:tblPrEx>
        <w:trPr>
          <w:trHeight w:val="295" w:hRule="atLeast"/>
          <w:jc w:val="center"/>
        </w:trPr>
        <w:tc>
          <w:tcPr>
            <w:tcW w:w="1004" w:type="dxa"/>
            <w:vMerge w:val="restart"/>
            <w:tcBorders>
              <w:top w:val="nil"/>
              <w:left w:val="single" w:color="000000" w:sz="8" w:space="0"/>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pPr>
            <w: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t>澄江市</w:t>
            </w:r>
          </w:p>
        </w:tc>
        <w:tc>
          <w:tcPr>
            <w:tcW w:w="1006"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pPr>
            <w: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t>凤麓街道</w:t>
            </w:r>
          </w:p>
        </w:tc>
        <w:tc>
          <w:tcPr>
            <w:tcW w:w="1099"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6.553</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0.0469</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0.6378</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0.1624</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0.0081</w:t>
            </w:r>
          </w:p>
        </w:tc>
        <w:tc>
          <w:tcPr>
            <w:tcW w:w="1100"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7.4082</w:t>
            </w:r>
          </w:p>
        </w:tc>
        <w:tc>
          <w:tcPr>
            <w:tcW w:w="1100"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4.62</w:t>
            </w:r>
          </w:p>
        </w:tc>
      </w:tr>
      <w:tr>
        <w:tblPrEx>
          <w:tblCellMar>
            <w:top w:w="0" w:type="dxa"/>
            <w:left w:w="0" w:type="dxa"/>
            <w:bottom w:w="0" w:type="dxa"/>
            <w:right w:w="0" w:type="dxa"/>
          </w:tblCellMar>
        </w:tblPrEx>
        <w:trPr>
          <w:trHeight w:val="295" w:hRule="atLeast"/>
          <w:jc w:val="center"/>
        </w:trPr>
        <w:tc>
          <w:tcPr>
            <w:tcW w:w="1004" w:type="dxa"/>
            <w:vMerge w:val="continue"/>
            <w:tcBorders>
              <w:top w:val="nil"/>
              <w:left w:val="single" w:color="000000" w:sz="8" w:space="0"/>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pPr>
          </w:p>
        </w:tc>
        <w:tc>
          <w:tcPr>
            <w:tcW w:w="1006"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pPr>
            <w: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t>海口镇</w:t>
            </w:r>
          </w:p>
        </w:tc>
        <w:tc>
          <w:tcPr>
            <w:tcW w:w="1099"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0.5028</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1.9078</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12.6407</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10.0314</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3.0788</w:t>
            </w:r>
          </w:p>
        </w:tc>
        <w:tc>
          <w:tcPr>
            <w:tcW w:w="1100"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28.1615</w:t>
            </w:r>
          </w:p>
        </w:tc>
        <w:tc>
          <w:tcPr>
            <w:tcW w:w="1100"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17.56</w:t>
            </w:r>
          </w:p>
        </w:tc>
      </w:tr>
      <w:tr>
        <w:tblPrEx>
          <w:tblCellMar>
            <w:top w:w="0" w:type="dxa"/>
            <w:left w:w="0" w:type="dxa"/>
            <w:bottom w:w="0" w:type="dxa"/>
            <w:right w:w="0" w:type="dxa"/>
          </w:tblCellMar>
        </w:tblPrEx>
        <w:trPr>
          <w:trHeight w:val="295" w:hRule="atLeast"/>
          <w:jc w:val="center"/>
        </w:trPr>
        <w:tc>
          <w:tcPr>
            <w:tcW w:w="1004" w:type="dxa"/>
            <w:vMerge w:val="continue"/>
            <w:tcBorders>
              <w:top w:val="nil"/>
              <w:left w:val="single" w:color="000000" w:sz="8" w:space="0"/>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pPr>
          </w:p>
        </w:tc>
        <w:tc>
          <w:tcPr>
            <w:tcW w:w="1006"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pPr>
            <w: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t>九村镇</w:t>
            </w:r>
          </w:p>
        </w:tc>
        <w:tc>
          <w:tcPr>
            <w:tcW w:w="1099"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0.4081</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1.6296</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13.9244</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8.9076</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5.1911</w:t>
            </w:r>
          </w:p>
        </w:tc>
        <w:tc>
          <w:tcPr>
            <w:tcW w:w="1100"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30.0608</w:t>
            </w:r>
          </w:p>
        </w:tc>
        <w:tc>
          <w:tcPr>
            <w:tcW w:w="1100"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18.74</w:t>
            </w:r>
          </w:p>
        </w:tc>
      </w:tr>
      <w:tr>
        <w:tblPrEx>
          <w:tblCellMar>
            <w:top w:w="0" w:type="dxa"/>
            <w:left w:w="0" w:type="dxa"/>
            <w:bottom w:w="0" w:type="dxa"/>
            <w:right w:w="0" w:type="dxa"/>
          </w:tblCellMar>
        </w:tblPrEx>
        <w:trPr>
          <w:trHeight w:val="295" w:hRule="atLeast"/>
          <w:jc w:val="center"/>
        </w:trPr>
        <w:tc>
          <w:tcPr>
            <w:tcW w:w="1004" w:type="dxa"/>
            <w:vMerge w:val="continue"/>
            <w:tcBorders>
              <w:top w:val="nil"/>
              <w:left w:val="single" w:color="000000" w:sz="8" w:space="0"/>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pPr>
          </w:p>
        </w:tc>
        <w:tc>
          <w:tcPr>
            <w:tcW w:w="1006"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pPr>
            <w: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t>龙街街道</w:t>
            </w:r>
          </w:p>
        </w:tc>
        <w:tc>
          <w:tcPr>
            <w:tcW w:w="1099"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9.502</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2.9314</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6.9484</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3.7653</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0.8797</w:t>
            </w:r>
          </w:p>
        </w:tc>
        <w:tc>
          <w:tcPr>
            <w:tcW w:w="1100"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24.0268</w:t>
            </w:r>
          </w:p>
        </w:tc>
        <w:tc>
          <w:tcPr>
            <w:tcW w:w="1100"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14.98</w:t>
            </w:r>
          </w:p>
        </w:tc>
      </w:tr>
      <w:tr>
        <w:tblPrEx>
          <w:tblCellMar>
            <w:top w:w="0" w:type="dxa"/>
            <w:left w:w="0" w:type="dxa"/>
            <w:bottom w:w="0" w:type="dxa"/>
            <w:right w:w="0" w:type="dxa"/>
          </w:tblCellMar>
        </w:tblPrEx>
        <w:trPr>
          <w:trHeight w:val="295" w:hRule="atLeast"/>
          <w:jc w:val="center"/>
        </w:trPr>
        <w:tc>
          <w:tcPr>
            <w:tcW w:w="1004" w:type="dxa"/>
            <w:vMerge w:val="continue"/>
            <w:tcBorders>
              <w:top w:val="nil"/>
              <w:left w:val="single" w:color="000000" w:sz="8" w:space="0"/>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pPr>
          </w:p>
        </w:tc>
        <w:tc>
          <w:tcPr>
            <w:tcW w:w="1006"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pPr>
            <w: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t>阳宗镇</w:t>
            </w:r>
          </w:p>
        </w:tc>
        <w:tc>
          <w:tcPr>
            <w:tcW w:w="1099"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5.3715</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2.5375</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16.671</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7.2396</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1.1698</w:t>
            </w:r>
          </w:p>
        </w:tc>
        <w:tc>
          <w:tcPr>
            <w:tcW w:w="1100"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32.9894</w:t>
            </w:r>
          </w:p>
        </w:tc>
        <w:tc>
          <w:tcPr>
            <w:tcW w:w="1100"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20.57</w:t>
            </w:r>
          </w:p>
        </w:tc>
      </w:tr>
      <w:tr>
        <w:tblPrEx>
          <w:tblCellMar>
            <w:top w:w="0" w:type="dxa"/>
            <w:left w:w="0" w:type="dxa"/>
            <w:bottom w:w="0" w:type="dxa"/>
            <w:right w:w="0" w:type="dxa"/>
          </w:tblCellMar>
        </w:tblPrEx>
        <w:trPr>
          <w:trHeight w:val="285" w:hRule="atLeast"/>
          <w:jc w:val="center"/>
        </w:trPr>
        <w:tc>
          <w:tcPr>
            <w:tcW w:w="1004" w:type="dxa"/>
            <w:vMerge w:val="continue"/>
            <w:tcBorders>
              <w:top w:val="nil"/>
              <w:left w:val="single" w:color="000000" w:sz="8" w:space="0"/>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pPr>
          </w:p>
        </w:tc>
        <w:tc>
          <w:tcPr>
            <w:tcW w:w="1006"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pPr>
            <w: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t>右所镇</w:t>
            </w:r>
          </w:p>
        </w:tc>
        <w:tc>
          <w:tcPr>
            <w:tcW w:w="1099"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11.0069</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1.7258</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5.8959</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2.7633</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0.3567</w:t>
            </w:r>
          </w:p>
        </w:tc>
        <w:tc>
          <w:tcPr>
            <w:tcW w:w="1100"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21.7486</w:t>
            </w:r>
          </w:p>
        </w:tc>
        <w:tc>
          <w:tcPr>
            <w:tcW w:w="1100"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13.56</w:t>
            </w:r>
          </w:p>
        </w:tc>
      </w:tr>
      <w:tr>
        <w:tblPrEx>
          <w:tblCellMar>
            <w:top w:w="0" w:type="dxa"/>
            <w:left w:w="0" w:type="dxa"/>
            <w:bottom w:w="0" w:type="dxa"/>
            <w:right w:w="0" w:type="dxa"/>
          </w:tblCellMar>
        </w:tblPrEx>
        <w:trPr>
          <w:trHeight w:val="285" w:hRule="atLeast"/>
          <w:jc w:val="center"/>
        </w:trPr>
        <w:tc>
          <w:tcPr>
            <w:tcW w:w="1004" w:type="dxa"/>
            <w:vMerge w:val="continue"/>
            <w:tcBorders>
              <w:top w:val="nil"/>
              <w:left w:val="single" w:color="000000" w:sz="8" w:space="0"/>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pPr>
          </w:p>
        </w:tc>
        <w:tc>
          <w:tcPr>
            <w:tcW w:w="1006"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pPr>
            <w: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t>路居镇</w:t>
            </w:r>
          </w:p>
        </w:tc>
        <w:tc>
          <w:tcPr>
            <w:tcW w:w="1099"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3.0303</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2.6369</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5.5015</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4.0237</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0.7806</w:t>
            </w:r>
          </w:p>
        </w:tc>
        <w:tc>
          <w:tcPr>
            <w:tcW w:w="1100"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15.973</w:t>
            </w:r>
          </w:p>
        </w:tc>
        <w:tc>
          <w:tcPr>
            <w:tcW w:w="1100"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9.96</w:t>
            </w:r>
          </w:p>
        </w:tc>
      </w:tr>
      <w:tr>
        <w:tblPrEx>
          <w:tblCellMar>
            <w:top w:w="0" w:type="dxa"/>
            <w:left w:w="0" w:type="dxa"/>
            <w:bottom w:w="0" w:type="dxa"/>
            <w:right w:w="0" w:type="dxa"/>
          </w:tblCellMar>
        </w:tblPrEx>
        <w:trPr>
          <w:trHeight w:val="285" w:hRule="atLeast"/>
          <w:jc w:val="center"/>
        </w:trPr>
        <w:tc>
          <w:tcPr>
            <w:tcW w:w="2010" w:type="dxa"/>
            <w:gridSpan w:val="2"/>
            <w:tcBorders>
              <w:top w:val="nil"/>
              <w:left w:val="single" w:color="000000" w:sz="8" w:space="0"/>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pPr>
            <w:r>
              <w:rPr>
                <w:rFonts w:hint="default" w:ascii="Times New Roman" w:hAnsi="Times New Roman" w:cs="Times New Roman" w:eastAsiaTheme="minorEastAsia"/>
                <w:b/>
                <w:bCs/>
                <w:color w:val="000000" w:themeColor="text1"/>
                <w:kern w:val="0"/>
                <w:sz w:val="20"/>
                <w:highlight w:val="none"/>
                <w:lang w:bidi="ar"/>
                <w14:textFill>
                  <w14:solidFill>
                    <w14:schemeClr w14:val="tx1"/>
                  </w14:solidFill>
                </w14:textFill>
              </w:rPr>
              <w:t>合计</w:t>
            </w:r>
          </w:p>
        </w:tc>
        <w:tc>
          <w:tcPr>
            <w:tcW w:w="1099"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36.3746</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13.4159</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62.2197</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36.8933</w:t>
            </w:r>
          </w:p>
        </w:tc>
        <w:tc>
          <w:tcPr>
            <w:tcW w:w="1004"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11.4648</w:t>
            </w:r>
          </w:p>
        </w:tc>
        <w:tc>
          <w:tcPr>
            <w:tcW w:w="1100"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lang w:bidi="ar"/>
                <w14:textFill>
                  <w14:solidFill>
                    <w14:schemeClr w14:val="tx1"/>
                  </w14:solidFill>
                </w14:textFill>
              </w:rPr>
              <w:t>160.3683</w:t>
            </w:r>
          </w:p>
        </w:tc>
        <w:tc>
          <w:tcPr>
            <w:tcW w:w="1100" w:type="dxa"/>
            <w:tcBorders>
              <w:top w:val="nil"/>
              <w:left w:val="nil"/>
              <w:bottom w:val="single" w:color="000000" w:sz="8" w:space="0"/>
              <w:right w:val="single" w:color="000000" w:sz="8" w:space="0"/>
            </w:tcBorders>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bidi="ar"/>
                <w14:textFill>
                  <w14:solidFill>
                    <w14:schemeClr w14:val="tx1"/>
                  </w14:solidFill>
                </w14:textFill>
              </w:rPr>
              <w:t>100</w:t>
            </w:r>
          </w:p>
        </w:tc>
      </w:tr>
    </w:tbl>
    <w:p>
      <w:pPr>
        <w:pStyle w:val="8"/>
        <w:ind w:firstLine="0" w:firstLineChars="0"/>
        <w:jc w:val="center"/>
        <w:rPr>
          <w:rFonts w:hint="default" w:ascii="Times New Roman" w:hAnsi="Times New Roman" w:cs="Times New Roman" w:eastAsiaTheme="minorEastAsia"/>
          <w:color w:val="000000" w:themeColor="text1"/>
          <w:spacing w:val="8"/>
          <w:sz w:val="20"/>
          <w:highlight w:val="none"/>
          <w:vertAlign w:val="superscript"/>
          <w14:textFill>
            <w14:solidFill>
              <w14:schemeClr w14:val="tx1"/>
            </w14:solidFill>
          </w14:textFill>
        </w:rPr>
      </w:pPr>
    </w:p>
    <w:p>
      <w:pPr>
        <w:pStyle w:val="8"/>
        <w:ind w:firstLine="0" w:firstLineChars="0"/>
        <w:jc w:val="center"/>
        <w:rPr>
          <w:rFonts w:hint="default" w:ascii="Times New Roman" w:hAnsi="Times New Roman" w:cs="Times New Roman" w:eastAsiaTheme="minorEastAsia"/>
          <w:color w:val="000000" w:themeColor="text1"/>
          <w:spacing w:val="8"/>
          <w:sz w:val="20"/>
          <w:highlight w:val="none"/>
          <w:vertAlign w:val="superscript"/>
          <w14:textFill>
            <w14:solidFill>
              <w14:schemeClr w14:val="tx1"/>
            </w14:solidFill>
          </w14:textFill>
        </w:rPr>
      </w:pPr>
    </w:p>
    <w:p>
      <w:pPr>
        <w:rPr>
          <w:rFonts w:hint="default" w:ascii="Times New Roman" w:hAnsi="Times New Roman" w:cs="Times New Roman" w:eastAsiaTheme="minorEastAsia"/>
          <w:color w:val="000000" w:themeColor="text1"/>
          <w:spacing w:val="8"/>
          <w:sz w:val="20"/>
          <w:highlight w:val="none"/>
          <w:vertAlign w:val="superscript"/>
          <w14:textFill>
            <w14:solidFill>
              <w14:schemeClr w14:val="tx1"/>
            </w14:solidFill>
          </w14:textFill>
        </w:rPr>
      </w:pPr>
      <w:r>
        <w:rPr>
          <w:rFonts w:hint="default" w:ascii="Times New Roman" w:hAnsi="Times New Roman" w:cs="Times New Roman" w:eastAsiaTheme="minorEastAsia"/>
          <w:color w:val="000000" w:themeColor="text1"/>
          <w:spacing w:val="8"/>
          <w:sz w:val="20"/>
          <w:highlight w:val="none"/>
          <w:vertAlign w:val="superscript"/>
          <w14:textFill>
            <w14:solidFill>
              <w14:schemeClr w14:val="tx1"/>
            </w14:solidFill>
          </w14:textFill>
        </w:rPr>
        <w:br w:type="page"/>
      </w: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169" w:name="_Toc466369296"/>
      <w:bookmarkEnd w:id="169"/>
      <w:bookmarkStart w:id="170" w:name="_Toc20128"/>
      <w:bookmarkStart w:id="171" w:name="_Toc8311"/>
      <w:bookmarkStart w:id="172" w:name="_Toc7446"/>
      <w:bookmarkStart w:id="173" w:name="_Toc520215422"/>
      <w:bookmarkStart w:id="174" w:name="_Toc11173"/>
      <w:bookmarkStart w:id="175" w:name="_Toc15623"/>
      <w:bookmarkStart w:id="176" w:name="_Toc535866187"/>
      <w:bookmarkStart w:id="177" w:name="_Toc28557"/>
      <w:r>
        <w:rPr>
          <w:rFonts w:hint="default" w:ascii="Times New Roman" w:hAnsi="Times New Roman" w:cs="Times New Roman" w:eastAsiaTheme="minorEastAsia"/>
          <w:color w:val="000000" w:themeColor="text1"/>
          <w:highlight w:val="none"/>
          <w14:textFill>
            <w14:solidFill>
              <w14:schemeClr w14:val="tx1"/>
            </w14:solidFill>
          </w14:textFill>
        </w:rPr>
        <w:t>2.2.4经济状况</w:t>
      </w:r>
      <w:bookmarkEnd w:id="170"/>
      <w:bookmarkEnd w:id="171"/>
      <w:bookmarkEnd w:id="172"/>
      <w:bookmarkEnd w:id="173"/>
      <w:bookmarkEnd w:id="174"/>
      <w:bookmarkEnd w:id="175"/>
      <w:bookmarkEnd w:id="176"/>
      <w:bookmarkEnd w:id="177"/>
    </w:p>
    <w:p>
      <w:pPr>
        <w:pStyle w:val="6"/>
        <w:rPr>
          <w:rFonts w:hint="default" w:ascii="Times New Roman" w:hAnsi="Times New Roman" w:cs="Times New Roman" w:eastAsiaTheme="minorEastAsia"/>
          <w:color w:val="000000" w:themeColor="text1"/>
          <w:highlight w:val="none"/>
          <w14:textFill>
            <w14:solidFill>
              <w14:schemeClr w14:val="tx1"/>
            </w14:solidFill>
          </w14:textFill>
        </w:rPr>
      </w:pPr>
      <w:bookmarkStart w:id="178" w:name="_Toc3840291"/>
      <w:bookmarkStart w:id="179" w:name="_Toc32690"/>
      <w:bookmarkStart w:id="180" w:name="_Toc535866188"/>
      <w:bookmarkStart w:id="181" w:name="_Toc10391707"/>
      <w:bookmarkStart w:id="182" w:name="_Toc13368"/>
      <w:bookmarkStart w:id="183" w:name="_Toc12155"/>
      <w:bookmarkStart w:id="184" w:name="_Toc2724"/>
      <w:bookmarkStart w:id="185" w:name="_Toc29531"/>
      <w:bookmarkStart w:id="186" w:name="_Toc690"/>
      <w:bookmarkStart w:id="187" w:name="_Toc520215423"/>
      <w:bookmarkStart w:id="188" w:name="_Toc12962298"/>
      <w:bookmarkStart w:id="189" w:name="_Toc23557"/>
      <w:bookmarkStart w:id="190" w:name="_Toc2678970"/>
      <w:bookmarkStart w:id="191" w:name="_Toc20679"/>
      <w:bookmarkStart w:id="192" w:name="_Toc3827255"/>
      <w:bookmarkStart w:id="193" w:name="_Toc3827902"/>
      <w:bookmarkStart w:id="194" w:name="_Toc18609"/>
      <w:bookmarkStart w:id="195" w:name="_Toc535867075"/>
      <w:bookmarkStart w:id="196" w:name="_Toc3575261"/>
      <w:bookmarkStart w:id="197" w:name="_Toc7469"/>
      <w:bookmarkStart w:id="198" w:name="_Toc19677"/>
      <w:r>
        <w:rPr>
          <w:rFonts w:hint="default" w:ascii="Times New Roman" w:hAnsi="Times New Roman" w:cs="Times New Roman" w:eastAsiaTheme="minorEastAsia"/>
          <w:color w:val="000000" w:themeColor="text1"/>
          <w:highlight w:val="none"/>
          <w14:textFill>
            <w14:solidFill>
              <w14:schemeClr w14:val="tx1"/>
            </w14:solidFill>
          </w14:textFill>
        </w:rPr>
        <w:t>2.2.4.1农业生产状况</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抚仙湖流域耕地面积约26.16万亩，耕作多为分散耕作。流域内主要种植农作物为蔬菜、水稻、小麦、玉米、烤烟和水果，一年多季，以蔬菜种植面积最大，其次是烤烟。旱地和水田主要分布在抚仙湖北部北岸片区的凤麓街道、右所镇、龙街街道，抚仙湖南岸和西岸的路居片区路居镇、明星村、牛摩村，以及抚仙湖东岸的海关村、海镜村。</w:t>
      </w:r>
    </w:p>
    <w:p>
      <w:pPr>
        <w:ind w:firstLine="480" w:firstLineChars="200"/>
        <w:rPr>
          <w:rFonts w:hint="default" w:ascii="Times New Roman" w:hAnsi="Times New Roman" w:cs="Times New Roman" w:eastAsiaTheme="minorEastAsia"/>
          <w:color w:val="000000" w:themeColor="text1"/>
          <w:kern w:val="0"/>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十二五”以来，抚仙湖流域农业产业结构不断优化，压缩大水大肥农作物种植面积，转变种植模式，推广蓝莓、荷藕等减肥控药、高效节水作物及生态种植模式，提高粮经比例，推进传统农业向现代生态休闲观光体验农业转型升级，全力发展高原特色现代农业。以高西、左所、广龙片区为重点，着力发展蓝莓庄园，加快龙街、右所蓝莓种植区建设；以吉花、小西片区为重点，加快建设荷藕庄园；以帽天山片区为重点种植大樱桃，在环湖北路区域推进玉溪庄园、木森景观建设，发展具有澄江特色的蓝莓、荷藕、木森等现代庄园。2017年12月，为深入贯彻“两山论”精神，认真落实李克强总理对抚仙湖保护治理的重要批示精神，玉溪市紧急启动了保卫抚仙湖</w:t>
      </w:r>
      <w:r>
        <w:rPr>
          <w:rFonts w:hint="default" w:ascii="Times New Roman" w:hAnsi="Times New Roman" w:cs="Times New Roman" w:eastAsiaTheme="minorEastAsia"/>
          <w:color w:val="000000" w:themeColor="text1"/>
          <w:kern w:val="0"/>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雷霆行动</w:t>
      </w:r>
      <w:r>
        <w:rPr>
          <w:rFonts w:hint="default" w:ascii="Times New Roman" w:hAnsi="Times New Roman" w:cs="Times New Roman" w:eastAsiaTheme="minorEastAsia"/>
          <w:color w:val="000000" w:themeColor="text1"/>
          <w:kern w:val="0"/>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通过大力推进抚仙湖径流区休耕轮作项目，进一步加快径流区农业产业结构调整步伐，按照“生态优先、因地制宜、休调结合、进退并举”原则，发展以烤烟、蓝莓、香根草、景观苗木、经果林等节肥、节药型作物和种植水稻、荷藕等具有湿地净化功能的水生作物为主的绿色农业，推动农业与旅游、文化、健康养生等三产融合发展。</w:t>
      </w:r>
    </w:p>
    <w:p>
      <w:pPr>
        <w:ind w:firstLine="480" w:firstLineChars="200"/>
        <w:rPr>
          <w:rFonts w:hint="default" w:ascii="Times New Roman" w:hAnsi="Times New Roman" w:cs="Times New Roman" w:eastAsiaTheme="minorEastAsia"/>
          <w:color w:val="000000" w:themeColor="text1"/>
          <w:kern w:val="0"/>
          <w:sz w:val="32"/>
          <w:szCs w:val="32"/>
          <w:highlight w:val="none"/>
          <w:lang w:bidi="ar"/>
          <w14:textFill>
            <w14:solidFill>
              <w14:schemeClr w14:val="tx1"/>
            </w14:solidFill>
          </w14:textFill>
        </w:rPr>
      </w:pPr>
      <w:r>
        <w:rPr>
          <w:rFonts w:hint="eastAsia" w:cs="Times New Roman" w:eastAsiaTheme="minorEastAsia"/>
          <w:color w:val="000000" w:themeColor="text1"/>
          <w:kern w:val="0"/>
          <w:szCs w:val="24"/>
          <w:highlight w:val="none"/>
          <w:lang w:eastAsia="zh-CN"/>
          <w14:textFill>
            <w14:solidFill>
              <w14:schemeClr w14:val="tx1"/>
            </w14:solidFill>
          </w14:textFill>
        </w:rPr>
        <w:t>截至</w:t>
      </w: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2019年底，项目已建设0.57万亩绿色水稻种植基地，主要分布在龙街街道、右所镇、路居镇。建设2万亩绿色优质烤烟水旱轮作示范区，其中龙街街道0.5万亩、右所镇1万亩、路居镇0.4万亩、凤麓街道0.1万亩。建设0.33万亩荷藕基地，主要分布在龙街街道、右所镇、路居镇。葵花、大豆预计种植0.3万亩，目前正在落实种植主体与面积。建设香根草种植基地0.4万亩，主要分布在龙街街道、海口镇、路居镇。建设蓝莓种植基地0.5万亩，主要分布在龙街街道、右所镇、海口镇，凤麓街道。建设绿化苗木基地1.5万亩，主要布局在龙街街道、右所镇。构建生态湿地屏障区0.7万亩正在推进。随着抚仙湖流域耕地轮作休耕项目的不断推进，已经形成了良好的社会舆论和招商氛围，适时开展土地流转区田园综合体招商引资工作。目前已与云象、云南交发投、豪枫等7户企业签订了框架合作协议，打造田园综合体，面积1.2万亩，主要布局在龙街街道、右所镇。</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抚仙湖流域休耕轮作区种植情况详见表2.2.4-1。</w:t>
      </w:r>
    </w:p>
    <w:p>
      <w:pPr>
        <w:widowControl/>
        <w:ind w:left="4094" w:leftChars="200" w:hanging="3614" w:hangingChars="1500"/>
        <w:jc w:val="cente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t>表2.2.4-1抚仙湖流域休耕轮作区种植情况单位：km</w:t>
      </w:r>
      <w:r>
        <w:rPr>
          <w:rFonts w:hint="default" w:ascii="Times New Roman" w:hAnsi="Times New Roman" w:cs="Times New Roman" w:eastAsiaTheme="minorEastAsia"/>
          <w:b/>
          <w:color w:val="000000" w:themeColor="text1"/>
          <w:kern w:val="0"/>
          <w:szCs w:val="21"/>
          <w:highlight w:val="none"/>
          <w:vertAlign w:val="superscript"/>
          <w14:textFill>
            <w14:solidFill>
              <w14:schemeClr w14:val="tx1"/>
            </w14:solidFill>
          </w14:textFill>
        </w:rPr>
        <w:t>2</w:t>
      </w:r>
    </w:p>
    <w:tbl>
      <w:tblPr>
        <w:tblStyle w:val="17"/>
        <w:tblW w:w="830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72"/>
        <w:gridCol w:w="648"/>
        <w:gridCol w:w="723"/>
        <w:gridCol w:w="648"/>
        <w:gridCol w:w="650"/>
        <w:gridCol w:w="650"/>
        <w:gridCol w:w="650"/>
        <w:gridCol w:w="958"/>
        <w:gridCol w:w="726"/>
        <w:gridCol w:w="650"/>
        <w:gridCol w:w="7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blHeader/>
          <w:jc w:val="center"/>
        </w:trPr>
        <w:tc>
          <w:tcPr>
            <w:tcW w:w="1272"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乡镇</w:t>
            </w:r>
          </w:p>
        </w:tc>
        <w:tc>
          <w:tcPr>
            <w:tcW w:w="648"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荷藕</w:t>
            </w:r>
          </w:p>
        </w:tc>
        <w:tc>
          <w:tcPr>
            <w:tcW w:w="723"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烤烟</w:t>
            </w:r>
          </w:p>
        </w:tc>
        <w:tc>
          <w:tcPr>
            <w:tcW w:w="648"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蓝莓</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桑叶</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湿地</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水稻</w:t>
            </w:r>
          </w:p>
        </w:tc>
        <w:tc>
          <w:tcPr>
            <w:tcW w:w="958"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香根草</w:t>
            </w:r>
          </w:p>
        </w:tc>
        <w:tc>
          <w:tcPr>
            <w:tcW w:w="726"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休耕</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玉米</w:t>
            </w:r>
          </w:p>
        </w:tc>
        <w:tc>
          <w:tcPr>
            <w:tcW w:w="727"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b/>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2"/>
                <w:szCs w:val="22"/>
                <w:highlight w:val="none"/>
                <w:lang w:bidi="ar"/>
                <w14:textFill>
                  <w14:solidFill>
                    <w14:schemeClr w14:val="tx1"/>
                  </w14:solidFill>
                </w14:textFill>
              </w:rPr>
              <w:t>总计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jc w:val="center"/>
        </w:trPr>
        <w:tc>
          <w:tcPr>
            <w:tcW w:w="1272"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凤麓街道</w:t>
            </w:r>
          </w:p>
        </w:tc>
        <w:tc>
          <w:tcPr>
            <w:tcW w:w="648"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0.1</w:t>
            </w:r>
          </w:p>
        </w:tc>
        <w:tc>
          <w:tcPr>
            <w:tcW w:w="723"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0.74</w:t>
            </w:r>
          </w:p>
        </w:tc>
        <w:tc>
          <w:tcPr>
            <w:tcW w:w="648"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0.06</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w:t>
            </w:r>
          </w:p>
        </w:tc>
        <w:tc>
          <w:tcPr>
            <w:tcW w:w="958"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w:t>
            </w:r>
          </w:p>
        </w:tc>
        <w:tc>
          <w:tcPr>
            <w:tcW w:w="726"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0.05</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w:t>
            </w:r>
          </w:p>
        </w:tc>
        <w:tc>
          <w:tcPr>
            <w:tcW w:w="727"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jc w:val="center"/>
        </w:trPr>
        <w:tc>
          <w:tcPr>
            <w:tcW w:w="1272"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海口镇</w:t>
            </w:r>
          </w:p>
        </w:tc>
        <w:tc>
          <w:tcPr>
            <w:tcW w:w="648"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w:t>
            </w:r>
          </w:p>
        </w:tc>
        <w:tc>
          <w:tcPr>
            <w:tcW w:w="723"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w:t>
            </w:r>
          </w:p>
        </w:tc>
        <w:tc>
          <w:tcPr>
            <w:tcW w:w="648"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w:t>
            </w:r>
          </w:p>
        </w:tc>
        <w:tc>
          <w:tcPr>
            <w:tcW w:w="958"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0.34</w:t>
            </w:r>
          </w:p>
        </w:tc>
        <w:tc>
          <w:tcPr>
            <w:tcW w:w="726"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1.83</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w:t>
            </w:r>
          </w:p>
        </w:tc>
        <w:tc>
          <w:tcPr>
            <w:tcW w:w="727"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2.17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jc w:val="center"/>
        </w:trPr>
        <w:tc>
          <w:tcPr>
            <w:tcW w:w="1272"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右所镇</w:t>
            </w:r>
          </w:p>
        </w:tc>
        <w:tc>
          <w:tcPr>
            <w:tcW w:w="648"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0.68</w:t>
            </w:r>
          </w:p>
        </w:tc>
        <w:tc>
          <w:tcPr>
            <w:tcW w:w="723"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7.14</w:t>
            </w:r>
          </w:p>
        </w:tc>
        <w:tc>
          <w:tcPr>
            <w:tcW w:w="648"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0.47</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1.28</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3.44</w:t>
            </w:r>
          </w:p>
        </w:tc>
        <w:tc>
          <w:tcPr>
            <w:tcW w:w="958"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w:t>
            </w:r>
          </w:p>
        </w:tc>
        <w:tc>
          <w:tcPr>
            <w:tcW w:w="726"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0.5</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0.24</w:t>
            </w:r>
          </w:p>
        </w:tc>
        <w:tc>
          <w:tcPr>
            <w:tcW w:w="727"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13.75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jc w:val="center"/>
        </w:trPr>
        <w:tc>
          <w:tcPr>
            <w:tcW w:w="1272"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龙街街道</w:t>
            </w:r>
          </w:p>
        </w:tc>
        <w:tc>
          <w:tcPr>
            <w:tcW w:w="648"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1.49</w:t>
            </w:r>
          </w:p>
        </w:tc>
        <w:tc>
          <w:tcPr>
            <w:tcW w:w="723"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3.88</w:t>
            </w:r>
          </w:p>
        </w:tc>
        <w:tc>
          <w:tcPr>
            <w:tcW w:w="648"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2.71</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0.05</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1.06</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4</w:t>
            </w:r>
          </w:p>
        </w:tc>
        <w:tc>
          <w:tcPr>
            <w:tcW w:w="958"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w:t>
            </w:r>
          </w:p>
        </w:tc>
        <w:tc>
          <w:tcPr>
            <w:tcW w:w="726"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4.37</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0.31</w:t>
            </w:r>
          </w:p>
        </w:tc>
        <w:tc>
          <w:tcPr>
            <w:tcW w:w="727"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17.88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jc w:val="center"/>
        </w:trPr>
        <w:tc>
          <w:tcPr>
            <w:tcW w:w="1272"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路居镇</w:t>
            </w:r>
          </w:p>
        </w:tc>
        <w:tc>
          <w:tcPr>
            <w:tcW w:w="648"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0.48</w:t>
            </w:r>
          </w:p>
        </w:tc>
        <w:tc>
          <w:tcPr>
            <w:tcW w:w="723"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3.09</w:t>
            </w:r>
          </w:p>
        </w:tc>
        <w:tc>
          <w:tcPr>
            <w:tcW w:w="648"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w:t>
            </w:r>
          </w:p>
        </w:tc>
        <w:tc>
          <w:tcPr>
            <w:tcW w:w="958"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0.23</w:t>
            </w:r>
          </w:p>
        </w:tc>
        <w:tc>
          <w:tcPr>
            <w:tcW w:w="726"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5.04</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0.23</w:t>
            </w:r>
          </w:p>
        </w:tc>
        <w:tc>
          <w:tcPr>
            <w:tcW w:w="727"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9.07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jc w:val="center"/>
        </w:trPr>
        <w:tc>
          <w:tcPr>
            <w:tcW w:w="1272" w:type="dxa"/>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合计</w:t>
            </w:r>
          </w:p>
        </w:tc>
        <w:tc>
          <w:tcPr>
            <w:tcW w:w="648"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2.75</w:t>
            </w:r>
          </w:p>
        </w:tc>
        <w:tc>
          <w:tcPr>
            <w:tcW w:w="723"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14.85</w:t>
            </w:r>
          </w:p>
        </w:tc>
        <w:tc>
          <w:tcPr>
            <w:tcW w:w="648"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3.25</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0.05</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2.34</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7.43</w:t>
            </w:r>
          </w:p>
        </w:tc>
        <w:tc>
          <w:tcPr>
            <w:tcW w:w="958"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0.57</w:t>
            </w:r>
          </w:p>
        </w:tc>
        <w:tc>
          <w:tcPr>
            <w:tcW w:w="726"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11.78</w:t>
            </w:r>
          </w:p>
        </w:tc>
        <w:tc>
          <w:tcPr>
            <w:tcW w:w="650"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0.78</w:t>
            </w:r>
          </w:p>
        </w:tc>
        <w:tc>
          <w:tcPr>
            <w:tcW w:w="727" w:type="dxa"/>
            <w:shd w:val="clear" w:color="auto" w:fill="auto"/>
            <w:tcMar>
              <w:top w:w="10" w:type="dxa"/>
              <w:left w:w="10" w:type="dxa"/>
              <w:right w:w="10" w:type="dxa"/>
            </w:tcMar>
            <w:vAlign w:val="center"/>
          </w:tcPr>
          <w:p>
            <w:pPr>
              <w:widowControl/>
              <w:jc w:val="center"/>
              <w:textAlignment w:val="center"/>
              <w:rPr>
                <w:rFonts w:hint="default" w:ascii="Times New Roman" w:hAnsi="Times New Roman" w:cs="Times New Roman" w:eastAsiaTheme="minorEastAsia"/>
                <w:color w:val="000000" w:themeColor="text1"/>
                <w:sz w:val="22"/>
                <w:szCs w:val="22"/>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lang w:bidi="ar"/>
                <w14:textFill>
                  <w14:solidFill>
                    <w14:schemeClr w14:val="tx1"/>
                  </w14:solidFill>
                </w14:textFill>
              </w:rPr>
              <w:t>43.81</w:t>
            </w:r>
          </w:p>
        </w:tc>
      </w:tr>
    </w:tbl>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澄江市抚仙湖流域2020年化肥施用量为2805.98吨（折纯量）；2021年施用量为2551.95吨（折纯量）；2022年施用量为2536.64吨（折纯量）；2023年1至6月施用量（预估）为1598.6吨（折纯量）。</w:t>
      </w:r>
    </w:p>
    <w:p>
      <w:pPr>
        <w:ind w:firstLine="481" w:firstLineChars="200"/>
        <w:jc w:val="center"/>
        <w:rPr>
          <w:rFonts w:hint="default" w:ascii="Times New Roman" w:hAnsi="Times New Roman" w:cs="Times New Roman" w:eastAsiaTheme="minorEastAsia"/>
          <w:b/>
          <w:bCs/>
          <w:color w:val="000000" w:themeColor="text1"/>
          <w:highlight w:val="none"/>
          <w14:textFill>
            <w14:solidFill>
              <w14:schemeClr w14:val="tx1"/>
            </w14:solidFill>
          </w14:textFill>
        </w:rPr>
      </w:pPr>
      <w:r>
        <w:rPr>
          <w:rFonts w:hint="default" w:ascii="Times New Roman" w:hAnsi="Times New Roman" w:cs="Times New Roman" w:eastAsiaTheme="minorEastAsia"/>
          <w:b/>
          <w:bCs/>
          <w:color w:val="000000" w:themeColor="text1"/>
          <w:highlight w:val="none"/>
          <w14:textFill>
            <w14:solidFill>
              <w14:schemeClr w14:val="tx1"/>
            </w14:solidFill>
          </w14:textFill>
        </w:rPr>
        <w:t>表2.2.4-2抚仙湖流域化肥施用量统计表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3"/>
        <w:gridCol w:w="4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3" w:type="dxa"/>
          </w:tcPr>
          <w:p>
            <w:pPr>
              <w:pStyle w:val="2"/>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年份</w:t>
            </w:r>
          </w:p>
        </w:tc>
        <w:tc>
          <w:tcPr>
            <w:tcW w:w="4473" w:type="dxa"/>
          </w:tcPr>
          <w:p>
            <w:pPr>
              <w:pStyle w:val="2"/>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化肥用量（吨）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3" w:type="dxa"/>
          </w:tcPr>
          <w:p>
            <w:pPr>
              <w:pStyle w:val="2"/>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2020</w:t>
            </w:r>
          </w:p>
        </w:tc>
        <w:tc>
          <w:tcPr>
            <w:tcW w:w="4473" w:type="dxa"/>
          </w:tcPr>
          <w:p>
            <w:pPr>
              <w:pStyle w:val="2"/>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2805.98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73" w:type="dxa"/>
          </w:tcPr>
          <w:p>
            <w:pPr>
              <w:pStyle w:val="2"/>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2021</w:t>
            </w:r>
          </w:p>
        </w:tc>
        <w:tc>
          <w:tcPr>
            <w:tcW w:w="4473" w:type="dxa"/>
          </w:tcPr>
          <w:p>
            <w:pPr>
              <w:pStyle w:val="2"/>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2551.95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3" w:type="dxa"/>
          </w:tcPr>
          <w:p>
            <w:pPr>
              <w:pStyle w:val="2"/>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2022</w:t>
            </w:r>
          </w:p>
        </w:tc>
        <w:tc>
          <w:tcPr>
            <w:tcW w:w="4473" w:type="dxa"/>
          </w:tcPr>
          <w:p>
            <w:pPr>
              <w:pStyle w:val="2"/>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2536.64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3" w:type="dxa"/>
          </w:tcPr>
          <w:p>
            <w:pPr>
              <w:pStyle w:val="2"/>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2023（1—6月）</w:t>
            </w:r>
          </w:p>
        </w:tc>
        <w:tc>
          <w:tcPr>
            <w:tcW w:w="4473" w:type="dxa"/>
          </w:tcPr>
          <w:p>
            <w:pPr>
              <w:pStyle w:val="2"/>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1598.6</w:t>
            </w:r>
          </w:p>
        </w:tc>
      </w:tr>
    </w:tbl>
    <w:p>
      <w:pPr>
        <w:ind w:firstLine="480" w:firstLineChars="200"/>
        <w:rPr>
          <w:rFonts w:hint="default" w:ascii="Times New Roman" w:hAnsi="Times New Roman" w:cs="Times New Roman" w:eastAsiaTheme="minorEastAsia"/>
          <w:color w:val="000000" w:themeColor="text1"/>
          <w:szCs w:val="28"/>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抚仙湖流域畜禽养殖以散养为主，</w:t>
      </w:r>
      <w:r>
        <w:rPr>
          <w:rFonts w:hint="default" w:ascii="Times New Roman" w:hAnsi="Times New Roman" w:cs="Times New Roman" w:eastAsiaTheme="minorEastAsia"/>
          <w:color w:val="000000" w:themeColor="text1"/>
          <w:szCs w:val="28"/>
          <w:highlight w:val="none"/>
          <w14:textFill>
            <w14:solidFill>
              <w14:schemeClr w14:val="tx1"/>
            </w14:solidFill>
          </w14:textFill>
        </w:rPr>
        <w:t>养殖大牲畜287头，猪5724头，羊1507只，家禽38750只。见表2.2.4-3</w:t>
      </w:r>
    </w:p>
    <w:p>
      <w:pPr>
        <w:jc w:val="center"/>
        <w:rPr>
          <w:rFonts w:hint="default" w:ascii="Times New Roman" w:hAnsi="Times New Roman" w:cs="Times New Roman" w:eastAsiaTheme="minorEastAsia"/>
          <w:b/>
          <w:color w:val="000000" w:themeColor="text1"/>
          <w:szCs w:val="24"/>
          <w:highlight w:val="none"/>
          <w14:textFill>
            <w14:solidFill>
              <w14:schemeClr w14:val="tx1"/>
            </w14:solidFill>
          </w14:textFill>
        </w:rPr>
      </w:pPr>
      <w:r>
        <w:rPr>
          <w:rFonts w:hint="default" w:ascii="Times New Roman" w:hAnsi="Times New Roman" w:cs="Times New Roman" w:eastAsiaTheme="minorEastAsia"/>
          <w:b/>
          <w:color w:val="000000" w:themeColor="text1"/>
          <w:szCs w:val="24"/>
          <w:highlight w:val="none"/>
          <w14:textFill>
            <w14:solidFill>
              <w14:schemeClr w14:val="tx1"/>
            </w14:solidFill>
          </w14:textFill>
        </w:rPr>
        <w:t>表2.2.4-3抚仙湖畜禽养殖（散养）情况（出栏数）单位：头/只</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1513"/>
        <w:gridCol w:w="1510"/>
        <w:gridCol w:w="1510"/>
        <w:gridCol w:w="151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10" w:type="dxa"/>
            <w:shd w:val="clear" w:color="auto" w:fill="auto"/>
            <w:vAlign w:val="center"/>
          </w:tcPr>
          <w:p>
            <w:pPr>
              <w:widowControl/>
              <w:jc w:val="cente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t>县</w:t>
            </w:r>
          </w:p>
        </w:tc>
        <w:tc>
          <w:tcPr>
            <w:tcW w:w="1513" w:type="dxa"/>
            <w:shd w:val="clear" w:color="auto" w:fill="auto"/>
            <w:vAlign w:val="center"/>
          </w:tcPr>
          <w:p>
            <w:pPr>
              <w:widowControl/>
              <w:jc w:val="cente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t>乡镇（街道）</w:t>
            </w:r>
          </w:p>
        </w:tc>
        <w:tc>
          <w:tcPr>
            <w:tcW w:w="1510" w:type="dxa"/>
            <w:shd w:val="clear" w:color="auto" w:fill="auto"/>
            <w:vAlign w:val="center"/>
          </w:tcPr>
          <w:p>
            <w:pPr>
              <w:widowControl/>
              <w:jc w:val="cente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t>牛</w:t>
            </w:r>
          </w:p>
        </w:tc>
        <w:tc>
          <w:tcPr>
            <w:tcW w:w="1510" w:type="dxa"/>
            <w:shd w:val="clear" w:color="auto" w:fill="auto"/>
            <w:vAlign w:val="center"/>
          </w:tcPr>
          <w:p>
            <w:pPr>
              <w:widowControl/>
              <w:jc w:val="cente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t>猪</w:t>
            </w:r>
          </w:p>
        </w:tc>
        <w:tc>
          <w:tcPr>
            <w:tcW w:w="1510" w:type="dxa"/>
            <w:shd w:val="clear" w:color="auto" w:fill="auto"/>
            <w:vAlign w:val="center"/>
          </w:tcPr>
          <w:p>
            <w:pPr>
              <w:widowControl/>
              <w:jc w:val="cente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t>羊</w:t>
            </w:r>
          </w:p>
        </w:tc>
        <w:tc>
          <w:tcPr>
            <w:tcW w:w="1508" w:type="dxa"/>
            <w:shd w:val="clear" w:color="auto" w:fill="auto"/>
            <w:vAlign w:val="center"/>
          </w:tcPr>
          <w:p>
            <w:pPr>
              <w:widowControl/>
              <w:jc w:val="cente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t>家禽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510" w:type="dxa"/>
            <w:vMerge w:val="restart"/>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　</w:t>
            </w:r>
          </w:p>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　　</w:t>
            </w:r>
          </w:p>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澄江市　</w:t>
            </w:r>
          </w:p>
          <w:p>
            <w:pPr>
              <w:widowControl/>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　</w:t>
            </w:r>
          </w:p>
          <w:p>
            <w:pPr>
              <w:jc w:val="left"/>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2"/>
                <w:szCs w:val="22"/>
                <w:highlight w:val="none"/>
                <w14:textFill>
                  <w14:solidFill>
                    <w14:schemeClr w14:val="tx1"/>
                  </w14:solidFill>
                </w14:textFill>
              </w:rPr>
              <w:t>　</w:t>
            </w:r>
          </w:p>
        </w:tc>
        <w:tc>
          <w:tcPr>
            <w:tcW w:w="1513"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凤麓街道</w:t>
            </w:r>
          </w:p>
        </w:tc>
        <w:tc>
          <w:tcPr>
            <w:tcW w:w="1510"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0</w:t>
            </w:r>
          </w:p>
        </w:tc>
        <w:tc>
          <w:tcPr>
            <w:tcW w:w="1510"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0</w:t>
            </w:r>
          </w:p>
        </w:tc>
        <w:tc>
          <w:tcPr>
            <w:tcW w:w="1510"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0</w:t>
            </w:r>
          </w:p>
        </w:tc>
        <w:tc>
          <w:tcPr>
            <w:tcW w:w="1508"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510" w:type="dxa"/>
            <w:vMerge w:val="continue"/>
            <w:shd w:val="clear" w:color="auto" w:fill="auto"/>
            <w:vAlign w:val="center"/>
          </w:tcPr>
          <w:p>
            <w:pPr>
              <w:jc w:val="left"/>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c>
          <w:tcPr>
            <w:tcW w:w="1513"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龙街街道</w:t>
            </w:r>
          </w:p>
        </w:tc>
        <w:tc>
          <w:tcPr>
            <w:tcW w:w="1510"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123</w:t>
            </w:r>
          </w:p>
        </w:tc>
        <w:tc>
          <w:tcPr>
            <w:tcW w:w="1510"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948</w:t>
            </w:r>
          </w:p>
        </w:tc>
        <w:tc>
          <w:tcPr>
            <w:tcW w:w="1510"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146</w:t>
            </w:r>
          </w:p>
        </w:tc>
        <w:tc>
          <w:tcPr>
            <w:tcW w:w="1508"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4232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510" w:type="dxa"/>
            <w:vMerge w:val="continue"/>
            <w:shd w:val="clear" w:color="auto" w:fill="auto"/>
            <w:vAlign w:val="center"/>
          </w:tcPr>
          <w:p>
            <w:pPr>
              <w:jc w:val="left"/>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c>
          <w:tcPr>
            <w:tcW w:w="1513"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右所镇</w:t>
            </w:r>
          </w:p>
        </w:tc>
        <w:tc>
          <w:tcPr>
            <w:tcW w:w="1510"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0</w:t>
            </w:r>
          </w:p>
        </w:tc>
        <w:tc>
          <w:tcPr>
            <w:tcW w:w="1510"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1</w:t>
            </w:r>
          </w:p>
        </w:tc>
        <w:tc>
          <w:tcPr>
            <w:tcW w:w="1510"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37</w:t>
            </w:r>
          </w:p>
        </w:tc>
        <w:tc>
          <w:tcPr>
            <w:tcW w:w="1508"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510" w:type="dxa"/>
            <w:vMerge w:val="continue"/>
            <w:shd w:val="clear" w:color="auto" w:fill="auto"/>
            <w:vAlign w:val="center"/>
          </w:tcPr>
          <w:p>
            <w:pPr>
              <w:jc w:val="left"/>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c>
          <w:tcPr>
            <w:tcW w:w="1513"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海口镇</w:t>
            </w:r>
          </w:p>
        </w:tc>
        <w:tc>
          <w:tcPr>
            <w:tcW w:w="1510"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35</w:t>
            </w:r>
          </w:p>
        </w:tc>
        <w:tc>
          <w:tcPr>
            <w:tcW w:w="1510"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1036</w:t>
            </w:r>
          </w:p>
        </w:tc>
        <w:tc>
          <w:tcPr>
            <w:tcW w:w="1510"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211</w:t>
            </w:r>
          </w:p>
        </w:tc>
        <w:tc>
          <w:tcPr>
            <w:tcW w:w="1508"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3464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510" w:type="dxa"/>
            <w:vMerge w:val="continue"/>
            <w:shd w:val="clear" w:color="auto" w:fill="auto"/>
            <w:vAlign w:val="center"/>
          </w:tcPr>
          <w:p>
            <w:pPr>
              <w:jc w:val="left"/>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c>
          <w:tcPr>
            <w:tcW w:w="1513"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九村镇</w:t>
            </w:r>
          </w:p>
        </w:tc>
        <w:tc>
          <w:tcPr>
            <w:tcW w:w="1510"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0</w:t>
            </w:r>
          </w:p>
        </w:tc>
        <w:tc>
          <w:tcPr>
            <w:tcW w:w="1510"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864</w:t>
            </w:r>
          </w:p>
        </w:tc>
        <w:tc>
          <w:tcPr>
            <w:tcW w:w="1510"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505</w:t>
            </w:r>
          </w:p>
        </w:tc>
        <w:tc>
          <w:tcPr>
            <w:tcW w:w="1508"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10026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510" w:type="dxa"/>
            <w:vMerge w:val="continue"/>
            <w:shd w:val="clear" w:color="auto" w:fill="auto"/>
          </w:tcPr>
          <w:p>
            <w:pPr>
              <w:widowControl/>
              <w:jc w:val="left"/>
              <w:rPr>
                <w:rFonts w:hint="default" w:ascii="Times New Roman" w:hAnsi="Times New Roman" w:cs="Times New Roman" w:eastAsiaTheme="minorEastAsia"/>
                <w:color w:val="000000" w:themeColor="text1"/>
                <w:kern w:val="0"/>
                <w:sz w:val="22"/>
                <w:szCs w:val="22"/>
                <w:highlight w:val="none"/>
                <w14:textFill>
                  <w14:solidFill>
                    <w14:schemeClr w14:val="tx1"/>
                  </w14:solidFill>
                </w14:textFill>
              </w:rPr>
            </w:pPr>
          </w:p>
        </w:tc>
        <w:tc>
          <w:tcPr>
            <w:tcW w:w="1513"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路居镇</w:t>
            </w:r>
          </w:p>
        </w:tc>
        <w:tc>
          <w:tcPr>
            <w:tcW w:w="1510"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129</w:t>
            </w:r>
          </w:p>
        </w:tc>
        <w:tc>
          <w:tcPr>
            <w:tcW w:w="1510"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2875</w:t>
            </w:r>
          </w:p>
        </w:tc>
        <w:tc>
          <w:tcPr>
            <w:tcW w:w="1510"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608</w:t>
            </w:r>
          </w:p>
        </w:tc>
        <w:tc>
          <w:tcPr>
            <w:tcW w:w="1508"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20335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023" w:type="dxa"/>
            <w:gridSpan w:val="2"/>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抚仙湖流域总计</w:t>
            </w:r>
          </w:p>
        </w:tc>
        <w:tc>
          <w:tcPr>
            <w:tcW w:w="1510"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287</w:t>
            </w:r>
          </w:p>
        </w:tc>
        <w:tc>
          <w:tcPr>
            <w:tcW w:w="1510"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5724</w:t>
            </w:r>
          </w:p>
        </w:tc>
        <w:tc>
          <w:tcPr>
            <w:tcW w:w="1510"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1507</w:t>
            </w:r>
          </w:p>
        </w:tc>
        <w:tc>
          <w:tcPr>
            <w:tcW w:w="1508" w:type="dxa"/>
            <w:shd w:val="clear" w:color="auto" w:fill="auto"/>
            <w:vAlign w:val="center"/>
          </w:tcPr>
          <w:p>
            <w:pPr>
              <w:widowControl/>
              <w:jc w:val="center"/>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38750</w:t>
            </w:r>
          </w:p>
        </w:tc>
      </w:tr>
    </w:tbl>
    <w:p>
      <w:pPr>
        <w:pStyle w:val="6"/>
        <w:rPr>
          <w:rFonts w:hint="default" w:ascii="Times New Roman" w:hAnsi="Times New Roman" w:cs="Times New Roman" w:eastAsiaTheme="minorEastAsia"/>
          <w:color w:val="000000" w:themeColor="text1"/>
          <w:highlight w:val="none"/>
          <w14:textFill>
            <w14:solidFill>
              <w14:schemeClr w14:val="tx1"/>
            </w14:solidFill>
          </w14:textFill>
        </w:rPr>
      </w:pPr>
      <w:bookmarkStart w:id="199" w:name="_Toc3575262"/>
      <w:bookmarkStart w:id="200" w:name="_Toc12962299"/>
      <w:bookmarkStart w:id="201" w:name="_Toc2678971"/>
      <w:bookmarkStart w:id="202" w:name="_Toc9105"/>
      <w:bookmarkStart w:id="203" w:name="_Toc10050"/>
      <w:bookmarkStart w:id="204" w:name="_Toc10391708"/>
      <w:bookmarkStart w:id="205" w:name="_Toc29912"/>
      <w:bookmarkStart w:id="206" w:name="_Toc535866189"/>
      <w:bookmarkStart w:id="207" w:name="_Toc29362"/>
      <w:bookmarkStart w:id="208" w:name="_Toc2197"/>
      <w:bookmarkStart w:id="209" w:name="_Toc520215424"/>
      <w:bookmarkStart w:id="210" w:name="_Toc535867076"/>
      <w:bookmarkStart w:id="211" w:name="_Toc17548"/>
      <w:bookmarkStart w:id="212" w:name="_Toc3827256"/>
      <w:bookmarkStart w:id="213" w:name="_Toc3840292"/>
      <w:bookmarkStart w:id="214" w:name="_Toc18764"/>
      <w:bookmarkStart w:id="215" w:name="_Toc3827903"/>
      <w:bookmarkStart w:id="216" w:name="_Toc6024"/>
      <w:bookmarkStart w:id="217" w:name="_Toc765"/>
      <w:bookmarkStart w:id="218" w:name="_Toc22507"/>
      <w:bookmarkStart w:id="219" w:name="_Toc19771"/>
      <w:r>
        <w:rPr>
          <w:rFonts w:hint="default" w:ascii="Times New Roman" w:hAnsi="Times New Roman" w:cs="Times New Roman" w:eastAsiaTheme="minorEastAsia"/>
          <w:color w:val="000000" w:themeColor="text1"/>
          <w:highlight w:val="none"/>
          <w14:textFill>
            <w14:solidFill>
              <w14:schemeClr w14:val="tx1"/>
            </w14:solidFill>
          </w14:textFill>
        </w:rPr>
        <w:t>2.2.4.2旅游经济状况</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4"/>
          <w:highlight w:val="none"/>
          <w14:textFill>
            <w14:solidFill>
              <w14:schemeClr w14:val="tx1"/>
            </w14:solidFill>
          </w14:textFill>
        </w:rPr>
        <w:t>抚仙湖流域第三产业生产主要以旅游业、批发零售、交通运输、仓储及邮政等为主。近年来旅游经济保持快速增长态势，2018年澄江市（含托管区）接待国内外游客数1141.7万人次，增长18.7%。日接待游客数约3.12万人，实现旅游收入101.9亿元，增长31%。2019年澄江市（含托管区）接待国内外游客数1244.7万人次，增长9.02%。日接待游客数约3.41万人，实现旅游收入125.48亿元。大力实施旅游兴县战略，积极开展国家全域旅游示范区、国家级旅游度假区创建和全县旅游市场秩序整治工作，促进各项工作取得实效，同时着力补齐旅游基础设施短板，实现生态环保与基础设施建设同步发展。着力打造“三环六联多辐射”的综合交通体系，积极推进旅游重大项目建设。旅游康养项目稳步推进，与万科、复星、世博集团等国内知名企业的合作发展深入推进，形成政企联动、全域推动，促进旅游产业发展提质提速提效，充分发挥旅游业全域辐射带动作用，促进旅游业与生态保护、特色农业、城镇建设协同融合发展。启动国家湿地公园规划，建成千亩北岸湿地、7.8km生态调蓄带，打造14条生态河道，构筑标志性的生态景观节点。结合坝区6.35万亩土地流转大力发展生态观光农业，建成悦莲荷藕、云蓝蓝莓等9个庄园。提速推进沿湖2.8万人生态移民搬迁，打造特色旅游镇村。三百亩森林旅游汽车营地、红石岩国际户外运动公园项目稳步推进。马房村、小湾特色民宿村初见成效，近20家优质精品民宿成为澄江旅游目的地一大亮点和卖点，初步形成了环抚仙湖民宿集中区，逐渐向规模化、差异化发展。</w:t>
      </w:r>
    </w:p>
    <w:p>
      <w:pPr>
        <w:rPr>
          <w:rFonts w:hint="default" w:ascii="Times New Roman" w:hAnsi="Times New Roman" w:cs="Times New Roman" w:eastAsiaTheme="minorEastAsia"/>
          <w:bCs/>
          <w:color w:val="000000" w:themeColor="text1"/>
          <w:highlight w:val="none"/>
          <w14:textFill>
            <w14:solidFill>
              <w14:schemeClr w14:val="tx1"/>
            </w14:solidFill>
          </w14:textFill>
        </w:rPr>
      </w:pPr>
    </w:p>
    <w:p>
      <w:pPr>
        <w:pStyle w:val="3"/>
        <w:rPr>
          <w:rFonts w:hint="default" w:ascii="Times New Roman" w:hAnsi="Times New Roman" w:cs="Times New Roman" w:eastAsiaTheme="minorEastAsia"/>
          <w:color w:val="000000" w:themeColor="text1"/>
          <w:highlight w:val="none"/>
          <w14:textFill>
            <w14:solidFill>
              <w14:schemeClr w14:val="tx1"/>
            </w14:solidFill>
          </w14:textFill>
        </w:rPr>
      </w:pPr>
      <w:bookmarkStart w:id="220" w:name="_Toc696"/>
      <w:r>
        <w:rPr>
          <w:rFonts w:hint="default" w:ascii="Times New Roman" w:hAnsi="Times New Roman" w:cs="Times New Roman" w:eastAsiaTheme="minorEastAsia"/>
          <w:color w:val="000000" w:themeColor="text1"/>
          <w:highlight w:val="none"/>
          <w14:textFill>
            <w14:solidFill>
              <w14:schemeClr w14:val="tx1"/>
            </w14:solidFill>
          </w14:textFill>
        </w:rPr>
        <w:t>3规划实施目标指标总体进展情况</w:t>
      </w:r>
      <w:bookmarkEnd w:id="220"/>
    </w:p>
    <w:p>
      <w:pPr>
        <w:pStyle w:val="4"/>
        <w:spacing w:before="120" w:after="120" w:line="480" w:lineRule="auto"/>
        <w:rPr>
          <w:rFonts w:hint="default" w:ascii="Times New Roman" w:hAnsi="Times New Roman" w:cs="Times New Roman" w:eastAsiaTheme="minorEastAsia"/>
          <w:color w:val="000000" w:themeColor="text1"/>
          <w:highlight w:val="none"/>
          <w14:textFill>
            <w14:solidFill>
              <w14:schemeClr w14:val="tx1"/>
            </w14:solidFill>
          </w14:textFill>
        </w:rPr>
      </w:pPr>
      <w:bookmarkStart w:id="221" w:name="_Toc8472"/>
      <w:r>
        <w:rPr>
          <w:rFonts w:hint="default" w:ascii="Times New Roman" w:hAnsi="Times New Roman" w:cs="Times New Roman" w:eastAsiaTheme="minorEastAsia"/>
          <w:color w:val="000000" w:themeColor="text1"/>
          <w:highlight w:val="none"/>
          <w14:textFill>
            <w14:solidFill>
              <w14:schemeClr w14:val="tx1"/>
            </w14:solidFill>
          </w14:textFill>
        </w:rPr>
        <w:t>3.1主要目标指标完成总体情况</w:t>
      </w:r>
      <w:bookmarkEnd w:id="221"/>
    </w:p>
    <w:p>
      <w:pPr>
        <w:jc w:val="center"/>
        <w:rPr>
          <w:rFonts w:hint="default" w:ascii="Times New Roman" w:hAnsi="Times New Roman" w:cs="Times New Roman" w:eastAsiaTheme="minorEastAsia"/>
          <w:b/>
          <w:bCs/>
          <w:color w:val="000000" w:themeColor="text1"/>
          <w:sz w:val="22"/>
          <w:szCs w:val="18"/>
          <w:highlight w:val="none"/>
          <w14:textFill>
            <w14:solidFill>
              <w14:schemeClr w14:val="tx1"/>
            </w14:solidFill>
          </w14:textFill>
        </w:rPr>
      </w:pPr>
      <w:r>
        <w:rPr>
          <w:rFonts w:hint="default" w:ascii="Times New Roman" w:hAnsi="Times New Roman" w:cs="Times New Roman" w:eastAsiaTheme="minorEastAsia"/>
          <w:b/>
          <w:bCs/>
          <w:color w:val="000000" w:themeColor="text1"/>
          <w:sz w:val="22"/>
          <w:szCs w:val="18"/>
          <w:highlight w:val="none"/>
          <w14:textFill>
            <w14:solidFill>
              <w14:schemeClr w14:val="tx1"/>
            </w14:solidFill>
          </w14:textFill>
        </w:rPr>
        <w:t>表3.1-1主要目标指标完成总体情况表</w:t>
      </w:r>
    </w:p>
    <w:tbl>
      <w:tblPr>
        <w:tblStyle w:val="27"/>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3"/>
        <w:gridCol w:w="1697"/>
        <w:gridCol w:w="667"/>
        <w:gridCol w:w="1101"/>
        <w:gridCol w:w="1128"/>
        <w:gridCol w:w="988"/>
        <w:gridCol w:w="974"/>
        <w:gridCol w:w="860"/>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373" w:type="pct"/>
            <w:vMerge w:val="restart"/>
            <w:vAlign w:val="center"/>
          </w:tcPr>
          <w:p>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指标体系</w:t>
            </w:r>
          </w:p>
        </w:tc>
        <w:tc>
          <w:tcPr>
            <w:tcW w:w="969" w:type="pct"/>
            <w:vMerge w:val="restart"/>
            <w:vAlign w:val="center"/>
          </w:tcPr>
          <w:p>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指标名称</w:t>
            </w:r>
          </w:p>
        </w:tc>
        <w:tc>
          <w:tcPr>
            <w:tcW w:w="381" w:type="pct"/>
            <w:vMerge w:val="restart"/>
            <w:vAlign w:val="center"/>
          </w:tcPr>
          <w:p>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单位</w:t>
            </w:r>
          </w:p>
        </w:tc>
        <w:tc>
          <w:tcPr>
            <w:tcW w:w="1273" w:type="pct"/>
            <w:gridSpan w:val="2"/>
            <w:vAlign w:val="center"/>
          </w:tcPr>
          <w:p>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规划目标</w:t>
            </w:r>
          </w:p>
        </w:tc>
        <w:tc>
          <w:tcPr>
            <w:tcW w:w="2002" w:type="pct"/>
            <w:gridSpan w:val="4"/>
            <w:vAlign w:val="center"/>
          </w:tcPr>
          <w:p>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atLeast"/>
          <w:jc w:val="center"/>
        </w:trPr>
        <w:tc>
          <w:tcPr>
            <w:tcW w:w="373" w:type="pct"/>
            <w:vMerge w:val="continue"/>
            <w:vAlign w:val="center"/>
          </w:tcPr>
          <w:p>
            <w:pPr>
              <w:rPr>
                <w:rFonts w:hint="eastAsia"/>
                <w:b/>
                <w:bCs/>
                <w:color w:val="000000" w:themeColor="text1"/>
                <w:highlight w:val="none"/>
                <w14:textFill>
                  <w14:solidFill>
                    <w14:schemeClr w14:val="tx1"/>
                  </w14:solidFill>
                </w14:textFill>
              </w:rPr>
            </w:pPr>
          </w:p>
        </w:tc>
        <w:tc>
          <w:tcPr>
            <w:tcW w:w="969" w:type="pct"/>
            <w:vMerge w:val="continue"/>
            <w:vAlign w:val="center"/>
          </w:tcPr>
          <w:p>
            <w:pPr>
              <w:rPr>
                <w:rFonts w:hint="eastAsia"/>
                <w:b/>
                <w:bCs/>
                <w:color w:val="000000" w:themeColor="text1"/>
                <w:highlight w:val="none"/>
                <w14:textFill>
                  <w14:solidFill>
                    <w14:schemeClr w14:val="tx1"/>
                  </w14:solidFill>
                </w14:textFill>
              </w:rPr>
            </w:pPr>
          </w:p>
        </w:tc>
        <w:tc>
          <w:tcPr>
            <w:tcW w:w="381" w:type="pct"/>
            <w:vMerge w:val="continue"/>
            <w:vAlign w:val="center"/>
          </w:tcPr>
          <w:p>
            <w:pPr>
              <w:rPr>
                <w:rFonts w:hint="eastAsia"/>
                <w:b/>
                <w:bCs/>
                <w:color w:val="000000" w:themeColor="text1"/>
                <w:highlight w:val="none"/>
                <w14:textFill>
                  <w14:solidFill>
                    <w14:schemeClr w14:val="tx1"/>
                  </w14:solidFill>
                </w14:textFill>
              </w:rPr>
            </w:pPr>
          </w:p>
        </w:tc>
        <w:tc>
          <w:tcPr>
            <w:tcW w:w="628" w:type="pct"/>
            <w:vAlign w:val="center"/>
          </w:tcPr>
          <w:p>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“十三五”末完成情况</w:t>
            </w:r>
          </w:p>
        </w:tc>
        <w:tc>
          <w:tcPr>
            <w:tcW w:w="644" w:type="pct"/>
            <w:vAlign w:val="center"/>
          </w:tcPr>
          <w:p>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“十四五”规划目标</w:t>
            </w:r>
          </w:p>
        </w:tc>
        <w:tc>
          <w:tcPr>
            <w:tcW w:w="564" w:type="pct"/>
            <w:vAlign w:val="center"/>
          </w:tcPr>
          <w:p>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2021年</w:t>
            </w:r>
          </w:p>
        </w:tc>
        <w:tc>
          <w:tcPr>
            <w:tcW w:w="556" w:type="pct"/>
            <w:vAlign w:val="center"/>
          </w:tcPr>
          <w:p>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2022年</w:t>
            </w:r>
          </w:p>
        </w:tc>
        <w:tc>
          <w:tcPr>
            <w:tcW w:w="491" w:type="pct"/>
            <w:vAlign w:val="center"/>
          </w:tcPr>
          <w:p>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2023年上半年</w:t>
            </w:r>
          </w:p>
        </w:tc>
        <w:tc>
          <w:tcPr>
            <w:tcW w:w="390" w:type="pct"/>
            <w:vAlign w:val="center"/>
          </w:tcPr>
          <w:p>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预计完成情况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373" w:type="pct"/>
            <w:vMerge w:val="restart"/>
            <w:vAlign w:val="center"/>
          </w:tcPr>
          <w:p>
            <w:pPr>
              <w:rPr>
                <w:rFonts w:hint="eastAsia"/>
                <w:b/>
                <w:bCs/>
                <w:color w:val="000000" w:themeColor="text1"/>
                <w:highlight w:val="none"/>
                <w14:textFill>
                  <w14:solidFill>
                    <w14:schemeClr w14:val="tx1"/>
                  </w14:solidFill>
                </w14:textFill>
              </w:rPr>
            </w:pPr>
          </w:p>
          <w:p>
            <w:pPr>
              <w:rPr>
                <w:rFonts w:hint="eastAsia"/>
                <w:b/>
                <w:bCs/>
                <w:color w:val="000000" w:themeColor="text1"/>
                <w:highlight w:val="none"/>
                <w14:textFill>
                  <w14:solidFill>
                    <w14:schemeClr w14:val="tx1"/>
                  </w14:solidFill>
                </w14:textFill>
              </w:rPr>
            </w:pPr>
          </w:p>
          <w:p>
            <w:pPr>
              <w:rPr>
                <w:rFonts w:hint="eastAsia"/>
                <w:b/>
                <w:bCs/>
                <w:color w:val="000000" w:themeColor="text1"/>
                <w:highlight w:val="none"/>
                <w14:textFill>
                  <w14:solidFill>
                    <w14:schemeClr w14:val="tx1"/>
                  </w14:solidFill>
                </w14:textFill>
              </w:rPr>
            </w:pPr>
          </w:p>
          <w:p>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水污染</w:t>
            </w:r>
          </w:p>
          <w:p>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防治</w:t>
            </w:r>
          </w:p>
        </w:tc>
        <w:tc>
          <w:tcPr>
            <w:tcW w:w="969"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城市（县城）生活污水处理率</w:t>
            </w:r>
          </w:p>
        </w:tc>
        <w:tc>
          <w:tcPr>
            <w:tcW w:w="38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28"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95</w:t>
            </w:r>
          </w:p>
        </w:tc>
        <w:tc>
          <w:tcPr>
            <w:tcW w:w="64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97</w:t>
            </w:r>
          </w:p>
        </w:tc>
        <w:tc>
          <w:tcPr>
            <w:tcW w:w="56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95.8</w:t>
            </w:r>
          </w:p>
        </w:tc>
        <w:tc>
          <w:tcPr>
            <w:tcW w:w="556"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96.75</w:t>
            </w:r>
          </w:p>
        </w:tc>
        <w:tc>
          <w:tcPr>
            <w:tcW w:w="49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rightMargin">
                        <wp:posOffset>-516255</wp:posOffset>
                      </wp:positionH>
                      <wp:positionV relativeFrom="topMargin">
                        <wp:posOffset>-55880</wp:posOffset>
                      </wp:positionV>
                      <wp:extent cx="139700" cy="179070"/>
                      <wp:effectExtent l="0" t="0" r="0" b="0"/>
                      <wp:wrapNone/>
                      <wp:docPr id="54" name="文本框 54"/>
                      <wp:cNvGraphicFramePr/>
                      <a:graphic xmlns:a="http://schemas.openxmlformats.org/drawingml/2006/main">
                        <a:graphicData uri="http://schemas.microsoft.com/office/word/2010/wordprocessingShape">
                          <wps:wsp>
                            <wps:cNvSpPr txBox="true"/>
                            <wps:spPr>
                              <a:xfrm>
                                <a:off x="0" y="0"/>
                                <a:ext cx="139700" cy="179070"/>
                              </a:xfrm>
                              <a:prstGeom prst="rect">
                                <a:avLst/>
                              </a:prstGeom>
                              <a:noFill/>
                              <a:ln>
                                <a:noFill/>
                              </a:ln>
                            </wps:spPr>
                            <wps:txbx>
                              <w:txbxContent>
                                <w:p>
                                  <w:pPr>
                                    <w:tabs>
                                      <w:tab w:val="left" w:pos="200"/>
                                    </w:tabs>
                                    <w:spacing w:before="20" w:line="241" w:lineRule="exact"/>
                                    <w:ind w:left="20"/>
                                    <w:rPr>
                                      <w:rFonts w:ascii="Arial"/>
                                      <w:sz w:val="21"/>
                                    </w:rPr>
                                  </w:pPr>
                                  <w:r>
                                    <w:rPr>
                                      <w:rFonts w:ascii="Arial" w:hAnsi="Arial" w:eastAsia="Arial" w:cs="Arial"/>
                                      <w:sz w:val="21"/>
                                      <w:szCs w:val="21"/>
                                      <w:u w:val="single" w:color="auto"/>
                                    </w:rPr>
                                    <w:tab/>
                                  </w:r>
                                </w:p>
                              </w:txbxContent>
                            </wps:txbx>
                            <wps:bodyPr lIns="0" tIns="0" rIns="0" bIns="0" upright="true"/>
                          </wps:wsp>
                        </a:graphicData>
                      </a:graphic>
                    </wp:anchor>
                  </w:drawing>
                </mc:Choice>
                <mc:Fallback>
                  <w:pict>
                    <v:shape id="_x0000_s1026" o:spid="_x0000_s1026" o:spt="202" type="#_x0000_t202" style="position:absolute;left:0pt;margin-left:2.1pt;margin-top:-3.9pt;height:14.1pt;width:11pt;mso-position-horizontal-relative:page;mso-position-vertical-relative:page;z-index:251671552;mso-width-relative:page;mso-height-relative:page;" filled="f" stroked="f" coordsize="21600,21600" o:gfxdata="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WAAAAZHJzL1BLAQIUABQAAAAI&#10;AIdO4kBoYKn21wAAAAkBAAAPAAAAAAAAAAEAIAAAADgAAABkcnMvZG93bnJldi54bWxQSwECFAAU&#10;AAAACACHTuJAQxut6qMBAAArAwAADgAAAAAAAAABACAAAAA8AQAAZHJzL2Uyb0RvYy54bWxQSwUG&#10;AAAAAAYABgBZAQAAUQUAAAAA&#10;">
                      <v:fill on="f" focussize="0,0"/>
                      <v:stroke on="f"/>
                      <v:imagedata o:title=""/>
                      <o:lock v:ext="edit" aspectratio="f"/>
                      <v:textbox inset="0mm,0mm,0mm,0mm">
                        <w:txbxContent>
                          <w:p>
                            <w:pPr>
                              <w:tabs>
                                <w:tab w:val="left" w:pos="200"/>
                              </w:tabs>
                              <w:spacing w:before="20" w:line="241" w:lineRule="exact"/>
                              <w:ind w:left="20"/>
                              <w:rPr>
                                <w:rFonts w:ascii="Arial"/>
                                <w:sz w:val="21"/>
                              </w:rPr>
                            </w:pPr>
                            <w:r>
                              <w:rPr>
                                <w:rFonts w:ascii="Arial" w:hAnsi="Arial" w:eastAsia="Arial" w:cs="Arial"/>
                                <w:sz w:val="21"/>
                                <w:szCs w:val="21"/>
                                <w:u w:val="single" w:color="auto"/>
                              </w:rPr>
                              <w:tab/>
                            </w:r>
                          </w:p>
                        </w:txbxContent>
                      </v:textbox>
                    </v:shape>
                  </w:pict>
                </mc:Fallback>
              </mc:AlternateContent>
            </w:r>
          </w:p>
        </w:tc>
        <w:tc>
          <w:tcPr>
            <w:tcW w:w="390"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基本同步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373" w:type="pct"/>
            <w:vMerge w:val="continue"/>
            <w:vAlign w:val="center"/>
          </w:tcPr>
          <w:p>
            <w:pPr>
              <w:rPr>
                <w:rFonts w:hint="eastAsia"/>
                <w:b/>
                <w:bCs/>
                <w:color w:val="000000" w:themeColor="text1"/>
                <w:highlight w:val="none"/>
                <w14:textFill>
                  <w14:solidFill>
                    <w14:schemeClr w14:val="tx1"/>
                  </w14:solidFill>
                </w14:textFill>
              </w:rPr>
            </w:pPr>
          </w:p>
        </w:tc>
        <w:tc>
          <w:tcPr>
            <w:tcW w:w="969"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农村生活污水收集处理率</w:t>
            </w:r>
          </w:p>
        </w:tc>
        <w:tc>
          <w:tcPr>
            <w:tcW w:w="38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28"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97.3</w:t>
            </w:r>
          </w:p>
        </w:tc>
        <w:tc>
          <w:tcPr>
            <w:tcW w:w="64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98</w:t>
            </w:r>
          </w:p>
        </w:tc>
        <w:tc>
          <w:tcPr>
            <w:tcW w:w="56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56"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49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390"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373" w:type="pct"/>
            <w:vMerge w:val="continue"/>
            <w:vAlign w:val="center"/>
          </w:tcPr>
          <w:p>
            <w:pPr>
              <w:rPr>
                <w:rFonts w:hint="eastAsia"/>
                <w:b/>
                <w:bCs/>
                <w:color w:val="000000" w:themeColor="text1"/>
                <w:highlight w:val="none"/>
                <w14:textFill>
                  <w14:solidFill>
                    <w14:schemeClr w14:val="tx1"/>
                  </w14:solidFill>
                </w14:textFill>
              </w:rPr>
            </w:pPr>
          </w:p>
        </w:tc>
        <w:tc>
          <w:tcPr>
            <w:tcW w:w="969"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城市生活垃圾无害化处理率</w:t>
            </w:r>
          </w:p>
        </w:tc>
        <w:tc>
          <w:tcPr>
            <w:tcW w:w="38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28"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90</w:t>
            </w:r>
          </w:p>
        </w:tc>
        <w:tc>
          <w:tcPr>
            <w:tcW w:w="64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97</w:t>
            </w:r>
          </w:p>
        </w:tc>
        <w:tc>
          <w:tcPr>
            <w:tcW w:w="56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90</w:t>
            </w:r>
          </w:p>
        </w:tc>
        <w:tc>
          <w:tcPr>
            <w:tcW w:w="556"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100</w:t>
            </w:r>
          </w:p>
        </w:tc>
        <w:tc>
          <w:tcPr>
            <w:tcW w:w="49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100</w:t>
            </w:r>
          </w:p>
        </w:tc>
        <w:tc>
          <w:tcPr>
            <w:tcW w:w="390"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提前完成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373" w:type="pct"/>
            <w:vMerge w:val="continue"/>
            <w:vAlign w:val="center"/>
          </w:tcPr>
          <w:p>
            <w:pPr>
              <w:rPr>
                <w:rFonts w:hint="eastAsia"/>
                <w:b/>
                <w:bCs/>
                <w:color w:val="000000" w:themeColor="text1"/>
                <w:highlight w:val="none"/>
                <w14:textFill>
                  <w14:solidFill>
                    <w14:schemeClr w14:val="tx1"/>
                  </w14:solidFill>
                </w14:textFill>
              </w:rPr>
            </w:pPr>
          </w:p>
        </w:tc>
        <w:tc>
          <w:tcPr>
            <w:tcW w:w="969"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湖体水质类别（国控、省控断面）</w:t>
            </w:r>
          </w:p>
        </w:tc>
        <w:tc>
          <w:tcPr>
            <w:tcW w:w="38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28"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Ⅰ类</w:t>
            </w:r>
          </w:p>
        </w:tc>
        <w:tc>
          <w:tcPr>
            <w:tcW w:w="64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Ⅰ类</w:t>
            </w:r>
          </w:p>
        </w:tc>
        <w:tc>
          <w:tcPr>
            <w:tcW w:w="56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Ⅰ类</w:t>
            </w:r>
          </w:p>
        </w:tc>
        <w:tc>
          <w:tcPr>
            <w:tcW w:w="556"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Ⅱ类</w:t>
            </w:r>
          </w:p>
        </w:tc>
        <w:tc>
          <w:tcPr>
            <w:tcW w:w="49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Ⅱ类</w:t>
            </w:r>
          </w:p>
        </w:tc>
        <w:tc>
          <w:tcPr>
            <w:tcW w:w="390"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基本同步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373" w:type="pct"/>
            <w:vMerge w:val="continue"/>
            <w:vAlign w:val="center"/>
          </w:tcPr>
          <w:p>
            <w:pPr>
              <w:rPr>
                <w:rFonts w:hint="eastAsia"/>
                <w:b/>
                <w:bCs/>
                <w:color w:val="000000" w:themeColor="text1"/>
                <w:highlight w:val="none"/>
                <w14:textFill>
                  <w14:solidFill>
                    <w14:schemeClr w14:val="tx1"/>
                  </w14:solidFill>
                </w14:textFill>
              </w:rPr>
            </w:pPr>
          </w:p>
        </w:tc>
        <w:tc>
          <w:tcPr>
            <w:tcW w:w="969"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主要入湖河流水质优良率</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(Ⅲ类及以上）</w:t>
            </w:r>
          </w:p>
        </w:tc>
        <w:tc>
          <w:tcPr>
            <w:tcW w:w="38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28"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40</w:t>
            </w:r>
          </w:p>
        </w:tc>
        <w:tc>
          <w:tcPr>
            <w:tcW w:w="64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100</w:t>
            </w:r>
          </w:p>
        </w:tc>
        <w:tc>
          <w:tcPr>
            <w:tcW w:w="56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36.4</w:t>
            </w:r>
          </w:p>
        </w:tc>
        <w:tc>
          <w:tcPr>
            <w:tcW w:w="556"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52.38</w:t>
            </w:r>
          </w:p>
        </w:tc>
        <w:tc>
          <w:tcPr>
            <w:tcW w:w="49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390"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基本同步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373" w:type="pct"/>
            <w:vMerge w:val="continue"/>
            <w:vAlign w:val="center"/>
          </w:tcPr>
          <w:p>
            <w:pPr>
              <w:rPr>
                <w:rFonts w:hint="eastAsia"/>
                <w:b/>
                <w:bCs/>
                <w:color w:val="000000" w:themeColor="text1"/>
                <w:highlight w:val="none"/>
                <w14:textFill>
                  <w14:solidFill>
                    <w14:schemeClr w14:val="tx1"/>
                  </w14:solidFill>
                </w14:textFill>
              </w:rPr>
            </w:pPr>
          </w:p>
        </w:tc>
        <w:tc>
          <w:tcPr>
            <w:tcW w:w="969"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化肥施用总量（折纯量）</w:t>
            </w:r>
          </w:p>
        </w:tc>
        <w:tc>
          <w:tcPr>
            <w:tcW w:w="38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吨/年</w:t>
            </w:r>
          </w:p>
        </w:tc>
        <w:tc>
          <w:tcPr>
            <w:tcW w:w="628"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2932.98</w:t>
            </w:r>
          </w:p>
        </w:tc>
        <w:tc>
          <w:tcPr>
            <w:tcW w:w="64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2844.99</w:t>
            </w:r>
          </w:p>
        </w:tc>
        <w:tc>
          <w:tcPr>
            <w:tcW w:w="56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2551.95</w:t>
            </w:r>
          </w:p>
        </w:tc>
        <w:tc>
          <w:tcPr>
            <w:tcW w:w="556"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2536.64</w:t>
            </w:r>
          </w:p>
        </w:tc>
        <w:tc>
          <w:tcPr>
            <w:tcW w:w="49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rightMargin">
                        <wp:posOffset>-516255</wp:posOffset>
                      </wp:positionH>
                      <wp:positionV relativeFrom="topMargin">
                        <wp:posOffset>-54610</wp:posOffset>
                      </wp:positionV>
                      <wp:extent cx="139700" cy="179070"/>
                      <wp:effectExtent l="0" t="0" r="0" b="0"/>
                      <wp:wrapNone/>
                      <wp:docPr id="55" name="文本框 55"/>
                      <wp:cNvGraphicFramePr/>
                      <a:graphic xmlns:a="http://schemas.openxmlformats.org/drawingml/2006/main">
                        <a:graphicData uri="http://schemas.microsoft.com/office/word/2010/wordprocessingShape">
                          <wps:wsp>
                            <wps:cNvSpPr txBox="true"/>
                            <wps:spPr>
                              <a:xfrm>
                                <a:off x="0" y="0"/>
                                <a:ext cx="139700" cy="179070"/>
                              </a:xfrm>
                              <a:prstGeom prst="rect">
                                <a:avLst/>
                              </a:prstGeom>
                              <a:noFill/>
                              <a:ln>
                                <a:noFill/>
                              </a:ln>
                            </wps:spPr>
                            <wps:txbx>
                              <w:txbxContent>
                                <w:p>
                                  <w:pPr>
                                    <w:tabs>
                                      <w:tab w:val="left" w:pos="200"/>
                                    </w:tabs>
                                    <w:spacing w:before="20" w:line="241" w:lineRule="exact"/>
                                    <w:ind w:left="20"/>
                                    <w:rPr>
                                      <w:rFonts w:ascii="Arial"/>
                                      <w:sz w:val="21"/>
                                    </w:rPr>
                                  </w:pPr>
                                  <w:r>
                                    <w:rPr>
                                      <w:rFonts w:ascii="Arial" w:hAnsi="Arial" w:eastAsia="Arial" w:cs="Arial"/>
                                      <w:sz w:val="21"/>
                                      <w:szCs w:val="21"/>
                                      <w:u w:val="single" w:color="auto"/>
                                    </w:rPr>
                                    <w:tab/>
                                  </w:r>
                                </w:p>
                              </w:txbxContent>
                            </wps:txbx>
                            <wps:bodyPr lIns="0" tIns="0" rIns="0" bIns="0" upright="true"/>
                          </wps:wsp>
                        </a:graphicData>
                      </a:graphic>
                    </wp:anchor>
                  </w:drawing>
                </mc:Choice>
                <mc:Fallback>
                  <w:pict>
                    <v:shape id="_x0000_s1026" o:spid="_x0000_s1026" o:spt="202" type="#_x0000_t202" style="position:absolute;left:0pt;margin-left:2.1pt;margin-top:-3.8pt;height:14.1pt;width:11pt;mso-position-horizontal-relative:page;mso-position-vertical-relative:page;z-index:251670528;mso-width-relative:page;mso-height-relative:page;" filled="f" stroked="f" coordsize="21600,21600" o:gfxdata="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SyB9O9YAAAAJAQAADwAAAAAAAAABACAAAAA4AAAAZHJzL2Rvd25yZXYueG1sUEsBAhQAFAAA&#10;AAgAh07iQJByxASiAQAAKwMAAA4AAAAAAAAAAQAgAAAAOwEAAGRycy9lMm9Eb2MueG1sUEsFBgAA&#10;AAAGAAYAWQEAAE8FAAAAAA==&#10;">
                      <v:fill on="f" focussize="0,0"/>
                      <v:stroke on="f"/>
                      <v:imagedata o:title=""/>
                      <o:lock v:ext="edit" aspectratio="f"/>
                      <v:textbox inset="0mm,0mm,0mm,0mm">
                        <w:txbxContent>
                          <w:p>
                            <w:pPr>
                              <w:tabs>
                                <w:tab w:val="left" w:pos="200"/>
                              </w:tabs>
                              <w:spacing w:before="20" w:line="241" w:lineRule="exact"/>
                              <w:ind w:left="20"/>
                              <w:rPr>
                                <w:rFonts w:ascii="Arial"/>
                                <w:sz w:val="21"/>
                              </w:rPr>
                            </w:pPr>
                            <w:r>
                              <w:rPr>
                                <w:rFonts w:ascii="Arial" w:hAnsi="Arial" w:eastAsia="Arial" w:cs="Arial"/>
                                <w:sz w:val="21"/>
                                <w:szCs w:val="21"/>
                                <w:u w:val="single" w:color="auto"/>
                              </w:rPr>
                              <w:tab/>
                            </w:r>
                          </w:p>
                        </w:txbxContent>
                      </v:textbox>
                    </v:shape>
                  </w:pict>
                </mc:Fallback>
              </mc:AlternateContent>
            </w:r>
          </w:p>
        </w:tc>
        <w:tc>
          <w:tcPr>
            <w:tcW w:w="390"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提前完成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373" w:type="pct"/>
            <w:vMerge w:val="continue"/>
            <w:vAlign w:val="center"/>
          </w:tcPr>
          <w:p>
            <w:pPr>
              <w:rPr>
                <w:rFonts w:hint="eastAsia"/>
                <w:b/>
                <w:bCs/>
                <w:color w:val="000000" w:themeColor="text1"/>
                <w:highlight w:val="none"/>
                <w14:textFill>
                  <w14:solidFill>
                    <w14:schemeClr w14:val="tx1"/>
                  </w14:solidFill>
                </w14:textFill>
              </w:rPr>
            </w:pPr>
          </w:p>
        </w:tc>
        <w:tc>
          <w:tcPr>
            <w:tcW w:w="969"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畜禽粪污综合利用率</w:t>
            </w:r>
          </w:p>
        </w:tc>
        <w:tc>
          <w:tcPr>
            <w:tcW w:w="38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28"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64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90</w:t>
            </w:r>
          </w:p>
        </w:tc>
        <w:tc>
          <w:tcPr>
            <w:tcW w:w="56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94.87</w:t>
            </w:r>
          </w:p>
        </w:tc>
        <w:tc>
          <w:tcPr>
            <w:tcW w:w="556"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rightMargin">
                        <wp:posOffset>-517525</wp:posOffset>
                      </wp:positionH>
                      <wp:positionV relativeFrom="topMargin">
                        <wp:posOffset>-54610</wp:posOffset>
                      </wp:positionV>
                      <wp:extent cx="139700" cy="179070"/>
                      <wp:effectExtent l="0" t="0" r="0" b="0"/>
                      <wp:wrapNone/>
                      <wp:docPr id="56" name="文本框 56"/>
                      <wp:cNvGraphicFramePr/>
                      <a:graphic xmlns:a="http://schemas.openxmlformats.org/drawingml/2006/main">
                        <a:graphicData uri="http://schemas.microsoft.com/office/word/2010/wordprocessingShape">
                          <wps:wsp>
                            <wps:cNvSpPr txBox="true"/>
                            <wps:spPr>
                              <a:xfrm>
                                <a:off x="0" y="0"/>
                                <a:ext cx="139700" cy="179070"/>
                              </a:xfrm>
                              <a:prstGeom prst="rect">
                                <a:avLst/>
                              </a:prstGeom>
                              <a:noFill/>
                              <a:ln>
                                <a:noFill/>
                              </a:ln>
                            </wps:spPr>
                            <wps:txbx>
                              <w:txbxContent>
                                <w:p>
                                  <w:pPr>
                                    <w:tabs>
                                      <w:tab w:val="left" w:pos="200"/>
                                    </w:tabs>
                                    <w:spacing w:before="20" w:line="241" w:lineRule="exact"/>
                                    <w:ind w:left="20"/>
                                    <w:rPr>
                                      <w:rFonts w:ascii="Arial"/>
                                      <w:sz w:val="21"/>
                                    </w:rPr>
                                  </w:pPr>
                                  <w:r>
                                    <w:rPr>
                                      <w:rFonts w:ascii="Arial" w:hAnsi="Arial" w:eastAsia="Arial" w:cs="Arial"/>
                                      <w:sz w:val="21"/>
                                      <w:szCs w:val="21"/>
                                      <w:u w:val="single" w:color="auto"/>
                                    </w:rPr>
                                    <w:tab/>
                                  </w:r>
                                </w:p>
                              </w:txbxContent>
                            </wps:txbx>
                            <wps:bodyPr lIns="0" tIns="0" rIns="0" bIns="0" upright="true"/>
                          </wps:wsp>
                        </a:graphicData>
                      </a:graphic>
                    </wp:anchor>
                  </w:drawing>
                </mc:Choice>
                <mc:Fallback>
                  <w:pict>
                    <v:shape id="_x0000_s1026" o:spid="_x0000_s1026" o:spt="202" type="#_x0000_t202" style="position:absolute;left:0pt;margin-left:7.7pt;margin-top:-3.8pt;height:14.1pt;width:11pt;mso-position-horizontal-relative:page;mso-position-vertical-relative:page;z-index:251669504;mso-width-relative:page;mso-height-relative:page;" filled="f" stroked="f" coordsize="21600,21600" o:gfxdata="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wOzUe9YAAAAJAQAADwAAAAAAAAABACAAAAA4AAAAZHJzL2Rvd25yZXYueG1sUEsBAhQAFAAA&#10;AAgAh07iQKTODu2iAQAAKwMAAA4AAAAAAAAAAQAgAAAAOwEAAGRycy9lMm9Eb2MueG1sUEsFBgAA&#10;AAAGAAYAWQEAAE8FAAAAAA==&#10;">
                      <v:fill on="f" focussize="0,0"/>
                      <v:stroke on="f"/>
                      <v:imagedata o:title=""/>
                      <o:lock v:ext="edit" aspectratio="f"/>
                      <v:textbox inset="0mm,0mm,0mm,0mm">
                        <w:txbxContent>
                          <w:p>
                            <w:pPr>
                              <w:tabs>
                                <w:tab w:val="left" w:pos="200"/>
                              </w:tabs>
                              <w:spacing w:before="20" w:line="241" w:lineRule="exact"/>
                              <w:ind w:left="20"/>
                              <w:rPr>
                                <w:rFonts w:ascii="Arial"/>
                                <w:sz w:val="21"/>
                              </w:rPr>
                            </w:pPr>
                            <w:r>
                              <w:rPr>
                                <w:rFonts w:ascii="Arial" w:hAnsi="Arial" w:eastAsia="Arial" w:cs="Arial"/>
                                <w:sz w:val="21"/>
                                <w:szCs w:val="21"/>
                                <w:u w:val="single" w:color="auto"/>
                              </w:rPr>
                              <w:tab/>
                            </w:r>
                          </w:p>
                        </w:txbxContent>
                      </v:textbox>
                    </v:shape>
                  </w:pict>
                </mc:Fallback>
              </mc:AlternateContent>
            </w:r>
          </w:p>
        </w:tc>
        <w:tc>
          <w:tcPr>
            <w:tcW w:w="49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rightMargin">
                        <wp:posOffset>-516255</wp:posOffset>
                      </wp:positionH>
                      <wp:positionV relativeFrom="topMargin">
                        <wp:posOffset>-54610</wp:posOffset>
                      </wp:positionV>
                      <wp:extent cx="139700" cy="179070"/>
                      <wp:effectExtent l="0" t="0" r="0" b="0"/>
                      <wp:wrapNone/>
                      <wp:docPr id="57" name="文本框 57"/>
                      <wp:cNvGraphicFramePr/>
                      <a:graphic xmlns:a="http://schemas.openxmlformats.org/drawingml/2006/main">
                        <a:graphicData uri="http://schemas.microsoft.com/office/word/2010/wordprocessingShape">
                          <wps:wsp>
                            <wps:cNvSpPr txBox="true"/>
                            <wps:spPr>
                              <a:xfrm>
                                <a:off x="0" y="0"/>
                                <a:ext cx="139700" cy="179070"/>
                              </a:xfrm>
                              <a:prstGeom prst="rect">
                                <a:avLst/>
                              </a:prstGeom>
                              <a:noFill/>
                              <a:ln>
                                <a:noFill/>
                              </a:ln>
                            </wps:spPr>
                            <wps:txbx>
                              <w:txbxContent>
                                <w:p>
                                  <w:pPr>
                                    <w:tabs>
                                      <w:tab w:val="left" w:pos="200"/>
                                    </w:tabs>
                                    <w:spacing w:before="20" w:line="241" w:lineRule="exact"/>
                                    <w:ind w:left="20"/>
                                    <w:rPr>
                                      <w:rFonts w:ascii="Arial"/>
                                      <w:sz w:val="21"/>
                                    </w:rPr>
                                  </w:pPr>
                                  <w:r>
                                    <w:rPr>
                                      <w:rFonts w:ascii="Arial" w:hAnsi="Arial" w:eastAsia="Arial" w:cs="Arial"/>
                                      <w:sz w:val="21"/>
                                      <w:szCs w:val="21"/>
                                      <w:u w:val="single" w:color="auto"/>
                                    </w:rPr>
                                    <w:tab/>
                                  </w:r>
                                </w:p>
                              </w:txbxContent>
                            </wps:txbx>
                            <wps:bodyPr lIns="0" tIns="0" rIns="0" bIns="0" upright="true"/>
                          </wps:wsp>
                        </a:graphicData>
                      </a:graphic>
                    </wp:anchor>
                  </w:drawing>
                </mc:Choice>
                <mc:Fallback>
                  <w:pict>
                    <v:shape id="_x0000_s1026" o:spid="_x0000_s1026" o:spt="202" type="#_x0000_t202" style="position:absolute;left:0pt;margin-left:2.1pt;margin-top:-3.8pt;height:14.1pt;width:11pt;mso-position-horizontal-relative:page;mso-position-vertical-relative:page;z-index:251667456;mso-width-relative:page;mso-height-relative:page;" filled="f" stroked="f" coordsize="21600,21600" o:gfxdata="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SyB9O9YAAAAJAQAADwAAAAAAAAABACAAAAA4AAAAZHJzL2Rvd25yZXYueG1sUEsBAhQAFAAA&#10;AAgAh07iQHenZwOiAQAAKwMAAA4AAAAAAAAAAQAgAAAAOwEAAGRycy9lMm9Eb2MueG1sUEsFBgAA&#10;AAAGAAYAWQEAAE8FAAAAAA==&#10;">
                      <v:fill on="f" focussize="0,0"/>
                      <v:stroke on="f"/>
                      <v:imagedata o:title=""/>
                      <o:lock v:ext="edit" aspectratio="f"/>
                      <v:textbox inset="0mm,0mm,0mm,0mm">
                        <w:txbxContent>
                          <w:p>
                            <w:pPr>
                              <w:tabs>
                                <w:tab w:val="left" w:pos="200"/>
                              </w:tabs>
                              <w:spacing w:before="20" w:line="241" w:lineRule="exact"/>
                              <w:ind w:left="20"/>
                              <w:rPr>
                                <w:rFonts w:ascii="Arial"/>
                                <w:sz w:val="21"/>
                              </w:rPr>
                            </w:pPr>
                            <w:r>
                              <w:rPr>
                                <w:rFonts w:ascii="Arial" w:hAnsi="Arial" w:eastAsia="Arial" w:cs="Arial"/>
                                <w:sz w:val="21"/>
                                <w:szCs w:val="21"/>
                                <w:u w:val="single" w:color="auto"/>
                              </w:rPr>
                              <w:tab/>
                            </w:r>
                          </w:p>
                        </w:txbxContent>
                      </v:textbox>
                    </v:shape>
                  </w:pict>
                </mc:Fallback>
              </mc:AlternateContent>
            </w:r>
          </w:p>
        </w:tc>
        <w:tc>
          <w:tcPr>
            <w:tcW w:w="390"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提前完成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373" w:type="pct"/>
            <w:vMerge w:val="restart"/>
            <w:vAlign w:val="center"/>
          </w:tcPr>
          <w:p>
            <w:pPr>
              <w:rPr>
                <w:rFonts w:hint="eastAsia"/>
                <w:b/>
                <w:bCs/>
                <w:color w:val="000000" w:themeColor="text1"/>
                <w:highlight w:val="none"/>
                <w14:textFill>
                  <w14:solidFill>
                    <w14:schemeClr w14:val="tx1"/>
                  </w14:solidFill>
                </w14:textFill>
              </w:rPr>
            </w:pPr>
          </w:p>
          <w:p>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水资源优化配置</w:t>
            </w:r>
          </w:p>
        </w:tc>
        <w:tc>
          <w:tcPr>
            <w:tcW w:w="969"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水资源开发利用率</w:t>
            </w:r>
          </w:p>
        </w:tc>
        <w:tc>
          <w:tcPr>
            <w:tcW w:w="38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28"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78</w:t>
            </w:r>
          </w:p>
        </w:tc>
        <w:tc>
          <w:tcPr>
            <w:tcW w:w="64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≤78</w:t>
            </w:r>
          </w:p>
        </w:tc>
        <w:tc>
          <w:tcPr>
            <w:tcW w:w="56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63.4</w:t>
            </w:r>
          </w:p>
        </w:tc>
        <w:tc>
          <w:tcPr>
            <w:tcW w:w="556"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63.4</w:t>
            </w:r>
          </w:p>
        </w:tc>
        <w:tc>
          <w:tcPr>
            <w:tcW w:w="49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390"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提前完成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373" w:type="pct"/>
            <w:vMerge w:val="continue"/>
            <w:vAlign w:val="center"/>
          </w:tcPr>
          <w:p>
            <w:pPr>
              <w:rPr>
                <w:rFonts w:hint="eastAsia"/>
                <w:b/>
                <w:bCs/>
                <w:color w:val="000000" w:themeColor="text1"/>
                <w:highlight w:val="none"/>
                <w14:textFill>
                  <w14:solidFill>
                    <w14:schemeClr w14:val="tx1"/>
                  </w14:solidFill>
                </w14:textFill>
              </w:rPr>
            </w:pPr>
          </w:p>
        </w:tc>
        <w:tc>
          <w:tcPr>
            <w:tcW w:w="969"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万元地区生产总值用水量降幅</w:t>
            </w:r>
          </w:p>
        </w:tc>
        <w:tc>
          <w:tcPr>
            <w:tcW w:w="38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28"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rightMargin">
                        <wp:posOffset>-495300</wp:posOffset>
                      </wp:positionH>
                      <wp:positionV relativeFrom="topMargin">
                        <wp:posOffset>-53975</wp:posOffset>
                      </wp:positionV>
                      <wp:extent cx="136525" cy="179070"/>
                      <wp:effectExtent l="0" t="0" r="0" b="0"/>
                      <wp:wrapNone/>
                      <wp:docPr id="58" name="文本框 58"/>
                      <wp:cNvGraphicFramePr/>
                      <a:graphic xmlns:a="http://schemas.openxmlformats.org/drawingml/2006/main">
                        <a:graphicData uri="http://schemas.microsoft.com/office/word/2010/wordprocessingShape">
                          <wps:wsp>
                            <wps:cNvSpPr txBox="true"/>
                            <wps:spPr>
                              <a:xfrm>
                                <a:off x="0" y="0"/>
                                <a:ext cx="136525" cy="179070"/>
                              </a:xfrm>
                              <a:prstGeom prst="rect">
                                <a:avLst/>
                              </a:prstGeom>
                              <a:noFill/>
                              <a:ln>
                                <a:noFill/>
                              </a:ln>
                            </wps:spPr>
                            <wps:txbx>
                              <w:txbxContent>
                                <w:p>
                                  <w:pPr>
                                    <w:tabs>
                                      <w:tab w:val="left" w:pos="193"/>
                                    </w:tabs>
                                    <w:spacing w:before="20" w:line="241" w:lineRule="exact"/>
                                    <w:ind w:left="20"/>
                                    <w:rPr>
                                      <w:rFonts w:ascii="Arial"/>
                                      <w:sz w:val="21"/>
                                    </w:rPr>
                                  </w:pPr>
                                  <w:r>
                                    <w:rPr>
                                      <w:rFonts w:ascii="Arial" w:hAnsi="Arial" w:eastAsia="Arial" w:cs="Arial"/>
                                      <w:sz w:val="21"/>
                                      <w:szCs w:val="21"/>
                                      <w:u w:val="single" w:color="auto"/>
                                    </w:rPr>
                                    <w:tab/>
                                  </w:r>
                                </w:p>
                              </w:txbxContent>
                            </wps:txbx>
                            <wps:bodyPr lIns="0" tIns="0" rIns="0" bIns="0" upright="true"/>
                          </wps:wsp>
                        </a:graphicData>
                      </a:graphic>
                    </wp:anchor>
                  </w:drawing>
                </mc:Choice>
                <mc:Fallback>
                  <w:pict>
                    <v:shape id="_x0000_s1026" o:spid="_x0000_s1026" o:spt="202" type="#_x0000_t202" style="position:absolute;left:0pt;margin-left:15.8pt;margin-top:-3.75pt;height:14.1pt;width:10.75pt;mso-position-horizontal-relative:page;mso-position-vertical-relative:page;z-index:251668480;mso-width-relative:page;mso-height-relative:page;" filled="f" stroked="f" coordsize="21600,21600" o:gfxdata="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frgrENgAAAAJAQAADwAAAAAAAAABACAAAAA4AAAAZHJzL2Rvd25yZXYueG1sUEsBAhQA&#10;FAAAAAgAh07iQClDM5WjAQAAKwMAAA4AAAAAAAAAAQAgAAAAPQEAAGRycy9lMm9Eb2MueG1sUEsF&#10;BgAAAAAGAAYAWQEAAFIFAAAAAA==&#10;">
                      <v:fill on="f" focussize="0,0"/>
                      <v:stroke on="f"/>
                      <v:imagedata o:title=""/>
                      <o:lock v:ext="edit" aspectratio="f"/>
                      <v:textbox inset="0mm,0mm,0mm,0mm">
                        <w:txbxContent>
                          <w:p>
                            <w:pPr>
                              <w:tabs>
                                <w:tab w:val="left" w:pos="193"/>
                              </w:tabs>
                              <w:spacing w:before="20" w:line="241" w:lineRule="exact"/>
                              <w:ind w:left="20"/>
                              <w:rPr>
                                <w:rFonts w:ascii="Arial"/>
                                <w:sz w:val="21"/>
                              </w:rPr>
                            </w:pPr>
                            <w:r>
                              <w:rPr>
                                <w:rFonts w:ascii="Arial" w:hAnsi="Arial" w:eastAsia="Arial" w:cs="Arial"/>
                                <w:sz w:val="21"/>
                                <w:szCs w:val="21"/>
                                <w:u w:val="single" w:color="auto"/>
                              </w:rPr>
                              <w:tab/>
                            </w:r>
                          </w:p>
                        </w:txbxContent>
                      </v:textbox>
                    </v:shape>
                  </w:pict>
                </mc:Fallback>
              </mc:AlternateContent>
            </w:r>
          </w:p>
        </w:tc>
        <w:tc>
          <w:tcPr>
            <w:tcW w:w="64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20</w:t>
            </w:r>
          </w:p>
        </w:tc>
        <w:tc>
          <w:tcPr>
            <w:tcW w:w="56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15.6</w:t>
            </w:r>
          </w:p>
        </w:tc>
        <w:tc>
          <w:tcPr>
            <w:tcW w:w="556"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8.2</w:t>
            </w:r>
          </w:p>
        </w:tc>
        <w:tc>
          <w:tcPr>
            <w:tcW w:w="49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rightMargin">
                        <wp:posOffset>-516255</wp:posOffset>
                      </wp:positionH>
                      <wp:positionV relativeFrom="topMargin">
                        <wp:posOffset>-53975</wp:posOffset>
                      </wp:positionV>
                      <wp:extent cx="139700" cy="179070"/>
                      <wp:effectExtent l="0" t="0" r="0" b="0"/>
                      <wp:wrapNone/>
                      <wp:docPr id="48" name="文本框 48"/>
                      <wp:cNvGraphicFramePr/>
                      <a:graphic xmlns:a="http://schemas.openxmlformats.org/drawingml/2006/main">
                        <a:graphicData uri="http://schemas.microsoft.com/office/word/2010/wordprocessingShape">
                          <wps:wsp>
                            <wps:cNvSpPr txBox="true"/>
                            <wps:spPr>
                              <a:xfrm>
                                <a:off x="0" y="0"/>
                                <a:ext cx="139700" cy="179070"/>
                              </a:xfrm>
                              <a:prstGeom prst="rect">
                                <a:avLst/>
                              </a:prstGeom>
                              <a:noFill/>
                              <a:ln>
                                <a:noFill/>
                              </a:ln>
                            </wps:spPr>
                            <wps:txbx>
                              <w:txbxContent>
                                <w:p>
                                  <w:pPr>
                                    <w:tabs>
                                      <w:tab w:val="left" w:pos="200"/>
                                    </w:tabs>
                                    <w:spacing w:before="20" w:line="241" w:lineRule="exact"/>
                                    <w:ind w:left="20"/>
                                    <w:rPr>
                                      <w:rFonts w:ascii="Arial"/>
                                      <w:sz w:val="21"/>
                                    </w:rPr>
                                  </w:pPr>
                                  <w:r>
                                    <w:rPr>
                                      <w:rFonts w:ascii="Arial" w:hAnsi="Arial" w:eastAsia="Arial" w:cs="Arial"/>
                                      <w:sz w:val="21"/>
                                      <w:szCs w:val="21"/>
                                      <w:u w:val="single" w:color="auto"/>
                                    </w:rPr>
                                    <w:tab/>
                                  </w:r>
                                </w:p>
                              </w:txbxContent>
                            </wps:txbx>
                            <wps:bodyPr lIns="0" tIns="0" rIns="0" bIns="0" upright="true"/>
                          </wps:wsp>
                        </a:graphicData>
                      </a:graphic>
                    </wp:anchor>
                  </w:drawing>
                </mc:Choice>
                <mc:Fallback>
                  <w:pict>
                    <v:shape id="_x0000_s1026" o:spid="_x0000_s1026" o:spt="202" type="#_x0000_t202" style="position:absolute;left:0pt;margin-left:2.1pt;margin-top:-3.75pt;height:14.1pt;width:11pt;mso-position-horizontal-relative:page;mso-position-vertical-relative:page;z-index:251666432;mso-width-relative:page;mso-height-relative:page;" filled="f" stroked="f" coordsize="21600,21600" o:gfxdata="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O3bf4jXAAAACQEAAA8AAAAAAAAAAQAgAAAAOAAAAGRycy9kb3ducmV2LnhtbFBLAQIUABQA&#10;AAAIAIdO4kAWDVHkogEAACsDAAAOAAAAAAAAAAEAIAAAADwBAABkcnMvZTJvRG9jLnhtbFBLBQYA&#10;AAAABgAGAFkBAABQBQAAAAA=&#10;">
                      <v:fill on="f" focussize="0,0"/>
                      <v:stroke on="f"/>
                      <v:imagedata o:title=""/>
                      <o:lock v:ext="edit" aspectratio="f"/>
                      <v:textbox inset="0mm,0mm,0mm,0mm">
                        <w:txbxContent>
                          <w:p>
                            <w:pPr>
                              <w:tabs>
                                <w:tab w:val="left" w:pos="200"/>
                              </w:tabs>
                              <w:spacing w:before="20" w:line="241" w:lineRule="exact"/>
                              <w:ind w:left="20"/>
                              <w:rPr>
                                <w:rFonts w:ascii="Arial"/>
                                <w:sz w:val="21"/>
                              </w:rPr>
                            </w:pPr>
                            <w:r>
                              <w:rPr>
                                <w:rFonts w:ascii="Arial" w:hAnsi="Arial" w:eastAsia="Arial" w:cs="Arial"/>
                                <w:sz w:val="21"/>
                                <w:szCs w:val="21"/>
                                <w:u w:val="single" w:color="auto"/>
                              </w:rPr>
                              <w:tab/>
                            </w:r>
                          </w:p>
                        </w:txbxContent>
                      </v:textbox>
                    </v:shape>
                  </w:pict>
                </mc:Fallback>
              </mc:AlternateContent>
            </w:r>
          </w:p>
        </w:tc>
        <w:tc>
          <w:tcPr>
            <w:tcW w:w="390"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完成有难度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373" w:type="pct"/>
            <w:vMerge w:val="continue"/>
            <w:vAlign w:val="center"/>
          </w:tcPr>
          <w:p>
            <w:pPr>
              <w:rPr>
                <w:rFonts w:hint="eastAsia"/>
                <w:b/>
                <w:bCs/>
                <w:color w:val="000000" w:themeColor="text1"/>
                <w:highlight w:val="none"/>
                <w14:textFill>
                  <w14:solidFill>
                    <w14:schemeClr w14:val="tx1"/>
                  </w14:solidFill>
                </w14:textFill>
              </w:rPr>
            </w:pPr>
          </w:p>
        </w:tc>
        <w:tc>
          <w:tcPr>
            <w:tcW w:w="969"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万元工业增加值用水量降幅</w:t>
            </w:r>
          </w:p>
        </w:tc>
        <w:tc>
          <w:tcPr>
            <w:tcW w:w="38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28"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rightMargin">
                        <wp:posOffset>-495300</wp:posOffset>
                      </wp:positionH>
                      <wp:positionV relativeFrom="topMargin">
                        <wp:posOffset>-53340</wp:posOffset>
                      </wp:positionV>
                      <wp:extent cx="136525" cy="179070"/>
                      <wp:effectExtent l="0" t="0" r="0" b="0"/>
                      <wp:wrapNone/>
                      <wp:docPr id="49" name="文本框 49"/>
                      <wp:cNvGraphicFramePr/>
                      <a:graphic xmlns:a="http://schemas.openxmlformats.org/drawingml/2006/main">
                        <a:graphicData uri="http://schemas.microsoft.com/office/word/2010/wordprocessingShape">
                          <wps:wsp>
                            <wps:cNvSpPr txBox="true"/>
                            <wps:spPr>
                              <a:xfrm>
                                <a:off x="0" y="0"/>
                                <a:ext cx="136525" cy="179070"/>
                              </a:xfrm>
                              <a:prstGeom prst="rect">
                                <a:avLst/>
                              </a:prstGeom>
                              <a:noFill/>
                              <a:ln>
                                <a:noFill/>
                              </a:ln>
                            </wps:spPr>
                            <wps:txbx>
                              <w:txbxContent>
                                <w:p>
                                  <w:pPr>
                                    <w:tabs>
                                      <w:tab w:val="left" w:pos="193"/>
                                    </w:tabs>
                                    <w:spacing w:before="20" w:line="241" w:lineRule="exact"/>
                                    <w:ind w:left="20"/>
                                    <w:rPr>
                                      <w:rFonts w:ascii="Arial"/>
                                      <w:sz w:val="21"/>
                                    </w:rPr>
                                  </w:pPr>
                                  <w:r>
                                    <w:rPr>
                                      <w:rFonts w:ascii="Arial" w:hAnsi="Arial" w:eastAsia="Arial" w:cs="Arial"/>
                                      <w:sz w:val="21"/>
                                      <w:szCs w:val="21"/>
                                      <w:u w:val="single" w:color="auto"/>
                                    </w:rPr>
                                    <w:tab/>
                                  </w:r>
                                </w:p>
                              </w:txbxContent>
                            </wps:txbx>
                            <wps:bodyPr lIns="0" tIns="0" rIns="0" bIns="0" upright="true"/>
                          </wps:wsp>
                        </a:graphicData>
                      </a:graphic>
                    </wp:anchor>
                  </w:drawing>
                </mc:Choice>
                <mc:Fallback>
                  <w:pict>
                    <v:shape id="_x0000_s1026" o:spid="_x0000_s1026" o:spt="202" type="#_x0000_t202" style="position:absolute;left:0pt;margin-left:15.8pt;margin-top:-3.7pt;height:14.1pt;width:10.75pt;mso-position-horizontal-relative:page;mso-position-vertical-relative:page;z-index:251665408;mso-width-relative:page;mso-height-relative:page;" filled="f" stroked="f" coordsize="21600,21600" o:gfxdata="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WAAAAZHJzL1BLAQIUABQAAAAI&#10;AIdO4kAl+sTG2AAAAAkBAAAPAAAAAAAAAAEAIAAAADgAAABkcnMvZG93bnJldi54bWxQSwECFAAU&#10;AAAACACHTuJA/cBuZKIBAAArAwAADgAAAAAAAAABACAAAAA9AQAAZHJzL2Uyb0RvYy54bWxQSwUG&#10;AAAAAAYABgBZAQAAUQUAAAAA&#10;">
                      <v:fill on="f" focussize="0,0"/>
                      <v:stroke on="f"/>
                      <v:imagedata o:title=""/>
                      <o:lock v:ext="edit" aspectratio="f"/>
                      <v:textbox inset="0mm,0mm,0mm,0mm">
                        <w:txbxContent>
                          <w:p>
                            <w:pPr>
                              <w:tabs>
                                <w:tab w:val="left" w:pos="193"/>
                              </w:tabs>
                              <w:spacing w:before="20" w:line="241" w:lineRule="exact"/>
                              <w:ind w:left="20"/>
                              <w:rPr>
                                <w:rFonts w:ascii="Arial"/>
                                <w:sz w:val="21"/>
                              </w:rPr>
                            </w:pPr>
                            <w:r>
                              <w:rPr>
                                <w:rFonts w:ascii="Arial" w:hAnsi="Arial" w:eastAsia="Arial" w:cs="Arial"/>
                                <w:sz w:val="21"/>
                                <w:szCs w:val="21"/>
                                <w:u w:val="single" w:color="auto"/>
                              </w:rPr>
                              <w:tab/>
                            </w:r>
                          </w:p>
                        </w:txbxContent>
                      </v:textbox>
                    </v:shape>
                  </w:pict>
                </mc:Fallback>
              </mc:AlternateContent>
            </w:r>
          </w:p>
        </w:tc>
        <w:tc>
          <w:tcPr>
            <w:tcW w:w="64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≥16</w:t>
            </w:r>
          </w:p>
        </w:tc>
        <w:tc>
          <w:tcPr>
            <w:tcW w:w="56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15.6</w:t>
            </w:r>
          </w:p>
        </w:tc>
        <w:tc>
          <w:tcPr>
            <w:tcW w:w="556"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29.8</w:t>
            </w:r>
          </w:p>
        </w:tc>
        <w:tc>
          <w:tcPr>
            <w:tcW w:w="49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rightMargin">
                        <wp:posOffset>-516255</wp:posOffset>
                      </wp:positionH>
                      <wp:positionV relativeFrom="topMargin">
                        <wp:posOffset>-54610</wp:posOffset>
                      </wp:positionV>
                      <wp:extent cx="139700" cy="179070"/>
                      <wp:effectExtent l="0" t="0" r="0" b="0"/>
                      <wp:wrapNone/>
                      <wp:docPr id="53" name="文本框 53"/>
                      <wp:cNvGraphicFramePr/>
                      <a:graphic xmlns:a="http://schemas.openxmlformats.org/drawingml/2006/main">
                        <a:graphicData uri="http://schemas.microsoft.com/office/word/2010/wordprocessingShape">
                          <wps:wsp>
                            <wps:cNvSpPr txBox="true"/>
                            <wps:spPr>
                              <a:xfrm>
                                <a:off x="0" y="0"/>
                                <a:ext cx="139700" cy="179070"/>
                              </a:xfrm>
                              <a:prstGeom prst="rect">
                                <a:avLst/>
                              </a:prstGeom>
                              <a:noFill/>
                              <a:ln>
                                <a:noFill/>
                              </a:ln>
                            </wps:spPr>
                            <wps:txbx>
                              <w:txbxContent>
                                <w:p>
                                  <w:pPr>
                                    <w:tabs>
                                      <w:tab w:val="left" w:pos="200"/>
                                    </w:tabs>
                                    <w:spacing w:before="20" w:line="241" w:lineRule="exact"/>
                                    <w:ind w:left="20"/>
                                    <w:rPr>
                                      <w:rFonts w:ascii="Arial"/>
                                      <w:sz w:val="21"/>
                                    </w:rPr>
                                  </w:pPr>
                                  <w:r>
                                    <w:rPr>
                                      <w:rFonts w:ascii="Arial" w:hAnsi="Arial" w:eastAsia="Arial" w:cs="Arial"/>
                                      <w:sz w:val="21"/>
                                      <w:szCs w:val="21"/>
                                      <w:u w:val="single" w:color="auto"/>
                                    </w:rPr>
                                    <w:tab/>
                                  </w:r>
                                </w:p>
                              </w:txbxContent>
                            </wps:txbx>
                            <wps:bodyPr lIns="0" tIns="0" rIns="0" bIns="0" upright="true"/>
                          </wps:wsp>
                        </a:graphicData>
                      </a:graphic>
                    </wp:anchor>
                  </w:drawing>
                </mc:Choice>
                <mc:Fallback>
                  <w:pict>
                    <v:shape id="_x0000_s1026" o:spid="_x0000_s1026" o:spt="202" type="#_x0000_t202" style="position:absolute;left:0pt;margin-left:2.1pt;margin-top:-3.8pt;height:14.1pt;width:11pt;mso-position-horizontal-relative:page;mso-position-vertical-relative:page;z-index:251664384;mso-width-relative:page;mso-height-relative:page;" filled="f" stroked="f" coordsize="21600,21600" o:gfxdata="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EsgfTvWAAAACQEAAA8AAAAAAAAAAQAgAAAAOAAAAGRycy9kb3ducmV2LnhtbFBLAQIUABQA&#10;AAAIAIdO4kC5DCAMowEAACsDAAAOAAAAAAAAAAEAIAAAADsBAABkcnMvZTJvRG9jLnhtbFBLBQYA&#10;AAAABgAGAFkBAABQBQAAAAA=&#10;">
                      <v:fill on="f" focussize="0,0"/>
                      <v:stroke on="f"/>
                      <v:imagedata o:title=""/>
                      <o:lock v:ext="edit" aspectratio="f"/>
                      <v:textbox inset="0mm,0mm,0mm,0mm">
                        <w:txbxContent>
                          <w:p>
                            <w:pPr>
                              <w:tabs>
                                <w:tab w:val="left" w:pos="200"/>
                              </w:tabs>
                              <w:spacing w:before="20" w:line="241" w:lineRule="exact"/>
                              <w:ind w:left="20"/>
                              <w:rPr>
                                <w:rFonts w:ascii="Arial"/>
                                <w:sz w:val="21"/>
                              </w:rPr>
                            </w:pPr>
                            <w:r>
                              <w:rPr>
                                <w:rFonts w:ascii="Arial" w:hAnsi="Arial" w:eastAsia="Arial" w:cs="Arial"/>
                                <w:sz w:val="21"/>
                                <w:szCs w:val="21"/>
                                <w:u w:val="single" w:color="auto"/>
                              </w:rPr>
                              <w:tab/>
                            </w:r>
                          </w:p>
                        </w:txbxContent>
                      </v:textbox>
                    </v:shape>
                  </w:pict>
                </mc:Fallback>
              </mc:AlternateContent>
            </w:r>
          </w:p>
        </w:tc>
        <w:tc>
          <w:tcPr>
            <w:tcW w:w="390"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提前完成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373" w:type="pct"/>
            <w:vMerge w:val="continue"/>
            <w:vAlign w:val="center"/>
          </w:tcPr>
          <w:p>
            <w:pPr>
              <w:rPr>
                <w:rFonts w:hint="eastAsia"/>
                <w:b/>
                <w:bCs/>
                <w:color w:val="000000" w:themeColor="text1"/>
                <w:highlight w:val="none"/>
                <w14:textFill>
                  <w14:solidFill>
                    <w14:schemeClr w14:val="tx1"/>
                  </w14:solidFill>
                </w14:textFill>
              </w:rPr>
            </w:pPr>
          </w:p>
        </w:tc>
        <w:tc>
          <w:tcPr>
            <w:tcW w:w="969"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最低生态水位（1720.77米）日保障程度</w:t>
            </w:r>
          </w:p>
        </w:tc>
        <w:tc>
          <w:tcPr>
            <w:tcW w:w="38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28"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92.9</w:t>
            </w:r>
          </w:p>
        </w:tc>
        <w:tc>
          <w:tcPr>
            <w:tcW w:w="64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不低于水利部有关规定</w:t>
            </w:r>
          </w:p>
        </w:tc>
        <w:tc>
          <w:tcPr>
            <w:tcW w:w="56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100</w:t>
            </w:r>
          </w:p>
        </w:tc>
        <w:tc>
          <w:tcPr>
            <w:tcW w:w="556"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77.81</w:t>
            </w:r>
          </w:p>
        </w:tc>
        <w:tc>
          <w:tcPr>
            <w:tcW w:w="49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390"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完成有难度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373" w:type="pct"/>
            <w:vMerge w:val="restart"/>
            <w:vAlign w:val="center"/>
          </w:tcPr>
          <w:p>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生态系统修复</w:t>
            </w:r>
          </w:p>
        </w:tc>
        <w:tc>
          <w:tcPr>
            <w:tcW w:w="969"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湖滨带修复面积</w:t>
            </w:r>
          </w:p>
        </w:tc>
        <w:tc>
          <w:tcPr>
            <w:tcW w:w="38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万亩</w:t>
            </w:r>
          </w:p>
        </w:tc>
        <w:tc>
          <w:tcPr>
            <w:tcW w:w="628"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0.68</w:t>
            </w:r>
          </w:p>
        </w:tc>
        <w:tc>
          <w:tcPr>
            <w:tcW w:w="64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0.82</w:t>
            </w:r>
          </w:p>
        </w:tc>
        <w:tc>
          <w:tcPr>
            <w:tcW w:w="56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0.7</w:t>
            </w:r>
          </w:p>
        </w:tc>
        <w:tc>
          <w:tcPr>
            <w:tcW w:w="556"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0.82</w:t>
            </w:r>
          </w:p>
        </w:tc>
        <w:tc>
          <w:tcPr>
            <w:tcW w:w="49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0.82</w:t>
            </w:r>
          </w:p>
        </w:tc>
        <w:tc>
          <w:tcPr>
            <w:tcW w:w="390"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基本同步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373" w:type="pct"/>
            <w:vMerge w:val="continue"/>
            <w:vAlign w:val="center"/>
          </w:tcPr>
          <w:p>
            <w:pPr>
              <w:rPr>
                <w:rFonts w:hint="eastAsia"/>
                <w:b/>
                <w:bCs/>
                <w:color w:val="000000" w:themeColor="text1"/>
                <w:highlight w:val="none"/>
                <w14:textFill>
                  <w14:solidFill>
                    <w14:schemeClr w14:val="tx1"/>
                  </w14:solidFill>
                </w14:textFill>
              </w:rPr>
            </w:pPr>
          </w:p>
        </w:tc>
        <w:tc>
          <w:tcPr>
            <w:tcW w:w="969"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水土保持率</w:t>
            </w:r>
          </w:p>
        </w:tc>
        <w:tc>
          <w:tcPr>
            <w:tcW w:w="38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28"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77</w:t>
            </w:r>
          </w:p>
        </w:tc>
        <w:tc>
          <w:tcPr>
            <w:tcW w:w="64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564" w:type="pct"/>
            <w:vAlign w:val="center"/>
          </w:tcPr>
          <w:p>
            <w:pPr>
              <w:rPr>
                <w:rFonts w:hint="eastAsia"/>
                <w:color w:val="000000" w:themeColor="text1"/>
                <w:highlight w:val="none"/>
                <w14:textFill>
                  <w14:solidFill>
                    <w14:schemeClr w14:val="tx1"/>
                  </w14:solidFill>
                </w14:textFill>
              </w:rPr>
            </w:pPr>
          </w:p>
        </w:tc>
        <w:tc>
          <w:tcPr>
            <w:tcW w:w="556"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85.00</w:t>
            </w:r>
          </w:p>
        </w:tc>
        <w:tc>
          <w:tcPr>
            <w:tcW w:w="49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rightMargin">
                        <wp:posOffset>-516255</wp:posOffset>
                      </wp:positionH>
                      <wp:positionV relativeFrom="topMargin">
                        <wp:posOffset>-53975</wp:posOffset>
                      </wp:positionV>
                      <wp:extent cx="139700" cy="179070"/>
                      <wp:effectExtent l="0" t="0" r="0" b="0"/>
                      <wp:wrapNone/>
                      <wp:docPr id="50" name="文本框 50"/>
                      <wp:cNvGraphicFramePr/>
                      <a:graphic xmlns:a="http://schemas.openxmlformats.org/drawingml/2006/main">
                        <a:graphicData uri="http://schemas.microsoft.com/office/word/2010/wordprocessingShape">
                          <wps:wsp>
                            <wps:cNvSpPr txBox="true"/>
                            <wps:spPr>
                              <a:xfrm>
                                <a:off x="0" y="0"/>
                                <a:ext cx="139700" cy="179070"/>
                              </a:xfrm>
                              <a:prstGeom prst="rect">
                                <a:avLst/>
                              </a:prstGeom>
                              <a:noFill/>
                              <a:ln>
                                <a:noFill/>
                              </a:ln>
                            </wps:spPr>
                            <wps:txbx>
                              <w:txbxContent>
                                <w:p>
                                  <w:pPr>
                                    <w:tabs>
                                      <w:tab w:val="left" w:pos="200"/>
                                    </w:tabs>
                                    <w:spacing w:before="20" w:line="241" w:lineRule="exact"/>
                                    <w:ind w:left="20"/>
                                    <w:rPr>
                                      <w:rFonts w:ascii="Arial"/>
                                      <w:sz w:val="21"/>
                                    </w:rPr>
                                  </w:pPr>
                                  <w:r>
                                    <w:rPr>
                                      <w:rFonts w:ascii="Arial" w:hAnsi="Arial" w:eastAsia="Arial" w:cs="Arial"/>
                                      <w:sz w:val="21"/>
                                      <w:szCs w:val="21"/>
                                      <w:u w:val="single" w:color="auto"/>
                                    </w:rPr>
                                    <w:tab/>
                                  </w:r>
                                </w:p>
                              </w:txbxContent>
                            </wps:txbx>
                            <wps:bodyPr lIns="0" tIns="0" rIns="0" bIns="0" upright="true"/>
                          </wps:wsp>
                        </a:graphicData>
                      </a:graphic>
                    </wp:anchor>
                  </w:drawing>
                </mc:Choice>
                <mc:Fallback>
                  <w:pict>
                    <v:shape id="_x0000_s1026" o:spid="_x0000_s1026" o:spt="202" type="#_x0000_t202" style="position:absolute;left:0pt;margin-left:2.1pt;margin-top:-3.75pt;height:14.1pt;width:11pt;mso-position-horizontal-relative:page;mso-position-vertical-relative:page;z-index:251663360;mso-width-relative:page;mso-height-relative:page;" filled="f" stroked="f" coordsize="21600,21600" o:gfxdata="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7dt/iNcAAAAJAQAADwAAAAAAAAABACAAAAA4AAAAZHJzL2Rvd25yZXYueG1sUEsBAhQAFAAA&#10;AAgAh07iQI2w6uWhAQAAKwMAAA4AAAAAAAAAAQAgAAAAPAEAAGRycy9lMm9Eb2MueG1sUEsFBgAA&#10;AAAGAAYAWQEAAE8FAAAAAA==&#10;">
                      <v:fill on="f" focussize="0,0"/>
                      <v:stroke on="f"/>
                      <v:imagedata o:title=""/>
                      <o:lock v:ext="edit" aspectratio="f"/>
                      <v:textbox inset="0mm,0mm,0mm,0mm">
                        <w:txbxContent>
                          <w:p>
                            <w:pPr>
                              <w:tabs>
                                <w:tab w:val="left" w:pos="200"/>
                              </w:tabs>
                              <w:spacing w:before="20" w:line="241" w:lineRule="exact"/>
                              <w:ind w:left="20"/>
                              <w:rPr>
                                <w:rFonts w:ascii="Arial"/>
                                <w:sz w:val="21"/>
                              </w:rPr>
                            </w:pPr>
                            <w:r>
                              <w:rPr>
                                <w:rFonts w:ascii="Arial" w:hAnsi="Arial" w:eastAsia="Arial" w:cs="Arial"/>
                                <w:sz w:val="21"/>
                                <w:szCs w:val="21"/>
                                <w:u w:val="single" w:color="auto"/>
                              </w:rPr>
                              <w:tab/>
                            </w:r>
                          </w:p>
                        </w:txbxContent>
                      </v:textbox>
                    </v:shape>
                  </w:pict>
                </mc:Fallback>
              </mc:AlternateContent>
            </w:r>
          </w:p>
        </w:tc>
        <w:tc>
          <w:tcPr>
            <w:tcW w:w="390"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提前完成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373" w:type="pct"/>
            <w:vMerge w:val="continue"/>
            <w:vAlign w:val="center"/>
          </w:tcPr>
          <w:p>
            <w:pPr>
              <w:rPr>
                <w:rFonts w:hint="eastAsia"/>
                <w:b/>
                <w:bCs/>
                <w:color w:val="000000" w:themeColor="text1"/>
                <w:highlight w:val="none"/>
                <w14:textFill>
                  <w14:solidFill>
                    <w14:schemeClr w14:val="tx1"/>
                  </w14:solidFill>
                </w14:textFill>
              </w:rPr>
            </w:pPr>
          </w:p>
        </w:tc>
        <w:tc>
          <w:tcPr>
            <w:tcW w:w="969"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富营养化指数</w:t>
            </w:r>
          </w:p>
        </w:tc>
        <w:tc>
          <w:tcPr>
            <w:tcW w:w="38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28"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贫营养</w:t>
            </w:r>
          </w:p>
        </w:tc>
        <w:tc>
          <w:tcPr>
            <w:tcW w:w="64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保持贫营养，不低于现状</w:t>
            </w:r>
          </w:p>
        </w:tc>
        <w:tc>
          <w:tcPr>
            <w:tcW w:w="56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贫营养</w:t>
            </w:r>
          </w:p>
        </w:tc>
        <w:tc>
          <w:tcPr>
            <w:tcW w:w="556"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贫营养</w:t>
            </w:r>
          </w:p>
        </w:tc>
        <w:tc>
          <w:tcPr>
            <w:tcW w:w="49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贫营养</w:t>
            </w:r>
          </w:p>
        </w:tc>
        <w:tc>
          <w:tcPr>
            <w:tcW w:w="390"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基本同步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373" w:type="pct"/>
            <w:vMerge w:val="restart"/>
            <w:vAlign w:val="center"/>
          </w:tcPr>
          <w:p>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空间管控</w:t>
            </w:r>
          </w:p>
        </w:tc>
        <w:tc>
          <w:tcPr>
            <w:tcW w:w="969"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流域森林覆盖率</w:t>
            </w:r>
          </w:p>
        </w:tc>
        <w:tc>
          <w:tcPr>
            <w:tcW w:w="38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28"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&gt;39.25</w:t>
            </w:r>
          </w:p>
        </w:tc>
        <w:tc>
          <w:tcPr>
            <w:tcW w:w="64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≥40.52</w:t>
            </w:r>
          </w:p>
        </w:tc>
        <w:tc>
          <w:tcPr>
            <w:tcW w:w="56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56"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49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390"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373" w:type="pct"/>
            <w:vMerge w:val="continue"/>
            <w:vAlign w:val="center"/>
          </w:tcPr>
          <w:p>
            <w:pPr>
              <w:rPr>
                <w:rFonts w:hint="eastAsia"/>
                <w:b/>
                <w:bCs/>
                <w:color w:val="000000" w:themeColor="text1"/>
                <w:highlight w:val="none"/>
                <w14:textFill>
                  <w14:solidFill>
                    <w14:schemeClr w14:val="tx1"/>
                  </w14:solidFill>
                </w14:textFill>
              </w:rPr>
            </w:pPr>
          </w:p>
        </w:tc>
        <w:tc>
          <w:tcPr>
            <w:tcW w:w="969"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生态保护红线面积</w:t>
            </w:r>
          </w:p>
        </w:tc>
        <w:tc>
          <w:tcPr>
            <w:tcW w:w="38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平方千米</w:t>
            </w:r>
          </w:p>
        </w:tc>
        <w:tc>
          <w:tcPr>
            <w:tcW w:w="628"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335.25</w:t>
            </w:r>
          </w:p>
        </w:tc>
        <w:tc>
          <w:tcPr>
            <w:tcW w:w="64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≥335.25</w:t>
            </w:r>
          </w:p>
        </w:tc>
        <w:tc>
          <w:tcPr>
            <w:tcW w:w="56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346.5</w:t>
            </w:r>
          </w:p>
        </w:tc>
        <w:tc>
          <w:tcPr>
            <w:tcW w:w="556"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346.5</w:t>
            </w:r>
          </w:p>
        </w:tc>
        <w:tc>
          <w:tcPr>
            <w:tcW w:w="49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346.5</w:t>
            </w:r>
          </w:p>
        </w:tc>
        <w:tc>
          <w:tcPr>
            <w:tcW w:w="390"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提前完成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373" w:type="pct"/>
            <w:vAlign w:val="center"/>
          </w:tcPr>
          <w:p>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河湖监测</w:t>
            </w:r>
          </w:p>
        </w:tc>
        <w:tc>
          <w:tcPr>
            <w:tcW w:w="969"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建立湖泊智慧管理信息系统</w:t>
            </w:r>
          </w:p>
        </w:tc>
        <w:tc>
          <w:tcPr>
            <w:tcW w:w="38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28"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rightMargin">
                        <wp:posOffset>-495300</wp:posOffset>
                      </wp:positionH>
                      <wp:positionV relativeFrom="topMargin">
                        <wp:posOffset>-51435</wp:posOffset>
                      </wp:positionV>
                      <wp:extent cx="136525" cy="179070"/>
                      <wp:effectExtent l="0" t="0" r="0" b="0"/>
                      <wp:wrapNone/>
                      <wp:docPr id="52" name="文本框 52"/>
                      <wp:cNvGraphicFramePr/>
                      <a:graphic xmlns:a="http://schemas.openxmlformats.org/drawingml/2006/main">
                        <a:graphicData uri="http://schemas.microsoft.com/office/word/2010/wordprocessingShape">
                          <wps:wsp>
                            <wps:cNvSpPr txBox="true"/>
                            <wps:spPr>
                              <a:xfrm>
                                <a:off x="0" y="0"/>
                                <a:ext cx="136525" cy="179070"/>
                              </a:xfrm>
                              <a:prstGeom prst="rect">
                                <a:avLst/>
                              </a:prstGeom>
                              <a:noFill/>
                              <a:ln>
                                <a:noFill/>
                              </a:ln>
                            </wps:spPr>
                            <wps:txbx>
                              <w:txbxContent>
                                <w:p>
                                  <w:pPr>
                                    <w:tabs>
                                      <w:tab w:val="left" w:pos="193"/>
                                    </w:tabs>
                                    <w:spacing w:before="20" w:line="241" w:lineRule="exact"/>
                                    <w:ind w:left="20"/>
                                    <w:rPr>
                                      <w:rFonts w:ascii="Arial"/>
                                      <w:sz w:val="21"/>
                                    </w:rPr>
                                  </w:pPr>
                                  <w:r>
                                    <w:rPr>
                                      <w:rFonts w:ascii="Arial" w:hAnsi="Arial" w:eastAsia="Arial" w:cs="Arial"/>
                                      <w:sz w:val="21"/>
                                      <w:szCs w:val="21"/>
                                      <w:u w:val="single" w:color="auto"/>
                                    </w:rPr>
                                    <w:tab/>
                                  </w:r>
                                </w:p>
                              </w:txbxContent>
                            </wps:txbx>
                            <wps:bodyPr lIns="0" tIns="0" rIns="0" bIns="0" upright="true"/>
                          </wps:wsp>
                        </a:graphicData>
                      </a:graphic>
                    </wp:anchor>
                  </w:drawing>
                </mc:Choice>
                <mc:Fallback>
                  <w:pict>
                    <v:shape id="_x0000_s1026" o:spid="_x0000_s1026" o:spt="202" type="#_x0000_t202" style="position:absolute;left:0pt;margin-left:15.8pt;margin-top:-3.55pt;height:14.1pt;width:10.75pt;mso-position-horizontal-relative:page;mso-position-vertical-relative:page;z-index:251673600;mso-width-relative:page;mso-height-relative:page;" filled="f" stroked="f" coordsize="21600,21600" o:gfxdata="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7YQFNtgAAAAJAQAADwAAAAAAAAABACAAAAA4AAAAZHJzL2Rvd25yZXYueG1sUEsBAhQA&#10;FAAAAAgAh07iQFLBH4yjAQAAKwMAAA4AAAAAAAAAAQAgAAAAPQEAAGRycy9lMm9Eb2MueG1sUEsF&#10;BgAAAAAGAAYAWQEAAFIFAAAAAA==&#10;">
                      <v:fill on="f" focussize="0,0"/>
                      <v:stroke on="f"/>
                      <v:imagedata o:title=""/>
                      <o:lock v:ext="edit" aspectratio="f"/>
                      <v:textbox inset="0mm,0mm,0mm,0mm">
                        <w:txbxContent>
                          <w:p>
                            <w:pPr>
                              <w:tabs>
                                <w:tab w:val="left" w:pos="193"/>
                              </w:tabs>
                              <w:spacing w:before="20" w:line="241" w:lineRule="exact"/>
                              <w:ind w:left="20"/>
                              <w:rPr>
                                <w:rFonts w:ascii="Arial"/>
                                <w:sz w:val="21"/>
                              </w:rPr>
                            </w:pPr>
                            <w:r>
                              <w:rPr>
                                <w:rFonts w:ascii="Arial" w:hAnsi="Arial" w:eastAsia="Arial" w:cs="Arial"/>
                                <w:sz w:val="21"/>
                                <w:szCs w:val="21"/>
                                <w:u w:val="single" w:color="auto"/>
                              </w:rPr>
                              <w:tab/>
                            </w:r>
                          </w:p>
                        </w:txbxContent>
                      </v:textbox>
                    </v:shape>
                  </w:pict>
                </mc:Fallback>
              </mc:AlternateContent>
            </w:r>
          </w:p>
        </w:tc>
        <w:tc>
          <w:tcPr>
            <w:tcW w:w="64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建立</w:t>
            </w:r>
          </w:p>
        </w:tc>
        <w:tc>
          <w:tcPr>
            <w:tcW w:w="56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正在建设</w:t>
            </w:r>
          </w:p>
        </w:tc>
        <w:tc>
          <w:tcPr>
            <w:tcW w:w="556"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正在建设</w:t>
            </w:r>
          </w:p>
        </w:tc>
        <w:tc>
          <w:tcPr>
            <w:tcW w:w="49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正在建设</w:t>
            </w:r>
          </w:p>
        </w:tc>
        <w:tc>
          <w:tcPr>
            <w:tcW w:w="390"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373" w:type="pct"/>
            <w:vMerge w:val="restart"/>
            <w:vAlign w:val="center"/>
          </w:tcPr>
          <w:p>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依法治湖管湖</w:t>
            </w:r>
          </w:p>
        </w:tc>
        <w:tc>
          <w:tcPr>
            <w:tcW w:w="969"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评定美丽河湖</w:t>
            </w:r>
          </w:p>
        </w:tc>
        <w:tc>
          <w:tcPr>
            <w:tcW w:w="38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28"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4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评定</w:t>
            </w:r>
          </w:p>
        </w:tc>
        <w:tc>
          <w:tcPr>
            <w:tcW w:w="56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评定</w:t>
            </w:r>
          </w:p>
        </w:tc>
        <w:tc>
          <w:tcPr>
            <w:tcW w:w="556"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评定</w:t>
            </w:r>
          </w:p>
        </w:tc>
        <w:tc>
          <w:tcPr>
            <w:tcW w:w="49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评定</w:t>
            </w:r>
          </w:p>
        </w:tc>
        <w:tc>
          <w:tcPr>
            <w:tcW w:w="390"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提前完成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73" w:type="pct"/>
            <w:vMerge w:val="continue"/>
            <w:vAlign w:val="center"/>
          </w:tcPr>
          <w:p>
            <w:pPr>
              <w:rPr>
                <w:rFonts w:hint="eastAsia"/>
                <w:color w:val="000000" w:themeColor="text1"/>
                <w:highlight w:val="none"/>
                <w14:textFill>
                  <w14:solidFill>
                    <w14:schemeClr w14:val="tx1"/>
                  </w14:solidFill>
                </w14:textFill>
              </w:rPr>
            </w:pPr>
          </w:p>
        </w:tc>
        <w:tc>
          <w:tcPr>
            <w:tcW w:w="969"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湖泊保护治理公众满意度</w:t>
            </w:r>
          </w:p>
        </w:tc>
        <w:tc>
          <w:tcPr>
            <w:tcW w:w="38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628"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90</w:t>
            </w:r>
          </w:p>
        </w:tc>
        <w:tc>
          <w:tcPr>
            <w:tcW w:w="64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95</w:t>
            </w:r>
          </w:p>
        </w:tc>
        <w:tc>
          <w:tcPr>
            <w:tcW w:w="564"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91</w:t>
            </w:r>
          </w:p>
        </w:tc>
        <w:tc>
          <w:tcPr>
            <w:tcW w:w="556"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97.26</w:t>
            </w:r>
          </w:p>
        </w:tc>
        <w:tc>
          <w:tcPr>
            <w:tcW w:w="491"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rightMargin">
                        <wp:posOffset>-516255</wp:posOffset>
                      </wp:positionH>
                      <wp:positionV relativeFrom="topMargin">
                        <wp:posOffset>-53340</wp:posOffset>
                      </wp:positionV>
                      <wp:extent cx="139700" cy="179070"/>
                      <wp:effectExtent l="0" t="0" r="0" b="0"/>
                      <wp:wrapNone/>
                      <wp:docPr id="51" name="文本框 51"/>
                      <wp:cNvGraphicFramePr/>
                      <a:graphic xmlns:a="http://schemas.openxmlformats.org/drawingml/2006/main">
                        <a:graphicData uri="http://schemas.microsoft.com/office/word/2010/wordprocessingShape">
                          <wps:wsp>
                            <wps:cNvSpPr txBox="true"/>
                            <wps:spPr>
                              <a:xfrm>
                                <a:off x="0" y="0"/>
                                <a:ext cx="139700" cy="179070"/>
                              </a:xfrm>
                              <a:prstGeom prst="rect">
                                <a:avLst/>
                              </a:prstGeom>
                              <a:noFill/>
                              <a:ln>
                                <a:noFill/>
                              </a:ln>
                            </wps:spPr>
                            <wps:txbx>
                              <w:txbxContent>
                                <w:p>
                                  <w:pPr>
                                    <w:tabs>
                                      <w:tab w:val="left" w:pos="200"/>
                                    </w:tabs>
                                    <w:spacing w:before="20" w:line="241" w:lineRule="exact"/>
                                    <w:ind w:left="20"/>
                                    <w:rPr>
                                      <w:rFonts w:ascii="Arial"/>
                                      <w:sz w:val="21"/>
                                    </w:rPr>
                                  </w:pPr>
                                  <w:r>
                                    <w:rPr>
                                      <w:rFonts w:ascii="Arial" w:hAnsi="Arial" w:eastAsia="Arial" w:cs="Arial"/>
                                      <w:sz w:val="21"/>
                                      <w:szCs w:val="21"/>
                                      <w:u w:val="single" w:color="auto"/>
                                    </w:rPr>
                                    <w:tab/>
                                  </w:r>
                                </w:p>
                              </w:txbxContent>
                            </wps:txbx>
                            <wps:bodyPr lIns="0" tIns="0" rIns="0" bIns="0" upright="true"/>
                          </wps:wsp>
                        </a:graphicData>
                      </a:graphic>
                    </wp:anchor>
                  </w:drawing>
                </mc:Choice>
                <mc:Fallback>
                  <w:pict>
                    <v:shape id="_x0000_s1026" o:spid="_x0000_s1026" o:spt="202" type="#_x0000_t202" style="position:absolute;left:0pt;margin-left:2.1pt;margin-top:-3.7pt;height:14.1pt;width:11pt;mso-position-horizontal-relative:page;mso-position-vertical-relative:page;z-index:251672576;mso-width-relative:page;mso-height-relative:page;" filled="f" stroked="f" coordsize="21600,21600" o:gfxdata="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LaZkF7XAAAACQEAAA8AAAAAAAAAAQAgAAAAOAAAAGRycy9kb3ducmV2LnhtbFBLAQIUABQA&#10;AAAIAIdO4kBe2YMLogEAACsDAAAOAAAAAAAAAAEAIAAAADwBAABkcnMvZTJvRG9jLnhtbFBLBQYA&#10;AAAABgAGAFkBAABQBQAAAAA=&#10;">
                      <v:fill on="f" focussize="0,0"/>
                      <v:stroke on="f"/>
                      <v:imagedata o:title=""/>
                      <o:lock v:ext="edit" aspectratio="f"/>
                      <v:textbox inset="0mm,0mm,0mm,0mm">
                        <w:txbxContent>
                          <w:p>
                            <w:pPr>
                              <w:tabs>
                                <w:tab w:val="left" w:pos="200"/>
                              </w:tabs>
                              <w:spacing w:before="20" w:line="241" w:lineRule="exact"/>
                              <w:ind w:left="20"/>
                              <w:rPr>
                                <w:rFonts w:ascii="Arial"/>
                                <w:sz w:val="21"/>
                              </w:rPr>
                            </w:pPr>
                            <w:r>
                              <w:rPr>
                                <w:rFonts w:ascii="Arial" w:hAnsi="Arial" w:eastAsia="Arial" w:cs="Arial"/>
                                <w:sz w:val="21"/>
                                <w:szCs w:val="21"/>
                                <w:u w:val="single" w:color="auto"/>
                              </w:rPr>
                              <w:tab/>
                            </w:r>
                          </w:p>
                        </w:txbxContent>
                      </v:textbox>
                    </v:shape>
                  </w:pict>
                </mc:Fallback>
              </mc:AlternateContent>
            </w:r>
          </w:p>
        </w:tc>
        <w:tc>
          <w:tcPr>
            <w:tcW w:w="390" w:type="pct"/>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基本同步</w:t>
            </w:r>
          </w:p>
        </w:tc>
      </w:tr>
    </w:tbl>
    <w:p>
      <w:pPr>
        <w:rPr>
          <w:color w:val="000000" w:themeColor="text1"/>
          <w:sz w:val="21"/>
          <w:szCs w:val="16"/>
          <w:highlight w:val="none"/>
          <w14:textFill>
            <w14:solidFill>
              <w14:schemeClr w14:val="tx1"/>
            </w14:solidFill>
          </w14:textFill>
        </w:rPr>
      </w:pPr>
      <w:r>
        <w:rPr>
          <w:color w:val="000000" w:themeColor="text1"/>
          <w:sz w:val="21"/>
          <w:szCs w:val="16"/>
          <w:highlight w:val="none"/>
          <w14:textFill>
            <w14:solidFill>
              <w14:schemeClr w14:val="tx1"/>
            </w14:solidFill>
          </w14:textFill>
        </w:rPr>
        <w:t>注：1.主要入湖河流由湖泊所在州（市）人民政府确定，但必须包括设有国控、省控、市控断面河流。2.万元地区生产总值用水量降幅、万元工业增加值用水量降幅为2025年与2020年相比较，按2020年可比价计算。3.最低生态水位日保障程度：根据实际观测资料，现状值根据近十年日均水位进行评价；“十四五”目标值按照水利部印发的第二批重点河湖生态流量保障目标有关文件要求，抚仙湖最低生态水位为1720.77米，生态水位日保障程度原则上应不小于90%，保证每年329天实测水位不低于最低生态水位。4.评定美丽河湖范围仅针对湖泊</w:t>
      </w:r>
      <w:r>
        <w:rPr>
          <w:rFonts w:hint="eastAsia"/>
          <w:color w:val="000000" w:themeColor="text1"/>
          <w:sz w:val="21"/>
          <w:szCs w:val="16"/>
          <w:highlight w:val="none"/>
          <w:lang w:eastAsia="zh-CN"/>
          <w14:textFill>
            <w14:solidFill>
              <w14:schemeClr w14:val="tx1"/>
            </w14:solidFill>
          </w14:textFill>
        </w:rPr>
        <w:t>，</w:t>
      </w:r>
      <w:r>
        <w:rPr>
          <w:color w:val="000000" w:themeColor="text1"/>
          <w:sz w:val="21"/>
          <w:szCs w:val="16"/>
          <w:highlight w:val="none"/>
          <w14:textFill>
            <w14:solidFill>
              <w14:schemeClr w14:val="tx1"/>
            </w14:solidFill>
          </w14:textFill>
        </w:rPr>
        <w:t>目标为评定州（市）级以上美丽河湖。</w:t>
      </w:r>
    </w:p>
    <w:p>
      <w:pPr>
        <w:pStyle w:val="4"/>
        <w:spacing w:before="120" w:after="120" w:line="480" w:lineRule="auto"/>
        <w:rPr>
          <w:rFonts w:hint="default" w:ascii="Times New Roman" w:hAnsi="Times New Roman" w:cs="Times New Roman" w:eastAsiaTheme="minorEastAsia"/>
          <w:color w:val="000000" w:themeColor="text1"/>
          <w:highlight w:val="none"/>
          <w14:textFill>
            <w14:solidFill>
              <w14:schemeClr w14:val="tx1"/>
            </w14:solidFill>
          </w14:textFill>
        </w:rPr>
      </w:pPr>
      <w:bookmarkStart w:id="222" w:name="_Toc2898"/>
      <w:r>
        <w:rPr>
          <w:rFonts w:hint="default" w:ascii="Times New Roman" w:hAnsi="Times New Roman" w:cs="Times New Roman" w:eastAsiaTheme="minorEastAsia"/>
          <w:color w:val="000000" w:themeColor="text1"/>
          <w:highlight w:val="none"/>
          <w14:textFill>
            <w14:solidFill>
              <w14:schemeClr w14:val="tx1"/>
            </w14:solidFill>
          </w14:textFill>
        </w:rPr>
        <w:t>3.2主要目标指标进展</w:t>
      </w:r>
      <w:bookmarkEnd w:id="222"/>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223" w:name="_Toc26050"/>
      <w:bookmarkStart w:id="224" w:name="_Toc16059"/>
      <w:bookmarkStart w:id="225" w:name="_Toc31109"/>
      <w:r>
        <w:rPr>
          <w:rFonts w:hint="default" w:ascii="Times New Roman" w:hAnsi="Times New Roman" w:cs="Times New Roman" w:eastAsiaTheme="minorEastAsia"/>
          <w:color w:val="000000" w:themeColor="text1"/>
          <w:highlight w:val="none"/>
          <w14:textFill>
            <w14:solidFill>
              <w14:schemeClr w14:val="tx1"/>
            </w14:solidFill>
          </w14:textFill>
        </w:rPr>
        <w:t>3.2.</w:t>
      </w:r>
      <w:r>
        <w:rPr>
          <w:rFonts w:hint="eastAsia" w:cs="Times New Roman" w:eastAsiaTheme="minorEastAsia"/>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highlight w:val="none"/>
          <w14:textFill>
            <w14:solidFill>
              <w14:schemeClr w14:val="tx1"/>
            </w14:solidFill>
          </w14:textFill>
        </w:rPr>
        <w:t>水污染防治体系</w:t>
      </w:r>
      <w:bookmarkEnd w:id="223"/>
      <w:bookmarkEnd w:id="224"/>
      <w:bookmarkEnd w:id="225"/>
    </w:p>
    <w:p>
      <w:pPr>
        <w:pStyle w:val="6"/>
        <w:rPr>
          <w:rFonts w:hint="default" w:ascii="Times New Roman" w:hAnsi="Times New Roman" w:cs="Times New Roman" w:eastAsiaTheme="minorEastAsia"/>
          <w:color w:val="000000" w:themeColor="text1"/>
          <w:highlight w:val="none"/>
          <w14:textFill>
            <w14:solidFill>
              <w14:schemeClr w14:val="tx1"/>
            </w14:solidFill>
          </w14:textFill>
        </w:rPr>
      </w:pPr>
      <w:bookmarkStart w:id="226" w:name="_Toc32330"/>
      <w:bookmarkStart w:id="227" w:name="_Toc5714"/>
      <w:bookmarkStart w:id="228" w:name="_Toc29050"/>
      <w:bookmarkStart w:id="229" w:name="_Toc26015"/>
      <w:r>
        <w:rPr>
          <w:rFonts w:hint="default" w:ascii="Times New Roman" w:hAnsi="Times New Roman" w:cs="Times New Roman" w:eastAsiaTheme="minorEastAsia"/>
          <w:color w:val="000000" w:themeColor="text1"/>
          <w:highlight w:val="none"/>
          <w14:textFill>
            <w14:solidFill>
              <w14:schemeClr w14:val="tx1"/>
            </w14:solidFill>
          </w14:textFill>
        </w:rPr>
        <w:t>3.2.</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highlight w:val="none"/>
          <w14:textFill>
            <w14:solidFill>
              <w14:schemeClr w14:val="tx1"/>
            </w14:solidFill>
          </w14:textFill>
        </w:rPr>
        <w:t>.1城市（县城）生活污水处理率</w:t>
      </w:r>
      <w:bookmarkEnd w:id="226"/>
      <w:bookmarkEnd w:id="227"/>
      <w:bookmarkEnd w:id="228"/>
      <w:bookmarkEnd w:id="229"/>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抚仙湖流域内城镇均位于澄江市内，根据澄江市住建局所提供数据，抚仙湖流域内2022年城镇现状污水收集率为96.75%。</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十四五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期间，通过澄江市抚仙湖全流域截污治污及健康水循环建设项目、澄江市第一污水处理厂技术改造项目的实施，在原有澄江市污水管网基础上，进行查缺补漏，管网范围进一步覆盖整个澄江市。目前澄江市抚仙湖全流域截污治污及健康水循环建设项目、第一污水处理厂技术改造项目</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已</w:t>
      </w:r>
      <w:r>
        <w:rPr>
          <w:rFonts w:hint="default" w:ascii="Times New Roman" w:hAnsi="Times New Roman" w:cs="Times New Roman" w:eastAsiaTheme="minorEastAsia"/>
          <w:color w:val="000000" w:themeColor="text1"/>
          <w:highlight w:val="none"/>
          <w14:textFill>
            <w14:solidFill>
              <w14:schemeClr w14:val="tx1"/>
            </w14:solidFill>
          </w14:textFill>
        </w:rPr>
        <w:t>开工建设，预计到2025年城镇生活污水收集率达到97%的指标有望完成。</w:t>
      </w:r>
    </w:p>
    <w:p>
      <w:pPr>
        <w:pStyle w:val="6"/>
        <w:rPr>
          <w:rFonts w:hint="eastAsia" w:ascii="Times New Roman" w:hAnsi="Times New Roman" w:cs="Times New Roman" w:eastAsiaTheme="minorEastAsia"/>
          <w:color w:val="000000" w:themeColor="text1"/>
          <w:highlight w:val="none"/>
          <w:lang w:eastAsia="zh-CN"/>
          <w14:textFill>
            <w14:solidFill>
              <w14:schemeClr w14:val="tx1"/>
            </w14:solidFill>
          </w14:textFill>
        </w:rPr>
      </w:pPr>
      <w:bookmarkStart w:id="230" w:name="_Toc28492"/>
      <w:bookmarkStart w:id="231" w:name="_Toc14508"/>
      <w:bookmarkStart w:id="232" w:name="_Toc8717"/>
      <w:bookmarkStart w:id="233" w:name="_Toc9824"/>
      <w:r>
        <w:rPr>
          <w:rFonts w:hint="default" w:ascii="Times New Roman" w:hAnsi="Times New Roman" w:cs="Times New Roman" w:eastAsiaTheme="minorEastAsia"/>
          <w:color w:val="000000" w:themeColor="text1"/>
          <w:highlight w:val="none"/>
          <w14:textFill>
            <w14:solidFill>
              <w14:schemeClr w14:val="tx1"/>
            </w14:solidFill>
          </w14:textFill>
        </w:rPr>
        <w:t>3.2.</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highlight w:val="none"/>
          <w14:textFill>
            <w14:solidFill>
              <w14:schemeClr w14:val="tx1"/>
            </w14:solidFill>
          </w14:textFill>
        </w:rPr>
        <w:t>.2</w:t>
      </w:r>
      <w:bookmarkEnd w:id="230"/>
      <w:bookmarkEnd w:id="231"/>
      <w:r>
        <w:rPr>
          <w:rFonts w:hint="eastAsia" w:ascii="Times New Roman" w:hAnsi="Times New Roman" w:cs="Times New Roman" w:eastAsiaTheme="minorEastAsia"/>
          <w:color w:val="000000" w:themeColor="text1"/>
          <w:highlight w:val="none"/>
          <w:lang w:eastAsia="zh-CN"/>
          <w14:textFill>
            <w14:solidFill>
              <w14:schemeClr w14:val="tx1"/>
            </w14:solidFill>
          </w14:textFill>
        </w:rPr>
        <w:t>农村生活污水</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收集处</w:t>
      </w:r>
      <w:r>
        <w:rPr>
          <w:rFonts w:hint="eastAsia" w:ascii="Times New Roman" w:hAnsi="Times New Roman" w:cs="Times New Roman" w:eastAsiaTheme="minorEastAsia"/>
          <w:color w:val="000000" w:themeColor="text1"/>
          <w:highlight w:val="none"/>
          <w:lang w:eastAsia="zh-CN"/>
          <w14:textFill>
            <w14:solidFill>
              <w14:schemeClr w14:val="tx1"/>
            </w14:solidFill>
          </w14:textFill>
        </w:rPr>
        <w:t>理率</w:t>
      </w:r>
      <w:bookmarkEnd w:id="232"/>
      <w:bookmarkEnd w:id="233"/>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根据玉溪市生态环境局澄江分局提供《云南省农村生态环境监管信息系统》资料，抚仙湖流域内2022年农村生活污水收集率、处置率皆为97.96%，</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十四五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期间持续开展对全域6个镇（街道）、44个行政村（社区）、339个村（居）民小组污水收集管网系统进行完善提升，实现污水全收集、全处理。随着该规划项目的全面推进，到2025年抚仙湖</w:t>
      </w:r>
      <w:r>
        <w:rPr>
          <w:rFonts w:hint="eastAsia" w:cs="Times New Roman" w:eastAsiaTheme="minorEastAsia"/>
          <w:color w:val="000000" w:themeColor="text1"/>
          <w:highlight w:val="none"/>
          <w:lang w:eastAsia="zh-CN"/>
          <w14:textFill>
            <w14:solidFill>
              <w14:schemeClr w14:val="tx1"/>
            </w14:solidFill>
          </w14:textFill>
        </w:rPr>
        <w:t>农村生活污水</w:t>
      </w:r>
      <w:r>
        <w:rPr>
          <w:rFonts w:hint="eastAsia" w:cs="Times New Roman" w:eastAsiaTheme="minorEastAsia"/>
          <w:color w:val="000000" w:themeColor="text1"/>
          <w:highlight w:val="none"/>
          <w:lang w:val="en-US" w:eastAsia="zh-CN"/>
          <w14:textFill>
            <w14:solidFill>
              <w14:schemeClr w14:val="tx1"/>
            </w14:solidFill>
          </w14:textFill>
        </w:rPr>
        <w:t>收集处</w:t>
      </w:r>
      <w:r>
        <w:rPr>
          <w:rFonts w:hint="eastAsia" w:cs="Times New Roman" w:eastAsiaTheme="minorEastAsia"/>
          <w:color w:val="000000" w:themeColor="text1"/>
          <w:highlight w:val="none"/>
          <w:lang w:eastAsia="zh-CN"/>
          <w14:textFill>
            <w14:solidFill>
              <w14:schemeClr w14:val="tx1"/>
            </w14:solidFill>
          </w14:textFill>
        </w:rPr>
        <w:t>理率</w:t>
      </w:r>
      <w:r>
        <w:rPr>
          <w:rFonts w:hint="default" w:ascii="Times New Roman" w:hAnsi="Times New Roman" w:cs="Times New Roman" w:eastAsiaTheme="minorEastAsia"/>
          <w:color w:val="000000" w:themeColor="text1"/>
          <w:highlight w:val="none"/>
          <w14:textFill>
            <w14:solidFill>
              <w14:schemeClr w14:val="tx1"/>
            </w14:solidFill>
          </w14:textFill>
        </w:rPr>
        <w:t>能够达到98%及以上。</w:t>
      </w:r>
    </w:p>
    <w:p>
      <w:pPr>
        <w:pStyle w:val="6"/>
        <w:rPr>
          <w:rFonts w:hint="default" w:ascii="Times New Roman" w:hAnsi="Times New Roman" w:cs="Times New Roman" w:eastAsiaTheme="minorEastAsia"/>
          <w:color w:val="000000" w:themeColor="text1"/>
          <w:highlight w:val="none"/>
          <w14:textFill>
            <w14:solidFill>
              <w14:schemeClr w14:val="tx1"/>
            </w14:solidFill>
          </w14:textFill>
        </w:rPr>
      </w:pPr>
      <w:bookmarkStart w:id="234" w:name="_Toc26253"/>
      <w:bookmarkStart w:id="235" w:name="_Toc29249"/>
      <w:bookmarkStart w:id="236" w:name="_Toc17421"/>
      <w:bookmarkStart w:id="237" w:name="_Toc21196"/>
      <w:r>
        <w:rPr>
          <w:rFonts w:hint="default" w:ascii="Times New Roman" w:hAnsi="Times New Roman" w:cs="Times New Roman" w:eastAsiaTheme="minorEastAsia"/>
          <w:color w:val="000000" w:themeColor="text1"/>
          <w:highlight w:val="none"/>
          <w14:textFill>
            <w14:solidFill>
              <w14:schemeClr w14:val="tx1"/>
            </w14:solidFill>
          </w14:textFill>
        </w:rPr>
        <w:t>3.2.</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highlight w:val="none"/>
          <w14:textFill>
            <w14:solidFill>
              <w14:schemeClr w14:val="tx1"/>
            </w14:solidFill>
          </w14:textFill>
        </w:rPr>
        <w:t>.3城市生活垃圾无害化处理率</w:t>
      </w:r>
      <w:bookmarkEnd w:id="234"/>
      <w:bookmarkEnd w:id="235"/>
      <w:bookmarkEnd w:id="236"/>
      <w:bookmarkEnd w:id="237"/>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由于抚仙湖流域内城镇均位于澄江市内，根据澄江市住建局提供数据，流域内城镇生活垃圾无害化处置率100%。</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十四五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期间，为使流域城镇生活垃圾处置能力与社会经济发展及人口增长的需求相匹配，持续开展澄江市生活垃圾治理项目，稳步推进全域垃圾分级分类分拣、分期完成大山垃圾填埋场封场并对餐厨潲水、泔水进行收集，同步配套建设厨余垃圾处理设施。目前该项目正在稳步推进，持续加大抚仙湖流域垃圾转运能力，在现有基础上不断提高城镇垃圾处置能力的情况下，现阶段2022年末该指标可达100%，到2025年能够保障流域城镇生活垃圾处置率高于规划设定目标97%。</w:t>
      </w:r>
    </w:p>
    <w:p>
      <w:pPr>
        <w:pStyle w:val="6"/>
        <w:rPr>
          <w:rFonts w:hint="default" w:ascii="Times New Roman" w:hAnsi="Times New Roman" w:cs="Times New Roman" w:eastAsiaTheme="minorEastAsia"/>
          <w:color w:val="000000" w:themeColor="text1"/>
          <w:highlight w:val="none"/>
          <w14:textFill>
            <w14:solidFill>
              <w14:schemeClr w14:val="tx1"/>
            </w14:solidFill>
          </w14:textFill>
        </w:rPr>
      </w:pPr>
      <w:bookmarkStart w:id="238" w:name="_Toc25767"/>
      <w:bookmarkStart w:id="239" w:name="_Toc5890"/>
      <w:bookmarkStart w:id="240" w:name="_Toc15827"/>
      <w:bookmarkStart w:id="241" w:name="_Toc30937"/>
      <w:r>
        <w:rPr>
          <w:rFonts w:hint="default" w:ascii="Times New Roman" w:hAnsi="Times New Roman" w:cs="Times New Roman" w:eastAsiaTheme="minorEastAsia"/>
          <w:color w:val="000000" w:themeColor="text1"/>
          <w:highlight w:val="none"/>
          <w14:textFill>
            <w14:solidFill>
              <w14:schemeClr w14:val="tx1"/>
            </w14:solidFill>
          </w14:textFill>
        </w:rPr>
        <w:t>3.2.</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highlight w:val="none"/>
          <w14:textFill>
            <w14:solidFill>
              <w14:schemeClr w14:val="tx1"/>
            </w14:solidFill>
          </w14:textFill>
        </w:rPr>
        <w:t>.</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highlight w:val="none"/>
          <w14:textFill>
            <w14:solidFill>
              <w14:schemeClr w14:val="tx1"/>
            </w14:solidFill>
          </w14:textFill>
        </w:rPr>
        <w:t>湖体水质类别（国控</w:t>
      </w:r>
      <w:r>
        <w:rPr>
          <w:rFonts w:hint="eastAsia" w:ascii="Times New Roman" w:hAnsi="Times New Roman" w:cs="Times New Roman" w:eastAsiaTheme="minorEastAsia"/>
          <w:color w:val="000000" w:themeColor="text1"/>
          <w:highlight w:val="none"/>
          <w:lang w:eastAsia="zh-CN"/>
          <w14:textFill>
            <w14:solidFill>
              <w14:schemeClr w14:val="tx1"/>
            </w14:solidFill>
          </w14:textFill>
        </w:rPr>
        <w:t>、</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省控</w:t>
      </w:r>
      <w:r>
        <w:rPr>
          <w:rFonts w:hint="default" w:ascii="Times New Roman" w:hAnsi="Times New Roman" w:cs="Times New Roman" w:eastAsiaTheme="minorEastAsia"/>
          <w:color w:val="000000" w:themeColor="text1"/>
          <w:highlight w:val="none"/>
          <w14:textFill>
            <w14:solidFill>
              <w14:schemeClr w14:val="tx1"/>
            </w14:solidFill>
          </w14:textFill>
        </w:rPr>
        <w:t>断面）</w:t>
      </w:r>
      <w:bookmarkEnd w:id="238"/>
      <w:bookmarkEnd w:id="239"/>
      <w:bookmarkEnd w:id="240"/>
      <w:bookmarkEnd w:id="241"/>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（1）湖体水质分析</w:t>
      </w:r>
    </w:p>
    <w:p>
      <w:pPr>
        <w:ind w:firstLine="481"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
          <w:bCs/>
          <w:color w:val="000000" w:themeColor="text1"/>
          <w:highlight w:val="none"/>
          <w14:textFill>
            <w14:solidFill>
              <w14:schemeClr w14:val="tx1"/>
            </w14:solidFill>
          </w14:textFill>
        </w:rPr>
        <w:t>国控点湖心</w:t>
      </w:r>
      <w:r>
        <w:rPr>
          <w:rFonts w:hint="default" w:ascii="Times New Roman" w:hAnsi="Times New Roman" w:cs="Times New Roman" w:eastAsiaTheme="minorEastAsia"/>
          <w:color w:val="000000" w:themeColor="text1"/>
          <w:highlight w:val="none"/>
          <w14:textFill>
            <w14:solidFill>
              <w14:schemeClr w14:val="tx1"/>
            </w14:solidFill>
          </w14:textFill>
        </w:rPr>
        <w:t>：2022年水质为Ⅱ类，其中1月、9—11月为Ⅰ类，2—8月、12月为Ⅱ类。与2021年相比，总磷由0.006mg/L上升为0.011mg/L；溶解氧由7.8mg/L上升为7.9mg/L，上升1.3%；高锰酸盐指数由1.2mg/L下降为1.1mg/L，下降8.33%；透明度由616cm下降为541cm，下降12.2%；叶绿素a保持0.004mg/L不变；综合营养状态指数由18.9上升为22.7，上升20.1%。</w:t>
      </w:r>
    </w:p>
    <w:p>
      <w:pPr>
        <w:ind w:firstLine="481"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
          <w:bCs/>
          <w:color w:val="000000" w:themeColor="text1"/>
          <w:highlight w:val="none"/>
          <w14:textFill>
            <w14:solidFill>
              <w14:schemeClr w14:val="tx1"/>
            </w14:solidFill>
          </w14:textFill>
        </w:rPr>
        <w:t>全湖：</w:t>
      </w:r>
      <w:r>
        <w:rPr>
          <w:rFonts w:hint="default" w:ascii="Times New Roman" w:hAnsi="Times New Roman" w:cs="Times New Roman" w:eastAsiaTheme="minorEastAsia"/>
          <w:color w:val="000000" w:themeColor="text1"/>
          <w:highlight w:val="none"/>
          <w14:textFill>
            <w14:solidFill>
              <w14:schemeClr w14:val="tx1"/>
            </w14:solidFill>
          </w14:textFill>
        </w:rPr>
        <w:t>2022年水质为Ⅱ类，其中1月、2月、8—12月为Ⅰ类，3—7月为Ⅱ类。与2021年相比，总磷由0.008mg/L上升为0.012mg/L；高锰酸盐指数由1.4mg/L下降为1.3mg/L，下降7.14%；溶解氧由7.7mg/L上升为7.8mg/L，上升1.3%；透明度由575cm下降为548cm，下降4.7%；叶绿素a保持0.004mg/L不变；综合营养状态指数由22.9上升为24.3，上升6.11%。</w:t>
      </w:r>
    </w:p>
    <w:p>
      <w:pPr>
        <w:ind w:left="0" w:leftChars="-100" w:hanging="240" w:hangingChars="1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drawing>
          <wp:inline distT="0" distB="0" distL="114300" distR="114300">
            <wp:extent cx="5791835" cy="2090420"/>
            <wp:effectExtent l="0" t="0" r="14605" b="1270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21"/>
                    <a:stretch>
                      <a:fillRect/>
                    </a:stretch>
                  </pic:blipFill>
                  <pic:spPr>
                    <a:xfrm>
                      <a:off x="0" y="0"/>
                      <a:ext cx="5791835" cy="2090420"/>
                    </a:xfrm>
                    <a:prstGeom prst="rect">
                      <a:avLst/>
                    </a:prstGeom>
                    <a:noFill/>
                    <a:ln>
                      <a:noFill/>
                    </a:ln>
                  </pic:spPr>
                </pic:pic>
              </a:graphicData>
            </a:graphic>
          </wp:inline>
        </w:drawing>
      </w:r>
    </w:p>
    <w:p>
      <w:pPr>
        <w:ind w:firstLine="2429" w:firstLineChars="1100"/>
        <w:rPr>
          <w:rFonts w:hint="default" w:ascii="Times New Roman" w:hAnsi="Times New Roman" w:cs="Times New Roman" w:eastAsiaTheme="minorEastAsia"/>
          <w:b/>
          <w:bCs/>
          <w:color w:val="000000" w:themeColor="text1"/>
          <w:sz w:val="22"/>
          <w:szCs w:val="18"/>
          <w:highlight w:val="none"/>
          <w14:textFill>
            <w14:solidFill>
              <w14:schemeClr w14:val="tx1"/>
            </w14:solidFill>
          </w14:textFill>
        </w:rPr>
      </w:pPr>
      <w:r>
        <w:rPr>
          <w:rFonts w:hint="default" w:ascii="Times New Roman" w:hAnsi="Times New Roman" w:cs="Times New Roman" w:eastAsiaTheme="minorEastAsia"/>
          <w:b/>
          <w:bCs/>
          <w:color w:val="000000" w:themeColor="text1"/>
          <w:sz w:val="22"/>
          <w:szCs w:val="18"/>
          <w:highlight w:val="none"/>
          <w14:textFill>
            <w14:solidFill>
              <w14:schemeClr w14:val="tx1"/>
            </w14:solidFill>
          </w14:textFill>
        </w:rPr>
        <w:t>图3.2.</w:t>
      </w:r>
      <w:r>
        <w:rPr>
          <w:rFonts w:hint="eastAsia" w:cs="Times New Roman" w:eastAsiaTheme="minorEastAsia"/>
          <w:b/>
          <w:bCs/>
          <w:color w:val="000000" w:themeColor="text1"/>
          <w:sz w:val="22"/>
          <w:szCs w:val="18"/>
          <w:highlight w:val="none"/>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2"/>
          <w:szCs w:val="18"/>
          <w:highlight w:val="none"/>
          <w14:textFill>
            <w14:solidFill>
              <w14:schemeClr w14:val="tx1"/>
            </w14:solidFill>
          </w14:textFill>
        </w:rPr>
        <w:t>-1抚仙湖月均综合水质类别变化图</w:t>
      </w:r>
    </w:p>
    <w:p>
      <w:pPr>
        <w:ind w:left="0" w:leftChars="-200" w:hanging="480" w:hangingChars="200"/>
        <w:rPr>
          <w:rFonts w:hint="default" w:ascii="Times New Roman" w:hAnsi="Times New Roman" w:cs="Times New Roman" w:eastAsiaTheme="minor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6144260" cy="2200910"/>
            <wp:effectExtent l="6350" t="6350" r="6350" b="48260"/>
            <wp:docPr id="1968544" name="图表 7" descr="7b0a202020202263686172745265734964223a202232303437323236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ind w:firstLine="2429" w:firstLineChars="11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
          <w:bCs/>
          <w:color w:val="000000" w:themeColor="text1"/>
          <w:sz w:val="22"/>
          <w:szCs w:val="18"/>
          <w:highlight w:val="none"/>
          <w14:textFill>
            <w14:solidFill>
              <w14:schemeClr w14:val="tx1"/>
            </w14:solidFill>
          </w14:textFill>
        </w:rPr>
        <w:t>图3.2.</w:t>
      </w:r>
      <w:r>
        <w:rPr>
          <w:rFonts w:hint="eastAsia" w:cs="Times New Roman" w:eastAsiaTheme="minorEastAsia"/>
          <w:b/>
          <w:bCs/>
          <w:color w:val="000000" w:themeColor="text1"/>
          <w:sz w:val="22"/>
          <w:szCs w:val="18"/>
          <w:highlight w:val="none"/>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2"/>
          <w:szCs w:val="18"/>
          <w:highlight w:val="none"/>
          <w14:textFill>
            <w14:solidFill>
              <w14:schemeClr w14:val="tx1"/>
            </w14:solidFill>
          </w14:textFill>
        </w:rPr>
        <w:t>-2抚仙湖总磷月度变化情况</w:t>
      </w:r>
    </w:p>
    <w:p>
      <w:pPr>
        <w:ind w:left="0" w:leftChars="-200" w:hanging="480" w:hangingChars="200"/>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6144895" cy="2308860"/>
            <wp:effectExtent l="6350" t="6350" r="20955" b="66040"/>
            <wp:docPr id="1968538" name="图表 1" descr="7b0a202020202263686172745265734964223a202232303437323236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ind w:firstLine="2429" w:firstLineChars="11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
          <w:bCs/>
          <w:color w:val="000000" w:themeColor="text1"/>
          <w:sz w:val="22"/>
          <w:szCs w:val="18"/>
          <w:highlight w:val="none"/>
          <w14:textFill>
            <w14:solidFill>
              <w14:schemeClr w14:val="tx1"/>
            </w14:solidFill>
          </w14:textFill>
        </w:rPr>
        <w:t>图3.2.</w:t>
      </w:r>
      <w:r>
        <w:rPr>
          <w:rFonts w:hint="eastAsia" w:cs="Times New Roman" w:eastAsiaTheme="minorEastAsia"/>
          <w:b/>
          <w:bCs/>
          <w:color w:val="000000" w:themeColor="text1"/>
          <w:sz w:val="22"/>
          <w:szCs w:val="18"/>
          <w:highlight w:val="none"/>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2"/>
          <w:szCs w:val="18"/>
          <w:highlight w:val="none"/>
          <w14:textFill>
            <w14:solidFill>
              <w14:schemeClr w14:val="tx1"/>
            </w14:solidFill>
          </w14:textFill>
        </w:rPr>
        <w:t>-3抚仙湖溶解氧月度变化情况</w:t>
      </w:r>
    </w:p>
    <w:p>
      <w:pPr>
        <w:ind w:left="0" w:leftChars="-200" w:hanging="480" w:hangingChars="200"/>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6146800" cy="2245995"/>
            <wp:effectExtent l="6350" t="6350" r="19050" b="48895"/>
            <wp:docPr id="1968543" name="图表 6" descr="7b0a202020202263686172745265734964223a202232303437323236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ind w:firstLine="2429" w:firstLineChars="11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
          <w:bCs/>
          <w:color w:val="000000" w:themeColor="text1"/>
          <w:sz w:val="22"/>
          <w:szCs w:val="18"/>
          <w:highlight w:val="none"/>
          <w14:textFill>
            <w14:solidFill>
              <w14:schemeClr w14:val="tx1"/>
            </w14:solidFill>
          </w14:textFill>
        </w:rPr>
        <w:t>图3.2.</w:t>
      </w:r>
      <w:r>
        <w:rPr>
          <w:rFonts w:hint="eastAsia" w:cs="Times New Roman" w:eastAsiaTheme="minorEastAsia"/>
          <w:b/>
          <w:bCs/>
          <w:color w:val="000000" w:themeColor="text1"/>
          <w:sz w:val="22"/>
          <w:szCs w:val="18"/>
          <w:highlight w:val="none"/>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2"/>
          <w:szCs w:val="18"/>
          <w:highlight w:val="none"/>
          <w14:textFill>
            <w14:solidFill>
              <w14:schemeClr w14:val="tx1"/>
            </w14:solidFill>
          </w14:textFill>
        </w:rPr>
        <w:t>-4抚仙湖TN月度变化情况</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（2）湖体水质目标完成情况</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抚仙湖全湖平均2020年1月至2023年6月综合水质类别保持在I类。从TP、TN、COD、I</w:t>
      </w:r>
      <w:r>
        <w:rPr>
          <w:rFonts w:hint="default" w:ascii="Times New Roman" w:hAnsi="Times New Roman" w:cs="Times New Roman" w:eastAsiaTheme="minorEastAsia"/>
          <w:color w:val="000000" w:themeColor="text1"/>
          <w:highlight w:val="none"/>
          <w:vertAlign w:val="subscript"/>
          <w14:textFill>
            <w14:solidFill>
              <w14:schemeClr w14:val="tx1"/>
            </w14:solidFill>
          </w14:textFill>
        </w:rPr>
        <w:t>Mn</w:t>
      </w:r>
      <w:r>
        <w:rPr>
          <w:rFonts w:hint="default" w:ascii="Times New Roman" w:hAnsi="Times New Roman" w:cs="Times New Roman" w:eastAsiaTheme="minorEastAsia"/>
          <w:color w:val="000000" w:themeColor="text1"/>
          <w:highlight w:val="none"/>
          <w14:textFill>
            <w14:solidFill>
              <w14:schemeClr w14:val="tx1"/>
            </w14:solidFill>
          </w14:textFill>
        </w:rPr>
        <w:t>、BOD</w:t>
      </w:r>
      <w:r>
        <w:rPr>
          <w:rFonts w:hint="default" w:ascii="Times New Roman" w:hAnsi="Times New Roman" w:cs="Times New Roman" w:eastAsiaTheme="minorEastAsia"/>
          <w:color w:val="000000" w:themeColor="text1"/>
          <w:highlight w:val="none"/>
          <w:vertAlign w:val="subscript"/>
          <w14:textFill>
            <w14:solidFill>
              <w14:schemeClr w14:val="tx1"/>
            </w14:solidFill>
          </w14:textFill>
        </w:rPr>
        <w:t>5</w:t>
      </w:r>
      <w:r>
        <w:rPr>
          <w:rFonts w:hint="default" w:ascii="Times New Roman" w:hAnsi="Times New Roman" w:cs="Times New Roman" w:eastAsiaTheme="minorEastAsia"/>
          <w:color w:val="000000" w:themeColor="text1"/>
          <w:highlight w:val="none"/>
          <w14:textFill>
            <w14:solidFill>
              <w14:schemeClr w14:val="tx1"/>
            </w14:solidFill>
          </w14:textFill>
        </w:rPr>
        <w:t>、NH</w:t>
      </w:r>
      <w:r>
        <w:rPr>
          <w:rFonts w:hint="default" w:ascii="Times New Roman" w:hAnsi="Times New Roman" w:cs="Times New Roman" w:eastAsiaTheme="minorEastAsia"/>
          <w:color w:val="000000" w:themeColor="text1"/>
          <w:highlight w:val="none"/>
          <w:vertAlign w:val="subscript"/>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-N、DO七项主要水质指标逐月变化趋势可以看出，TN、I</w:t>
      </w:r>
      <w:r>
        <w:rPr>
          <w:rFonts w:hint="default" w:ascii="Times New Roman" w:hAnsi="Times New Roman" w:cs="Times New Roman" w:eastAsiaTheme="minorEastAsia"/>
          <w:color w:val="000000" w:themeColor="text1"/>
          <w:highlight w:val="none"/>
          <w:vertAlign w:val="subscript"/>
          <w14:textFill>
            <w14:solidFill>
              <w14:schemeClr w14:val="tx1"/>
            </w14:solidFill>
          </w14:textFill>
        </w:rPr>
        <w:t>Mn</w:t>
      </w:r>
      <w:r>
        <w:rPr>
          <w:rFonts w:hint="default" w:ascii="Times New Roman" w:hAnsi="Times New Roman" w:cs="Times New Roman" w:eastAsiaTheme="minorEastAsia"/>
          <w:color w:val="000000" w:themeColor="text1"/>
          <w:highlight w:val="none"/>
          <w14:textFill>
            <w14:solidFill>
              <w14:schemeClr w14:val="tx1"/>
            </w14:solidFill>
          </w14:textFill>
        </w:rPr>
        <w:t>总体呈缓慢上升趋势，其余指标均波动趋势相对较为平稳。2022年水质为Ⅱ类，其中1月、2月、8—12月为Ⅰ类，3—7月为Ⅱ类。1个国控点、3个省控点共监测水质48次，其中Ⅰ类次数31次，2022年未达目标Ⅰ类，2023年1-</w:t>
      </w:r>
      <w:r>
        <w:rPr>
          <w:rFonts w:hint="eastAsia" w:cs="Times New Roman" w:eastAsiaTheme="minorEastAsia"/>
          <w:color w:val="000000" w:themeColor="text1"/>
          <w:highlight w:val="none"/>
          <w:lang w:val="en-US" w:eastAsia="zh-CN"/>
          <w14:textFill>
            <w14:solidFill>
              <w14:schemeClr w14:val="tx1"/>
            </w14:solidFill>
          </w14:textFill>
        </w:rPr>
        <w:t>6</w:t>
      </w:r>
      <w:r>
        <w:rPr>
          <w:rFonts w:hint="default" w:ascii="Times New Roman" w:hAnsi="Times New Roman" w:cs="Times New Roman" w:eastAsiaTheme="minorEastAsia"/>
          <w:color w:val="000000" w:themeColor="text1"/>
          <w:highlight w:val="none"/>
          <w14:textFill>
            <w14:solidFill>
              <w14:schemeClr w14:val="tx1"/>
            </w14:solidFill>
          </w14:textFill>
        </w:rPr>
        <w:t>月水质平均为其</w:t>
      </w:r>
      <w:r>
        <w:rPr>
          <w:rFonts w:hint="eastAsia" w:ascii="等线" w:hAnsi="等线" w:eastAsia="等线" w:cs="等线"/>
          <w:color w:val="000000" w:themeColor="text1"/>
          <w:highlight w:val="none"/>
          <w14:textFill>
            <w14:solidFill>
              <w14:schemeClr w14:val="tx1"/>
            </w14:solidFill>
          </w14:textFill>
        </w:rPr>
        <w:t>Ⅱ</w:t>
      </w:r>
      <w:r>
        <w:rPr>
          <w:rFonts w:hint="default" w:ascii="Times New Roman" w:hAnsi="Times New Roman" w:cs="Times New Roman" w:eastAsiaTheme="minorEastAsia"/>
          <w:color w:val="000000" w:themeColor="text1"/>
          <w:highlight w:val="none"/>
          <w14:textFill>
            <w14:solidFill>
              <w14:schemeClr w14:val="tx1"/>
            </w14:solidFill>
          </w14:textFill>
        </w:rPr>
        <w:t>类。按照现阶段水质变化趋势预测，</w:t>
      </w:r>
      <w:r>
        <w:rPr>
          <w:rFonts w:hint="eastAsia" w:cs="Times New Roman" w:eastAsiaTheme="minorEastAsia"/>
          <w:color w:val="000000" w:themeColor="text1"/>
          <w:highlight w:val="none"/>
          <w:lang w:eastAsia="zh-CN"/>
          <w14:textFill>
            <w14:solidFill>
              <w14:schemeClr w14:val="tx1"/>
            </w14:solidFill>
          </w14:textFill>
        </w:rPr>
        <w:t>截至</w:t>
      </w:r>
      <w:r>
        <w:rPr>
          <w:rFonts w:hint="default" w:ascii="Times New Roman" w:hAnsi="Times New Roman" w:cs="Times New Roman" w:eastAsiaTheme="minorEastAsia"/>
          <w:color w:val="000000" w:themeColor="text1"/>
          <w:highlight w:val="none"/>
          <w14:textFill>
            <w14:solidFill>
              <w14:schemeClr w14:val="tx1"/>
            </w14:solidFill>
          </w14:textFill>
        </w:rPr>
        <w:t>2025年目标年，抚仙湖全湖保持I类的水质目标</w:t>
      </w:r>
      <w:r>
        <w:rPr>
          <w:rFonts w:hint="eastAsia" w:cs="Times New Roman" w:eastAsiaTheme="minorEastAsia"/>
          <w:color w:val="000000" w:themeColor="text1"/>
          <w:highlight w:val="none"/>
          <w:lang w:val="en-US" w:eastAsia="zh-CN"/>
          <w14:textFill>
            <w14:solidFill>
              <w14:schemeClr w14:val="tx1"/>
            </w14:solidFill>
          </w14:textFill>
        </w:rPr>
        <w:t>压力较大</w:t>
      </w:r>
      <w:r>
        <w:rPr>
          <w:rFonts w:hint="default" w:ascii="Times New Roman" w:hAnsi="Times New Roman" w:cs="Times New Roman" w:eastAsiaTheme="minorEastAsia"/>
          <w:color w:val="000000" w:themeColor="text1"/>
          <w:highlight w:val="none"/>
          <w14:textFill>
            <w14:solidFill>
              <w14:schemeClr w14:val="tx1"/>
            </w14:solidFill>
          </w14:textFill>
        </w:rPr>
        <w:t>。</w:t>
      </w:r>
    </w:p>
    <w:p>
      <w:pPr>
        <w:ind w:left="0" w:leftChars="0" w:firstLine="0" w:firstLineChars="0"/>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eastAsia" w:cs="Times New Roman" w:eastAsiaTheme="minorEastAsia"/>
          <w:b/>
          <w:bCs/>
          <w:color w:val="000000" w:themeColor="text1"/>
          <w:sz w:val="22"/>
          <w:szCs w:val="18"/>
          <w:highlight w:val="none"/>
          <w:lang w:val="en-US" w:eastAsia="zh-CN"/>
          <w14:textFill>
            <w14:solidFill>
              <w14:schemeClr w14:val="tx1"/>
            </w14:solidFill>
          </w14:textFill>
        </w:rPr>
        <w:t>表</w:t>
      </w:r>
      <w:r>
        <w:rPr>
          <w:rFonts w:hint="default" w:ascii="Times New Roman" w:hAnsi="Times New Roman" w:cs="Times New Roman" w:eastAsiaTheme="minorEastAsia"/>
          <w:b/>
          <w:bCs/>
          <w:color w:val="000000" w:themeColor="text1"/>
          <w:sz w:val="22"/>
          <w:szCs w:val="18"/>
          <w:highlight w:val="none"/>
          <w14:textFill>
            <w14:solidFill>
              <w14:schemeClr w14:val="tx1"/>
            </w14:solidFill>
          </w14:textFill>
        </w:rPr>
        <w:t>3.2.</w:t>
      </w:r>
      <w:r>
        <w:rPr>
          <w:rFonts w:hint="eastAsia" w:cs="Times New Roman" w:eastAsiaTheme="minorEastAsia"/>
          <w:b/>
          <w:bCs/>
          <w:color w:val="000000" w:themeColor="text1"/>
          <w:sz w:val="22"/>
          <w:szCs w:val="18"/>
          <w:highlight w:val="none"/>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2"/>
          <w:szCs w:val="18"/>
          <w:highlight w:val="none"/>
          <w14:textFill>
            <w14:solidFill>
              <w14:schemeClr w14:val="tx1"/>
            </w14:solidFill>
          </w14:textFill>
        </w:rPr>
        <w:t>-1抚仙湖</w:t>
      </w:r>
      <w:r>
        <w:rPr>
          <w:rFonts w:hint="eastAsia" w:cs="Times New Roman" w:eastAsiaTheme="minorEastAsia"/>
          <w:b/>
          <w:bCs/>
          <w:color w:val="000000" w:themeColor="text1"/>
          <w:sz w:val="22"/>
          <w:szCs w:val="18"/>
          <w:highlight w:val="none"/>
          <w:lang w:val="en-US" w:eastAsia="zh-CN"/>
          <w14:textFill>
            <w14:solidFill>
              <w14:schemeClr w14:val="tx1"/>
            </w14:solidFill>
          </w14:textFill>
        </w:rPr>
        <w:t>各断面年</w:t>
      </w:r>
      <w:r>
        <w:rPr>
          <w:rFonts w:hint="default" w:ascii="Times New Roman" w:hAnsi="Times New Roman" w:cs="Times New Roman" w:eastAsiaTheme="minorEastAsia"/>
          <w:b/>
          <w:bCs/>
          <w:color w:val="000000" w:themeColor="text1"/>
          <w:sz w:val="22"/>
          <w:szCs w:val="18"/>
          <w:highlight w:val="none"/>
          <w14:textFill>
            <w14:solidFill>
              <w14:schemeClr w14:val="tx1"/>
            </w14:solidFill>
          </w14:textFill>
        </w:rPr>
        <w:t>均综合水质类别</w:t>
      </w:r>
      <w:r>
        <w:rPr>
          <w:rFonts w:hint="eastAsia" w:cs="Times New Roman" w:eastAsiaTheme="minorEastAsia"/>
          <w:b/>
          <w:bCs/>
          <w:color w:val="000000" w:themeColor="text1"/>
          <w:sz w:val="22"/>
          <w:szCs w:val="18"/>
          <w:highlight w:val="none"/>
          <w:lang w:val="en-US" w:eastAsia="zh-CN"/>
          <w14:textFill>
            <w14:solidFill>
              <w14:schemeClr w14:val="tx1"/>
            </w14:solidFill>
          </w14:textFill>
        </w:rPr>
        <w:t>概况表</w:t>
      </w:r>
    </w:p>
    <w:p>
      <w:pPr>
        <w:pStyle w:val="6"/>
        <w:rPr>
          <w:rFonts w:hint="default" w:ascii="Times New Roman" w:hAnsi="Times New Roman" w:cs="Times New Roman" w:eastAsiaTheme="minorEastAsia"/>
          <w:color w:val="000000" w:themeColor="text1"/>
          <w:highlight w:val="none"/>
          <w14:textFill>
            <w14:solidFill>
              <w14:schemeClr w14:val="tx1"/>
            </w14:solidFill>
          </w14:textFill>
        </w:rPr>
      </w:pPr>
      <w:bookmarkStart w:id="242" w:name="_Toc20897"/>
      <w:bookmarkStart w:id="243" w:name="_Toc16997"/>
      <w:bookmarkStart w:id="244" w:name="_Toc77"/>
      <w:bookmarkStart w:id="245" w:name="_Toc2855"/>
      <w:r>
        <w:rPr>
          <w:rFonts w:hint="default" w:ascii="Times New Roman" w:hAnsi="Times New Roman" w:cs="Times New Roman" w:eastAsiaTheme="minorEastAsia"/>
          <w:color w:val="000000" w:themeColor="text1"/>
          <w:highlight w:val="none"/>
          <w14:textFill>
            <w14:solidFill>
              <w14:schemeClr w14:val="tx1"/>
            </w14:solidFill>
          </w14:textFill>
        </w:rPr>
        <w:t>3.2.</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highlight w:val="none"/>
          <w14:textFill>
            <w14:solidFill>
              <w14:schemeClr w14:val="tx1"/>
            </w14:solidFill>
          </w14:textFill>
        </w:rPr>
        <w:t>.</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highlight w:val="none"/>
          <w14:textFill>
            <w14:solidFill>
              <w14:schemeClr w14:val="tx1"/>
            </w14:solidFill>
          </w14:textFill>
        </w:rPr>
        <w:t>主要入湖河流水质优良率（Ⅲ类及以上）</w:t>
      </w:r>
      <w:bookmarkEnd w:id="242"/>
      <w:bookmarkEnd w:id="243"/>
      <w:bookmarkEnd w:id="244"/>
      <w:bookmarkEnd w:id="245"/>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（1）河流水质分析</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抚仙湖主要入湖河流设马料河、隔河、路居河、山冲河、东大河、代村河、梁王河、尖山河、牛摩河9个常规监测断面。监测项目27项，监测频次为每月一次。从监测数据可以看出，按照地表水河流评价标准（总氮不参评）的评价结果，9条入湖河流中，从逐月变化趋势来看，除代村河断流外（每年监测期不足8个月），从逐月变化趋势可以看出，9条河中山冲河、牛摩河、马料河处于较高的污染水平，路居河、梁王河、东大河、代村河、尖山河次之，而隔河污染水平相对较低。</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（2）河流水质目标完成情况</w:t>
      </w:r>
    </w:p>
    <w:p>
      <w:pPr>
        <w:ind w:firstLine="480" w:firstLineChars="20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sectPr>
          <w:footerReference r:id="rId9" w:type="default"/>
          <w:pgSz w:w="11906" w:h="16839"/>
          <w:pgMar w:top="1590" w:right="1587" w:bottom="1611" w:left="1587" w:header="0" w:footer="870" w:gutter="0"/>
          <w:pgBorders>
            <w:top w:val="none" w:sz="0" w:space="0"/>
            <w:left w:val="none" w:sz="0" w:space="0"/>
            <w:bottom w:val="none" w:sz="0" w:space="0"/>
            <w:right w:val="none" w:sz="0" w:space="0"/>
          </w:pgBorders>
          <w:pgNumType w:fmt="decimal"/>
          <w:cols w:space="720" w:num="1"/>
          <w:rtlGutter w:val="0"/>
        </w:sectPr>
      </w:pPr>
      <w:r>
        <w:rPr>
          <w:rFonts w:hint="default" w:ascii="Times New Roman" w:hAnsi="Times New Roman" w:cs="Times New Roman" w:eastAsiaTheme="minorEastAsia"/>
          <w:color w:val="000000" w:themeColor="text1"/>
          <w:highlight w:val="none"/>
          <w14:textFill>
            <w14:solidFill>
              <w14:schemeClr w14:val="tx1"/>
            </w14:solidFill>
          </w14:textFill>
        </w:rPr>
        <w:t>2022年21条主要河流中，路岐河、矣度河、居乐河3条为I类沙亥河、龙溪沟、东大河、玉带河(隔河)、尖山河、山冲河、牛摩河、梁王河8条为II类，路居河(大</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鲫</w:t>
      </w:r>
      <w:r>
        <w:rPr>
          <w:rFonts w:hint="default" w:ascii="Times New Roman" w:hAnsi="Times New Roman" w:cs="Times New Roman" w:eastAsiaTheme="minorEastAsia"/>
          <w:color w:val="000000" w:themeColor="text1"/>
          <w:highlight w:val="none"/>
          <w14:textFill>
            <w14:solidFill>
              <w14:schemeClr w14:val="tx1"/>
            </w14:solidFill>
          </w14:textFill>
        </w:rPr>
        <w:t>鱼河)、抚澄河(马料河)、马房中沟、窑泥沟4条为IV类，代村河为V类，大清沟、独房大沟、马房西沟、地涧沟、矣马谷大河5条无水未监测。监测断面中水质为I类的占14.3%、</w:t>
      </w:r>
      <w:r>
        <w:rPr>
          <w:rFonts w:hint="eastAsia" w:ascii="等线" w:hAnsi="等线" w:eastAsia="等线" w:cs="等线"/>
          <w:color w:val="000000" w:themeColor="text1"/>
          <w:highlight w:val="none"/>
          <w14:textFill>
            <w14:solidFill>
              <w14:schemeClr w14:val="tx1"/>
            </w14:solidFill>
          </w14:textFill>
        </w:rPr>
        <w:t>Ⅱ</w:t>
      </w:r>
      <w:r>
        <w:rPr>
          <w:rFonts w:hint="default" w:ascii="Times New Roman" w:hAnsi="Times New Roman" w:cs="Times New Roman" w:eastAsiaTheme="minorEastAsia"/>
          <w:color w:val="000000" w:themeColor="text1"/>
          <w:highlight w:val="none"/>
          <w14:textFill>
            <w14:solidFill>
              <w14:schemeClr w14:val="tx1"/>
            </w14:solidFill>
          </w14:textFill>
        </w:rPr>
        <w:t>类的占38.1%、IV类的占19.0%、V类的占4.8%，无水未监测的占23.8%。以河流考核目标IV类进行评价，有监测数据的河流水质达标率93.8%，比上年77.8%</w:t>
      </w:r>
      <w:r>
        <w:rPr>
          <w:rFonts w:hint="eastAsia"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提高16个百分点。</w:t>
      </w:r>
      <w:r>
        <w:rPr>
          <w:rFonts w:hint="eastAsia" w:cs="Times New Roman" w:eastAsiaTheme="minorEastAsia"/>
          <w:color w:val="000000" w:themeColor="text1"/>
          <w:highlight w:val="none"/>
          <w:lang w:val="en-US" w:eastAsia="zh-CN"/>
          <w14:textFill>
            <w14:solidFill>
              <w14:schemeClr w14:val="tx1"/>
            </w14:solidFill>
          </w14:textFill>
        </w:rPr>
        <w:t>截至2022年</w:t>
      </w:r>
      <w:r>
        <w:rPr>
          <w:rFonts w:hint="default" w:ascii="Times New Roman" w:hAnsi="Times New Roman" w:cs="Times New Roman" w:eastAsiaTheme="minorEastAsia"/>
          <w:color w:val="000000" w:themeColor="text1"/>
          <w:highlight w:val="none"/>
          <w14:textFill>
            <w14:solidFill>
              <w14:schemeClr w14:val="tx1"/>
            </w14:solidFill>
          </w14:textFill>
        </w:rPr>
        <w:t>水质优良Ⅲ类及以上（不含无水河道）达到52.38</w:t>
      </w:r>
      <w:r>
        <w:rPr>
          <w:rFonts w:hint="eastAsia" w:cs="Times New Roman" w:eastAsiaTheme="minorEastAsia"/>
          <w:color w:val="000000" w:themeColor="text1"/>
          <w:highlight w:val="none"/>
          <w:lang w:val="en-US" w:eastAsia="zh-CN"/>
          <w14:textFill>
            <w14:solidFill>
              <w14:schemeClr w14:val="tx1"/>
            </w14:solidFill>
          </w14:textFill>
        </w:rPr>
        <w:t>%，2023年上半年</w:t>
      </w:r>
      <w:r>
        <w:rPr>
          <w:rFonts w:hint="default" w:ascii="Times New Roman" w:hAnsi="Times New Roman" w:cs="Times New Roman" w:eastAsiaTheme="minorEastAsia"/>
          <w:color w:val="000000" w:themeColor="text1"/>
          <w:highlight w:val="none"/>
          <w14:textFill>
            <w14:solidFill>
              <w14:schemeClr w14:val="tx1"/>
            </w14:solidFill>
          </w14:textFill>
        </w:rPr>
        <w:t>水质优良Ⅲ类及以上</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率达80%，</w:t>
      </w:r>
      <w:r>
        <w:rPr>
          <w:rFonts w:hint="eastAsia" w:cs="Times New Roman" w:eastAsiaTheme="minorEastAsia"/>
          <w:color w:val="000000" w:themeColor="text1"/>
          <w:highlight w:val="none"/>
          <w:lang w:val="en-US" w:eastAsia="zh-CN"/>
          <w14:textFill>
            <w14:solidFill>
              <w14:schemeClr w14:val="tx1"/>
            </w14:solidFill>
          </w14:textFill>
        </w:rPr>
        <w:t>到目标年2025年要达到100%优良率的完成难度较大。</w:t>
      </w:r>
    </w:p>
    <w:p>
      <w:pPr>
        <w:pStyle w:val="6"/>
        <w:rPr>
          <w:rFonts w:hint="default" w:ascii="Times New Roman" w:hAnsi="Times New Roman" w:cs="Times New Roman" w:eastAsiaTheme="minorEastAsia"/>
          <w:color w:val="000000" w:themeColor="text1"/>
          <w:highlight w:val="none"/>
          <w14:textFill>
            <w14:solidFill>
              <w14:schemeClr w14:val="tx1"/>
            </w14:solidFill>
          </w14:textFill>
        </w:rPr>
      </w:pPr>
      <w:bookmarkStart w:id="246" w:name="_Toc17655"/>
      <w:bookmarkStart w:id="247" w:name="_Toc28911"/>
      <w:bookmarkStart w:id="248" w:name="_Toc29611"/>
      <w:bookmarkStart w:id="249" w:name="_Toc19267"/>
      <w:r>
        <w:rPr>
          <w:rFonts w:hint="default" w:ascii="Times New Roman" w:hAnsi="Times New Roman" w:cs="Times New Roman" w:eastAsiaTheme="minorEastAsia"/>
          <w:color w:val="000000" w:themeColor="text1"/>
          <w:highlight w:val="none"/>
          <w14:textFill>
            <w14:solidFill>
              <w14:schemeClr w14:val="tx1"/>
            </w14:solidFill>
          </w14:textFill>
        </w:rPr>
        <w:t>3.2.</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highlight w:val="none"/>
          <w14:textFill>
            <w14:solidFill>
              <w14:schemeClr w14:val="tx1"/>
            </w14:solidFill>
          </w14:textFill>
        </w:rPr>
        <w:t>.</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6</w:t>
      </w:r>
      <w:r>
        <w:rPr>
          <w:rFonts w:hint="default" w:ascii="Times New Roman" w:hAnsi="Times New Roman" w:cs="Times New Roman" w:eastAsiaTheme="minorEastAsia"/>
          <w:color w:val="000000" w:themeColor="text1"/>
          <w:highlight w:val="none"/>
          <w14:textFill>
            <w14:solidFill>
              <w14:schemeClr w14:val="tx1"/>
            </w14:solidFill>
          </w14:textFill>
        </w:rPr>
        <w:t>化肥施用总量（折纯量）</w:t>
      </w:r>
      <w:bookmarkEnd w:id="246"/>
      <w:bookmarkEnd w:id="247"/>
      <w:bookmarkEnd w:id="248"/>
      <w:bookmarkEnd w:id="249"/>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十四五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期间，针对抚仙湖流域农业面源污染问题，主要从源头控制、过程削减、末端净化减少农业面源入湖污染负荷，其中源头控制减污措施包括农业绿色转型升级发展工程对于巩固坝区5.8万亩土地流转休耕轮作，推进抚仙湖流域农业种植结构调整，强化化肥、农药销售使用及农业灌溉用水管理，实施有机肥替代工程，建设“三化”农业产业园，实施抚仙湖流域畜禽水产养殖全面退出。完成高标准农田12.71万亩以上，比重达65%以上；完善农田灌排体系，配套高效节水灌溉设施。实施澄江市化肥、农药减量增效项目，在抚仙湖流域内建设集成实施种植结构调整、“三新”集成技术、有机肥替代部分化肥、病虫害绿色防控示范和稻谷绿色高质高效等绿色农业技术措施的示范区。目前，2022年化肥施用总量（折纯量）为2536.42吨/年，已经低于</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十四五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规划末期设定的目标2844.99吨/年，只要保持该状态不再增加农化施用量，截至2025年</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预计</w:t>
      </w:r>
      <w:r>
        <w:rPr>
          <w:rFonts w:hint="default" w:ascii="Times New Roman" w:hAnsi="Times New Roman" w:cs="Times New Roman" w:eastAsiaTheme="minorEastAsia"/>
          <w:color w:val="000000" w:themeColor="text1"/>
          <w:highlight w:val="none"/>
          <w14:textFill>
            <w14:solidFill>
              <w14:schemeClr w14:val="tx1"/>
            </w14:solidFill>
          </w14:textFill>
        </w:rPr>
        <w:t>目标可达。</w:t>
      </w:r>
    </w:p>
    <w:p>
      <w:pPr>
        <w:pStyle w:val="6"/>
        <w:rPr>
          <w:rFonts w:hint="default" w:ascii="Times New Roman" w:hAnsi="Times New Roman" w:cs="Times New Roman" w:eastAsiaTheme="minorEastAsia"/>
          <w:color w:val="000000" w:themeColor="text1"/>
          <w:highlight w:val="none"/>
          <w14:textFill>
            <w14:solidFill>
              <w14:schemeClr w14:val="tx1"/>
            </w14:solidFill>
          </w14:textFill>
        </w:rPr>
      </w:pPr>
      <w:bookmarkStart w:id="250" w:name="_Toc18270"/>
      <w:bookmarkStart w:id="251" w:name="_Toc31252"/>
      <w:bookmarkStart w:id="252" w:name="_Toc24716"/>
      <w:bookmarkStart w:id="253" w:name="_Toc19274"/>
      <w:r>
        <w:rPr>
          <w:rFonts w:hint="default" w:ascii="Times New Roman" w:hAnsi="Times New Roman" w:cs="Times New Roman" w:eastAsiaTheme="minorEastAsia"/>
          <w:color w:val="000000" w:themeColor="text1"/>
          <w:highlight w:val="none"/>
          <w14:textFill>
            <w14:solidFill>
              <w14:schemeClr w14:val="tx1"/>
            </w14:solidFill>
          </w14:textFill>
        </w:rPr>
        <w:t>3.2.</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highlight w:val="none"/>
          <w14:textFill>
            <w14:solidFill>
              <w14:schemeClr w14:val="tx1"/>
            </w14:solidFill>
          </w14:textFill>
        </w:rPr>
        <w:t>.</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7</w:t>
      </w:r>
      <w:r>
        <w:rPr>
          <w:rFonts w:hint="default" w:ascii="Times New Roman" w:hAnsi="Times New Roman" w:cs="Times New Roman" w:eastAsiaTheme="minorEastAsia"/>
          <w:color w:val="000000" w:themeColor="text1"/>
          <w:highlight w:val="none"/>
          <w14:textFill>
            <w14:solidFill>
              <w14:schemeClr w14:val="tx1"/>
            </w14:solidFill>
          </w14:textFill>
        </w:rPr>
        <w:t>畜禽粪污综合利用率</w:t>
      </w:r>
      <w:bookmarkEnd w:id="250"/>
      <w:bookmarkEnd w:id="251"/>
      <w:bookmarkEnd w:id="252"/>
      <w:bookmarkEnd w:id="253"/>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抚仙湖流域已全面退出规模养殖，不涉及畜禽粪污综合利用率指标。</w:t>
      </w: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254" w:name="_Toc5410"/>
      <w:bookmarkStart w:id="255" w:name="_Toc8209"/>
      <w:bookmarkStart w:id="256" w:name="_Toc20504"/>
      <w:r>
        <w:rPr>
          <w:rFonts w:hint="default" w:ascii="Times New Roman" w:hAnsi="Times New Roman" w:cs="Times New Roman" w:eastAsiaTheme="minorEastAsia"/>
          <w:color w:val="000000" w:themeColor="text1"/>
          <w:highlight w:val="none"/>
          <w14:textFill>
            <w14:solidFill>
              <w14:schemeClr w14:val="tx1"/>
            </w14:solidFill>
          </w14:textFill>
        </w:rPr>
        <w:t>3.2.</w:t>
      </w:r>
      <w:r>
        <w:rPr>
          <w:rFonts w:hint="eastAsia" w:cs="Times New Roman" w:eastAsiaTheme="minorEastAsia"/>
          <w:color w:val="000000" w:themeColor="text1"/>
          <w:highlight w:val="none"/>
          <w:lang w:val="en-US" w:eastAsia="zh-CN"/>
          <w14:textFill>
            <w14:solidFill>
              <w14:schemeClr w14:val="tx1"/>
            </w14:solidFill>
          </w14:textFill>
        </w:rPr>
        <w:t>2</w:t>
      </w:r>
      <w:r>
        <w:rPr>
          <w:rFonts w:hint="default" w:ascii="Times New Roman" w:hAnsi="Times New Roman" w:cs="Times New Roman" w:eastAsiaTheme="minorEastAsia"/>
          <w:color w:val="000000" w:themeColor="text1"/>
          <w:highlight w:val="none"/>
          <w14:textFill>
            <w14:solidFill>
              <w14:schemeClr w14:val="tx1"/>
            </w14:solidFill>
          </w14:textFill>
        </w:rPr>
        <w:t>水资源</w:t>
      </w:r>
      <w:r>
        <w:rPr>
          <w:rFonts w:hint="eastAsia" w:cs="Times New Roman" w:eastAsiaTheme="minorEastAsia"/>
          <w:color w:val="000000" w:themeColor="text1"/>
          <w:highlight w:val="none"/>
          <w:lang w:val="en-US" w:eastAsia="zh-CN"/>
          <w14:textFill>
            <w14:solidFill>
              <w14:schemeClr w14:val="tx1"/>
            </w14:solidFill>
          </w14:textFill>
        </w:rPr>
        <w:t>优化配置体</w:t>
      </w:r>
      <w:r>
        <w:rPr>
          <w:rFonts w:hint="default" w:ascii="Times New Roman" w:hAnsi="Times New Roman" w:cs="Times New Roman" w:eastAsiaTheme="minorEastAsia"/>
          <w:color w:val="000000" w:themeColor="text1"/>
          <w:highlight w:val="none"/>
          <w14:textFill>
            <w14:solidFill>
              <w14:schemeClr w14:val="tx1"/>
            </w14:solidFill>
          </w14:textFill>
        </w:rPr>
        <w:t>系</w:t>
      </w:r>
      <w:bookmarkEnd w:id="254"/>
      <w:bookmarkEnd w:id="255"/>
      <w:bookmarkEnd w:id="256"/>
    </w:p>
    <w:p>
      <w:pPr>
        <w:pStyle w:val="6"/>
        <w:rPr>
          <w:rFonts w:hint="default" w:ascii="Times New Roman" w:hAnsi="Times New Roman" w:cs="Times New Roman" w:eastAsiaTheme="minorEastAsia"/>
          <w:color w:val="000000" w:themeColor="text1"/>
          <w:highlight w:val="none"/>
          <w14:textFill>
            <w14:solidFill>
              <w14:schemeClr w14:val="tx1"/>
            </w14:solidFill>
          </w14:textFill>
        </w:rPr>
      </w:pPr>
      <w:bookmarkStart w:id="257" w:name="_Toc32120"/>
      <w:bookmarkStart w:id="258" w:name="_Toc3016"/>
      <w:bookmarkStart w:id="259" w:name="_Toc949"/>
      <w:bookmarkStart w:id="260" w:name="_Toc1861"/>
      <w:r>
        <w:rPr>
          <w:rFonts w:hint="default" w:ascii="Times New Roman" w:hAnsi="Times New Roman" w:cs="Times New Roman" w:eastAsiaTheme="minorEastAsia"/>
          <w:color w:val="000000" w:themeColor="text1"/>
          <w:highlight w:val="none"/>
          <w14:textFill>
            <w14:solidFill>
              <w14:schemeClr w14:val="tx1"/>
            </w14:solidFill>
          </w14:textFill>
        </w:rPr>
        <w:t>3.2.</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2</w:t>
      </w:r>
      <w:r>
        <w:rPr>
          <w:rFonts w:hint="default" w:ascii="Times New Roman" w:hAnsi="Times New Roman" w:cs="Times New Roman" w:eastAsiaTheme="minorEastAsia"/>
          <w:color w:val="000000" w:themeColor="text1"/>
          <w:highlight w:val="none"/>
          <w14:textFill>
            <w14:solidFill>
              <w14:schemeClr w14:val="tx1"/>
            </w14:solidFill>
          </w14:textFill>
        </w:rPr>
        <w:t>.1本区水资源开发利用率</w:t>
      </w:r>
      <w:bookmarkEnd w:id="257"/>
      <w:bookmarkEnd w:id="258"/>
      <w:bookmarkEnd w:id="259"/>
      <w:bookmarkEnd w:id="260"/>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2020年水资源开放利用率65.0%；2021年水资源开放利用率63.4%；2022年因经济数据指标及用水量指标未出，引用2022年最严格水资源考核数据，2022年用水总量÷2021年水资源量（7295.66÷11307=0.645）2022年水资源开放利用率64.5%。</w:t>
      </w:r>
    </w:p>
    <w:p>
      <w:pPr>
        <w:pStyle w:val="6"/>
        <w:rPr>
          <w:rFonts w:hint="default" w:ascii="Times New Roman" w:hAnsi="Times New Roman" w:cs="Times New Roman" w:eastAsiaTheme="minorEastAsia"/>
          <w:color w:val="000000" w:themeColor="text1"/>
          <w:highlight w:val="none"/>
          <w14:textFill>
            <w14:solidFill>
              <w14:schemeClr w14:val="tx1"/>
            </w14:solidFill>
          </w14:textFill>
        </w:rPr>
      </w:pPr>
      <w:bookmarkStart w:id="261" w:name="_Toc31117"/>
      <w:bookmarkStart w:id="262" w:name="_Toc21410"/>
      <w:bookmarkStart w:id="263" w:name="_Toc7102"/>
      <w:bookmarkStart w:id="264" w:name="_Toc24826"/>
      <w:r>
        <w:rPr>
          <w:rFonts w:hint="default" w:ascii="Times New Roman" w:hAnsi="Times New Roman" w:cs="Times New Roman" w:eastAsiaTheme="minorEastAsia"/>
          <w:color w:val="000000" w:themeColor="text1"/>
          <w:highlight w:val="none"/>
          <w14:textFill>
            <w14:solidFill>
              <w14:schemeClr w14:val="tx1"/>
            </w14:solidFill>
          </w14:textFill>
        </w:rPr>
        <w:t>3.2.</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2</w:t>
      </w:r>
      <w:r>
        <w:rPr>
          <w:rFonts w:hint="default" w:ascii="Times New Roman" w:hAnsi="Times New Roman" w:cs="Times New Roman" w:eastAsiaTheme="minorEastAsia"/>
          <w:color w:val="000000" w:themeColor="text1"/>
          <w:highlight w:val="none"/>
          <w14:textFill>
            <w14:solidFill>
              <w14:schemeClr w14:val="tx1"/>
            </w14:solidFill>
          </w14:textFill>
        </w:rPr>
        <w:t>.2万元地区生产总值用水量降幅</w:t>
      </w:r>
      <w:bookmarkEnd w:id="261"/>
      <w:bookmarkEnd w:id="262"/>
      <w:bookmarkEnd w:id="263"/>
      <w:bookmarkEnd w:id="264"/>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2020年单位国内生产总值用水量54.5（立方米/万元）；2021年单位国内生产总值用水量46（立方米/万元）；2022年单位国内生产总值用水量</w:t>
      </w:r>
      <w:r>
        <w:rPr>
          <w:rFonts w:hint="eastAsia" w:cs="Times New Roman" w:eastAsiaTheme="minorEastAsia"/>
          <w:color w:val="000000" w:themeColor="text1"/>
          <w:highlight w:val="none"/>
          <w:lang w:val="en-US" w:eastAsia="zh-CN"/>
          <w14:textFill>
            <w14:solidFill>
              <w14:schemeClr w14:val="tx1"/>
            </w14:solidFill>
          </w14:textFill>
        </w:rPr>
        <w:t>降幅为8.2%，到2025年目标年完成≥16%有一定困难</w:t>
      </w:r>
      <w:r>
        <w:rPr>
          <w:rFonts w:hint="default" w:ascii="Times New Roman" w:hAnsi="Times New Roman" w:cs="Times New Roman" w:eastAsiaTheme="minorEastAsia"/>
          <w:color w:val="000000" w:themeColor="text1"/>
          <w:highlight w:val="none"/>
          <w14:textFill>
            <w14:solidFill>
              <w14:schemeClr w14:val="tx1"/>
            </w14:solidFill>
          </w14:textFill>
        </w:rPr>
        <w:t>。</w:t>
      </w:r>
    </w:p>
    <w:p>
      <w:pPr>
        <w:pStyle w:val="6"/>
        <w:rPr>
          <w:rFonts w:hint="default" w:ascii="Times New Roman" w:hAnsi="Times New Roman" w:cs="Times New Roman" w:eastAsiaTheme="minorEastAsia"/>
          <w:color w:val="000000" w:themeColor="text1"/>
          <w:highlight w:val="none"/>
          <w14:textFill>
            <w14:solidFill>
              <w14:schemeClr w14:val="tx1"/>
            </w14:solidFill>
          </w14:textFill>
        </w:rPr>
      </w:pPr>
      <w:bookmarkStart w:id="265" w:name="_Toc15983"/>
      <w:bookmarkStart w:id="266" w:name="_Toc21890"/>
      <w:bookmarkStart w:id="267" w:name="_Toc24976"/>
      <w:bookmarkStart w:id="268" w:name="_Toc21959"/>
      <w:r>
        <w:rPr>
          <w:rFonts w:hint="default" w:ascii="Times New Roman" w:hAnsi="Times New Roman" w:cs="Times New Roman" w:eastAsiaTheme="minorEastAsia"/>
          <w:color w:val="000000" w:themeColor="text1"/>
          <w:highlight w:val="none"/>
          <w14:textFill>
            <w14:solidFill>
              <w14:schemeClr w14:val="tx1"/>
            </w14:solidFill>
          </w14:textFill>
        </w:rPr>
        <w:t>3.2.</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2</w:t>
      </w:r>
      <w:r>
        <w:rPr>
          <w:rFonts w:hint="default" w:ascii="Times New Roman" w:hAnsi="Times New Roman" w:cs="Times New Roman" w:eastAsiaTheme="minorEastAsia"/>
          <w:color w:val="000000" w:themeColor="text1"/>
          <w:highlight w:val="none"/>
          <w14:textFill>
            <w14:solidFill>
              <w14:schemeClr w14:val="tx1"/>
            </w14:solidFill>
          </w14:textFill>
        </w:rPr>
        <w:t>.3万元工业增加值用水量降幅</w:t>
      </w:r>
      <w:bookmarkEnd w:id="265"/>
      <w:bookmarkEnd w:id="266"/>
      <w:bookmarkEnd w:id="267"/>
      <w:bookmarkEnd w:id="268"/>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2020年单位工业增加值用水量55.0（立方米/万元）；2021年单位工业增加值用水量50.5（立方米/万元）；2022年因经济数据指标及用水量指标未出，引用2022年最严格水资源考核数据，2022年单位工业增加值用水量38.56（立方米/万元）</w:t>
      </w:r>
      <w:r>
        <w:rPr>
          <w:rFonts w:hint="eastAsia" w:cs="Times New Roman" w:eastAsiaTheme="minorEastAsia"/>
          <w:color w:val="000000" w:themeColor="text1"/>
          <w:highlight w:val="none"/>
          <w:lang w:eastAsia="zh-CN"/>
          <w14:textFill>
            <w14:solidFill>
              <w14:schemeClr w14:val="tx1"/>
            </w14:solidFill>
          </w14:textFill>
        </w:rPr>
        <w:t>，</w:t>
      </w:r>
      <w:r>
        <w:rPr>
          <w:rFonts w:hint="eastAsia" w:cs="Times New Roman" w:eastAsiaTheme="minorEastAsia"/>
          <w:color w:val="000000" w:themeColor="text1"/>
          <w:highlight w:val="none"/>
          <w:lang w:val="en-US" w:eastAsia="zh-CN"/>
          <w14:textFill>
            <w14:solidFill>
              <w14:schemeClr w14:val="tx1"/>
            </w14:solidFill>
          </w14:textFill>
        </w:rPr>
        <w:t>降幅为29.9%，提前完成</w:t>
      </w:r>
      <w:r>
        <w:rPr>
          <w:rFonts w:hint="default" w:ascii="Times New Roman" w:hAnsi="Times New Roman" w:cs="Times New Roman" w:eastAsiaTheme="minorEastAsia"/>
          <w:color w:val="000000" w:themeColor="text1"/>
          <w:highlight w:val="none"/>
          <w14:textFill>
            <w14:solidFill>
              <w14:schemeClr w14:val="tx1"/>
            </w14:solidFill>
          </w14:textFill>
        </w:rPr>
        <w:t>。</w:t>
      </w:r>
    </w:p>
    <w:p>
      <w:pPr>
        <w:pStyle w:val="6"/>
        <w:rPr>
          <w:rFonts w:hint="default" w:ascii="Times New Roman" w:hAnsi="Times New Roman" w:cs="Times New Roman" w:eastAsiaTheme="minorEastAsia"/>
          <w:color w:val="000000" w:themeColor="text1"/>
          <w:highlight w:val="none"/>
          <w14:textFill>
            <w14:solidFill>
              <w14:schemeClr w14:val="tx1"/>
            </w14:solidFill>
          </w14:textFill>
        </w:rPr>
      </w:pPr>
      <w:bookmarkStart w:id="269" w:name="_Toc9841"/>
      <w:bookmarkStart w:id="270" w:name="_Toc19394"/>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3.2.2.4</w:t>
      </w:r>
      <w:r>
        <w:rPr>
          <w:rFonts w:hint="default" w:ascii="Times New Roman" w:hAnsi="Times New Roman" w:cs="Times New Roman" w:eastAsiaTheme="minorEastAsia"/>
          <w:color w:val="000000" w:themeColor="text1"/>
          <w:highlight w:val="none"/>
          <w14:textFill>
            <w14:solidFill>
              <w14:schemeClr w14:val="tx1"/>
            </w14:solidFill>
          </w14:textFill>
        </w:rPr>
        <w:t>最低</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生态水位（1720.77米）</w:t>
      </w:r>
      <w:r>
        <w:rPr>
          <w:rFonts w:hint="default" w:ascii="Times New Roman" w:hAnsi="Times New Roman" w:cs="Times New Roman" w:eastAsiaTheme="minorEastAsia"/>
          <w:color w:val="000000" w:themeColor="text1"/>
          <w:highlight w:val="none"/>
          <w14:textFill>
            <w14:solidFill>
              <w14:schemeClr w14:val="tx1"/>
            </w14:solidFill>
          </w14:textFill>
        </w:rPr>
        <w:t>日保障程度）</w:t>
      </w:r>
      <w:bookmarkEnd w:id="269"/>
      <w:bookmarkEnd w:id="270"/>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2022年抚仙湖法定最低运行水位日保障程度77.81（284天），根据玉溪市湖泊管理局提供资料，截至目前，已有180天抚仙湖的水位均低于最低法定运行水位1720.77m。受自然条件的影响，近年来抚仙湖的来水量急剧下降，自然气候原因导致的降水量短缺，导致抚仙湖的水位骤然降低，</w:t>
      </w:r>
      <w:r>
        <w:rPr>
          <w:rFonts w:hint="eastAsia"/>
          <w:color w:val="000000" w:themeColor="text1"/>
          <w:highlight w:val="none"/>
          <w:lang w:eastAsia="zh-CN"/>
          <w14:textFill>
            <w14:solidFill>
              <w14:schemeClr w14:val="tx1"/>
            </w14:solidFill>
          </w14:textFill>
        </w:rPr>
        <w:t>截至</w:t>
      </w:r>
      <w:r>
        <w:rPr>
          <w:rFonts w:hint="default"/>
          <w:color w:val="000000" w:themeColor="text1"/>
          <w:highlight w:val="none"/>
          <w14:textFill>
            <w14:solidFill>
              <w14:schemeClr w14:val="tx1"/>
            </w14:solidFill>
          </w14:textFill>
        </w:rPr>
        <w:t>2025年的法定最低运行水位日保障程度目标为不低于水利部有关规定，由于抚仙湖深水湖泊水质情况复杂，对于引调水入湖的可行性分析还在进行中，目前估计该项目标截至2025年</w:t>
      </w:r>
      <w:r>
        <w:rPr>
          <w:rFonts w:hint="eastAsia"/>
          <w:color w:val="000000" w:themeColor="text1"/>
          <w:highlight w:val="none"/>
          <w:lang w:val="en-US" w:eastAsia="zh-CN"/>
          <w14:textFill>
            <w14:solidFill>
              <w14:schemeClr w14:val="tx1"/>
            </w14:solidFill>
          </w14:textFill>
        </w:rPr>
        <w:t>完成昆明比较大。</w:t>
      </w: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271" w:name="_Toc11304"/>
      <w:bookmarkStart w:id="272" w:name="_Toc28977"/>
      <w:bookmarkStart w:id="273" w:name="_Toc14787"/>
      <w:r>
        <w:rPr>
          <w:rFonts w:hint="default" w:ascii="Times New Roman" w:hAnsi="Times New Roman" w:cs="Times New Roman" w:eastAsiaTheme="minorEastAsia"/>
          <w:color w:val="000000" w:themeColor="text1"/>
          <w:highlight w:val="none"/>
          <w14:textFill>
            <w14:solidFill>
              <w14:schemeClr w14:val="tx1"/>
            </w14:solidFill>
          </w14:textFill>
        </w:rPr>
        <w:t>3.2.</w:t>
      </w:r>
      <w:r>
        <w:rPr>
          <w:rFonts w:hint="eastAsia" w:cs="Times New Roman" w:eastAsiaTheme="minorEastAsia"/>
          <w:color w:val="000000" w:themeColor="text1"/>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生态</w:t>
      </w:r>
      <w:r>
        <w:rPr>
          <w:rFonts w:hint="eastAsia" w:cs="Times New Roman" w:eastAsiaTheme="minorEastAsia"/>
          <w:color w:val="000000" w:themeColor="text1"/>
          <w:highlight w:val="none"/>
          <w:lang w:val="en-US" w:eastAsia="zh-CN"/>
          <w14:textFill>
            <w14:solidFill>
              <w14:schemeClr w14:val="tx1"/>
            </w14:solidFill>
          </w14:textFill>
        </w:rPr>
        <w:t>系统</w:t>
      </w:r>
      <w:r>
        <w:rPr>
          <w:rFonts w:hint="default" w:ascii="Times New Roman" w:hAnsi="Times New Roman" w:cs="Times New Roman" w:eastAsiaTheme="minorEastAsia"/>
          <w:color w:val="000000" w:themeColor="text1"/>
          <w:highlight w:val="none"/>
          <w14:textFill>
            <w14:solidFill>
              <w14:schemeClr w14:val="tx1"/>
            </w14:solidFill>
          </w14:textFill>
        </w:rPr>
        <w:t>修复体系</w:t>
      </w:r>
      <w:bookmarkEnd w:id="271"/>
      <w:bookmarkEnd w:id="272"/>
      <w:bookmarkEnd w:id="273"/>
    </w:p>
    <w:p>
      <w:pPr>
        <w:pStyle w:val="6"/>
        <w:rPr>
          <w:rFonts w:hint="default" w:ascii="Times New Roman" w:hAnsi="Times New Roman" w:cs="Times New Roman" w:eastAsiaTheme="minorEastAsia"/>
          <w:color w:val="000000" w:themeColor="text1"/>
          <w:highlight w:val="none"/>
          <w14:textFill>
            <w14:solidFill>
              <w14:schemeClr w14:val="tx1"/>
            </w14:solidFill>
          </w14:textFill>
        </w:rPr>
      </w:pPr>
      <w:bookmarkStart w:id="274" w:name="_Toc26196"/>
      <w:bookmarkStart w:id="275" w:name="_Toc23680"/>
      <w:bookmarkStart w:id="276" w:name="_Toc2886"/>
      <w:bookmarkStart w:id="277" w:name="_Toc13225"/>
      <w:r>
        <w:rPr>
          <w:rFonts w:hint="default" w:ascii="Times New Roman" w:hAnsi="Times New Roman" w:cs="Times New Roman" w:eastAsiaTheme="minorEastAsia"/>
          <w:color w:val="000000" w:themeColor="text1"/>
          <w:highlight w:val="none"/>
          <w14:textFill>
            <w14:solidFill>
              <w14:schemeClr w14:val="tx1"/>
            </w14:solidFill>
          </w14:textFill>
        </w:rPr>
        <w:t>3.2.</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.1湖滨带修复面积</w:t>
      </w:r>
      <w:bookmarkEnd w:id="274"/>
      <w:bookmarkEnd w:id="275"/>
      <w:bookmarkEnd w:id="276"/>
      <w:bookmarkEnd w:id="277"/>
    </w:p>
    <w:p>
      <w:pPr>
        <w:ind w:firstLine="480" w:firstLineChars="200"/>
        <w:rPr>
          <w:rFonts w:hint="default" w:ascii="Times New Roman" w:hAnsi="Times New Roman" w:cs="Times New Roman" w:eastAsiaTheme="minorEastAsia"/>
          <w:bCs/>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根据抚仙湖水环境保护治理</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十三五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规划终期评估报告，</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十三五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末抚仙湖湖滨带修复面积为0.68万亩，持续推动抚仙湖一级保护区及生态修复，建立湖滨带生态保护和恢复长效管理机制，抚仙湖</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十四五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水环境保护治理规划提出</w:t>
      </w:r>
      <w:r>
        <w:rPr>
          <w:rFonts w:hint="default" w:ascii="Times New Roman" w:hAnsi="Times New Roman" w:cs="Times New Roman" w:eastAsiaTheme="minorEastAsia"/>
          <w:bCs/>
          <w:color w:val="000000" w:themeColor="text1"/>
          <w:szCs w:val="24"/>
          <w:highlight w:val="none"/>
          <w14:textFill>
            <w14:solidFill>
              <w14:schemeClr w14:val="tx1"/>
            </w14:solidFill>
          </w14:textFill>
        </w:rPr>
        <w:t>进一步强化流域湖滨缓冲带建设，主要包括抚仙湖北岸生态廊道项目、沿湖“违规违建”整治及生态恢复项目工程将新增湖滨带建设面积1400亩。</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至2023年4月，以上涉及抚仙湖湖滨缓冲带修复工程完成1400余亩，现为8236.63亩，已经达到</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十四五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规划末期的目标。</w:t>
      </w:r>
    </w:p>
    <w:p>
      <w:pPr>
        <w:pStyle w:val="6"/>
        <w:rPr>
          <w:rFonts w:hint="default" w:ascii="Times New Roman" w:hAnsi="Times New Roman" w:cs="Times New Roman" w:eastAsiaTheme="minorEastAsia"/>
          <w:color w:val="000000" w:themeColor="text1"/>
          <w:highlight w:val="none"/>
          <w14:textFill>
            <w14:solidFill>
              <w14:schemeClr w14:val="tx1"/>
            </w14:solidFill>
          </w14:textFill>
        </w:rPr>
      </w:pPr>
      <w:bookmarkStart w:id="278" w:name="_Toc29306"/>
      <w:bookmarkStart w:id="279" w:name="_Toc27610"/>
      <w:bookmarkStart w:id="280" w:name="_Toc16678"/>
      <w:bookmarkStart w:id="281" w:name="_Toc6"/>
      <w:r>
        <w:rPr>
          <w:rFonts w:hint="default" w:ascii="Times New Roman" w:hAnsi="Times New Roman" w:cs="Times New Roman" w:eastAsiaTheme="minorEastAsia"/>
          <w:color w:val="000000" w:themeColor="text1"/>
          <w:highlight w:val="none"/>
          <w14:textFill>
            <w14:solidFill>
              <w14:schemeClr w14:val="tx1"/>
            </w14:solidFill>
          </w14:textFill>
        </w:rPr>
        <w:t>3.2.</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.2水土保持率</w:t>
      </w:r>
      <w:bookmarkEnd w:id="278"/>
      <w:bookmarkEnd w:id="279"/>
      <w:bookmarkEnd w:id="280"/>
      <w:bookmarkEnd w:id="281"/>
    </w:p>
    <w:p>
      <w:pPr>
        <w:ind w:firstLine="480"/>
        <w:rPr>
          <w:rFonts w:hint="default" w:ascii="Times New Roman" w:hAnsi="Times New Roman" w:cs="Times New Roman" w:eastAsiaTheme="minorEastAsia"/>
          <w:bCs/>
          <w:color w:val="000000" w:themeColor="text1"/>
          <w:szCs w:val="24"/>
          <w:highlight w:val="none"/>
          <w14:textFill>
            <w14:solidFill>
              <w14:schemeClr w14:val="tx1"/>
            </w14:solidFill>
          </w14:textFill>
        </w:rPr>
      </w:pPr>
      <w:r>
        <w:rPr>
          <w:rFonts w:hint="default" w:ascii="Times New Roman" w:hAnsi="Times New Roman" w:cs="Times New Roman" w:eastAsiaTheme="minorEastAsia"/>
          <w:bCs/>
          <w:color w:val="000000" w:themeColor="text1"/>
          <w:szCs w:val="24"/>
          <w:highlight w:val="none"/>
          <w14:textFill>
            <w14:solidFill>
              <w14:schemeClr w14:val="tx1"/>
            </w14:solidFill>
          </w14:textFill>
        </w:rPr>
        <w:t>根据澄江市水利局提供资料，截至目前，因无2022年度水土流失动态监测结果，无法计算2022年水土保持率。依据2021年云南省水土流失动态监测结果，2021年澄江市及“抚仙湖”相关县（市、区）水土保持率情况如下：</w:t>
      </w:r>
    </w:p>
    <w:p>
      <w:pPr>
        <w:ind w:firstLine="480"/>
        <w:rPr>
          <w:rFonts w:hint="default" w:ascii="Times New Roman" w:hAnsi="Times New Roman" w:cs="Times New Roman" w:eastAsiaTheme="minorEastAsia"/>
          <w:bCs/>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澄江市：澄江市土地总面积为773平方公里，2021年度微度侵蚀面积（非水土流失面积）615.7平方公里，水土保持率为79.65%。抚仙湖：抚仙湖流域土地总面积为675平方公里，2021年度微度侵蚀面积（非水土流失面积）573.4平方公里，水土保持率为84.95%。（2种算法分别以土地面积和流域面积分别计算的水土保持率，以按澄江土地面积计算的为准）</w:t>
      </w:r>
    </w:p>
    <w:p>
      <w:pPr>
        <w:ind w:firstLine="480"/>
        <w:rPr>
          <w:rFonts w:hint="default" w:ascii="Times New Roman" w:hAnsi="Times New Roman" w:cs="Times New Roman" w:eastAsiaTheme="minorEastAsia"/>
          <w:b/>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至2023年4月，抚仙湖加强流域森林抚育，提升流域水源涵养能力和水土保持能力，抚仙湖流域的水土保持率现状接近2025年设定的目标值</w:t>
      </w:r>
      <w:r>
        <w:rPr>
          <w:rFonts w:hint="default" w:ascii="Times New Roman" w:hAnsi="Times New Roman" w:cs="Times New Roman" w:eastAsiaTheme="minorEastAsia"/>
          <w:color w:val="000000" w:themeColor="text1"/>
          <w:szCs w:val="24"/>
          <w:highlight w:val="none"/>
          <w14:textFill>
            <w14:solidFill>
              <w14:schemeClr w14:val="tx1"/>
            </w14:solidFill>
          </w14:textFill>
        </w:rPr>
        <w:t>，由于近年来降水量的减少，未对面山等产生强烈的冲击性</w:t>
      </w:r>
      <w:r>
        <w:rPr>
          <w:rFonts w:hint="default" w:ascii="Times New Roman" w:hAnsi="Times New Roman" w:cs="Times New Roman" w:eastAsiaTheme="minorEastAsia"/>
          <w:b w:val="0"/>
          <w:bCs w:val="0"/>
          <w:color w:val="000000" w:themeColor="text1"/>
          <w:szCs w:val="24"/>
          <w:highlight w:val="none"/>
          <w:lang w:val="en-US" w:eastAsia="zh-CN"/>
          <w14:textFill>
            <w14:solidFill>
              <w14:schemeClr w14:val="tx1"/>
            </w14:solidFill>
          </w14:textFill>
        </w:rPr>
        <w:t>负荷</w:t>
      </w:r>
      <w:r>
        <w:rPr>
          <w:rFonts w:hint="default" w:ascii="Times New Roman" w:hAnsi="Times New Roman" w:cs="Times New Roman" w:eastAsiaTheme="minorEastAsia"/>
          <w:color w:val="000000" w:themeColor="text1"/>
          <w:szCs w:val="24"/>
          <w:highlight w:val="none"/>
          <w14:textFill>
            <w14:solidFill>
              <w14:schemeClr w14:val="tx1"/>
            </w14:solidFill>
          </w14:textFill>
        </w:rPr>
        <w:t>污染，下阶段还需增加实施水土流失治理的工程，以稳定保持现状水土流失率。</w:t>
      </w:r>
    </w:p>
    <w:p>
      <w:pPr>
        <w:pStyle w:val="6"/>
        <w:rPr>
          <w:rFonts w:hint="default" w:ascii="Times New Roman" w:hAnsi="Times New Roman" w:cs="Times New Roman" w:eastAsiaTheme="minorEastAsia"/>
          <w:color w:val="000000" w:themeColor="text1"/>
          <w:highlight w:val="none"/>
          <w14:textFill>
            <w14:solidFill>
              <w14:schemeClr w14:val="tx1"/>
            </w14:solidFill>
          </w14:textFill>
        </w:rPr>
      </w:pPr>
      <w:bookmarkStart w:id="282" w:name="_Toc9635"/>
      <w:bookmarkStart w:id="283" w:name="_Toc29518"/>
      <w:bookmarkStart w:id="284" w:name="_Toc14638"/>
      <w:bookmarkStart w:id="285" w:name="_Toc5047"/>
      <w:r>
        <w:rPr>
          <w:rFonts w:hint="default" w:ascii="Times New Roman" w:hAnsi="Times New Roman" w:cs="Times New Roman" w:eastAsiaTheme="minorEastAsia"/>
          <w:color w:val="000000" w:themeColor="text1"/>
          <w:highlight w:val="none"/>
          <w14:textFill>
            <w14:solidFill>
              <w14:schemeClr w14:val="tx1"/>
            </w14:solidFill>
          </w14:textFill>
        </w:rPr>
        <w:t>3.2.</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富营养化指数</w:t>
      </w:r>
      <w:bookmarkEnd w:id="282"/>
      <w:bookmarkEnd w:id="283"/>
      <w:bookmarkEnd w:id="284"/>
      <w:bookmarkEnd w:id="285"/>
    </w:p>
    <w:p>
      <w:pPr>
        <w:ind w:firstLine="480" w:firstLineChars="20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2022年全湖综合营养状态指数由2021年的22.9上升为24.3，上升6.11%；湖心综合营养状态指数由2021年的18.9上升为22.7，上升20.1%</w:t>
      </w:r>
      <w:r>
        <w:rPr>
          <w:rFonts w:hint="eastAsia" w:cs="Times New Roman" w:eastAsiaTheme="minorEastAsia"/>
          <w:color w:val="000000" w:themeColor="text1"/>
          <w:highlight w:val="none"/>
          <w:lang w:eastAsia="zh-CN"/>
          <w14:textFill>
            <w14:solidFill>
              <w14:schemeClr w14:val="tx1"/>
            </w14:solidFill>
          </w14:textFill>
        </w:rPr>
        <w:t>，</w:t>
      </w:r>
      <w:r>
        <w:rPr>
          <w:rFonts w:hint="eastAsia" w:cs="Times New Roman" w:eastAsiaTheme="minorEastAsia"/>
          <w:color w:val="000000" w:themeColor="text1"/>
          <w:highlight w:val="none"/>
          <w:lang w:val="en-US" w:eastAsia="zh-CN"/>
          <w14:textFill>
            <w14:solidFill>
              <w14:schemeClr w14:val="tx1"/>
            </w14:solidFill>
          </w14:textFill>
        </w:rPr>
        <w:t>现保持贫营养状态，截至2025年营养状态指数可保持贫营养。</w:t>
      </w:r>
    </w:p>
    <w:p>
      <w:pPr>
        <w:ind w:left="2" w:leftChars="-300" w:hanging="722" w:hangingChars="300"/>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drawing>
          <wp:inline distT="0" distB="0" distL="114300" distR="114300">
            <wp:extent cx="6557645" cy="2880360"/>
            <wp:effectExtent l="0" t="0" r="0" b="0"/>
            <wp:docPr id="13" name="图片 2"/>
            <wp:cNvGraphicFramePr/>
            <a:graphic xmlns:a="http://schemas.openxmlformats.org/drawingml/2006/main">
              <a:graphicData uri="http://schemas.openxmlformats.org/drawingml/2006/picture">
                <pic:pic xmlns:pic="http://schemas.openxmlformats.org/drawingml/2006/picture">
                  <pic:nvPicPr>
                    <pic:cNvPr id="13" name="图片 2"/>
                    <pic:cNvPicPr/>
                  </pic:nvPicPr>
                  <pic:blipFill>
                    <a:blip r:embed="rId25"/>
                    <a:stretch>
                      <a:fillRect/>
                    </a:stretch>
                  </pic:blipFill>
                  <pic:spPr>
                    <a:xfrm>
                      <a:off x="0" y="0"/>
                      <a:ext cx="6557645" cy="2880360"/>
                    </a:xfrm>
                    <a:prstGeom prst="rect">
                      <a:avLst/>
                    </a:prstGeom>
                  </pic:spPr>
                </pic:pic>
              </a:graphicData>
            </a:graphic>
          </wp:inline>
        </w:drawing>
      </w:r>
    </w:p>
    <w:p>
      <w:pPr>
        <w:jc w:val="center"/>
        <w:rPr>
          <w:rFonts w:hint="default" w:ascii="Times New Roman" w:hAnsi="Times New Roman" w:cs="Times New Roman" w:eastAsiaTheme="minorEastAsia"/>
          <w:b/>
          <w:bCs/>
          <w:color w:val="000000" w:themeColor="text1"/>
          <w:sz w:val="22"/>
          <w:szCs w:val="18"/>
          <w:highlight w:val="none"/>
          <w14:textFill>
            <w14:solidFill>
              <w14:schemeClr w14:val="tx1"/>
            </w14:solidFill>
          </w14:textFill>
        </w:rPr>
      </w:pPr>
      <w:r>
        <w:rPr>
          <w:rFonts w:hint="default" w:ascii="Times New Roman" w:hAnsi="Times New Roman" w:cs="Times New Roman" w:eastAsiaTheme="minorEastAsia"/>
          <w:b/>
          <w:bCs/>
          <w:color w:val="000000" w:themeColor="text1"/>
          <w:sz w:val="22"/>
          <w:szCs w:val="18"/>
          <w:highlight w:val="none"/>
          <w14:textFill>
            <w14:solidFill>
              <w14:schemeClr w14:val="tx1"/>
            </w14:solidFill>
          </w14:textFill>
        </w:rPr>
        <w:t>图3.2.</w:t>
      </w:r>
      <w:r>
        <w:rPr>
          <w:rFonts w:hint="eastAsia" w:cs="Times New Roman" w:eastAsiaTheme="minorEastAsia"/>
          <w:b/>
          <w:bCs/>
          <w:color w:val="000000" w:themeColor="text1"/>
          <w:sz w:val="22"/>
          <w:szCs w:val="18"/>
          <w:highlight w:val="none"/>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2"/>
          <w:szCs w:val="18"/>
          <w:highlight w:val="none"/>
          <w14:textFill>
            <w14:solidFill>
              <w14:schemeClr w14:val="tx1"/>
            </w14:solidFill>
          </w14:textFill>
        </w:rPr>
        <w:t>-</w:t>
      </w:r>
      <w:r>
        <w:rPr>
          <w:rFonts w:hint="eastAsia" w:cs="Times New Roman" w:eastAsiaTheme="minorEastAsia"/>
          <w:b/>
          <w:bCs/>
          <w:color w:val="000000" w:themeColor="text1"/>
          <w:sz w:val="22"/>
          <w:szCs w:val="18"/>
          <w:highlight w:val="none"/>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2"/>
          <w:szCs w:val="18"/>
          <w:highlight w:val="none"/>
          <w14:textFill>
            <w14:solidFill>
              <w14:schemeClr w14:val="tx1"/>
            </w14:solidFill>
          </w14:textFill>
        </w:rPr>
        <w:t>抚仙湖全湖平均营养状态指数近五年变化趋势图</w:t>
      </w:r>
    </w:p>
    <w:p>
      <w:pPr>
        <w:rPr>
          <w:rFonts w:hint="default"/>
          <w:color w:val="000000" w:themeColor="text1"/>
          <w:highlight w:val="none"/>
          <w14:textFill>
            <w14:solidFill>
              <w14:schemeClr w14:val="tx1"/>
            </w14:solidFill>
          </w14:textFill>
        </w:rPr>
      </w:pP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286" w:name="_Toc9353"/>
      <w:bookmarkStart w:id="287" w:name="_Toc12111"/>
      <w:bookmarkStart w:id="288" w:name="_Toc13831"/>
      <w:bookmarkStart w:id="289" w:name="_Toc28330"/>
      <w:bookmarkStart w:id="290" w:name="_Toc6614"/>
      <w:r>
        <w:rPr>
          <w:rFonts w:hint="default" w:ascii="Times New Roman" w:hAnsi="Times New Roman" w:cs="Times New Roman" w:eastAsiaTheme="minorEastAsia"/>
          <w:color w:val="000000" w:themeColor="text1"/>
          <w:highlight w:val="none"/>
          <w14:textFill>
            <w14:solidFill>
              <w14:schemeClr w14:val="tx1"/>
            </w14:solidFill>
          </w14:textFill>
        </w:rPr>
        <w:t>3.2.</w:t>
      </w:r>
      <w:r>
        <w:rPr>
          <w:rFonts w:hint="eastAsia" w:cs="Times New Roman" w:eastAsiaTheme="minorEastAsia"/>
          <w:color w:val="000000" w:themeColor="text1"/>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highlight w:val="none"/>
          <w14:textFill>
            <w14:solidFill>
              <w14:schemeClr w14:val="tx1"/>
            </w14:solidFill>
          </w14:textFill>
        </w:rPr>
        <w:t>空间管控体系</w:t>
      </w:r>
      <w:bookmarkEnd w:id="286"/>
      <w:bookmarkEnd w:id="287"/>
      <w:bookmarkEnd w:id="288"/>
    </w:p>
    <w:p>
      <w:pPr>
        <w:pStyle w:val="6"/>
        <w:rPr>
          <w:rFonts w:hint="default" w:cs="Times New Roman" w:eastAsiaTheme="minorEastAsia"/>
          <w:color w:val="000000" w:themeColor="text1"/>
          <w:highlight w:val="none"/>
          <w:lang w:val="en-US" w:eastAsia="zh-CN"/>
          <w14:textFill>
            <w14:solidFill>
              <w14:schemeClr w14:val="tx1"/>
            </w14:solidFill>
          </w14:textFill>
        </w:rPr>
      </w:pPr>
      <w:bookmarkStart w:id="291" w:name="_Toc377"/>
      <w:bookmarkStart w:id="292" w:name="_Toc26949"/>
      <w:r>
        <w:rPr>
          <w:rFonts w:hint="eastAsia" w:cs="Times New Roman" w:eastAsiaTheme="minorEastAsia"/>
          <w:color w:val="000000" w:themeColor="text1"/>
          <w:highlight w:val="none"/>
          <w:lang w:val="en-US" w:eastAsia="zh-CN"/>
          <w14:textFill>
            <w14:solidFill>
              <w14:schemeClr w14:val="tx1"/>
            </w14:solidFill>
          </w14:textFill>
        </w:rPr>
        <w:t>3.2.4.1流域森林覆盖率</w:t>
      </w:r>
      <w:bookmarkEnd w:id="291"/>
      <w:bookmarkEnd w:id="292"/>
    </w:p>
    <w:p>
      <w:pPr>
        <w:adjustRightInd w:val="0"/>
        <w:snapToGrid w:val="0"/>
        <w:ind w:firstLine="480" w:firstLineChars="200"/>
        <w:rPr>
          <w:rFonts w:hint="default" w:ascii="Times New Roman" w:hAnsi="Times New Roman" w:cs="Times New Roman" w:eastAsiaTheme="minorEastAsia"/>
          <w:bCs/>
          <w:color w:val="000000" w:themeColor="text1"/>
          <w:szCs w:val="28"/>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十四五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期间通过抚仙湖面山修复工程的实施，抚仙湖环湖生态廊道建设项目、抚仙湖森林抚育和生物多样性工程的建设，目前抚仙湖流域新森林覆盖率（澄江市行政区）为40.44%，</w:t>
      </w:r>
      <w:r>
        <w:rPr>
          <w:rFonts w:hint="eastAsia" w:cs="Times New Roman" w:eastAsiaTheme="minorEastAsia"/>
          <w:color w:val="000000" w:themeColor="text1"/>
          <w:highlight w:val="none"/>
          <w:lang w:val="en-US" w:eastAsia="zh-CN"/>
          <w14:textFill>
            <w14:solidFill>
              <w14:schemeClr w14:val="tx1"/>
            </w14:solidFill>
          </w14:textFill>
        </w:rPr>
        <w:t>由于自然条件的变化和影响，要维持截至</w:t>
      </w:r>
      <w:r>
        <w:rPr>
          <w:rFonts w:hint="default" w:ascii="Times New Roman" w:hAnsi="Times New Roman" w:cs="Times New Roman" w:eastAsiaTheme="minorEastAsia"/>
          <w:color w:val="000000" w:themeColor="text1"/>
          <w:highlight w:val="none"/>
          <w14:textFill>
            <w14:solidFill>
              <w14:schemeClr w14:val="tx1"/>
            </w14:solidFill>
          </w14:textFill>
        </w:rPr>
        <w:t>2025年流域森林</w:t>
      </w:r>
      <w:r>
        <w:rPr>
          <w:rFonts w:hint="eastAsia" w:cs="Times New Roman" w:eastAsiaTheme="minorEastAsia"/>
          <w:color w:val="000000" w:themeColor="text1"/>
          <w:highlight w:val="none"/>
          <w:lang w:val="en-US" w:eastAsia="zh-CN"/>
          <w14:textFill>
            <w14:solidFill>
              <w14:schemeClr w14:val="tx1"/>
            </w14:solidFill>
          </w14:textFill>
        </w:rPr>
        <w:t>面积不减少的</w:t>
      </w:r>
      <w:r>
        <w:rPr>
          <w:rFonts w:hint="default" w:ascii="Times New Roman" w:hAnsi="Times New Roman" w:cs="Times New Roman" w:eastAsiaTheme="minorEastAsia"/>
          <w:color w:val="000000" w:themeColor="text1"/>
          <w:highlight w:val="none"/>
          <w14:textFill>
            <w14:solidFill>
              <w14:schemeClr w14:val="tx1"/>
            </w14:solidFill>
          </w14:textFill>
        </w:rPr>
        <w:t>规划目标，下阶段应进一步梳理径流区范围内未实施过生态建设的区块，充分与森林抚仙湖项目衔接，增加</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十四五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后期面山植被恢复建设工程，以</w:t>
      </w:r>
      <w:r>
        <w:rPr>
          <w:rFonts w:hint="eastAsia" w:cs="Times New Roman" w:eastAsiaTheme="minorEastAsia"/>
          <w:color w:val="000000" w:themeColor="text1"/>
          <w:highlight w:val="none"/>
          <w:lang w:val="en-US" w:eastAsia="zh-CN"/>
          <w14:textFill>
            <w14:solidFill>
              <w14:schemeClr w14:val="tx1"/>
            </w14:solidFill>
          </w14:textFill>
        </w:rPr>
        <w:t>维持现状，</w:t>
      </w:r>
      <w:r>
        <w:rPr>
          <w:rFonts w:hint="default" w:ascii="Times New Roman" w:hAnsi="Times New Roman" w:cs="Times New Roman" w:eastAsiaTheme="minorEastAsia"/>
          <w:color w:val="000000" w:themeColor="text1"/>
          <w:highlight w:val="none"/>
          <w14:textFill>
            <w14:solidFill>
              <w14:schemeClr w14:val="tx1"/>
            </w14:solidFill>
          </w14:textFill>
        </w:rPr>
        <w:t>保障</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十四五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规划目标的实现。</w:t>
      </w:r>
    </w:p>
    <w:p>
      <w:pPr>
        <w:pStyle w:val="6"/>
        <w:rPr>
          <w:rFonts w:hint="default" w:cs="Times New Roman" w:eastAsiaTheme="minorEastAsia"/>
          <w:color w:val="000000" w:themeColor="text1"/>
          <w:highlight w:val="none"/>
          <w:lang w:val="en-US" w:eastAsia="zh-CN"/>
          <w14:textFill>
            <w14:solidFill>
              <w14:schemeClr w14:val="tx1"/>
            </w14:solidFill>
          </w14:textFill>
        </w:rPr>
      </w:pPr>
      <w:bookmarkStart w:id="293" w:name="_Toc13035"/>
      <w:bookmarkStart w:id="294" w:name="_Toc17445"/>
      <w:r>
        <w:rPr>
          <w:rFonts w:hint="eastAsia" w:cs="Times New Roman" w:eastAsiaTheme="minorEastAsia"/>
          <w:color w:val="000000" w:themeColor="text1"/>
          <w:highlight w:val="none"/>
          <w:lang w:val="en-US" w:eastAsia="zh-CN"/>
          <w14:textFill>
            <w14:solidFill>
              <w14:schemeClr w14:val="tx1"/>
            </w14:solidFill>
          </w14:textFill>
        </w:rPr>
        <w:t>3.2.4.2生态保护红线面积</w:t>
      </w:r>
      <w:bookmarkEnd w:id="293"/>
      <w:bookmarkEnd w:id="294"/>
    </w:p>
    <w:p>
      <w:pPr>
        <w:ind w:firstLine="480" w:firstLineChars="200"/>
        <w:rPr>
          <w:rFonts w:hint="eastAsia"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十四五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期间通过抚仙湖空间管控项目、抚仙湖环湖生态移民搬迁工程、沿湖“违规违建”整治及生态恢复项目、抚仙湖环湖路提升改造工程、抚仙湖环湖生态廊道建设项目、抚仙湖生物多样性保护工程的实施，目前抚仙湖流域生态保护红线面积34</w:t>
      </w:r>
      <w:r>
        <w:rPr>
          <w:rFonts w:hint="eastAsia" w:cs="Times New Roman" w:eastAsiaTheme="minorEastAsia"/>
          <w:color w:val="000000" w:themeColor="text1"/>
          <w:highlight w:val="none"/>
          <w:lang w:val="en-US" w:eastAsia="zh-CN"/>
          <w14:textFill>
            <w14:solidFill>
              <w14:schemeClr w14:val="tx1"/>
            </w14:solidFill>
          </w14:textFill>
        </w:rPr>
        <w:t>6.5</w:t>
      </w:r>
      <w:r>
        <w:rPr>
          <w:rFonts w:hint="default" w:ascii="Times New Roman" w:hAnsi="Times New Roman" w:cs="Times New Roman" w:eastAsiaTheme="minorEastAsia"/>
          <w:color w:val="000000" w:themeColor="text1"/>
          <w:highlight w:val="none"/>
          <w14:textFill>
            <w14:solidFill>
              <w14:schemeClr w14:val="tx1"/>
            </w14:solidFill>
          </w14:textFill>
        </w:rPr>
        <w:t>km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highlight w:val="none"/>
          <w14:textFill>
            <w14:solidFill>
              <w14:schemeClr w14:val="tx1"/>
            </w14:solidFill>
          </w14:textFill>
        </w:rPr>
        <w:t>，</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十四五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规划目标为≥335.25km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highlight w:val="none"/>
          <w14:textFill>
            <w14:solidFill>
              <w14:schemeClr w14:val="tx1"/>
            </w14:solidFill>
          </w14:textFill>
        </w:rPr>
        <w:t>，现阶段已完成该目标指标。</w:t>
      </w:r>
    </w:p>
    <w:p>
      <w:pPr>
        <w:pStyle w:val="5"/>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295" w:name="_Toc19515"/>
      <w:r>
        <w:rPr>
          <w:rFonts w:hint="eastAsia" w:cs="Times New Roman" w:eastAsiaTheme="minorEastAsia"/>
          <w:color w:val="000000" w:themeColor="text1"/>
          <w:highlight w:val="none"/>
          <w:lang w:val="en-US" w:eastAsia="zh-CN"/>
          <w14:textFill>
            <w14:solidFill>
              <w14:schemeClr w14:val="tx1"/>
            </w14:solidFill>
          </w14:textFill>
        </w:rPr>
        <w:t>3.2.</w:t>
      </w:r>
      <w:bookmarkEnd w:id="289"/>
      <w:bookmarkEnd w:id="290"/>
      <w:r>
        <w:rPr>
          <w:rFonts w:hint="eastAsia" w:cs="Times New Roman" w:eastAsiaTheme="minorEastAsia"/>
          <w:color w:val="000000" w:themeColor="text1"/>
          <w:highlight w:val="none"/>
          <w:lang w:val="en-US" w:eastAsia="zh-CN"/>
          <w14:textFill>
            <w14:solidFill>
              <w14:schemeClr w14:val="tx1"/>
            </w14:solidFill>
          </w14:textFill>
        </w:rPr>
        <w:t>5河湖监测</w:t>
      </w:r>
      <w:bookmarkEnd w:id="295"/>
    </w:p>
    <w:p>
      <w:pPr>
        <w:pStyle w:val="6"/>
        <w:rPr>
          <w:rFonts w:hint="default" w:ascii="Times New Roman" w:hAnsi="Times New Roman" w:cs="Times New Roman" w:eastAsiaTheme="minorEastAsia"/>
          <w:color w:val="000000" w:themeColor="text1"/>
          <w:highlight w:val="none"/>
          <w14:textFill>
            <w14:solidFill>
              <w14:schemeClr w14:val="tx1"/>
            </w14:solidFill>
          </w14:textFill>
        </w:rPr>
      </w:pPr>
      <w:bookmarkStart w:id="296" w:name="_Toc12292"/>
      <w:bookmarkStart w:id="297" w:name="_Toc6575"/>
      <w:bookmarkStart w:id="298" w:name="_Toc26579"/>
      <w:bookmarkStart w:id="299" w:name="_Toc28175"/>
      <w:r>
        <w:rPr>
          <w:rFonts w:hint="default" w:ascii="Times New Roman" w:hAnsi="Times New Roman" w:cs="Times New Roman" w:eastAsiaTheme="minorEastAsia"/>
          <w:color w:val="000000" w:themeColor="text1"/>
          <w:highlight w:val="none"/>
          <w14:textFill>
            <w14:solidFill>
              <w14:schemeClr w14:val="tx1"/>
            </w14:solidFill>
          </w14:textFill>
        </w:rPr>
        <w:t>3.2.</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highlight w:val="none"/>
          <w14:textFill>
            <w14:solidFill>
              <w14:schemeClr w14:val="tx1"/>
            </w14:solidFill>
          </w14:textFill>
        </w:rPr>
        <w:t>.1建立湖泊智慧管理信息系统</w:t>
      </w:r>
      <w:bookmarkEnd w:id="296"/>
      <w:bookmarkEnd w:id="297"/>
      <w:bookmarkEnd w:id="298"/>
      <w:bookmarkEnd w:id="299"/>
    </w:p>
    <w:p>
      <w:pPr>
        <w:ind w:firstLine="480"/>
        <w:rPr>
          <w:rFonts w:hint="default" w:ascii="Times New Roman" w:hAnsi="Times New Roman" w:cs="Times New Roman" w:eastAsiaTheme="minorEastAsia"/>
          <w:bCs/>
          <w:color w:val="000000" w:themeColor="text1"/>
          <w:szCs w:val="24"/>
          <w:highlight w:val="none"/>
          <w14:textFill>
            <w14:solidFill>
              <w14:schemeClr w14:val="tx1"/>
            </w14:solidFill>
          </w14:textFill>
        </w:rPr>
      </w:pPr>
      <w:r>
        <w:rPr>
          <w:rFonts w:hint="default" w:ascii="Times New Roman" w:hAnsi="Times New Roman" w:cs="Times New Roman" w:eastAsiaTheme="minorEastAsia"/>
          <w:bCs/>
          <w:color w:val="000000" w:themeColor="text1"/>
          <w:szCs w:val="24"/>
          <w:highlight w:val="none"/>
          <w14:textFill>
            <w14:solidFill>
              <w14:schemeClr w14:val="tx1"/>
            </w14:solidFill>
          </w14:textFill>
        </w:rPr>
        <w:t>由于三湖流域水环境保护数字化监管系统建设项目的停止，该项目的实施是为构建玉溪市“”三湖”超流域智慧管控体系，实现抚仙湖智能化保护治理。</w:t>
      </w:r>
      <w:r>
        <w:rPr>
          <w:rFonts w:hint="eastAsia" w:cs="Times New Roman" w:eastAsiaTheme="minorEastAsia"/>
          <w:bCs/>
          <w:color w:val="000000" w:themeColor="text1"/>
          <w:szCs w:val="24"/>
          <w:highlight w:val="none"/>
          <w:lang w:val="en-US" w:eastAsia="zh-CN"/>
          <w14:textFill>
            <w14:solidFill>
              <w14:schemeClr w14:val="tx1"/>
            </w14:solidFill>
          </w14:textFill>
        </w:rPr>
        <w:t>目前该项目处于建设当中，截至2025年可完成该项指标的建立</w:t>
      </w:r>
      <w:r>
        <w:rPr>
          <w:rFonts w:hint="default" w:ascii="Times New Roman" w:hAnsi="Times New Roman" w:cs="Times New Roman" w:eastAsiaTheme="minorEastAsia"/>
          <w:bCs/>
          <w:color w:val="000000" w:themeColor="text1"/>
          <w:szCs w:val="24"/>
          <w:highlight w:val="none"/>
          <w14:textFill>
            <w14:solidFill>
              <w14:schemeClr w14:val="tx1"/>
            </w14:solidFill>
          </w14:textFill>
        </w:rPr>
        <w:t>。</w:t>
      </w:r>
    </w:p>
    <w:p>
      <w:pPr>
        <w:pStyle w:val="5"/>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bookmarkStart w:id="300" w:name="_Toc3520"/>
      <w:r>
        <w:rPr>
          <w:rFonts w:hint="eastAsia" w:cs="Times New Roman" w:eastAsiaTheme="minorEastAsia"/>
          <w:color w:val="000000" w:themeColor="text1"/>
          <w:highlight w:val="none"/>
          <w:lang w:val="en-US" w:eastAsia="zh-CN"/>
          <w14:textFill>
            <w14:solidFill>
              <w14:schemeClr w14:val="tx1"/>
            </w14:solidFill>
          </w14:textFill>
        </w:rPr>
        <w:t>3.2.6依法治湖管湖</w:t>
      </w:r>
      <w:bookmarkEnd w:id="300"/>
    </w:p>
    <w:p>
      <w:pPr>
        <w:pStyle w:val="6"/>
        <w:rPr>
          <w:rFonts w:hint="default" w:ascii="Times New Roman" w:hAnsi="Times New Roman" w:cs="Times New Roman" w:eastAsiaTheme="minorEastAsia"/>
          <w:color w:val="000000" w:themeColor="text1"/>
          <w:highlight w:val="none"/>
          <w14:textFill>
            <w14:solidFill>
              <w14:schemeClr w14:val="tx1"/>
            </w14:solidFill>
          </w14:textFill>
        </w:rPr>
      </w:pPr>
      <w:bookmarkStart w:id="301" w:name="_Toc24135"/>
      <w:bookmarkStart w:id="302" w:name="_Toc10639"/>
      <w:bookmarkStart w:id="303" w:name="_Toc24902"/>
      <w:bookmarkStart w:id="304" w:name="_Toc17620"/>
      <w:r>
        <w:rPr>
          <w:rFonts w:hint="default" w:ascii="Times New Roman" w:hAnsi="Times New Roman" w:cs="Times New Roman" w:eastAsiaTheme="minorEastAsia"/>
          <w:color w:val="000000" w:themeColor="text1"/>
          <w:highlight w:val="none"/>
          <w14:textFill>
            <w14:solidFill>
              <w14:schemeClr w14:val="tx1"/>
            </w14:solidFill>
          </w14:textFill>
        </w:rPr>
        <w:t>3.2.</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6</w:t>
      </w:r>
      <w:r>
        <w:rPr>
          <w:rFonts w:hint="default" w:ascii="Times New Roman" w:hAnsi="Times New Roman" w:cs="Times New Roman" w:eastAsiaTheme="minorEastAsia"/>
          <w:color w:val="000000" w:themeColor="text1"/>
          <w:highlight w:val="none"/>
          <w14:textFill>
            <w14:solidFill>
              <w14:schemeClr w14:val="tx1"/>
            </w14:solidFill>
          </w14:textFill>
        </w:rPr>
        <w:t>.</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highlight w:val="none"/>
          <w14:textFill>
            <w14:solidFill>
              <w14:schemeClr w14:val="tx1"/>
            </w14:solidFill>
          </w14:textFill>
        </w:rPr>
        <w:t>评定美丽河湖</w:t>
      </w:r>
      <w:bookmarkEnd w:id="301"/>
      <w:bookmarkEnd w:id="302"/>
      <w:bookmarkEnd w:id="303"/>
      <w:bookmarkEnd w:id="304"/>
    </w:p>
    <w:p>
      <w:pPr>
        <w:ind w:firstLine="480"/>
        <w:rPr>
          <w:rFonts w:hint="default" w:ascii="Times New Roman" w:hAnsi="Times New Roman" w:cs="Times New Roman" w:eastAsiaTheme="minorEastAsia"/>
          <w:bCs/>
          <w:color w:val="000000" w:themeColor="text1"/>
          <w:szCs w:val="24"/>
          <w:highlight w:val="none"/>
          <w14:textFill>
            <w14:solidFill>
              <w14:schemeClr w14:val="tx1"/>
            </w14:solidFill>
          </w14:textFill>
        </w:rPr>
      </w:pPr>
      <w:r>
        <w:rPr>
          <w:rFonts w:hint="default" w:ascii="Times New Roman" w:hAnsi="Times New Roman" w:cs="Times New Roman" w:eastAsiaTheme="minorEastAsia"/>
          <w:bCs/>
          <w:color w:val="000000" w:themeColor="text1"/>
          <w:szCs w:val="24"/>
          <w:highlight w:val="none"/>
          <w14:textFill>
            <w14:solidFill>
              <w14:schemeClr w14:val="tx1"/>
            </w14:solidFill>
          </w14:textFill>
        </w:rPr>
        <w:t>美丽河湖的评定一是有效保护水源地。二是提高沿线居民生活质量，营造良好宜居环境。三是提升西龙潭文化知名度，弘扬水生态文化。2020年澄江市申报省级美丽河湖21项，其中抚仙湖、梁王河水库、东大河水库3项入选省级美丽河湖。2021年澄江市申报省级美丽河湖4项，其中海口河1项入选省级美丽河湖。2022年度美丽河湖建设，澄江市申报省级美丽河湖8项，分别是抚澄河、抚仙湖北岸生态调蓄带、尖山河、梁王河、东大河、路歧河、西龙潭、甸垛龙潭。</w:t>
      </w:r>
    </w:p>
    <w:p>
      <w:pPr>
        <w:ind w:firstLine="480"/>
        <w:rPr>
          <w:rFonts w:hint="default" w:ascii="Times New Roman" w:hAnsi="Times New Roman" w:cs="Times New Roman" w:eastAsiaTheme="minorEastAsia"/>
          <w:bCs/>
          <w:color w:val="000000" w:themeColor="text1"/>
          <w:szCs w:val="24"/>
          <w:highlight w:val="none"/>
          <w14:textFill>
            <w14:solidFill>
              <w14:schemeClr w14:val="tx1"/>
            </w14:solidFill>
          </w14:textFill>
        </w:rPr>
      </w:pPr>
      <w:r>
        <w:rPr>
          <w:rFonts w:hint="default" w:ascii="Times New Roman" w:hAnsi="Times New Roman" w:cs="Times New Roman" w:eastAsiaTheme="minorEastAsia"/>
          <w:bCs/>
          <w:color w:val="000000" w:themeColor="text1"/>
          <w:szCs w:val="24"/>
          <w:highlight w:val="none"/>
          <w14:textFill>
            <w14:solidFill>
              <w14:schemeClr w14:val="tx1"/>
            </w14:solidFill>
          </w14:textFill>
        </w:rPr>
        <w:t>2023年澄江市申报省级美丽河湖3项，分别是抚澄河、抚仙湖北岸生态调蓄带、西龙潭。3项均于2022年9月被评为玉溪市级美丽河湖。该项指标截至2025年预计可完成。</w:t>
      </w:r>
    </w:p>
    <w:p>
      <w:pPr>
        <w:pStyle w:val="6"/>
        <w:rPr>
          <w:rFonts w:hint="default" w:ascii="Times New Roman" w:hAnsi="Times New Roman" w:cs="Times New Roman" w:eastAsiaTheme="minorEastAsia"/>
          <w:color w:val="000000" w:themeColor="text1"/>
          <w:highlight w:val="none"/>
          <w14:textFill>
            <w14:solidFill>
              <w14:schemeClr w14:val="tx1"/>
            </w14:solidFill>
          </w14:textFill>
        </w:rPr>
      </w:pPr>
      <w:bookmarkStart w:id="305" w:name="_Toc32385"/>
      <w:bookmarkStart w:id="306" w:name="_Toc7907"/>
      <w:bookmarkStart w:id="307" w:name="_Toc11283"/>
      <w:bookmarkStart w:id="308" w:name="_Toc17266"/>
      <w:r>
        <w:rPr>
          <w:rFonts w:hint="default" w:ascii="Times New Roman" w:hAnsi="Times New Roman" w:cs="Times New Roman" w:eastAsiaTheme="minorEastAsia"/>
          <w:color w:val="000000" w:themeColor="text1"/>
          <w:highlight w:val="none"/>
          <w14:textFill>
            <w14:solidFill>
              <w14:schemeClr w14:val="tx1"/>
            </w14:solidFill>
          </w14:textFill>
        </w:rPr>
        <w:t>3.2.</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6</w:t>
      </w:r>
      <w:r>
        <w:rPr>
          <w:rFonts w:hint="default" w:ascii="Times New Roman" w:hAnsi="Times New Roman" w:cs="Times New Roman" w:eastAsiaTheme="minorEastAsia"/>
          <w:color w:val="000000" w:themeColor="text1"/>
          <w:highlight w:val="none"/>
          <w14:textFill>
            <w14:solidFill>
              <w14:schemeClr w14:val="tx1"/>
            </w14:solidFill>
          </w14:textFill>
        </w:rPr>
        <w:t>.</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2</w:t>
      </w:r>
      <w:r>
        <w:rPr>
          <w:rFonts w:hint="default" w:ascii="Times New Roman" w:hAnsi="Times New Roman" w:cs="Times New Roman" w:eastAsiaTheme="minorEastAsia"/>
          <w:color w:val="000000" w:themeColor="text1"/>
          <w:highlight w:val="none"/>
          <w14:textFill>
            <w14:solidFill>
              <w14:schemeClr w14:val="tx1"/>
            </w14:solidFill>
          </w14:textFill>
        </w:rPr>
        <w:t>湖泊保护治理公众满意度</w:t>
      </w:r>
      <w:bookmarkEnd w:id="305"/>
      <w:bookmarkEnd w:id="306"/>
      <w:bookmarkEnd w:id="307"/>
      <w:bookmarkEnd w:id="308"/>
    </w:p>
    <w:p>
      <w:pPr>
        <w:ind w:firstLine="480"/>
        <w:rPr>
          <w:rFonts w:hint="default" w:ascii="Times New Roman" w:hAnsi="Times New Roman" w:cs="Times New Roman" w:eastAsiaTheme="minorEastAsia"/>
          <w:bCs/>
          <w:color w:val="000000" w:themeColor="text1"/>
          <w:szCs w:val="24"/>
          <w:highlight w:val="none"/>
          <w14:textFill>
            <w14:solidFill>
              <w14:schemeClr w14:val="tx1"/>
            </w14:solidFill>
          </w14:textFill>
        </w:rPr>
      </w:pPr>
      <w:r>
        <w:rPr>
          <w:rFonts w:hint="default" w:ascii="Times New Roman" w:hAnsi="Times New Roman" w:cs="Times New Roman" w:eastAsiaTheme="minorEastAsia"/>
          <w:bCs/>
          <w:color w:val="000000" w:themeColor="text1"/>
          <w:szCs w:val="24"/>
          <w:highlight w:val="none"/>
          <w14:textFill>
            <w14:solidFill>
              <w14:schemeClr w14:val="tx1"/>
            </w14:solidFill>
          </w14:textFill>
        </w:rPr>
        <w:t>根据《抚仙湖省级奖补资金项目绩效评价调查问卷》，满意度指标分值为10分，评价得分为10分，得分率100%。本次绩效评价发放292份问卷，收回有效问卷292份，其中满意问卷284份，满意度为97.26%。群众对抚仙湖水质、环境保护治理工作、保护治理工作取得的成效、污水集中处理较为满意，对农业种植污染治理满意度不高。部分群众建议继续加强抚仙湖保护治理；加大资金投入；重视截污治污后续管护；加大沿湖居民民生方面的投入；加强抚仙湖补水；重视农业种植污染；禁止捕鱼等。该指标目前已经超出规划设定目标95%，如若稳定保持，截至2025年目标可达。</w:t>
      </w:r>
    </w:p>
    <w:tbl>
      <w:tblPr>
        <w:tblStyle w:val="17"/>
        <w:tblW w:w="0" w:type="auto"/>
        <w:jc w:val="center"/>
        <w:tblLayout w:type="fixed"/>
        <w:tblCellMar>
          <w:top w:w="0" w:type="dxa"/>
          <w:left w:w="108" w:type="dxa"/>
          <w:bottom w:w="0" w:type="dxa"/>
          <w:right w:w="108" w:type="dxa"/>
        </w:tblCellMar>
      </w:tblPr>
      <w:tblGrid>
        <w:gridCol w:w="1345"/>
        <w:gridCol w:w="1218"/>
        <w:gridCol w:w="1080"/>
      </w:tblGrid>
      <w:tr>
        <w:tblPrEx>
          <w:tblCellMar>
            <w:top w:w="0" w:type="dxa"/>
            <w:left w:w="108" w:type="dxa"/>
            <w:bottom w:w="0" w:type="dxa"/>
            <w:right w:w="108" w:type="dxa"/>
          </w:tblCellMar>
        </w:tblPrEx>
        <w:trPr>
          <w:trHeight w:val="264" w:hRule="atLeast"/>
          <w:jc w:val="center"/>
        </w:trPr>
        <w:tc>
          <w:tcPr>
            <w:tcW w:w="1345" w:type="dxa"/>
            <w:tcBorders>
              <w:top w:val="single" w:color="auto" w:sz="6" w:space="0"/>
              <w:left w:val="single" w:color="auto" w:sz="6" w:space="0"/>
              <w:bottom w:val="single" w:color="auto" w:sz="6" w:space="0"/>
              <w:right w:val="single" w:color="auto" w:sz="6" w:space="0"/>
              <w:tl2br w:val="nil"/>
              <w:tr2bl w:val="nil"/>
            </w:tcBorders>
          </w:tcPr>
          <w:p>
            <w:pPr>
              <w:jc w:val="left"/>
              <w:rPr>
                <w:rFonts w:hint="default" w:ascii="Times New Roman" w:hAnsi="Times New Roman" w:cs="Times New Roman" w:eastAsiaTheme="minorEastAsia"/>
                <w:b/>
                <w:color w:val="000000" w:themeColor="text1"/>
                <w:sz w:val="20"/>
                <w:szCs w:val="24"/>
                <w:highlight w:val="none"/>
                <w14:textFill>
                  <w14:solidFill>
                    <w14:schemeClr w14:val="tx1"/>
                  </w14:solidFill>
                </w14:textFill>
              </w:rPr>
            </w:pPr>
            <w:r>
              <w:rPr>
                <w:rFonts w:hint="default" w:ascii="Times New Roman" w:hAnsi="Times New Roman" w:cs="Times New Roman" w:eastAsiaTheme="minorEastAsia"/>
                <w:b/>
                <w:color w:val="000000" w:themeColor="text1"/>
                <w:sz w:val="20"/>
                <w:szCs w:val="24"/>
                <w:highlight w:val="none"/>
                <w14:textFill>
                  <w14:solidFill>
                    <w14:schemeClr w14:val="tx1"/>
                  </w14:solidFill>
                </w14:textFill>
              </w:rPr>
              <w:t>问卷总数</w:t>
            </w:r>
          </w:p>
        </w:tc>
        <w:tc>
          <w:tcPr>
            <w:tcW w:w="1218" w:type="dxa"/>
            <w:tcBorders>
              <w:top w:val="single" w:color="auto" w:sz="6" w:space="0"/>
              <w:left w:val="single" w:color="auto" w:sz="6" w:space="0"/>
              <w:bottom w:val="single" w:color="auto" w:sz="6" w:space="0"/>
              <w:right w:val="single" w:color="auto" w:sz="6" w:space="0"/>
              <w:tl2br w:val="nil"/>
              <w:tr2bl w:val="nil"/>
            </w:tcBorders>
          </w:tcPr>
          <w:p>
            <w:pPr>
              <w:jc w:val="left"/>
              <w:rPr>
                <w:rFonts w:hint="default" w:ascii="Times New Roman" w:hAnsi="Times New Roman" w:cs="Times New Roman" w:eastAsiaTheme="minorEastAsia"/>
                <w:b/>
                <w:color w:val="000000" w:themeColor="text1"/>
                <w:sz w:val="20"/>
                <w:szCs w:val="24"/>
                <w:highlight w:val="none"/>
                <w14:textFill>
                  <w14:solidFill>
                    <w14:schemeClr w14:val="tx1"/>
                  </w14:solidFill>
                </w14:textFill>
              </w:rPr>
            </w:pPr>
            <w:r>
              <w:rPr>
                <w:rFonts w:hint="default" w:ascii="Times New Roman" w:hAnsi="Times New Roman" w:cs="Times New Roman" w:eastAsiaTheme="minorEastAsia"/>
                <w:b/>
                <w:color w:val="000000" w:themeColor="text1"/>
                <w:sz w:val="20"/>
                <w:szCs w:val="24"/>
                <w:highlight w:val="none"/>
                <w14:textFill>
                  <w14:solidFill>
                    <w14:schemeClr w14:val="tx1"/>
                  </w14:solidFill>
                </w14:textFill>
              </w:rPr>
              <w:t>满意卷数</w:t>
            </w:r>
          </w:p>
        </w:tc>
        <w:tc>
          <w:tcPr>
            <w:tcW w:w="1080" w:type="dxa"/>
            <w:tcBorders>
              <w:top w:val="single" w:color="auto" w:sz="6" w:space="0"/>
              <w:left w:val="single" w:color="auto" w:sz="6" w:space="0"/>
              <w:bottom w:val="single" w:color="auto" w:sz="6" w:space="0"/>
              <w:right w:val="single" w:color="auto" w:sz="6" w:space="0"/>
              <w:tl2br w:val="nil"/>
              <w:tr2bl w:val="nil"/>
            </w:tcBorders>
          </w:tcPr>
          <w:p>
            <w:pPr>
              <w:jc w:val="left"/>
              <w:rPr>
                <w:rFonts w:hint="default" w:ascii="Times New Roman" w:hAnsi="Times New Roman" w:cs="Times New Roman" w:eastAsiaTheme="minorEastAsia"/>
                <w:b/>
                <w:color w:val="000000" w:themeColor="text1"/>
                <w:sz w:val="20"/>
                <w:szCs w:val="24"/>
                <w:highlight w:val="none"/>
                <w14:textFill>
                  <w14:solidFill>
                    <w14:schemeClr w14:val="tx1"/>
                  </w14:solidFill>
                </w14:textFill>
              </w:rPr>
            </w:pPr>
            <w:r>
              <w:rPr>
                <w:rFonts w:hint="default" w:ascii="Times New Roman" w:hAnsi="Times New Roman" w:cs="Times New Roman" w:eastAsiaTheme="minorEastAsia"/>
                <w:b/>
                <w:color w:val="000000" w:themeColor="text1"/>
                <w:sz w:val="20"/>
                <w:szCs w:val="24"/>
                <w:highlight w:val="none"/>
                <w14:textFill>
                  <w14:solidFill>
                    <w14:schemeClr w14:val="tx1"/>
                  </w14:solidFill>
                </w14:textFill>
              </w:rPr>
              <w:t>满意度</w:t>
            </w:r>
          </w:p>
        </w:tc>
      </w:tr>
      <w:tr>
        <w:tblPrEx>
          <w:tblCellMar>
            <w:top w:w="0" w:type="dxa"/>
            <w:left w:w="108" w:type="dxa"/>
            <w:bottom w:w="0" w:type="dxa"/>
            <w:right w:w="108" w:type="dxa"/>
          </w:tblCellMar>
        </w:tblPrEx>
        <w:trPr>
          <w:trHeight w:val="264" w:hRule="atLeast"/>
          <w:jc w:val="center"/>
        </w:trPr>
        <w:tc>
          <w:tcPr>
            <w:tcW w:w="1345" w:type="dxa"/>
            <w:tcBorders>
              <w:top w:val="single" w:color="auto" w:sz="6" w:space="0"/>
              <w:left w:val="single" w:color="auto" w:sz="6" w:space="0"/>
              <w:bottom w:val="single" w:color="auto" w:sz="6" w:space="0"/>
              <w:right w:val="single" w:color="auto" w:sz="6" w:space="0"/>
              <w:tl2br w:val="nil"/>
              <w:tr2bl w:val="nil"/>
            </w:tcBorders>
          </w:tcPr>
          <w:p>
            <w:pPr>
              <w:jc w:val="center"/>
              <w:rPr>
                <w:rFonts w:hint="default" w:ascii="Times New Roman" w:hAnsi="Times New Roman" w:cs="Times New Roman" w:eastAsiaTheme="minorEastAsia"/>
                <w:b/>
                <w:color w:val="000000" w:themeColor="text1"/>
                <w:sz w:val="20"/>
                <w:szCs w:val="24"/>
                <w:highlight w:val="none"/>
                <w14:textFill>
                  <w14:solidFill>
                    <w14:schemeClr w14:val="tx1"/>
                  </w14:solidFill>
                </w14:textFill>
              </w:rPr>
            </w:pPr>
            <w:r>
              <w:rPr>
                <w:rFonts w:hint="default" w:ascii="Times New Roman" w:hAnsi="Times New Roman" w:cs="Times New Roman" w:eastAsiaTheme="minorEastAsia"/>
                <w:b/>
                <w:color w:val="000000" w:themeColor="text1"/>
                <w:sz w:val="20"/>
                <w:szCs w:val="24"/>
                <w:highlight w:val="none"/>
                <w14:textFill>
                  <w14:solidFill>
                    <w14:schemeClr w14:val="tx1"/>
                  </w14:solidFill>
                </w14:textFill>
              </w:rPr>
              <w:t>292</w:t>
            </w:r>
          </w:p>
        </w:tc>
        <w:tc>
          <w:tcPr>
            <w:tcW w:w="1218" w:type="dxa"/>
            <w:tcBorders>
              <w:top w:val="single" w:color="auto" w:sz="6" w:space="0"/>
              <w:left w:val="single" w:color="auto" w:sz="6" w:space="0"/>
              <w:bottom w:val="single" w:color="auto" w:sz="6" w:space="0"/>
              <w:right w:val="single" w:color="auto" w:sz="6" w:space="0"/>
              <w:tl2br w:val="nil"/>
              <w:tr2bl w:val="nil"/>
            </w:tcBorders>
          </w:tcPr>
          <w:p>
            <w:pPr>
              <w:jc w:val="center"/>
              <w:rPr>
                <w:rFonts w:hint="default" w:ascii="Times New Roman" w:hAnsi="Times New Roman" w:cs="Times New Roman" w:eastAsiaTheme="minorEastAsia"/>
                <w:b/>
                <w:color w:val="000000" w:themeColor="text1"/>
                <w:sz w:val="20"/>
                <w:szCs w:val="24"/>
                <w:highlight w:val="none"/>
                <w14:textFill>
                  <w14:solidFill>
                    <w14:schemeClr w14:val="tx1"/>
                  </w14:solidFill>
                </w14:textFill>
              </w:rPr>
            </w:pPr>
            <w:r>
              <w:rPr>
                <w:rFonts w:hint="default" w:ascii="Times New Roman" w:hAnsi="Times New Roman" w:cs="Times New Roman" w:eastAsiaTheme="minorEastAsia"/>
                <w:b/>
                <w:color w:val="000000" w:themeColor="text1"/>
                <w:sz w:val="20"/>
                <w:szCs w:val="24"/>
                <w:highlight w:val="none"/>
                <w14:textFill>
                  <w14:solidFill>
                    <w14:schemeClr w14:val="tx1"/>
                  </w14:solidFill>
                </w14:textFill>
              </w:rPr>
              <w:t>284</w:t>
            </w:r>
          </w:p>
        </w:tc>
        <w:tc>
          <w:tcPr>
            <w:tcW w:w="1080" w:type="dxa"/>
            <w:tcBorders>
              <w:top w:val="single" w:color="auto" w:sz="6" w:space="0"/>
              <w:left w:val="single" w:color="auto" w:sz="6" w:space="0"/>
              <w:bottom w:val="single" w:color="auto" w:sz="6" w:space="0"/>
              <w:right w:val="single" w:color="auto" w:sz="6" w:space="0"/>
              <w:tl2br w:val="nil"/>
              <w:tr2bl w:val="nil"/>
            </w:tcBorders>
          </w:tcPr>
          <w:p>
            <w:pPr>
              <w:jc w:val="center"/>
              <w:rPr>
                <w:rFonts w:hint="default" w:ascii="Times New Roman" w:hAnsi="Times New Roman" w:cs="Times New Roman" w:eastAsiaTheme="minorEastAsia"/>
                <w:b/>
                <w:color w:val="000000" w:themeColor="text1"/>
                <w:sz w:val="20"/>
                <w:szCs w:val="24"/>
                <w:highlight w:val="none"/>
                <w14:textFill>
                  <w14:solidFill>
                    <w14:schemeClr w14:val="tx1"/>
                  </w14:solidFill>
                </w14:textFill>
              </w:rPr>
            </w:pPr>
            <w:r>
              <w:rPr>
                <w:rFonts w:hint="default" w:ascii="Times New Roman" w:hAnsi="Times New Roman" w:cs="Times New Roman" w:eastAsiaTheme="minorEastAsia"/>
                <w:b/>
                <w:color w:val="000000" w:themeColor="text1"/>
                <w:sz w:val="20"/>
                <w:szCs w:val="24"/>
                <w:highlight w:val="none"/>
                <w14:textFill>
                  <w14:solidFill>
                    <w14:schemeClr w14:val="tx1"/>
                  </w14:solidFill>
                </w14:textFill>
              </w:rPr>
              <w:t>97.26%</w:t>
            </w:r>
          </w:p>
        </w:tc>
      </w:tr>
    </w:tbl>
    <w:p>
      <w:pPr>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br w:type="page"/>
      </w:r>
    </w:p>
    <w:p>
      <w:pPr>
        <w:pStyle w:val="3"/>
        <w:rPr>
          <w:rFonts w:hint="default" w:ascii="Times New Roman" w:hAnsi="Times New Roman" w:cs="Times New Roman" w:eastAsiaTheme="minorEastAsia"/>
          <w:color w:val="000000" w:themeColor="text1"/>
          <w:highlight w:val="none"/>
          <w14:textFill>
            <w14:solidFill>
              <w14:schemeClr w14:val="tx1"/>
            </w14:solidFill>
          </w14:textFill>
        </w:rPr>
      </w:pPr>
      <w:bookmarkStart w:id="309" w:name="_Toc370073733"/>
      <w:bookmarkStart w:id="310" w:name="_Toc373082667"/>
      <w:bookmarkStart w:id="311" w:name="_Toc3911"/>
      <w:bookmarkStart w:id="312" w:name="_Toc9236"/>
      <w:bookmarkStart w:id="313" w:name="_Toc10211778"/>
      <w:r>
        <w:rPr>
          <w:rFonts w:hint="default" w:ascii="Times New Roman" w:hAnsi="Times New Roman" w:cs="Times New Roman" w:eastAsiaTheme="minorEastAsia"/>
          <w:color w:val="000000" w:themeColor="text1"/>
          <w:highlight w:val="none"/>
          <w14:textFill>
            <w14:solidFill>
              <w14:schemeClr w14:val="tx1"/>
            </w14:solidFill>
          </w14:textFill>
        </w:rPr>
        <w:t>4规划项目执行情况评估</w:t>
      </w:r>
      <w:bookmarkEnd w:id="309"/>
      <w:bookmarkEnd w:id="310"/>
      <w:bookmarkEnd w:id="311"/>
      <w:bookmarkEnd w:id="312"/>
      <w:bookmarkEnd w:id="313"/>
    </w:p>
    <w:p>
      <w:pPr>
        <w:rPr>
          <w:rFonts w:hint="default" w:ascii="Times New Roman" w:hAnsi="Times New Roman" w:cs="Times New Roman" w:eastAsiaTheme="minorEastAsia"/>
          <w:color w:val="000000" w:themeColor="text1"/>
          <w:highlight w:val="none"/>
          <w14:textFill>
            <w14:solidFill>
              <w14:schemeClr w14:val="tx1"/>
            </w14:solidFill>
          </w14:textFill>
        </w:rPr>
      </w:pPr>
    </w:p>
    <w:p>
      <w:pPr>
        <w:pStyle w:val="4"/>
        <w:spacing w:before="120" w:after="120" w:line="480" w:lineRule="auto"/>
        <w:rPr>
          <w:rFonts w:hint="default" w:ascii="Times New Roman" w:hAnsi="Times New Roman" w:cs="Times New Roman" w:eastAsiaTheme="minorEastAsia"/>
          <w:color w:val="000000" w:themeColor="text1"/>
          <w:highlight w:val="none"/>
          <w14:textFill>
            <w14:solidFill>
              <w14:schemeClr w14:val="tx1"/>
            </w14:solidFill>
          </w14:textFill>
        </w:rPr>
      </w:pPr>
      <w:bookmarkStart w:id="314" w:name="_Toc31044"/>
      <w:r>
        <w:rPr>
          <w:rFonts w:hint="default" w:ascii="Times New Roman" w:hAnsi="Times New Roman" w:cs="Times New Roman" w:eastAsiaTheme="minorEastAsia"/>
          <w:color w:val="000000" w:themeColor="text1"/>
          <w:highlight w:val="none"/>
          <w14:textFill>
            <w14:solidFill>
              <w14:schemeClr w14:val="tx1"/>
            </w14:solidFill>
          </w14:textFill>
        </w:rPr>
        <w:t>4.1规划项目总体执行情况</w:t>
      </w:r>
      <w:bookmarkEnd w:id="314"/>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315" w:name="_Toc1738"/>
      <w:bookmarkStart w:id="316" w:name="_Toc11977"/>
      <w:bookmarkStart w:id="317" w:name="_Toc10211779"/>
      <w:bookmarkStart w:id="318" w:name="_Toc5358"/>
      <w:r>
        <w:rPr>
          <w:rFonts w:hint="default" w:ascii="Times New Roman" w:hAnsi="Times New Roman" w:cs="Times New Roman" w:eastAsiaTheme="minorEastAsia"/>
          <w:color w:val="000000" w:themeColor="text1"/>
          <w:highlight w:val="none"/>
          <w14:textFill>
            <w14:solidFill>
              <w14:schemeClr w14:val="tx1"/>
            </w14:solidFill>
          </w14:textFill>
        </w:rPr>
        <w:t>4.1.1规划项目总体进度</w:t>
      </w:r>
      <w:bookmarkEnd w:id="315"/>
      <w:bookmarkEnd w:id="316"/>
      <w:bookmarkEnd w:id="317"/>
      <w:bookmarkEnd w:id="318"/>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根据《“十四五”规划》规划项目共24个，截至2023年6月，</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已</w:t>
      </w:r>
      <w:r>
        <w:rPr>
          <w:rFonts w:hint="default" w:ascii="Times New Roman" w:hAnsi="Times New Roman" w:cs="Times New Roman" w:eastAsiaTheme="minorEastAsia"/>
          <w:bCs/>
          <w:color w:val="000000" w:themeColor="text1"/>
          <w:highlight w:val="none"/>
          <w14:textFill>
            <w14:solidFill>
              <w14:schemeClr w14:val="tx1"/>
            </w14:solidFill>
          </w14:textFill>
        </w:rPr>
        <w:t>完工项目</w:t>
      </w:r>
      <w:r>
        <w:rPr>
          <w:rFonts w:hint="eastAsia" w:ascii="Times New Roman" w:hAnsi="Times New Roman" w:cs="Times New Roman" w:eastAsiaTheme="minorEastAsia"/>
          <w:bCs/>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bCs/>
          <w:color w:val="000000" w:themeColor="text1"/>
          <w:highlight w:val="none"/>
          <w14:textFill>
            <w14:solidFill>
              <w14:schemeClr w14:val="tx1"/>
            </w14:solidFill>
          </w14:textFill>
        </w:rPr>
        <w:t>个，项目完工率4.17%；在建项目17个，项目在建率70.83%；前期项目1个，项目前期率4.17%；未启动项目5个，未启动率20.83%。综上所述，规划项目启动率79.17%，规划项目前期率4.17%，在建率70.83%，开工率为79.17%，完工率4.17%。见表4.1</w:t>
      </w:r>
      <w:r>
        <w:rPr>
          <w:rFonts w:hint="eastAsia" w:cs="Times New Roman" w:eastAsiaTheme="minorEastAsia"/>
          <w:bCs/>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bCs/>
          <w:color w:val="000000" w:themeColor="text1"/>
          <w:highlight w:val="none"/>
          <w14:textFill>
            <w14:solidFill>
              <w14:schemeClr w14:val="tx1"/>
            </w14:solidFill>
          </w14:textFill>
        </w:rPr>
        <w:t>-1、4.1</w:t>
      </w:r>
      <w:r>
        <w:rPr>
          <w:rFonts w:hint="eastAsia" w:cs="Times New Roman" w:eastAsiaTheme="minorEastAsia"/>
          <w:bCs/>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bCs/>
          <w:color w:val="000000" w:themeColor="text1"/>
          <w:highlight w:val="none"/>
          <w14:textFill>
            <w14:solidFill>
              <w14:schemeClr w14:val="tx1"/>
            </w14:solidFill>
          </w14:textFill>
        </w:rPr>
        <w:t>-2、图4.1</w:t>
      </w:r>
      <w:r>
        <w:rPr>
          <w:rFonts w:hint="eastAsia" w:cs="Times New Roman" w:eastAsiaTheme="minorEastAsia"/>
          <w:bCs/>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bCs/>
          <w:color w:val="000000" w:themeColor="text1"/>
          <w:highlight w:val="none"/>
          <w14:textFill>
            <w14:solidFill>
              <w14:schemeClr w14:val="tx1"/>
            </w14:solidFill>
          </w14:textFill>
        </w:rPr>
        <w:t>-1。</w:t>
      </w:r>
    </w:p>
    <w:p>
      <w:pPr>
        <w:jc w:val="center"/>
        <w:rPr>
          <w:rFonts w:hint="default" w:ascii="Times New Roman" w:hAnsi="Times New Roman" w:cs="Times New Roman" w:eastAsiaTheme="minorEastAsia"/>
          <w:bCs/>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表4.1</w:t>
      </w:r>
      <w:r>
        <w:rPr>
          <w:rFonts w:hint="eastAsia" w:cs="Times New Roman" w:eastAsiaTheme="minorEastAsia"/>
          <w:b/>
          <w:bCs/>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-1“十四五”抚仙湖规划项目进度统计表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654"/>
        <w:gridCol w:w="654"/>
        <w:gridCol w:w="838"/>
        <w:gridCol w:w="557"/>
        <w:gridCol w:w="492"/>
        <w:gridCol w:w="557"/>
        <w:gridCol w:w="864"/>
        <w:gridCol w:w="622"/>
        <w:gridCol w:w="773"/>
        <w:gridCol w:w="589"/>
        <w:gridCol w:w="894"/>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规划项目总数</w:t>
            </w:r>
          </w:p>
        </w:tc>
        <w:tc>
          <w:tcPr>
            <w:tcW w:w="0" w:type="auto"/>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投入正常运行项目</w:t>
            </w:r>
          </w:p>
        </w:tc>
        <w:tc>
          <w:tcPr>
            <w:tcW w:w="0" w:type="auto"/>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已竣工验收项目数</w:t>
            </w:r>
          </w:p>
        </w:tc>
        <w:tc>
          <w:tcPr>
            <w:tcW w:w="0" w:type="auto"/>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项目完工率</w:t>
            </w:r>
          </w:p>
        </w:tc>
        <w:tc>
          <w:tcPr>
            <w:tcW w:w="0" w:type="auto"/>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调试项目数</w:t>
            </w:r>
          </w:p>
        </w:tc>
        <w:tc>
          <w:tcPr>
            <w:tcW w:w="0" w:type="auto"/>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调试率</w:t>
            </w:r>
          </w:p>
        </w:tc>
        <w:tc>
          <w:tcPr>
            <w:tcW w:w="0" w:type="auto"/>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在建项目数</w:t>
            </w:r>
          </w:p>
        </w:tc>
        <w:tc>
          <w:tcPr>
            <w:tcW w:w="0" w:type="auto"/>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在建率</w:t>
            </w:r>
          </w:p>
        </w:tc>
        <w:tc>
          <w:tcPr>
            <w:tcW w:w="0" w:type="auto"/>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前期工作项目数</w:t>
            </w:r>
          </w:p>
        </w:tc>
        <w:tc>
          <w:tcPr>
            <w:tcW w:w="0" w:type="auto"/>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前期率</w:t>
            </w:r>
          </w:p>
        </w:tc>
        <w:tc>
          <w:tcPr>
            <w:tcW w:w="0" w:type="auto"/>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未启动项目数</w:t>
            </w:r>
          </w:p>
        </w:tc>
        <w:tc>
          <w:tcPr>
            <w:tcW w:w="0" w:type="auto"/>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未启动率</w:t>
            </w:r>
          </w:p>
        </w:tc>
        <w:tc>
          <w:tcPr>
            <w:tcW w:w="0" w:type="auto"/>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14:textFill>
                  <w14:solidFill>
                    <w14:schemeClr w14:val="tx1"/>
                  </w14:solidFill>
                </w14:textFill>
              </w:rPr>
              <w:t>开工率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24</w:t>
            </w:r>
          </w:p>
        </w:tc>
        <w:tc>
          <w:tcPr>
            <w:tcW w:w="0" w:type="auto"/>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eastAsia" w:cs="Times New Roman" w:eastAsiaTheme="minorEastAsia"/>
                <w:color w:val="000000" w:themeColor="text1"/>
                <w:kern w:val="0"/>
                <w:sz w:val="21"/>
                <w:szCs w:val="21"/>
                <w:highlight w:val="none"/>
                <w:lang w:val="en-US" w:eastAsia="zh-CN" w:bidi="ar"/>
                <w14:textFill>
                  <w14:solidFill>
                    <w14:schemeClr w14:val="tx1"/>
                  </w14:solidFill>
                </w14:textFill>
              </w:rPr>
              <w:t>1</w:t>
            </w:r>
          </w:p>
        </w:tc>
        <w:tc>
          <w:tcPr>
            <w:tcW w:w="0" w:type="auto"/>
            <w:tcBorders>
              <w:top w:val="single" w:color="auto" w:sz="4" w:space="0"/>
              <w:left w:val="nil"/>
              <w:bottom w:val="single" w:color="auto" w:sz="4" w:space="0"/>
              <w:right w:val="single" w:color="auto" w:sz="4" w:space="0"/>
            </w:tcBorders>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0" w:type="auto"/>
            <w:tcBorders>
              <w:top w:val="single" w:color="auto" w:sz="4" w:space="0"/>
              <w:left w:val="nil"/>
              <w:bottom w:val="single" w:color="auto" w:sz="4" w:space="0"/>
              <w:right w:val="single" w:color="auto" w:sz="4" w:space="0"/>
            </w:tcBorders>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4.17%</w:t>
            </w:r>
          </w:p>
        </w:tc>
        <w:tc>
          <w:tcPr>
            <w:tcW w:w="0" w:type="auto"/>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eastAsia" w:cs="Times New Roman" w:eastAsiaTheme="minorEastAsia"/>
                <w:color w:val="000000" w:themeColor="text1"/>
                <w:kern w:val="0"/>
                <w:sz w:val="21"/>
                <w:szCs w:val="21"/>
                <w:highlight w:val="none"/>
                <w:lang w:val="en-US" w:eastAsia="zh-CN" w:bidi="ar"/>
                <w14:textFill>
                  <w14:solidFill>
                    <w14:schemeClr w14:val="tx1"/>
                  </w14:solidFill>
                </w14:textFill>
              </w:rPr>
              <w:t>0</w:t>
            </w:r>
          </w:p>
        </w:tc>
        <w:tc>
          <w:tcPr>
            <w:tcW w:w="0" w:type="auto"/>
            <w:tcBorders>
              <w:top w:val="single" w:color="auto" w:sz="4" w:space="0"/>
              <w:left w:val="nil"/>
              <w:bottom w:val="single" w:color="auto" w:sz="4" w:space="0"/>
              <w:right w:val="single" w:color="auto" w:sz="4" w:space="0"/>
            </w:tcBorders>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eastAsia" w:cs="Times New Roman" w:eastAsiaTheme="minorEastAsia"/>
                <w:color w:val="000000" w:themeColor="text1"/>
                <w:kern w:val="0"/>
                <w:sz w:val="21"/>
                <w:szCs w:val="21"/>
                <w:highlight w:val="none"/>
                <w:lang w:val="en-US" w:eastAsia="zh-CN" w:bidi="ar"/>
                <w14:textFill>
                  <w14:solidFill>
                    <w14:schemeClr w14:val="tx1"/>
                  </w14:solidFill>
                </w14:textFill>
              </w:rPr>
              <w:t>0</w:t>
            </w:r>
          </w:p>
        </w:tc>
        <w:tc>
          <w:tcPr>
            <w:tcW w:w="0" w:type="auto"/>
            <w:tcBorders>
              <w:top w:val="single" w:color="auto" w:sz="4" w:space="0"/>
              <w:left w:val="nil"/>
              <w:bottom w:val="single" w:color="auto" w:sz="4" w:space="0"/>
              <w:right w:val="single" w:color="auto" w:sz="4" w:space="0"/>
            </w:tcBorders>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17</w:t>
            </w:r>
          </w:p>
        </w:tc>
        <w:tc>
          <w:tcPr>
            <w:tcW w:w="0" w:type="auto"/>
            <w:tcBorders>
              <w:top w:val="single" w:color="auto" w:sz="4" w:space="0"/>
              <w:left w:val="nil"/>
              <w:bottom w:val="single" w:color="auto" w:sz="4" w:space="0"/>
              <w:right w:val="single" w:color="auto" w:sz="4" w:space="0"/>
            </w:tcBorders>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70.83%</w:t>
            </w:r>
          </w:p>
        </w:tc>
        <w:tc>
          <w:tcPr>
            <w:tcW w:w="0" w:type="auto"/>
            <w:tcBorders>
              <w:top w:val="single" w:color="auto" w:sz="4" w:space="0"/>
              <w:left w:val="nil"/>
              <w:bottom w:val="single" w:color="auto" w:sz="4" w:space="0"/>
              <w:right w:val="single" w:color="auto" w:sz="4" w:space="0"/>
            </w:tcBorders>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1</w:t>
            </w:r>
          </w:p>
        </w:tc>
        <w:tc>
          <w:tcPr>
            <w:tcW w:w="0" w:type="auto"/>
            <w:tcBorders>
              <w:top w:val="single" w:color="auto" w:sz="4" w:space="0"/>
              <w:left w:val="nil"/>
              <w:bottom w:val="single" w:color="auto" w:sz="4" w:space="0"/>
              <w:right w:val="single" w:color="auto" w:sz="4" w:space="0"/>
            </w:tcBorders>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4.17%</w:t>
            </w:r>
          </w:p>
        </w:tc>
        <w:tc>
          <w:tcPr>
            <w:tcW w:w="0" w:type="auto"/>
            <w:tcBorders>
              <w:top w:val="single" w:color="auto" w:sz="4" w:space="0"/>
              <w:left w:val="nil"/>
              <w:bottom w:val="single" w:color="auto" w:sz="4" w:space="0"/>
              <w:right w:val="single" w:color="auto" w:sz="4" w:space="0"/>
            </w:tcBorders>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5</w:t>
            </w:r>
          </w:p>
        </w:tc>
        <w:tc>
          <w:tcPr>
            <w:tcW w:w="0" w:type="auto"/>
            <w:tcBorders>
              <w:top w:val="single" w:color="auto" w:sz="4" w:space="0"/>
              <w:left w:val="nil"/>
              <w:bottom w:val="single" w:color="auto" w:sz="4" w:space="0"/>
              <w:right w:val="single" w:color="auto" w:sz="4" w:space="0"/>
            </w:tcBorders>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20.83%</w:t>
            </w:r>
          </w:p>
        </w:tc>
        <w:tc>
          <w:tcPr>
            <w:tcW w:w="0" w:type="auto"/>
            <w:tcBorders>
              <w:top w:val="single" w:color="auto" w:sz="4" w:space="0"/>
              <w:left w:val="nil"/>
              <w:bottom w:val="single" w:color="auto" w:sz="4" w:space="0"/>
              <w:right w:val="single" w:color="auto" w:sz="4" w:space="0"/>
            </w:tcBorders>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79.17%</w:t>
            </w:r>
          </w:p>
        </w:tc>
      </w:tr>
    </w:tbl>
    <w:p>
      <w:pPr>
        <w:pStyle w:val="11"/>
        <w:ind w:left="0" w:leftChars="0"/>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957320" cy="2381885"/>
            <wp:effectExtent l="5080" t="5080" r="19050" b="1333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jc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图4.1</w:t>
      </w:r>
      <w:r>
        <w:rPr>
          <w:rFonts w:hint="eastAsia" w:cs="Times New Roman" w:eastAsiaTheme="minorEastAsia"/>
          <w:b/>
          <w:bCs/>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-1“十四五”抚仙湖规划项目进度统计图</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按规划项目分类进度统计，空间管控类项目</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已</w:t>
      </w:r>
      <w:r>
        <w:rPr>
          <w:rFonts w:hint="default" w:ascii="Times New Roman" w:hAnsi="Times New Roman" w:cs="Times New Roman" w:eastAsiaTheme="minorEastAsia"/>
          <w:bCs/>
          <w:color w:val="000000" w:themeColor="text1"/>
          <w:highlight w:val="none"/>
          <w14:textFill>
            <w14:solidFill>
              <w14:schemeClr w14:val="tx1"/>
            </w14:solidFill>
          </w14:textFill>
        </w:rPr>
        <w:t>完工项目</w:t>
      </w:r>
      <w:r>
        <w:rPr>
          <w:rFonts w:hint="eastAsia" w:cs="Times New Roman" w:eastAsiaTheme="minorEastAsia"/>
          <w:bCs/>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bCs/>
          <w:color w:val="000000" w:themeColor="text1"/>
          <w:highlight w:val="none"/>
          <w14:textFill>
            <w14:solidFill>
              <w14:schemeClr w14:val="tx1"/>
            </w14:solidFill>
          </w14:textFill>
        </w:rPr>
        <w:t>个，项目完工率</w:t>
      </w:r>
      <w:r>
        <w:rPr>
          <w:rFonts w:hint="eastAsia" w:cs="Times New Roman" w:eastAsiaTheme="minorEastAsia"/>
          <w:bCs/>
          <w:color w:val="000000" w:themeColor="text1"/>
          <w:highlight w:val="none"/>
          <w:lang w:val="en-US" w:eastAsia="zh-CN"/>
          <w14:textFill>
            <w14:solidFill>
              <w14:schemeClr w14:val="tx1"/>
            </w14:solidFill>
          </w14:textFill>
        </w:rPr>
        <w:t>20</w:t>
      </w:r>
      <w:r>
        <w:rPr>
          <w:rFonts w:hint="default" w:ascii="Times New Roman" w:hAnsi="Times New Roman" w:cs="Times New Roman" w:eastAsiaTheme="minorEastAsia"/>
          <w:bCs/>
          <w:color w:val="000000" w:themeColor="text1"/>
          <w:highlight w:val="none"/>
          <w14:textFill>
            <w14:solidFill>
              <w14:schemeClr w14:val="tx1"/>
            </w14:solidFill>
          </w14:textFill>
        </w:rPr>
        <w:t>%，在建项目2个，项目在建率40%，前期项目1个，项目前期率20%，调试项目1个，项目调试率20%，未启动项目1，未启动率20%；水资源保护与利用类项目在建项目3个，项目在建率100%；水污染防治类项目在建项目5个，项目在建率100%；水环境治理类项目在建项目1个，项目在建率100%；水生态修复类项目在建项目2个，项目在建率100%；水灾害防治类项目在建项目1个，项目在建率100%；执法监管类项目在建项目3个，项目在建率42.86%，未启动项目4，未启动率57.14%。见表4.1</w:t>
      </w:r>
      <w:r>
        <w:rPr>
          <w:rFonts w:hint="eastAsia" w:cs="Times New Roman" w:eastAsiaTheme="minorEastAsia"/>
          <w:bCs/>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bCs/>
          <w:color w:val="000000" w:themeColor="text1"/>
          <w:highlight w:val="none"/>
          <w14:textFill>
            <w14:solidFill>
              <w14:schemeClr w14:val="tx1"/>
            </w14:solidFill>
          </w14:textFill>
        </w:rPr>
        <w:t>-</w:t>
      </w:r>
      <w:r>
        <w:rPr>
          <w:rFonts w:hint="eastAsia" w:cs="Times New Roman" w:eastAsiaTheme="minorEastAsia"/>
          <w:bCs/>
          <w:color w:val="000000" w:themeColor="text1"/>
          <w:highlight w:val="none"/>
          <w:lang w:val="en-US" w:eastAsia="zh-CN"/>
          <w14:textFill>
            <w14:solidFill>
              <w14:schemeClr w14:val="tx1"/>
            </w14:solidFill>
          </w14:textFill>
        </w:rPr>
        <w:t>2</w:t>
      </w:r>
      <w:r>
        <w:rPr>
          <w:rFonts w:hint="default" w:ascii="Times New Roman" w:hAnsi="Times New Roman" w:cs="Times New Roman" w:eastAsiaTheme="minorEastAsia"/>
          <w:bCs/>
          <w:color w:val="000000" w:themeColor="text1"/>
          <w:highlight w:val="none"/>
          <w14:textFill>
            <w14:solidFill>
              <w14:schemeClr w14:val="tx1"/>
            </w14:solidFill>
          </w14:textFill>
        </w:rPr>
        <w:t>，图4.1</w:t>
      </w:r>
      <w:r>
        <w:rPr>
          <w:rFonts w:hint="eastAsia" w:cs="Times New Roman" w:eastAsiaTheme="minorEastAsia"/>
          <w:bCs/>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bCs/>
          <w:color w:val="000000" w:themeColor="text1"/>
          <w:highlight w:val="none"/>
          <w14:textFill>
            <w14:solidFill>
              <w14:schemeClr w14:val="tx1"/>
            </w14:solidFill>
          </w14:textFill>
        </w:rPr>
        <w:t>.2。</w:t>
      </w:r>
    </w:p>
    <w:p>
      <w:pPr>
        <w:jc w:val="center"/>
        <w:rPr>
          <w:rFonts w:hint="default" w:ascii="Times New Roman" w:hAnsi="Times New Roman" w:cs="Times New Roman" w:eastAsiaTheme="minorEastAsia"/>
          <w:bCs/>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表4.1</w:t>
      </w:r>
      <w:r>
        <w:rPr>
          <w:rFonts w:hint="eastAsia" w:cs="Times New Roman" w:eastAsiaTheme="minorEastAsia"/>
          <w:b/>
          <w:bCs/>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w:t>
      </w:r>
      <w:r>
        <w:rPr>
          <w:rFonts w:hint="eastAsia" w:cs="Times New Roman" w:eastAsiaTheme="minorEastAsia"/>
          <w:b/>
          <w:bCs/>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“十四五”抚仙湖规划项目分类进度统计表</w:t>
      </w:r>
      <w:r>
        <w:rPr>
          <w:rFonts w:hint="default" w:ascii="Times New Roman" w:hAnsi="Times New Roman" w:cs="Times New Roman" w:eastAsiaTheme="minorEastAsia"/>
          <w:b/>
          <w:bCs/>
          <w:color w:val="000000" w:themeColor="text1"/>
          <w:sz w:val="21"/>
          <w:szCs w:val="21"/>
          <w:highlight w:val="none"/>
          <w:lang w:eastAsia="zh-CN"/>
          <w14:textFill>
            <w14:solidFill>
              <w14:schemeClr w14:val="tx1"/>
            </w14:solidFill>
          </w14:textFill>
        </w:rPr>
        <w:t>（单位：个）</w:t>
      </w:r>
    </w:p>
    <w:tbl>
      <w:tblPr>
        <w:tblStyle w:val="17"/>
        <w:tblW w:w="4805" w:type="pct"/>
        <w:jc w:val="center"/>
        <w:tblLayout w:type="autofit"/>
        <w:tblCellMar>
          <w:top w:w="0" w:type="dxa"/>
          <w:left w:w="108" w:type="dxa"/>
          <w:bottom w:w="0" w:type="dxa"/>
          <w:right w:w="108" w:type="dxa"/>
        </w:tblCellMar>
      </w:tblPr>
      <w:tblGrid>
        <w:gridCol w:w="546"/>
        <w:gridCol w:w="1782"/>
        <w:gridCol w:w="886"/>
        <w:gridCol w:w="895"/>
        <w:gridCol w:w="962"/>
        <w:gridCol w:w="882"/>
        <w:gridCol w:w="888"/>
        <w:gridCol w:w="974"/>
        <w:gridCol w:w="784"/>
      </w:tblGrid>
      <w:tr>
        <w:tblPrEx>
          <w:tblCellMar>
            <w:top w:w="0" w:type="dxa"/>
            <w:left w:w="108" w:type="dxa"/>
            <w:bottom w:w="0" w:type="dxa"/>
            <w:right w:w="108" w:type="dxa"/>
          </w:tblCellMar>
        </w:tblPrEx>
        <w:trPr>
          <w:trHeight w:val="780" w:hRule="atLeast"/>
          <w:jc w:val="center"/>
        </w:trPr>
        <w:tc>
          <w:tcPr>
            <w:tcW w:w="3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lang w:bidi="ar"/>
                <w14:textFill>
                  <w14:solidFill>
                    <w14:schemeClr w14:val="tx1"/>
                  </w14:solidFill>
                </w14:textFill>
              </w:rPr>
              <w:t>序号</w:t>
            </w:r>
          </w:p>
        </w:tc>
        <w:tc>
          <w:tcPr>
            <w:tcW w:w="10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lang w:bidi="ar"/>
                <w14:textFill>
                  <w14:solidFill>
                    <w14:schemeClr w14:val="tx1"/>
                  </w14:solidFill>
                </w14:textFill>
              </w:rPr>
              <w:t>项目类型</w:t>
            </w:r>
          </w:p>
        </w:tc>
        <w:tc>
          <w:tcPr>
            <w:tcW w:w="318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lang w:bidi="ar"/>
                <w14:textFill>
                  <w14:solidFill>
                    <w14:schemeClr w14:val="tx1"/>
                  </w14:solidFill>
                </w14:textFill>
              </w:rPr>
              <w:t>项目进度</w:t>
            </w:r>
          </w:p>
        </w:tc>
        <w:tc>
          <w:tcPr>
            <w:tcW w:w="456" w:type="pct"/>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lang w:bidi="ar"/>
                <w14:textFill>
                  <w14:solidFill>
                    <w14:schemeClr w14:val="tx1"/>
                  </w14:solidFill>
                </w14:textFill>
              </w:rPr>
              <w:t>项目数</w:t>
            </w:r>
          </w:p>
        </w:tc>
      </w:tr>
      <w:tr>
        <w:tblPrEx>
          <w:tblCellMar>
            <w:top w:w="0" w:type="dxa"/>
            <w:left w:w="108" w:type="dxa"/>
            <w:bottom w:w="0" w:type="dxa"/>
            <w:right w:w="108" w:type="dxa"/>
          </w:tblCellMar>
        </w:tblPrEx>
        <w:trPr>
          <w:trHeight w:val="510" w:hRule="atLeast"/>
          <w:jc w:val="center"/>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p>
        </w:tc>
        <w:tc>
          <w:tcPr>
            <w:tcW w:w="10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lang w:bidi="ar"/>
                <w14:textFill>
                  <w14:solidFill>
                    <w14:schemeClr w14:val="tx1"/>
                  </w14:solidFill>
                </w14:textFill>
              </w:rPr>
              <w:t>投入正常运行</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lang w:bidi="ar"/>
                <w14:textFill>
                  <w14:solidFill>
                    <w14:schemeClr w14:val="tx1"/>
                  </w14:solidFill>
                </w14:textFill>
              </w:rPr>
              <w:t>已竣工验收</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lang w:bidi="ar"/>
                <w14:textFill>
                  <w14:solidFill>
                    <w14:schemeClr w14:val="tx1"/>
                  </w14:solidFill>
                </w14:textFill>
              </w:rPr>
              <w:t>调试</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lang w:bidi="ar"/>
                <w14:textFill>
                  <w14:solidFill>
                    <w14:schemeClr w14:val="tx1"/>
                  </w14:solidFill>
                </w14:textFill>
              </w:rPr>
              <w:t>在建</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lang w:bidi="ar"/>
                <w14:textFill>
                  <w14:solidFill>
                    <w14:schemeClr w14:val="tx1"/>
                  </w14:solidFill>
                </w14:textFill>
              </w:rPr>
              <w:t>前期</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lang w:bidi="ar"/>
                <w14:textFill>
                  <w14:solidFill>
                    <w14:schemeClr w14:val="tx1"/>
                  </w14:solidFill>
                </w14:textFill>
              </w:rPr>
              <w:t>未启动</w:t>
            </w:r>
          </w:p>
        </w:tc>
        <w:tc>
          <w:tcPr>
            <w:tcW w:w="456" w:type="pct"/>
            <w:vMerge w:val="continue"/>
            <w:tcBorders>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p>
        </w:tc>
      </w:tr>
      <w:tr>
        <w:tblPrEx>
          <w:tblCellMar>
            <w:top w:w="0" w:type="dxa"/>
            <w:left w:w="108" w:type="dxa"/>
            <w:bottom w:w="0" w:type="dxa"/>
            <w:right w:w="108" w:type="dxa"/>
          </w:tblCellMar>
        </w:tblPrEx>
        <w:trPr>
          <w:trHeight w:val="400" w:hRule="atLeast"/>
          <w:jc w:val="center"/>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1</w:t>
            </w:r>
          </w:p>
        </w:tc>
        <w:tc>
          <w:tcPr>
            <w:tcW w:w="10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空间管控</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eastAsia" w:cs="Times New Roman" w:eastAsiaTheme="minorEastAsia"/>
                <w:color w:val="000000" w:themeColor="text1"/>
                <w:kern w:val="0"/>
                <w:sz w:val="21"/>
                <w:szCs w:val="21"/>
                <w:highlight w:val="none"/>
                <w:lang w:val="en-US" w:eastAsia="zh-CN" w:bidi="ar"/>
                <w14:textFill>
                  <w14:solidFill>
                    <w14:schemeClr w14:val="tx1"/>
                  </w14:solidFill>
                </w14:textFill>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eastAsia" w:cs="Times New Roman" w:eastAsiaTheme="minorEastAsia"/>
                <w:color w:val="000000" w:themeColor="text1"/>
                <w:kern w:val="0"/>
                <w:sz w:val="21"/>
                <w:szCs w:val="21"/>
                <w:highlight w:val="none"/>
                <w:lang w:val="en-US" w:eastAsia="zh-CN" w:bidi="ar"/>
                <w14:textFill>
                  <w14:solidFill>
                    <w14:schemeClr w14:val="tx1"/>
                  </w14:solidFill>
                </w14:textFill>
              </w:rPr>
              <w:t>0</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2</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1</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5</w:t>
            </w:r>
          </w:p>
        </w:tc>
      </w:tr>
      <w:tr>
        <w:tblPrEx>
          <w:tblCellMar>
            <w:top w:w="0" w:type="dxa"/>
            <w:left w:w="108" w:type="dxa"/>
            <w:bottom w:w="0" w:type="dxa"/>
            <w:right w:w="108" w:type="dxa"/>
          </w:tblCellMar>
        </w:tblPrEx>
        <w:trPr>
          <w:trHeight w:val="360" w:hRule="atLeast"/>
          <w:jc w:val="center"/>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2</w:t>
            </w:r>
          </w:p>
        </w:tc>
        <w:tc>
          <w:tcPr>
            <w:tcW w:w="10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水资源保护与利用</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3</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3</w:t>
            </w:r>
          </w:p>
        </w:tc>
      </w:tr>
      <w:tr>
        <w:tblPrEx>
          <w:tblCellMar>
            <w:top w:w="0" w:type="dxa"/>
            <w:left w:w="108" w:type="dxa"/>
            <w:bottom w:w="0" w:type="dxa"/>
            <w:right w:w="108" w:type="dxa"/>
          </w:tblCellMar>
        </w:tblPrEx>
        <w:trPr>
          <w:trHeight w:val="380" w:hRule="atLeast"/>
          <w:jc w:val="center"/>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3</w:t>
            </w:r>
          </w:p>
        </w:tc>
        <w:tc>
          <w:tcPr>
            <w:tcW w:w="10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水污染防治</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5</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5</w:t>
            </w:r>
          </w:p>
        </w:tc>
      </w:tr>
      <w:tr>
        <w:tblPrEx>
          <w:tblCellMar>
            <w:top w:w="0" w:type="dxa"/>
            <w:left w:w="108" w:type="dxa"/>
            <w:bottom w:w="0" w:type="dxa"/>
            <w:right w:w="108" w:type="dxa"/>
          </w:tblCellMar>
        </w:tblPrEx>
        <w:trPr>
          <w:trHeight w:val="270" w:hRule="atLeast"/>
          <w:jc w:val="center"/>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4</w:t>
            </w:r>
          </w:p>
        </w:tc>
        <w:tc>
          <w:tcPr>
            <w:tcW w:w="10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水环境治理</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1</w:t>
            </w:r>
          </w:p>
        </w:tc>
      </w:tr>
      <w:tr>
        <w:tblPrEx>
          <w:tblCellMar>
            <w:top w:w="0" w:type="dxa"/>
            <w:left w:w="108" w:type="dxa"/>
            <w:bottom w:w="0" w:type="dxa"/>
            <w:right w:w="108" w:type="dxa"/>
          </w:tblCellMar>
        </w:tblPrEx>
        <w:trPr>
          <w:trHeight w:val="270" w:hRule="atLeast"/>
          <w:jc w:val="center"/>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5</w:t>
            </w:r>
          </w:p>
        </w:tc>
        <w:tc>
          <w:tcPr>
            <w:tcW w:w="10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水生态修复</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2</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2</w:t>
            </w:r>
          </w:p>
        </w:tc>
      </w:tr>
      <w:tr>
        <w:tblPrEx>
          <w:tblCellMar>
            <w:top w:w="0" w:type="dxa"/>
            <w:left w:w="108" w:type="dxa"/>
            <w:bottom w:w="0" w:type="dxa"/>
            <w:right w:w="108" w:type="dxa"/>
          </w:tblCellMar>
        </w:tblPrEx>
        <w:trPr>
          <w:trHeight w:val="270" w:hRule="atLeast"/>
          <w:jc w:val="center"/>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6</w:t>
            </w:r>
          </w:p>
        </w:tc>
        <w:tc>
          <w:tcPr>
            <w:tcW w:w="10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水灾害防治</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1</w:t>
            </w:r>
          </w:p>
        </w:tc>
      </w:tr>
      <w:tr>
        <w:tblPrEx>
          <w:tblCellMar>
            <w:top w:w="0" w:type="dxa"/>
            <w:left w:w="108" w:type="dxa"/>
            <w:bottom w:w="0" w:type="dxa"/>
            <w:right w:w="108" w:type="dxa"/>
          </w:tblCellMar>
        </w:tblPrEx>
        <w:trPr>
          <w:trHeight w:val="270" w:hRule="atLeast"/>
          <w:jc w:val="center"/>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7</w:t>
            </w:r>
          </w:p>
        </w:tc>
        <w:tc>
          <w:tcPr>
            <w:tcW w:w="10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执法监管</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3</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0</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4</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7</w:t>
            </w:r>
          </w:p>
        </w:tc>
      </w:tr>
    </w:tbl>
    <w:p>
      <w:pPr>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679950" cy="2078990"/>
            <wp:effectExtent l="4445" t="4445" r="20955" b="12065"/>
            <wp:docPr id="23"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jc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图4.1</w:t>
      </w:r>
      <w:r>
        <w:rPr>
          <w:rFonts w:hint="eastAsia" w:cs="Times New Roman" w:eastAsiaTheme="minorEastAsia"/>
          <w:b/>
          <w:bCs/>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-2“十四五”抚仙湖规划项目分类进度统计图</w:t>
      </w:r>
    </w:p>
    <w:p>
      <w:pPr>
        <w:ind w:firstLine="48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按完工项目、调试项目、在建项目、前期项目、未启动项目分类对项目进度进行具体评述。</w:t>
      </w:r>
    </w:p>
    <w:p>
      <w:pPr>
        <w:ind w:firstLine="480"/>
        <w:rPr>
          <w:rFonts w:hint="eastAsia" w:ascii="Times New Roman" w:hAnsi="Times New Roman" w:cs="Times New Roman" w:eastAsiaTheme="minorEastAsia"/>
          <w:bCs/>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完工项目：完工项目</w:t>
      </w:r>
      <w:r>
        <w:rPr>
          <w:rFonts w:hint="eastAsia" w:cs="Times New Roman" w:eastAsiaTheme="minorEastAsia"/>
          <w:bCs/>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bCs/>
          <w:color w:val="000000" w:themeColor="text1"/>
          <w:highlight w:val="none"/>
          <w14:textFill>
            <w14:solidFill>
              <w14:schemeClr w14:val="tx1"/>
            </w14:solidFill>
          </w14:textFill>
        </w:rPr>
        <w:t>个，为抚仙湖空间管控项目。</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调试项目：调试项目</w:t>
      </w:r>
      <w:r>
        <w:rPr>
          <w:rFonts w:hint="eastAsia" w:cs="Times New Roman" w:eastAsiaTheme="minorEastAsia"/>
          <w:bCs/>
          <w:color w:val="000000" w:themeColor="text1"/>
          <w:highlight w:val="none"/>
          <w:lang w:val="en-US" w:eastAsia="zh-CN"/>
          <w14:textFill>
            <w14:solidFill>
              <w14:schemeClr w14:val="tx1"/>
            </w14:solidFill>
          </w14:textFill>
        </w:rPr>
        <w:t>0</w:t>
      </w:r>
      <w:r>
        <w:rPr>
          <w:rFonts w:hint="default" w:ascii="Times New Roman" w:hAnsi="Times New Roman" w:cs="Times New Roman" w:eastAsiaTheme="minorEastAsia"/>
          <w:bCs/>
          <w:color w:val="000000" w:themeColor="text1"/>
          <w:highlight w:val="none"/>
          <w14:textFill>
            <w14:solidFill>
              <w14:schemeClr w14:val="tx1"/>
            </w14:solidFill>
          </w14:textFill>
        </w:rPr>
        <w:t>个。</w:t>
      </w:r>
    </w:p>
    <w:p>
      <w:pPr>
        <w:ind w:firstLine="480" w:firstLineChars="200"/>
        <w:rPr>
          <w:rFonts w:hint="default" w:ascii="Times New Roman" w:hAnsi="Times New Roman" w:cs="Times New Roman" w:eastAsiaTheme="minorEastAsia"/>
          <w:b/>
          <w:bCs w:val="0"/>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在建项目：在建项目17个，南片区供水替代工程</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、澄江市城乡供水一体化工程项目、抚仙湖北岸初期雨水收集循环利用项目、</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澄江市抚仙湖全流域截污治污项目、澄江市污水处理厂技术改造项目、</w:t>
      </w:r>
      <w:r>
        <w:rPr>
          <w:rFonts w:hint="default" w:ascii="Times New Roman" w:hAnsi="Times New Roman" w:cs="Times New Roman" w:eastAsiaTheme="minorEastAsia"/>
          <w:bCs/>
          <w:color w:val="000000" w:themeColor="text1"/>
          <w:highlight w:val="none"/>
          <w14:textFill>
            <w14:solidFill>
              <w14:schemeClr w14:val="tx1"/>
            </w14:solidFill>
          </w14:textFill>
        </w:rPr>
        <w:t>抚仙湖流域再生水综合利用和雨水冲击性负荷研究与示范</w:t>
      </w:r>
      <w:r>
        <w:rPr>
          <w:rFonts w:hint="default" w:ascii="Times New Roman" w:hAnsi="Times New Roman" w:cs="Times New Roman" w:eastAsiaTheme="minorEastAsia"/>
          <w:b/>
          <w:bCs w:val="0"/>
          <w:color w:val="000000" w:themeColor="text1"/>
          <w:highlight w:val="none"/>
          <w14:textFill>
            <w14:solidFill>
              <w14:schemeClr w14:val="tx1"/>
            </w14:solidFill>
          </w14:textFill>
        </w:rPr>
        <w:t>项目</w:t>
      </w:r>
      <w:r>
        <w:rPr>
          <w:rFonts w:hint="default" w:ascii="Times New Roman" w:hAnsi="Times New Roman" w:cs="Times New Roman" w:eastAsiaTheme="minorEastAsia"/>
          <w:b/>
          <w:bCs w:val="0"/>
          <w:color w:val="000000" w:themeColor="text1"/>
          <w:highlight w:val="none"/>
          <w:lang w:eastAsia="zh-CN"/>
          <w14:textFill>
            <w14:solidFill>
              <w14:schemeClr w14:val="tx1"/>
            </w14:solidFill>
          </w14:textFill>
        </w:rPr>
        <w:t>，以上</w:t>
      </w:r>
      <w:r>
        <w:rPr>
          <w:rFonts w:hint="default" w:ascii="Times New Roman" w:hAnsi="Times New Roman" w:cs="Times New Roman" w:eastAsiaTheme="minorEastAsia"/>
          <w:b/>
          <w:bCs w:val="0"/>
          <w:color w:val="000000" w:themeColor="text1"/>
          <w:highlight w:val="none"/>
          <w:lang w:val="en-US" w:eastAsia="zh-CN"/>
          <w14:textFill>
            <w14:solidFill>
              <w14:schemeClr w14:val="tx1"/>
            </w14:solidFill>
          </w14:textFill>
        </w:rPr>
        <w:t>6个</w:t>
      </w:r>
      <w:r>
        <w:rPr>
          <w:rFonts w:hint="default" w:ascii="Times New Roman" w:hAnsi="Times New Roman" w:cs="Times New Roman" w:eastAsiaTheme="minorEastAsia"/>
          <w:b/>
          <w:bCs w:val="0"/>
          <w:color w:val="000000" w:themeColor="text1"/>
          <w:highlight w:val="none"/>
          <w:lang w:eastAsia="zh-CN"/>
          <w14:textFill>
            <w14:solidFill>
              <w14:schemeClr w14:val="tx1"/>
            </w14:solidFill>
          </w14:textFill>
        </w:rPr>
        <w:t>项目正常推进</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沿湖“违规违建”整治及生态恢复项目、农业绿色转型升级发展工程、抚仙湖入湖河道水质提升工程、矿山修复项目、抚仙湖生物多样性保护工程、澄江市智慧水务监管平台（一水两污监控中心）建设项目、</w:t>
      </w:r>
      <w:r>
        <w:rPr>
          <w:rFonts w:hint="default" w:ascii="Times New Roman" w:hAnsi="Times New Roman" w:cs="Times New Roman" w:eastAsiaTheme="minorEastAsia"/>
          <w:bCs/>
          <w:strike w:val="0"/>
          <w:dstrike w:val="0"/>
          <w:color w:val="000000" w:themeColor="text1"/>
          <w:highlight w:val="none"/>
          <w:lang w:val="en-US" w:eastAsia="zh-CN"/>
          <w14:textFill>
            <w14:solidFill>
              <w14:schemeClr w14:val="tx1"/>
            </w14:solidFill>
          </w14:textFill>
        </w:rPr>
        <w:t>抚仙湖流域保护治理项目运行管护、</w:t>
      </w:r>
      <w:r>
        <w:rPr>
          <w:rFonts w:hint="default" w:ascii="Times New Roman" w:hAnsi="Times New Roman" w:cs="Times New Roman" w:eastAsiaTheme="minorEastAsia"/>
          <w:bCs/>
          <w:color w:val="000000" w:themeColor="text1"/>
          <w:highlight w:val="none"/>
          <w14:textFill>
            <w14:solidFill>
              <w14:schemeClr w14:val="tx1"/>
            </w14:solidFill>
          </w14:textFill>
        </w:rPr>
        <w:t>玉溪市“三湖”流域水环境质量自动监测建设</w:t>
      </w:r>
      <w:r>
        <w:rPr>
          <w:rFonts w:hint="default" w:ascii="Times New Roman" w:hAnsi="Times New Roman" w:cs="Times New Roman" w:eastAsiaTheme="minorEastAsia"/>
          <w:b/>
          <w:bCs w:val="0"/>
          <w:color w:val="000000" w:themeColor="text1"/>
          <w:highlight w:val="none"/>
          <w14:textFill>
            <w14:solidFill>
              <w14:schemeClr w14:val="tx1"/>
            </w14:solidFill>
          </w14:textFill>
        </w:rPr>
        <w:t>项目</w:t>
      </w:r>
      <w:r>
        <w:rPr>
          <w:rFonts w:hint="default" w:ascii="Times New Roman" w:hAnsi="Times New Roman" w:cs="Times New Roman" w:eastAsiaTheme="minorEastAsia"/>
          <w:b/>
          <w:bCs w:val="0"/>
          <w:color w:val="000000" w:themeColor="text1"/>
          <w:highlight w:val="none"/>
          <w:lang w:eastAsia="zh-CN"/>
          <w14:textFill>
            <w14:solidFill>
              <w14:schemeClr w14:val="tx1"/>
            </w14:solidFill>
          </w14:textFill>
        </w:rPr>
        <w:t>，以上</w:t>
      </w:r>
      <w:r>
        <w:rPr>
          <w:rFonts w:hint="default" w:ascii="Times New Roman" w:hAnsi="Times New Roman" w:cs="Times New Roman" w:eastAsiaTheme="minorEastAsia"/>
          <w:b/>
          <w:bCs w:val="0"/>
          <w:color w:val="000000" w:themeColor="text1"/>
          <w:highlight w:val="none"/>
          <w:lang w:val="en-US" w:eastAsia="zh-CN"/>
          <w14:textFill>
            <w14:solidFill>
              <w14:schemeClr w14:val="tx1"/>
            </w14:solidFill>
          </w14:textFill>
        </w:rPr>
        <w:t>8个项目</w:t>
      </w:r>
      <w:r>
        <w:rPr>
          <w:rFonts w:hint="default" w:ascii="Times New Roman" w:hAnsi="Times New Roman" w:cs="Times New Roman" w:eastAsiaTheme="minorEastAsia"/>
          <w:b/>
          <w:bCs w:val="0"/>
          <w:color w:val="000000" w:themeColor="text1"/>
          <w:highlight w:val="none"/>
          <w14:textFill>
            <w14:solidFill>
              <w14:schemeClr w14:val="tx1"/>
            </w14:solidFill>
          </w14:textFill>
        </w:rPr>
        <w:t>处于在建阶段，资金到位率低，投资滞后；</w:t>
      </w:r>
      <w:r>
        <w:rPr>
          <w:rFonts w:hint="default" w:ascii="Times New Roman" w:hAnsi="Times New Roman" w:cs="Times New Roman" w:eastAsiaTheme="minorEastAsia"/>
          <w:bCs/>
          <w:color w:val="000000" w:themeColor="text1"/>
          <w:highlight w:val="none"/>
          <w14:textFill>
            <w14:solidFill>
              <w14:schemeClr w14:val="tx1"/>
            </w14:solidFill>
          </w14:textFill>
        </w:rPr>
        <w:t>抚仙湖环湖生态廊道建设项目中东、南、西岸因“三线三区”划定已不具备项目实施条件，</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本</w:t>
      </w:r>
      <w:r>
        <w:rPr>
          <w:rFonts w:hint="default" w:ascii="Times New Roman" w:hAnsi="Times New Roman" w:cs="Times New Roman" w:eastAsiaTheme="minorEastAsia"/>
          <w:b/>
          <w:bCs w:val="0"/>
          <w:color w:val="000000" w:themeColor="text1"/>
          <w:highlight w:val="none"/>
          <w14:textFill>
            <w14:solidFill>
              <w14:schemeClr w14:val="tx1"/>
            </w14:solidFill>
          </w14:textFill>
        </w:rPr>
        <w:t>项目内容调减后，项目进度才能符合规划要求</w:t>
      </w:r>
      <w:r>
        <w:rPr>
          <w:rFonts w:hint="default" w:ascii="Times New Roman" w:hAnsi="Times New Roman" w:cs="Times New Roman" w:eastAsiaTheme="minorEastAsia"/>
          <w:bCs/>
          <w:color w:val="000000" w:themeColor="text1"/>
          <w:highlight w:val="none"/>
          <w14:textFill>
            <w14:solidFill>
              <w14:schemeClr w14:val="tx1"/>
            </w14:solidFill>
          </w14:textFill>
        </w:rPr>
        <w:t>；高标准农田建设项目目前建成的高标准农田只有1.42万亩，占总规划量的11.2%，</w:t>
      </w:r>
      <w:r>
        <w:rPr>
          <w:rFonts w:hint="default" w:ascii="Times New Roman" w:hAnsi="Times New Roman" w:cs="Times New Roman" w:eastAsiaTheme="minorEastAsia"/>
          <w:b/>
          <w:bCs w:val="0"/>
          <w:color w:val="000000" w:themeColor="text1"/>
          <w:highlight w:val="none"/>
          <w14:textFill>
            <w14:solidFill>
              <w14:schemeClr w14:val="tx1"/>
            </w14:solidFill>
          </w14:textFill>
        </w:rPr>
        <w:t>工程建设滞后，投资滞后</w:t>
      </w:r>
      <w:r>
        <w:rPr>
          <w:rFonts w:hint="default" w:ascii="Times New Roman" w:hAnsi="Times New Roman" w:cs="Times New Roman" w:eastAsiaTheme="minorEastAsia"/>
          <w:bCs/>
          <w:color w:val="000000" w:themeColor="text1"/>
          <w:highlight w:val="none"/>
          <w14:textFill>
            <w14:solidFill>
              <w14:schemeClr w14:val="tx1"/>
            </w14:solidFill>
          </w14:textFill>
        </w:rPr>
        <w:t>；澄江市生活垃圾治理</w:t>
      </w:r>
      <w:r>
        <w:rPr>
          <w:rFonts w:hint="default" w:ascii="Times New Roman" w:hAnsi="Times New Roman" w:cs="Times New Roman" w:eastAsiaTheme="minorEastAsia"/>
          <w:b/>
          <w:bCs w:val="0"/>
          <w:color w:val="000000" w:themeColor="text1"/>
          <w:highlight w:val="none"/>
          <w14:textFill>
            <w14:solidFill>
              <w14:schemeClr w14:val="tx1"/>
            </w14:solidFill>
          </w14:textFill>
        </w:rPr>
        <w:t>项目的子项目一：澄江市50吨/日餐厨垃圾资源化综合利用项目基本完工，但子项目二</w:t>
      </w:r>
      <w:r>
        <w:rPr>
          <w:rFonts w:hint="default" w:ascii="Times New Roman" w:hAnsi="Times New Roman" w:cs="Times New Roman" w:eastAsiaTheme="minorEastAsia"/>
          <w:b/>
          <w:bCs w:val="0"/>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
          <w:bCs w:val="0"/>
          <w:color w:val="000000" w:themeColor="text1"/>
          <w:highlight w:val="none"/>
          <w14:textFill>
            <w14:solidFill>
              <w14:schemeClr w14:val="tx1"/>
            </w14:solidFill>
          </w14:textFill>
        </w:rPr>
        <w:t>大山、小马沟、路居冷阴菁三座垃圾填埋场封场项目目前只处于前期阶段，规划时间过半，该子项目建设和投资均滞后。</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前期项目：前期项目1个，规划时间已过半，抚仙湖环湖路提升改造工程目前还正在做项目前期工作，项目滞后。</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未启动项目：未启动项目5个，抚仙湖环湖生态移民搬迁安置工程因土地及资金均未得到保障停滞不动项目严重滞后；三湖流域水环境保护数字化监管系统建设、抚仙湖水文监测中心、抚仙湖水环境保护精准研究项目、抚仙湖总磷变化机制和趋势分析研判课题研究项目因无资金支持，长期无实质性进展，项目严重滞后。</w:t>
      </w:r>
    </w:p>
    <w:p>
      <w:pPr>
        <w:jc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p>
    <w:p>
      <w:pPr>
        <w:jc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p>
    <w:p>
      <w:pPr>
        <w:jc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p>
    <w:p>
      <w:pPr>
        <w:jc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p>
    <w:p>
      <w:pPr>
        <w:jc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p>
    <w:p>
      <w:pPr>
        <w:jc w:val="center"/>
        <w:rPr>
          <w:rFonts w:hint="default" w:ascii="Times New Roman" w:hAnsi="Times New Roman" w:cs="Times New Roman" w:eastAsiaTheme="minorEastAsia"/>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表4.1</w:t>
      </w:r>
      <w:r>
        <w:rPr>
          <w:rFonts w:hint="eastAsia" w:cs="Times New Roman" w:eastAsiaTheme="minorEastAsia"/>
          <w:b/>
          <w:bCs/>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w:t>
      </w:r>
      <w:r>
        <w:rPr>
          <w:rFonts w:hint="eastAsia" w:cs="Times New Roman" w:eastAsiaTheme="minorEastAsia"/>
          <w:b/>
          <w:bCs/>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“十四五”抚仙湖规划项目进度汇总表</w:t>
      </w:r>
      <w:r>
        <w:rPr>
          <w:rFonts w:hint="default" w:ascii="Times New Roman" w:hAnsi="Times New Roman" w:cs="Times New Roman" w:eastAsiaTheme="minorEastAsia"/>
          <w:b/>
          <w:bCs/>
          <w:color w:val="000000" w:themeColor="text1"/>
          <w:sz w:val="21"/>
          <w:szCs w:val="21"/>
          <w:highlight w:val="none"/>
          <w:lang w:eastAsia="zh-CN"/>
          <w14:textFill>
            <w14:solidFill>
              <w14:schemeClr w14:val="tx1"/>
            </w14:solidFill>
          </w14:textFill>
        </w:rPr>
        <w:t>（单位：个）</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2974"/>
        <w:gridCol w:w="855"/>
        <w:gridCol w:w="785"/>
        <w:gridCol w:w="738"/>
        <w:gridCol w:w="752"/>
        <w:gridCol w:w="773"/>
        <w:gridCol w:w="824"/>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blHeader/>
        </w:trPr>
        <w:tc>
          <w:tcPr>
            <w:tcW w:w="304"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序号</w:t>
            </w:r>
          </w:p>
        </w:tc>
        <w:tc>
          <w:tcPr>
            <w:tcW w:w="1662" w:type="pct"/>
            <w:vMerge w:val="restar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项目名称</w:t>
            </w:r>
          </w:p>
        </w:tc>
        <w:tc>
          <w:tcPr>
            <w:tcW w:w="2642" w:type="pct"/>
            <w:gridSpan w:val="6"/>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项目进度</w:t>
            </w:r>
          </w:p>
        </w:tc>
        <w:tc>
          <w:tcPr>
            <w:tcW w:w="390" w:type="pct"/>
            <w:vMerge w:val="restart"/>
            <w:tcBorders>
              <w:top w:val="single" w:color="auto" w:sz="4" w:space="0"/>
              <w:left w:val="nil"/>
              <w:right w:val="single" w:color="auto" w:sz="4" w:space="0"/>
            </w:tcBorders>
            <w:vAlign w:val="center"/>
          </w:tcPr>
          <w:p>
            <w:pPr>
              <w:spacing w:line="240" w:lineRule="auto"/>
              <w:jc w:val="left"/>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blHeader/>
        </w:trPr>
        <w:tc>
          <w:tcPr>
            <w:tcW w:w="30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p>
        </w:tc>
        <w:tc>
          <w:tcPr>
            <w:tcW w:w="1662" w:type="pct"/>
            <w:vMerge w:val="continue"/>
            <w:tcBorders>
              <w:top w:val="single" w:color="auto" w:sz="4" w:space="0"/>
              <w:left w:val="nil"/>
              <w:bottom w:val="single" w:color="auto" w:sz="4" w:space="0"/>
              <w:right w:val="single" w:color="auto" w:sz="4" w:space="0"/>
            </w:tcBorders>
            <w:vAlign w:val="center"/>
          </w:tcPr>
          <w:p>
            <w:pPr>
              <w:widowControl/>
              <w:spacing w:line="240" w:lineRule="auto"/>
              <w:jc w:val="left"/>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p>
        </w:tc>
        <w:tc>
          <w:tcPr>
            <w:tcW w:w="478"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投入正常运行</w:t>
            </w:r>
          </w:p>
        </w:tc>
        <w:tc>
          <w:tcPr>
            <w:tcW w:w="438"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已竣工验收</w:t>
            </w:r>
          </w:p>
        </w:tc>
        <w:tc>
          <w:tcPr>
            <w:tcW w:w="41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调试</w:t>
            </w:r>
          </w:p>
        </w:tc>
        <w:tc>
          <w:tcPr>
            <w:tcW w:w="42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在建</w:t>
            </w:r>
          </w:p>
        </w:tc>
        <w:tc>
          <w:tcPr>
            <w:tcW w:w="43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前期</w:t>
            </w:r>
          </w:p>
        </w:tc>
        <w:tc>
          <w:tcPr>
            <w:tcW w:w="46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未启动</w:t>
            </w:r>
          </w:p>
        </w:tc>
        <w:tc>
          <w:tcPr>
            <w:tcW w:w="390" w:type="pct"/>
            <w:vMerge w:val="continue"/>
            <w:tcBorders>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0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w:t>
            </w:r>
          </w:p>
        </w:tc>
        <w:tc>
          <w:tcPr>
            <w:tcW w:w="166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抚仙湖空间管控项目</w:t>
            </w:r>
          </w:p>
        </w:tc>
        <w:tc>
          <w:tcPr>
            <w:tcW w:w="478"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43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1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2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39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w:t>
            </w:r>
          </w:p>
        </w:tc>
        <w:tc>
          <w:tcPr>
            <w:tcW w:w="166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抚仙湖环湖生态移民搬迁安置工程</w:t>
            </w:r>
          </w:p>
        </w:tc>
        <w:tc>
          <w:tcPr>
            <w:tcW w:w="47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1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2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39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严重滞后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4"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3</w:t>
            </w:r>
          </w:p>
        </w:tc>
        <w:tc>
          <w:tcPr>
            <w:tcW w:w="166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沿湖“违规违建”整治及生态恢复项目</w:t>
            </w:r>
          </w:p>
        </w:tc>
        <w:tc>
          <w:tcPr>
            <w:tcW w:w="47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1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2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43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390" w:type="pct"/>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投资滞后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4"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4</w:t>
            </w:r>
          </w:p>
        </w:tc>
        <w:tc>
          <w:tcPr>
            <w:tcW w:w="166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抚仙湖环湖路提升改造工程</w:t>
            </w:r>
          </w:p>
        </w:tc>
        <w:tc>
          <w:tcPr>
            <w:tcW w:w="47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1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2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46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390" w:type="pct"/>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滞后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4"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5</w:t>
            </w:r>
          </w:p>
        </w:tc>
        <w:tc>
          <w:tcPr>
            <w:tcW w:w="166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抚仙湖环湖生态廊道建设项目</w:t>
            </w:r>
          </w:p>
        </w:tc>
        <w:tc>
          <w:tcPr>
            <w:tcW w:w="47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1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2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43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390" w:type="pct"/>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4"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6</w:t>
            </w:r>
          </w:p>
        </w:tc>
        <w:tc>
          <w:tcPr>
            <w:tcW w:w="166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南片区供水替代工程</w:t>
            </w:r>
          </w:p>
        </w:tc>
        <w:tc>
          <w:tcPr>
            <w:tcW w:w="47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1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2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43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390" w:type="pct"/>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4"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7</w:t>
            </w:r>
          </w:p>
        </w:tc>
        <w:tc>
          <w:tcPr>
            <w:tcW w:w="166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澄江市城乡供水一体化工程项目</w:t>
            </w:r>
          </w:p>
        </w:tc>
        <w:tc>
          <w:tcPr>
            <w:tcW w:w="47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1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2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43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39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4"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8</w:t>
            </w:r>
          </w:p>
        </w:tc>
        <w:tc>
          <w:tcPr>
            <w:tcW w:w="166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抚仙湖北岸初期雨水收集循环利用项目</w:t>
            </w:r>
          </w:p>
        </w:tc>
        <w:tc>
          <w:tcPr>
            <w:tcW w:w="47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1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2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43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39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304"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9</w:t>
            </w:r>
          </w:p>
        </w:tc>
        <w:tc>
          <w:tcPr>
            <w:tcW w:w="166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农业绿色转型升级发展工程</w:t>
            </w:r>
          </w:p>
        </w:tc>
        <w:tc>
          <w:tcPr>
            <w:tcW w:w="47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1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2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43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390" w:type="pct"/>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投资滞后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04"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10</w:t>
            </w:r>
          </w:p>
        </w:tc>
        <w:tc>
          <w:tcPr>
            <w:tcW w:w="166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高标准农田建设项目</w:t>
            </w:r>
          </w:p>
        </w:tc>
        <w:tc>
          <w:tcPr>
            <w:tcW w:w="47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1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2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43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390" w:type="pct"/>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滞后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04"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11</w:t>
            </w:r>
          </w:p>
        </w:tc>
        <w:tc>
          <w:tcPr>
            <w:tcW w:w="166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澄江市抚仙湖全流域截污治污项目</w:t>
            </w:r>
          </w:p>
        </w:tc>
        <w:tc>
          <w:tcPr>
            <w:tcW w:w="47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1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2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43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39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4"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12</w:t>
            </w:r>
          </w:p>
        </w:tc>
        <w:tc>
          <w:tcPr>
            <w:tcW w:w="166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澄江市污水处理厂技术改造项目</w:t>
            </w:r>
          </w:p>
        </w:tc>
        <w:tc>
          <w:tcPr>
            <w:tcW w:w="47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1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2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43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39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4"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13</w:t>
            </w:r>
          </w:p>
        </w:tc>
        <w:tc>
          <w:tcPr>
            <w:tcW w:w="166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澄江市生活垃圾治理项目</w:t>
            </w:r>
          </w:p>
        </w:tc>
        <w:tc>
          <w:tcPr>
            <w:tcW w:w="47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1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2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43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390" w:type="pct"/>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滞后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4"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14</w:t>
            </w:r>
          </w:p>
        </w:tc>
        <w:tc>
          <w:tcPr>
            <w:tcW w:w="166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抚仙湖入湖河道水质提升工程</w:t>
            </w:r>
          </w:p>
        </w:tc>
        <w:tc>
          <w:tcPr>
            <w:tcW w:w="47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1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2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43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390" w:type="pct"/>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投资滞后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4"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15</w:t>
            </w:r>
          </w:p>
        </w:tc>
        <w:tc>
          <w:tcPr>
            <w:tcW w:w="166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矿山修复项目</w:t>
            </w:r>
          </w:p>
        </w:tc>
        <w:tc>
          <w:tcPr>
            <w:tcW w:w="47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1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2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43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390" w:type="pct"/>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投资滞后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30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16</w:t>
            </w:r>
          </w:p>
        </w:tc>
        <w:tc>
          <w:tcPr>
            <w:tcW w:w="166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抚仙湖生物多样性保护工程</w:t>
            </w:r>
          </w:p>
        </w:tc>
        <w:tc>
          <w:tcPr>
            <w:tcW w:w="47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1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2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43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390" w:type="pct"/>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投资滞后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30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17</w:t>
            </w:r>
          </w:p>
        </w:tc>
        <w:tc>
          <w:tcPr>
            <w:tcW w:w="166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澄江市智慧水务监管平台（一水两污监控中心）建设项目</w:t>
            </w:r>
          </w:p>
        </w:tc>
        <w:tc>
          <w:tcPr>
            <w:tcW w:w="47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1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2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43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390" w:type="pct"/>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投资滞后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304"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18</w:t>
            </w:r>
          </w:p>
        </w:tc>
        <w:tc>
          <w:tcPr>
            <w:tcW w:w="166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抚仙湖流域保护治理项目运行管护</w:t>
            </w:r>
          </w:p>
        </w:tc>
        <w:tc>
          <w:tcPr>
            <w:tcW w:w="47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1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2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43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390" w:type="pct"/>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投资滞后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304"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19</w:t>
            </w:r>
          </w:p>
        </w:tc>
        <w:tc>
          <w:tcPr>
            <w:tcW w:w="166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三湖流域水环境保护数字化监管系统建设</w:t>
            </w:r>
          </w:p>
        </w:tc>
        <w:tc>
          <w:tcPr>
            <w:tcW w:w="47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1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2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39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严重滞后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304"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20</w:t>
            </w:r>
          </w:p>
        </w:tc>
        <w:tc>
          <w:tcPr>
            <w:tcW w:w="166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玉溪市“三湖”流域水环境质量自动监测建设项目</w:t>
            </w:r>
          </w:p>
        </w:tc>
        <w:tc>
          <w:tcPr>
            <w:tcW w:w="47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1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2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43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390" w:type="pct"/>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4" w:type="pct"/>
            <w:tcBorders>
              <w:top w:val="single" w:color="auto" w:sz="4" w:space="0"/>
              <w:left w:val="single" w:color="auto" w:sz="4" w:space="0"/>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221</w:t>
            </w:r>
          </w:p>
        </w:tc>
        <w:tc>
          <w:tcPr>
            <w:tcW w:w="166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抚仙湖水文监测中心</w:t>
            </w:r>
          </w:p>
        </w:tc>
        <w:tc>
          <w:tcPr>
            <w:tcW w:w="47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1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2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39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严重滞后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304" w:type="pct"/>
            <w:tcBorders>
              <w:top w:val="single" w:color="auto" w:sz="4" w:space="0"/>
              <w:left w:val="single" w:color="auto" w:sz="4" w:space="0"/>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222</w:t>
            </w:r>
          </w:p>
        </w:tc>
        <w:tc>
          <w:tcPr>
            <w:tcW w:w="166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抚仙湖水环境保护精准研究项目</w:t>
            </w:r>
          </w:p>
        </w:tc>
        <w:tc>
          <w:tcPr>
            <w:tcW w:w="47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1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2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39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严重滞后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4" w:type="pct"/>
            <w:tcBorders>
              <w:top w:val="single" w:color="auto" w:sz="4" w:space="0"/>
              <w:left w:val="single" w:color="auto" w:sz="4" w:space="0"/>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223</w:t>
            </w:r>
          </w:p>
        </w:tc>
        <w:tc>
          <w:tcPr>
            <w:tcW w:w="166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抚仙湖流域再生水综合利用和雨水冲击性负荷研究与示范项目</w:t>
            </w:r>
          </w:p>
        </w:tc>
        <w:tc>
          <w:tcPr>
            <w:tcW w:w="47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1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2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43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39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4" w:type="pct"/>
            <w:tcBorders>
              <w:top w:val="single" w:color="auto" w:sz="4" w:space="0"/>
              <w:left w:val="single" w:color="auto" w:sz="4" w:space="0"/>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224</w:t>
            </w:r>
          </w:p>
        </w:tc>
        <w:tc>
          <w:tcPr>
            <w:tcW w:w="1662"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抚仙湖总磷变化机制和趋势分析研判课题研究</w:t>
            </w:r>
          </w:p>
        </w:tc>
        <w:tc>
          <w:tcPr>
            <w:tcW w:w="47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8"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1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20"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32" w:type="pct"/>
            <w:tcBorders>
              <w:top w:val="single" w:color="auto" w:sz="4" w:space="0"/>
              <w:left w:val="nil"/>
              <w:bottom w:val="single" w:color="auto" w:sz="4" w:space="0"/>
              <w:right w:val="single" w:color="auto" w:sz="4" w:space="0"/>
            </w:tcBorders>
            <w:vAlign w:val="center"/>
          </w:tcPr>
          <w:p>
            <w:pPr>
              <w:spacing w:line="240" w:lineRule="auto"/>
              <w:ind w:firstLine="48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46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390" w:type="pct"/>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严重滞后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966" w:type="pct"/>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合计</w:t>
            </w:r>
          </w:p>
        </w:tc>
        <w:tc>
          <w:tcPr>
            <w:tcW w:w="478" w:type="pct"/>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Times New Roman" w:hAnsi="Times New Roman" w:cs="Times New Roman" w:eastAsiaTheme="minorEastAsia"/>
                <w:b/>
                <w:bCs/>
                <w:color w:val="000000" w:themeColor="text1"/>
                <w:kern w:val="0"/>
                <w:sz w:val="21"/>
                <w:szCs w:val="21"/>
                <w:highlight w:val="none"/>
                <w:lang w:eastAsia="zh-CN"/>
                <w14:textFill>
                  <w14:solidFill>
                    <w14:schemeClr w14:val="tx1"/>
                  </w14:solidFill>
                </w14:textFill>
              </w:rPr>
            </w:pPr>
            <w:r>
              <w:rPr>
                <w:rFonts w:hint="eastAsia" w:cs="Times New Roman" w:eastAsiaTheme="minorEastAsia"/>
                <w:b/>
                <w:bCs/>
                <w:color w:val="000000" w:themeColor="text1"/>
                <w:kern w:val="0"/>
                <w:sz w:val="22"/>
                <w:szCs w:val="22"/>
                <w:highlight w:val="none"/>
                <w:lang w:val="en-US" w:eastAsia="zh-CN" w:bidi="ar"/>
                <w14:textFill>
                  <w14:solidFill>
                    <w14:schemeClr w14:val="tx1"/>
                  </w14:solidFill>
                </w14:textFill>
              </w:rPr>
              <w:t>1</w:t>
            </w:r>
          </w:p>
        </w:tc>
        <w:tc>
          <w:tcPr>
            <w:tcW w:w="438" w:type="pct"/>
            <w:tcBorders>
              <w:top w:val="single" w:color="auto" w:sz="4" w:space="0"/>
              <w:left w:val="nil"/>
              <w:bottom w:val="single" w:color="auto" w:sz="4" w:space="0"/>
              <w:right w:val="single" w:color="auto" w:sz="4" w:space="0"/>
            </w:tcBorders>
            <w:vAlign w:val="center"/>
          </w:tcPr>
          <w:p>
            <w:pPr>
              <w:widowControl/>
              <w:jc w:val="center"/>
              <w:textAlignment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2"/>
                <w:szCs w:val="22"/>
                <w:highlight w:val="none"/>
                <w:lang w:bidi="ar"/>
                <w14:textFill>
                  <w14:solidFill>
                    <w14:schemeClr w14:val="tx1"/>
                  </w14:solidFill>
                </w14:textFill>
              </w:rPr>
              <w:t>0</w:t>
            </w:r>
          </w:p>
        </w:tc>
        <w:tc>
          <w:tcPr>
            <w:tcW w:w="412" w:type="pct"/>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Times New Roman" w:hAnsi="Times New Roman" w:cs="Times New Roman" w:eastAsiaTheme="minorEastAsia"/>
                <w:b/>
                <w:bCs/>
                <w:color w:val="000000" w:themeColor="text1"/>
                <w:kern w:val="0"/>
                <w:sz w:val="21"/>
                <w:szCs w:val="21"/>
                <w:highlight w:val="none"/>
                <w:lang w:eastAsia="zh-CN"/>
                <w14:textFill>
                  <w14:solidFill>
                    <w14:schemeClr w14:val="tx1"/>
                  </w14:solidFill>
                </w14:textFill>
              </w:rPr>
            </w:pPr>
            <w:r>
              <w:rPr>
                <w:rFonts w:hint="eastAsia" w:cs="Times New Roman" w:eastAsiaTheme="minorEastAsia"/>
                <w:b/>
                <w:bCs/>
                <w:color w:val="000000" w:themeColor="text1"/>
                <w:kern w:val="0"/>
                <w:sz w:val="22"/>
                <w:szCs w:val="22"/>
                <w:highlight w:val="none"/>
                <w:lang w:val="en-US" w:eastAsia="zh-CN" w:bidi="ar"/>
                <w14:textFill>
                  <w14:solidFill>
                    <w14:schemeClr w14:val="tx1"/>
                  </w14:solidFill>
                </w14:textFill>
              </w:rPr>
              <w:t>0</w:t>
            </w:r>
          </w:p>
        </w:tc>
        <w:tc>
          <w:tcPr>
            <w:tcW w:w="420" w:type="pct"/>
            <w:tcBorders>
              <w:top w:val="single" w:color="auto" w:sz="4" w:space="0"/>
              <w:left w:val="nil"/>
              <w:bottom w:val="single" w:color="auto" w:sz="4" w:space="0"/>
              <w:right w:val="single" w:color="auto" w:sz="4" w:space="0"/>
            </w:tcBorders>
            <w:vAlign w:val="center"/>
          </w:tcPr>
          <w:p>
            <w:pPr>
              <w:widowControl/>
              <w:jc w:val="center"/>
              <w:textAlignment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2"/>
                <w:szCs w:val="22"/>
                <w:highlight w:val="none"/>
                <w:lang w:bidi="ar"/>
                <w14:textFill>
                  <w14:solidFill>
                    <w14:schemeClr w14:val="tx1"/>
                  </w14:solidFill>
                </w14:textFill>
              </w:rPr>
              <w:t>17</w:t>
            </w:r>
          </w:p>
        </w:tc>
        <w:tc>
          <w:tcPr>
            <w:tcW w:w="432" w:type="pct"/>
            <w:tcBorders>
              <w:top w:val="single" w:color="auto" w:sz="4" w:space="0"/>
              <w:left w:val="nil"/>
              <w:bottom w:val="single" w:color="auto" w:sz="4" w:space="0"/>
              <w:right w:val="single" w:color="auto" w:sz="4" w:space="0"/>
            </w:tcBorders>
            <w:vAlign w:val="center"/>
          </w:tcPr>
          <w:p>
            <w:pPr>
              <w:widowControl/>
              <w:jc w:val="center"/>
              <w:textAlignment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2"/>
                <w:szCs w:val="22"/>
                <w:highlight w:val="none"/>
                <w:lang w:bidi="ar"/>
                <w14:textFill>
                  <w14:solidFill>
                    <w14:schemeClr w14:val="tx1"/>
                  </w14:solidFill>
                </w14:textFill>
              </w:rPr>
              <w:t>1</w:t>
            </w:r>
          </w:p>
        </w:tc>
        <w:tc>
          <w:tcPr>
            <w:tcW w:w="460" w:type="pct"/>
            <w:tcBorders>
              <w:top w:val="single" w:color="auto" w:sz="4" w:space="0"/>
              <w:left w:val="nil"/>
              <w:bottom w:val="single" w:color="auto" w:sz="4" w:space="0"/>
              <w:right w:val="single" w:color="auto" w:sz="4" w:space="0"/>
            </w:tcBorders>
            <w:vAlign w:val="center"/>
          </w:tcPr>
          <w:p>
            <w:pPr>
              <w:widowControl/>
              <w:jc w:val="center"/>
              <w:textAlignment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2"/>
                <w:szCs w:val="22"/>
                <w:highlight w:val="none"/>
                <w:lang w:bidi="ar"/>
                <w14:textFill>
                  <w14:solidFill>
                    <w14:schemeClr w14:val="tx1"/>
                  </w14:solidFill>
                </w14:textFill>
              </w:rPr>
              <w:t>5</w:t>
            </w:r>
          </w:p>
        </w:tc>
        <w:tc>
          <w:tcPr>
            <w:tcW w:w="390" w:type="pct"/>
            <w:tcBorders>
              <w:top w:val="single" w:color="auto" w:sz="4" w:space="0"/>
              <w:left w:val="nil"/>
              <w:bottom w:val="single" w:color="auto" w:sz="4" w:space="0"/>
              <w:right w:val="single" w:color="auto" w:sz="4" w:space="0"/>
            </w:tcBorders>
            <w:vAlign w:val="center"/>
          </w:tcPr>
          <w:p>
            <w:pPr>
              <w:widowControl/>
              <w:jc w:val="center"/>
              <w:textAlignment w:val="center"/>
              <w:rPr>
                <w:rFonts w:hint="default" w:ascii="Times New Roman" w:hAnsi="Times New Roman" w:cs="Times New Roman" w:eastAsiaTheme="minorEastAsia"/>
                <w:b/>
                <w:bCs/>
                <w:color w:val="000000" w:themeColor="text1"/>
                <w:kern w:val="0"/>
                <w:sz w:val="22"/>
                <w:szCs w:val="22"/>
                <w:highlight w:val="none"/>
                <w:lang w:bidi="ar"/>
                <w14:textFill>
                  <w14:solidFill>
                    <w14:schemeClr w14:val="tx1"/>
                  </w14:solidFill>
                </w14:textFill>
              </w:rPr>
            </w:pPr>
          </w:p>
        </w:tc>
      </w:tr>
    </w:tbl>
    <w:p>
      <w:pPr>
        <w:pStyle w:val="2"/>
        <w:rPr>
          <w:rFonts w:hint="default"/>
          <w:color w:val="000000" w:themeColor="text1"/>
          <w:highlight w:val="none"/>
          <w:lang w:eastAsia="zh-CN"/>
          <w14:textFill>
            <w14:solidFill>
              <w14:schemeClr w14:val="tx1"/>
            </w14:solidFill>
          </w14:textFill>
        </w:rPr>
      </w:pP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319" w:name="_Toc29125"/>
      <w:bookmarkStart w:id="320" w:name="_Toc642"/>
      <w:bookmarkStart w:id="321" w:name="_Toc26858"/>
      <w:bookmarkStart w:id="322" w:name="_Toc10211784"/>
      <w:r>
        <w:rPr>
          <w:rFonts w:hint="default" w:ascii="Times New Roman" w:hAnsi="Times New Roman" w:cs="Times New Roman" w:eastAsiaTheme="minorEastAsia"/>
          <w:color w:val="000000" w:themeColor="text1"/>
          <w:highlight w:val="none"/>
          <w14:textFill>
            <w14:solidFill>
              <w14:schemeClr w14:val="tx1"/>
            </w14:solidFill>
          </w14:textFill>
        </w:rPr>
        <w:t>4.1.2规划项目资金评述</w:t>
      </w:r>
      <w:bookmarkEnd w:id="319"/>
      <w:bookmarkEnd w:id="320"/>
      <w:bookmarkEnd w:id="321"/>
      <w:bookmarkEnd w:id="322"/>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根据《“十四五”规划》规划总投资749182万元，截至2023年6月，批复投资238681万元，已到位资金181317万元，以批复投资为基数，资金到位率为73.31%；以规划投资为基数，资金到位率为24.2%，其中中央补助资金3733万元，项目资金中央补助率为0.50%，省级补助142758万元，项目资金省级补助率为18.9%，州市配套2981万元，项目资金州市配套率为0.40%，县级配套2403万元，项目资金县级配套率0.32%，自筹资金29441万元，项目资金自筹率3.93%。项目已完成投资135928万元，以批复投资为基数，投资完成率54.96%，以规划投资为基数，投资完成率18.14%。见表4.1-4、表4.4-5。</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根据《“十四五”规划》24个规划项目涉及三大类，其中空间管控项目5个，规划总投资316000万元，目前批复投资30429万元，截至2023年6月，已到位资金17138万元，按规划投资计算资金到位率为5.42%，项目已完成投资10463万元，投资完成率3.31%；水资源保护与利用项目3个，规划总投资74197万元，批复投资71765万元，截至2023年6月，已到位资金32691万元，按规划投资计算资金到位率为44.06%，项目已完成投资37371万元，投资完成率50.37%；水污染防治项目5个，规划总投资239060万元，批复投资60220万元，截至2023年6月，已到位资金94462万元，按规划投资计算资金到位率为39.51%，项目已完成投资65974万元，投资完成率27.60%；水环境治理项目1个，规划总投资10000万元，批复投资7345万元，截至2023年6月，已到位资金8800万元，按规划投资计算资金到位率为88%，项目已完成投资3190万元，投资完成率31.9%；水生态修复项目2个，规划总投资56500万元，批复投资61537万元，截至2023年6月，已到位资金20559万元，按规划投资计算资金到位率为36.39%，项目已完成投资13132万元，投资完成率23.24%；水灾害防治项目1个，规划总投资3300万元，批复投资1373万元，截至2023年6月，已到位资金1200万元，按规划投资计算资金到位率为36.36%，项目已完成投资1347万元，投资完成率40.82%；执法监管项目7个，规划总投资50136万元，批复投资6012万元，截至2023年6月，已到位资金6467万元，按规划投资计算资金到位率为12.9%，项目已完成投资4451万元，投资完成率8.88%。见图4.1.</w:t>
      </w:r>
      <w:r>
        <w:rPr>
          <w:rFonts w:hint="eastAsia" w:cs="Times New Roman" w:eastAsiaTheme="minorEastAsia"/>
          <w:bCs/>
          <w:color w:val="000000" w:themeColor="text1"/>
          <w:highlight w:val="none"/>
          <w:lang w:val="en-US" w:eastAsia="zh-CN"/>
          <w14:textFill>
            <w14:solidFill>
              <w14:schemeClr w14:val="tx1"/>
            </w14:solidFill>
          </w14:textFill>
        </w:rPr>
        <w:t>2-1</w:t>
      </w:r>
      <w:r>
        <w:rPr>
          <w:rFonts w:hint="default" w:ascii="Times New Roman" w:hAnsi="Times New Roman" w:cs="Times New Roman" w:eastAsiaTheme="minorEastAsia"/>
          <w:bCs/>
          <w:color w:val="000000" w:themeColor="text1"/>
          <w:highlight w:val="none"/>
          <w14:textFill>
            <w14:solidFill>
              <w14:schemeClr w14:val="tx1"/>
            </w14:solidFill>
          </w14:textFill>
        </w:rPr>
        <w:t>。</w:t>
      </w:r>
    </w:p>
    <w:p>
      <w:pPr>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drawing>
          <wp:inline distT="0" distB="0" distL="114300" distR="114300">
            <wp:extent cx="5087620" cy="3001645"/>
            <wp:effectExtent l="4445" t="4445" r="13335" b="1143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图4.1</w:t>
      </w:r>
      <w:r>
        <w:rPr>
          <w:rFonts w:hint="eastAsia" w:cs="Times New Roman" w:eastAsiaTheme="minorEastAsia"/>
          <w:b/>
          <w:bCs/>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w:t>
      </w:r>
      <w:r>
        <w:rPr>
          <w:rFonts w:hint="eastAsia" w:cs="Times New Roman" w:eastAsiaTheme="minorEastAsia"/>
          <w:b/>
          <w:bCs/>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“十四五”抚仙湖规划投资进度统计图</w:t>
      </w: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323" w:name="_Toc31913"/>
      <w:bookmarkStart w:id="324" w:name="_Toc13242"/>
      <w:r>
        <w:rPr>
          <w:rFonts w:hint="default" w:ascii="Times New Roman" w:hAnsi="Times New Roman" w:cs="Times New Roman" w:eastAsiaTheme="minorEastAsia"/>
          <w:color w:val="000000" w:themeColor="text1"/>
          <w:highlight w:val="none"/>
          <w14:textFill>
            <w14:solidFill>
              <w14:schemeClr w14:val="tx1"/>
            </w14:solidFill>
          </w14:textFill>
        </w:rPr>
        <w:t>4.1.3存在问题</w:t>
      </w:r>
      <w:bookmarkEnd w:id="323"/>
      <w:bookmarkEnd w:id="324"/>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1、项目未启动率高；部分在建项目建设进展滞后；</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sectPr>
          <w:footerReference r:id="rId10" w:type="default"/>
          <w:pgSz w:w="11906" w:h="16838"/>
          <w:pgMar w:top="1134" w:right="1587" w:bottom="1134" w:left="1587" w:header="851" w:footer="867" w:gutter="0"/>
          <w:pgBorders>
            <w:top w:val="none" w:sz="0" w:space="0"/>
            <w:left w:val="none" w:sz="0" w:space="0"/>
            <w:bottom w:val="none" w:sz="0" w:space="0"/>
            <w:right w:val="none" w:sz="0" w:space="0"/>
          </w:pgBorders>
          <w:pgNumType w:fmt="decimal"/>
          <w:cols w:space="0" w:num="1"/>
          <w:rtlGutter w:val="0"/>
          <w:docGrid w:type="lines" w:linePitch="336" w:charSpace="0"/>
        </w:sectPr>
      </w:pPr>
      <w:r>
        <w:rPr>
          <w:rFonts w:hint="default" w:ascii="Times New Roman" w:hAnsi="Times New Roman" w:cs="Times New Roman" w:eastAsiaTheme="minorEastAsia"/>
          <w:color w:val="000000" w:themeColor="text1"/>
          <w:highlight w:val="none"/>
          <w14:textFill>
            <w14:solidFill>
              <w14:schemeClr w14:val="tx1"/>
            </w14:solidFill>
          </w14:textFill>
        </w:rPr>
        <w:t>2、项目投资资金到位率低，在建项目投资滞后率高。</w:t>
      </w:r>
    </w:p>
    <w:p>
      <w:pPr>
        <w:spacing w:line="0" w:lineRule="atLeast"/>
        <w:jc w:val="cente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bookmarkStart w:id="325" w:name="_Toc10211786"/>
      <w:bookmarkStart w:id="326" w:name="_Toc27253"/>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表4.1</w:t>
      </w:r>
      <w:r>
        <w:rPr>
          <w:rFonts w:hint="eastAsia" w:cs="Times New Roman" w:eastAsiaTheme="minorEastAsia"/>
          <w:b/>
          <w:bCs/>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w:t>
      </w:r>
      <w:r>
        <w:rPr>
          <w:rFonts w:hint="eastAsia" w:cs="Times New Roman" w:eastAsiaTheme="minorEastAsia"/>
          <w:b/>
          <w:bCs/>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“十四五”抚仙湖规划项目统计表</w:t>
      </w:r>
    </w:p>
    <w:tbl>
      <w:tblPr>
        <w:tblStyle w:val="17"/>
        <w:tblW w:w="140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3845"/>
        <w:gridCol w:w="933"/>
        <w:gridCol w:w="1021"/>
        <w:gridCol w:w="801"/>
        <w:gridCol w:w="938"/>
        <w:gridCol w:w="825"/>
        <w:gridCol w:w="930"/>
        <w:gridCol w:w="900"/>
        <w:gridCol w:w="867"/>
        <w:gridCol w:w="735"/>
        <w:gridCol w:w="791"/>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9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序号</w:t>
            </w:r>
          </w:p>
        </w:tc>
        <w:tc>
          <w:tcPr>
            <w:tcW w:w="3845" w:type="dxa"/>
            <w:vMerge w:val="restart"/>
            <w:tcBorders>
              <w:top w:val="single" w:color="auto" w:sz="4" w:space="0"/>
              <w:left w:val="nil"/>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项目名称</w:t>
            </w:r>
          </w:p>
        </w:tc>
        <w:tc>
          <w:tcPr>
            <w:tcW w:w="9744" w:type="dxa"/>
            <w:gridSpan w:val="11"/>
            <w:tcBorders>
              <w:top w:val="single" w:color="auto" w:sz="4" w:space="0"/>
              <w:left w:val="nil"/>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投资完成情况（万元）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9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p>
        </w:tc>
        <w:tc>
          <w:tcPr>
            <w:tcW w:w="3845" w:type="dxa"/>
            <w:vMerge w:val="continue"/>
            <w:tcBorders>
              <w:top w:val="single" w:color="auto" w:sz="4" w:space="0"/>
              <w:left w:val="nil"/>
              <w:bottom w:val="single" w:color="auto" w:sz="4" w:space="0"/>
              <w:right w:val="single" w:color="auto" w:sz="4" w:space="0"/>
            </w:tcBorders>
            <w:vAlign w:val="center"/>
          </w:tcPr>
          <w:p>
            <w:pPr>
              <w:widowControl/>
              <w:spacing w:line="240" w:lineRule="auto"/>
              <w:jc w:val="left"/>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p>
        </w:tc>
        <w:tc>
          <w:tcPr>
            <w:tcW w:w="933" w:type="dxa"/>
            <w:tcBorders>
              <w:top w:val="single" w:color="auto" w:sz="4" w:space="0"/>
              <w:left w:val="nil"/>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规划总投资</w:t>
            </w:r>
          </w:p>
        </w:tc>
        <w:tc>
          <w:tcPr>
            <w:tcW w:w="1021" w:type="dxa"/>
            <w:tcBorders>
              <w:top w:val="single" w:color="auto" w:sz="4" w:space="0"/>
              <w:left w:val="nil"/>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批复投资</w:t>
            </w:r>
          </w:p>
        </w:tc>
        <w:tc>
          <w:tcPr>
            <w:tcW w:w="801" w:type="dxa"/>
            <w:tcBorders>
              <w:top w:val="single" w:color="auto" w:sz="4" w:space="0"/>
              <w:left w:val="nil"/>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到位资金</w:t>
            </w:r>
          </w:p>
        </w:tc>
        <w:tc>
          <w:tcPr>
            <w:tcW w:w="938" w:type="dxa"/>
            <w:tcBorders>
              <w:top w:val="single" w:color="auto" w:sz="4" w:space="0"/>
              <w:left w:val="nil"/>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资金到位率</w:t>
            </w:r>
          </w:p>
        </w:tc>
        <w:tc>
          <w:tcPr>
            <w:tcW w:w="825" w:type="dxa"/>
            <w:tcBorders>
              <w:top w:val="single" w:color="auto" w:sz="4" w:space="0"/>
              <w:left w:val="nil"/>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中央补助资金</w:t>
            </w:r>
          </w:p>
        </w:tc>
        <w:tc>
          <w:tcPr>
            <w:tcW w:w="930" w:type="dxa"/>
            <w:tcBorders>
              <w:top w:val="single" w:color="auto" w:sz="4" w:space="0"/>
              <w:left w:val="nil"/>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省级补助资金</w:t>
            </w:r>
          </w:p>
        </w:tc>
        <w:tc>
          <w:tcPr>
            <w:tcW w:w="900" w:type="dxa"/>
            <w:tcBorders>
              <w:top w:val="single" w:color="auto" w:sz="4" w:space="0"/>
              <w:left w:val="nil"/>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州市配套资金</w:t>
            </w:r>
          </w:p>
        </w:tc>
        <w:tc>
          <w:tcPr>
            <w:tcW w:w="867" w:type="dxa"/>
            <w:tcBorders>
              <w:top w:val="single" w:color="auto" w:sz="4" w:space="0"/>
              <w:left w:val="nil"/>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县级配套资金</w:t>
            </w:r>
          </w:p>
        </w:tc>
        <w:tc>
          <w:tcPr>
            <w:tcW w:w="735" w:type="dxa"/>
            <w:tcBorders>
              <w:top w:val="single" w:color="auto" w:sz="4" w:space="0"/>
              <w:left w:val="nil"/>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自筹</w:t>
            </w:r>
          </w:p>
        </w:tc>
        <w:tc>
          <w:tcPr>
            <w:tcW w:w="791" w:type="dxa"/>
            <w:tcBorders>
              <w:top w:val="single" w:color="auto" w:sz="4" w:space="0"/>
              <w:left w:val="nil"/>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完成投资</w:t>
            </w:r>
          </w:p>
        </w:tc>
        <w:tc>
          <w:tcPr>
            <w:tcW w:w="1003" w:type="dxa"/>
            <w:tcBorders>
              <w:top w:val="single" w:color="auto" w:sz="4" w:space="0"/>
              <w:left w:val="nil"/>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投资完成率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421" w:firstLineChars="200"/>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一、空间管控</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t>316000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w:t>
            </w:r>
          </w:p>
        </w:tc>
        <w:tc>
          <w:tcPr>
            <w:tcW w:w="3845" w:type="dxa"/>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抚仙湖空间管控项目</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1200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645</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52.94%</w:t>
            </w: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62</w:t>
            </w: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583</w:t>
            </w: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235</w:t>
            </w: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22.63%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2</w:t>
            </w:r>
          </w:p>
        </w:tc>
        <w:tc>
          <w:tcPr>
            <w:tcW w:w="3845" w:type="dxa"/>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抚仙湖环湖生态移民搬迁安置工程</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78000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3</w:t>
            </w:r>
          </w:p>
        </w:tc>
        <w:tc>
          <w:tcPr>
            <w:tcW w:w="3845" w:type="dxa"/>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沿湖“违规违建”整治及生态恢复项目</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92100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955</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1.04%</w:t>
            </w: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438</w:t>
            </w: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517</w:t>
            </w: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228</w:t>
            </w: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4</w:t>
            </w:r>
          </w:p>
        </w:tc>
        <w:tc>
          <w:tcPr>
            <w:tcW w:w="3845" w:type="dxa"/>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抚仙湖环湖路提升改造工程</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64700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638</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0.99%</w:t>
            </w: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638</w:t>
            </w: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5</w:t>
            </w:r>
          </w:p>
        </w:tc>
        <w:tc>
          <w:tcPr>
            <w:tcW w:w="3845" w:type="dxa"/>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抚仙湖环湖生态廊道建设项目</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80000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30429</w:t>
            </w: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14900</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48.97%</w:t>
            </w: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14850</w:t>
            </w: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50</w:t>
            </w: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10000</w:t>
            </w: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32.86%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421" w:firstLineChars="200"/>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二、水资源保护与利用</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t>74197</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6</w:t>
            </w:r>
          </w:p>
        </w:tc>
        <w:tc>
          <w:tcPr>
            <w:tcW w:w="3845" w:type="dxa"/>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南片区供水替代工程</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30897</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31612.34</w:t>
            </w: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22042</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69.73%</w:t>
            </w: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22042</w:t>
            </w: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29988</w:t>
            </w: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94.86%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7</w:t>
            </w:r>
          </w:p>
        </w:tc>
        <w:tc>
          <w:tcPr>
            <w:tcW w:w="3845" w:type="dxa"/>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澄江市城乡供水一体化工程项目</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33300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33291</w:t>
            </w: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6649</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19.59%</w:t>
            </w: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125</w:t>
            </w: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110</w:t>
            </w: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6414</w:t>
            </w: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3533</w:t>
            </w: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8</w:t>
            </w:r>
          </w:p>
        </w:tc>
        <w:tc>
          <w:tcPr>
            <w:tcW w:w="3845" w:type="dxa"/>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抚仙湖北岸初期雨水收集循环利用项目</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10000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6862</w:t>
            </w: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4000</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58.29%</w:t>
            </w: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4000</w:t>
            </w: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3850</w:t>
            </w: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56.11%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421" w:firstLineChars="200"/>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三、水污染防治项目</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t>239060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9</w:t>
            </w:r>
          </w:p>
        </w:tc>
        <w:tc>
          <w:tcPr>
            <w:tcW w:w="3845" w:type="dxa"/>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农业绿色转型升级发展工程</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169180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52648</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31.12%</w:t>
            </w: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525</w:t>
            </w: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52123</w:t>
            </w: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25177</w:t>
            </w: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10</w:t>
            </w:r>
          </w:p>
        </w:tc>
        <w:tc>
          <w:tcPr>
            <w:tcW w:w="3845" w:type="dxa"/>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高标准农田建设项目</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5730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12540</w:t>
            </w: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2300</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18.34%</w:t>
            </w: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1968</w:t>
            </w: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273</w:t>
            </w: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59</w:t>
            </w: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1980</w:t>
            </w: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11</w:t>
            </w:r>
          </w:p>
        </w:tc>
        <w:tc>
          <w:tcPr>
            <w:tcW w:w="3845" w:type="dxa"/>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澄江市抚仙湖全流域截污治污项目</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38000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43487</w:t>
            </w: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37440</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86.09%</w:t>
            </w: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37240</w:t>
            </w: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200</w:t>
            </w: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37000</w:t>
            </w: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85.08%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12</w:t>
            </w:r>
          </w:p>
        </w:tc>
        <w:tc>
          <w:tcPr>
            <w:tcW w:w="3845" w:type="dxa"/>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澄江市污水处理厂技术改造项目</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4800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4193</w:t>
            </w: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1000</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25.11%</w:t>
            </w: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1000</w:t>
            </w: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743</w:t>
            </w: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13</w:t>
            </w:r>
          </w:p>
        </w:tc>
        <w:tc>
          <w:tcPr>
            <w:tcW w:w="3845" w:type="dxa"/>
            <w:tcBorders>
              <w:top w:val="single" w:color="auto" w:sz="4" w:space="0"/>
              <w:left w:val="nil"/>
              <w:bottom w:val="single" w:color="auto" w:sz="4" w:space="0"/>
              <w:right w:val="single" w:color="auto" w:sz="4" w:space="0"/>
            </w:tcBorders>
            <w:vAlign w:val="center"/>
          </w:tcPr>
          <w:p>
            <w:pPr>
              <w:spacing w:line="240" w:lineRule="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澄江市生活垃圾治理项目</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21350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1074</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5.03%</w:t>
            </w: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44</w:t>
            </w: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45</w:t>
            </w: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985</w:t>
            </w: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1074</w:t>
            </w: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22.81%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43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421" w:firstLineChars="200"/>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四、水环境治理项目</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t>10000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14</w:t>
            </w:r>
          </w:p>
        </w:tc>
        <w:tc>
          <w:tcPr>
            <w:tcW w:w="3845" w:type="dxa"/>
            <w:tcBorders>
              <w:top w:val="single" w:color="auto" w:sz="4" w:space="0"/>
              <w:left w:val="nil"/>
              <w:bottom w:val="single" w:color="auto" w:sz="4" w:space="0"/>
              <w:right w:val="single" w:color="auto" w:sz="4" w:space="0"/>
            </w:tcBorders>
            <w:vAlign w:val="center"/>
          </w:tcPr>
          <w:p>
            <w:pPr>
              <w:widowControl/>
              <w:textAlignment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抚仙湖入湖河道水质提升工程</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10000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7345</w:t>
            </w: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8800</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100%</w:t>
            </w: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8800</w:t>
            </w: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3190</w:t>
            </w: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43.34%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43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421" w:firstLineChars="200"/>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五、水生态修复项目</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t>56500</w:t>
            </w:r>
          </w:p>
        </w:tc>
        <w:tc>
          <w:tcPr>
            <w:tcW w:w="1021" w:type="dxa"/>
            <w:tcBorders>
              <w:top w:val="single" w:color="auto" w:sz="4" w:space="0"/>
              <w:left w:val="nil"/>
              <w:bottom w:val="single" w:color="auto" w:sz="4" w:space="0"/>
              <w:right w:val="single" w:color="auto" w:sz="4" w:space="0"/>
            </w:tcBorders>
            <w:vAlign w:val="center"/>
          </w:tcPr>
          <w:p>
            <w:pPr>
              <w:spacing w:line="240" w:lineRule="auto"/>
              <w:ind w:firstLine="420" w:firstLineChars="200"/>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801" w:type="dxa"/>
            <w:tcBorders>
              <w:top w:val="single" w:color="auto" w:sz="4" w:space="0"/>
              <w:left w:val="nil"/>
              <w:bottom w:val="single" w:color="auto" w:sz="4" w:space="0"/>
              <w:right w:val="single" w:color="auto" w:sz="4" w:space="0"/>
            </w:tcBorders>
            <w:vAlign w:val="center"/>
          </w:tcPr>
          <w:p>
            <w:pPr>
              <w:spacing w:line="240" w:lineRule="auto"/>
              <w:ind w:firstLine="420" w:firstLineChars="200"/>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938" w:type="dxa"/>
            <w:tcBorders>
              <w:top w:val="single" w:color="auto" w:sz="4" w:space="0"/>
              <w:left w:val="nil"/>
              <w:bottom w:val="single" w:color="auto" w:sz="4" w:space="0"/>
              <w:right w:val="single" w:color="auto" w:sz="4" w:space="0"/>
            </w:tcBorders>
            <w:vAlign w:val="center"/>
          </w:tcPr>
          <w:p>
            <w:pPr>
              <w:spacing w:line="240" w:lineRule="auto"/>
              <w:ind w:firstLine="420" w:firstLineChars="200"/>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825" w:type="dxa"/>
            <w:tcBorders>
              <w:top w:val="single" w:color="auto" w:sz="4" w:space="0"/>
              <w:left w:val="nil"/>
              <w:bottom w:val="single" w:color="auto" w:sz="4" w:space="0"/>
              <w:right w:val="single" w:color="auto" w:sz="4" w:space="0"/>
            </w:tcBorders>
            <w:vAlign w:val="center"/>
          </w:tcPr>
          <w:p>
            <w:pPr>
              <w:spacing w:line="240" w:lineRule="auto"/>
              <w:ind w:firstLine="420" w:firstLineChars="200"/>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ind w:firstLine="420" w:firstLineChars="200"/>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spacing w:line="240" w:lineRule="auto"/>
              <w:ind w:firstLine="420" w:firstLineChars="200"/>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867" w:type="dxa"/>
            <w:tcBorders>
              <w:top w:val="single" w:color="auto" w:sz="4" w:space="0"/>
              <w:left w:val="nil"/>
              <w:bottom w:val="single" w:color="auto" w:sz="4" w:space="0"/>
              <w:right w:val="single" w:color="auto" w:sz="4" w:space="0"/>
            </w:tcBorders>
            <w:vAlign w:val="center"/>
          </w:tcPr>
          <w:p>
            <w:pPr>
              <w:spacing w:line="240" w:lineRule="auto"/>
              <w:ind w:firstLine="420" w:firstLineChars="200"/>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735" w:type="dxa"/>
            <w:tcBorders>
              <w:top w:val="single" w:color="auto" w:sz="4" w:space="0"/>
              <w:left w:val="nil"/>
              <w:bottom w:val="single" w:color="auto" w:sz="4" w:space="0"/>
              <w:right w:val="single" w:color="auto" w:sz="4" w:space="0"/>
            </w:tcBorders>
            <w:vAlign w:val="center"/>
          </w:tcPr>
          <w:p>
            <w:pPr>
              <w:spacing w:line="240" w:lineRule="auto"/>
              <w:ind w:firstLine="420" w:firstLineChars="200"/>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ind w:firstLine="420" w:firstLineChars="200"/>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003" w:type="dxa"/>
            <w:tcBorders>
              <w:top w:val="single" w:color="auto" w:sz="4" w:space="0"/>
              <w:left w:val="nil"/>
              <w:bottom w:val="single" w:color="auto" w:sz="4" w:space="0"/>
              <w:right w:val="single" w:color="auto" w:sz="4" w:space="0"/>
            </w:tcBorders>
            <w:vAlign w:val="center"/>
          </w:tcPr>
          <w:p>
            <w:pPr>
              <w:spacing w:line="240" w:lineRule="auto"/>
              <w:ind w:firstLine="420" w:firstLineChars="200"/>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15</w:t>
            </w:r>
          </w:p>
        </w:tc>
        <w:tc>
          <w:tcPr>
            <w:tcW w:w="3845" w:type="dxa"/>
            <w:tcBorders>
              <w:top w:val="single" w:color="auto" w:sz="4" w:space="0"/>
              <w:left w:val="nil"/>
              <w:bottom w:val="single" w:color="auto" w:sz="4" w:space="0"/>
              <w:right w:val="single" w:color="auto" w:sz="4" w:space="0"/>
            </w:tcBorders>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矿山修复项目</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4000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8999</w:t>
            </w: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809</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8.99%</w:t>
            </w: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40</w:t>
            </w: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199</w:t>
            </w: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570</w:t>
            </w: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2907</w:t>
            </w: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32.30%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16</w:t>
            </w:r>
          </w:p>
        </w:tc>
        <w:tc>
          <w:tcPr>
            <w:tcW w:w="3845" w:type="dxa"/>
            <w:tcBorders>
              <w:top w:val="single" w:color="auto" w:sz="4" w:space="0"/>
              <w:left w:val="nil"/>
              <w:bottom w:val="single" w:color="auto" w:sz="4" w:space="0"/>
              <w:right w:val="single" w:color="auto" w:sz="4" w:space="0"/>
            </w:tcBorders>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抚仙湖生物多样性保护工程</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52500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52538</w:t>
            </w: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19750</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37.59%</w:t>
            </w: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19750</w:t>
            </w: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10225</w:t>
            </w: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4340" w:type="dxa"/>
            <w:gridSpan w:val="2"/>
            <w:tcBorders>
              <w:top w:val="single" w:color="auto" w:sz="4" w:space="0"/>
              <w:left w:val="single" w:color="auto" w:sz="4" w:space="0"/>
              <w:bottom w:val="single" w:color="auto" w:sz="4" w:space="0"/>
              <w:right w:val="single" w:color="auto" w:sz="4" w:space="0"/>
            </w:tcBorders>
            <w:vAlign w:val="center"/>
          </w:tcPr>
          <w:p>
            <w:pPr>
              <w:widowControl/>
              <w:ind w:firstLine="421" w:firstLineChars="200"/>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六、水灾害防治项目</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t>3300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17</w:t>
            </w:r>
          </w:p>
        </w:tc>
        <w:tc>
          <w:tcPr>
            <w:tcW w:w="3845" w:type="dxa"/>
            <w:tcBorders>
              <w:top w:val="single" w:color="auto" w:sz="4" w:space="0"/>
              <w:left w:val="nil"/>
              <w:bottom w:val="single" w:color="auto" w:sz="4" w:space="0"/>
              <w:right w:val="single" w:color="auto" w:sz="4" w:space="0"/>
            </w:tcBorders>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澄江市智慧水务监管平台（一水两污监控中心）建设项目</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3300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1373</w:t>
            </w: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1200</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26.74%</w:t>
            </w: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1200</w:t>
            </w: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1347</w:t>
            </w: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30.02%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4340" w:type="dxa"/>
            <w:gridSpan w:val="2"/>
            <w:tcBorders>
              <w:top w:val="single" w:color="auto" w:sz="4" w:space="0"/>
              <w:left w:val="single" w:color="auto" w:sz="4" w:space="0"/>
              <w:bottom w:val="single" w:color="auto" w:sz="4" w:space="0"/>
              <w:right w:val="single" w:color="auto" w:sz="4" w:space="0"/>
            </w:tcBorders>
            <w:vAlign w:val="center"/>
          </w:tcPr>
          <w:p>
            <w:pPr>
              <w:widowControl/>
              <w:ind w:firstLine="421" w:firstLineChars="200"/>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七、执法监管项目</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t>50125</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18</w:t>
            </w:r>
          </w:p>
        </w:tc>
        <w:tc>
          <w:tcPr>
            <w:tcW w:w="3845" w:type="dxa"/>
            <w:tcBorders>
              <w:top w:val="single" w:color="auto" w:sz="4" w:space="0"/>
              <w:left w:val="nil"/>
              <w:bottom w:val="single" w:color="auto" w:sz="4" w:space="0"/>
              <w:right w:val="single" w:color="auto" w:sz="4" w:space="0"/>
            </w:tcBorders>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抚仙湖流域保护治理项目运行管护</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36667</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2068</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5.64%</w:t>
            </w: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2018</w:t>
            </w: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50</w:t>
            </w: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1286</w:t>
            </w: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19</w:t>
            </w:r>
          </w:p>
        </w:tc>
        <w:tc>
          <w:tcPr>
            <w:tcW w:w="3845" w:type="dxa"/>
            <w:tcBorders>
              <w:top w:val="single" w:color="auto" w:sz="4" w:space="0"/>
              <w:left w:val="nil"/>
              <w:bottom w:val="single" w:color="auto" w:sz="4" w:space="0"/>
              <w:right w:val="single" w:color="auto" w:sz="4" w:space="0"/>
            </w:tcBorders>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三湖流域水环境保护数字化监管系统建设</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5000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20</w:t>
            </w:r>
          </w:p>
        </w:tc>
        <w:tc>
          <w:tcPr>
            <w:tcW w:w="3845" w:type="dxa"/>
            <w:tcBorders>
              <w:top w:val="single" w:color="auto" w:sz="4" w:space="0"/>
              <w:left w:val="nil"/>
              <w:bottom w:val="single" w:color="auto" w:sz="4" w:space="0"/>
              <w:right w:val="single" w:color="auto" w:sz="4" w:space="0"/>
            </w:tcBorders>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玉溪市“三湖”流域水环境质量自动监测建设项目</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6000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6012</w:t>
            </w: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4200</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69.86%</w:t>
            </w: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4200</w:t>
            </w: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3005</w:t>
            </w: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49.99%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21</w:t>
            </w:r>
          </w:p>
        </w:tc>
        <w:tc>
          <w:tcPr>
            <w:tcW w:w="3845" w:type="dxa"/>
            <w:tcBorders>
              <w:top w:val="single" w:color="auto" w:sz="4" w:space="0"/>
              <w:left w:val="nil"/>
              <w:bottom w:val="single" w:color="auto" w:sz="4" w:space="0"/>
              <w:right w:val="single" w:color="auto" w:sz="4" w:space="0"/>
            </w:tcBorders>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抚仙湖水文监测中心</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1238</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22</w:t>
            </w:r>
          </w:p>
        </w:tc>
        <w:tc>
          <w:tcPr>
            <w:tcW w:w="3845" w:type="dxa"/>
            <w:tcBorders>
              <w:top w:val="single" w:color="auto" w:sz="4" w:space="0"/>
              <w:left w:val="nil"/>
              <w:bottom w:val="single" w:color="auto" w:sz="4" w:space="0"/>
              <w:right w:val="single" w:color="auto" w:sz="4" w:space="0"/>
            </w:tcBorders>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抚仙湖水环境保护精准研究项目</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820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23</w:t>
            </w:r>
          </w:p>
        </w:tc>
        <w:tc>
          <w:tcPr>
            <w:tcW w:w="3845" w:type="dxa"/>
            <w:tcBorders>
              <w:top w:val="single" w:color="auto" w:sz="4" w:space="0"/>
              <w:left w:val="nil"/>
              <w:bottom w:val="single" w:color="auto" w:sz="4" w:space="0"/>
              <w:right w:val="single" w:color="auto" w:sz="4" w:space="0"/>
            </w:tcBorders>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抚仙湖流域再生水综合利用和雨水冲击性负荷研究与示范项目</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200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199</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100%</w:t>
            </w: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199</w:t>
            </w: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160</w:t>
            </w: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80.40%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24</w:t>
            </w:r>
          </w:p>
        </w:tc>
        <w:tc>
          <w:tcPr>
            <w:tcW w:w="3845" w:type="dxa"/>
            <w:tcBorders>
              <w:top w:val="single" w:color="auto" w:sz="4" w:space="0"/>
              <w:left w:val="nil"/>
              <w:bottom w:val="single" w:color="auto" w:sz="4" w:space="0"/>
              <w:right w:val="single" w:color="auto" w:sz="4" w:space="0"/>
            </w:tcBorders>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抚仙湖总磷变化机制和趋势分析研判课题研究</w:t>
            </w:r>
          </w:p>
        </w:tc>
        <w:tc>
          <w:tcPr>
            <w:tcW w:w="933"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200</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Times New Roman" w:hAnsi="Times New Roman" w:cs="Times New Roman" w:eastAsiaTheme="minorEastAsia"/>
                <w:color w:val="000000" w:themeColor="text1"/>
                <w:kern w:val="0"/>
                <w:sz w:val="18"/>
                <w:szCs w:val="18"/>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c>
          <w:tcPr>
            <w:tcW w:w="82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3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867"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35"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79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3845" w:type="dxa"/>
            <w:tcBorders>
              <w:top w:val="single" w:color="auto" w:sz="4" w:space="0"/>
              <w:left w:val="nil"/>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合计</w:t>
            </w:r>
          </w:p>
        </w:tc>
        <w:tc>
          <w:tcPr>
            <w:tcW w:w="933" w:type="dxa"/>
            <w:tcBorders>
              <w:top w:val="single" w:color="auto" w:sz="4" w:space="0"/>
              <w:left w:val="nil"/>
              <w:bottom w:val="single" w:color="auto" w:sz="4" w:space="0"/>
              <w:right w:val="single" w:color="auto" w:sz="4" w:space="0"/>
            </w:tcBorders>
            <w:vAlign w:val="bottom"/>
          </w:tcPr>
          <w:p>
            <w:pPr>
              <w:spacing w:line="240" w:lineRule="auto"/>
              <w:jc w:val="cente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t>749182</w:t>
            </w:r>
          </w:p>
        </w:tc>
        <w:tc>
          <w:tcPr>
            <w:tcW w:w="102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t>247721.11</w:t>
            </w:r>
          </w:p>
        </w:tc>
        <w:tc>
          <w:tcPr>
            <w:tcW w:w="801"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t>181317</w:t>
            </w:r>
          </w:p>
        </w:tc>
        <w:tc>
          <w:tcPr>
            <w:tcW w:w="938"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t>24.20%</w:t>
            </w:r>
          </w:p>
        </w:tc>
        <w:tc>
          <w:tcPr>
            <w:tcW w:w="825" w:type="dxa"/>
            <w:tcBorders>
              <w:top w:val="single" w:color="auto" w:sz="4" w:space="0"/>
              <w:left w:val="nil"/>
              <w:bottom w:val="single" w:color="auto" w:sz="4" w:space="0"/>
              <w:right w:val="single" w:color="auto" w:sz="4" w:space="0"/>
            </w:tcBorders>
            <w:vAlign w:val="bottom"/>
          </w:tcPr>
          <w:p>
            <w:pPr>
              <w:spacing w:line="240" w:lineRule="auto"/>
              <w:jc w:val="cente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t>3733</w:t>
            </w:r>
          </w:p>
        </w:tc>
        <w:tc>
          <w:tcPr>
            <w:tcW w:w="930" w:type="dxa"/>
            <w:tcBorders>
              <w:top w:val="single" w:color="auto" w:sz="4" w:space="0"/>
              <w:left w:val="nil"/>
              <w:bottom w:val="single" w:color="auto" w:sz="4" w:space="0"/>
              <w:right w:val="single" w:color="auto" w:sz="4" w:space="0"/>
            </w:tcBorders>
            <w:vAlign w:val="bottom"/>
          </w:tcPr>
          <w:p>
            <w:pPr>
              <w:spacing w:line="240" w:lineRule="auto"/>
              <w:jc w:val="cente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t>142758.5</w:t>
            </w:r>
          </w:p>
        </w:tc>
        <w:tc>
          <w:tcPr>
            <w:tcW w:w="900" w:type="dxa"/>
            <w:tcBorders>
              <w:top w:val="single" w:color="auto" w:sz="4" w:space="0"/>
              <w:left w:val="nil"/>
              <w:bottom w:val="single" w:color="auto" w:sz="4" w:space="0"/>
              <w:right w:val="single" w:color="auto" w:sz="4" w:space="0"/>
            </w:tcBorders>
            <w:vAlign w:val="bottom"/>
          </w:tcPr>
          <w:p>
            <w:pPr>
              <w:spacing w:line="240" w:lineRule="auto"/>
              <w:jc w:val="cente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t>2981</w:t>
            </w:r>
          </w:p>
        </w:tc>
        <w:tc>
          <w:tcPr>
            <w:tcW w:w="867" w:type="dxa"/>
            <w:tcBorders>
              <w:top w:val="single" w:color="auto" w:sz="4" w:space="0"/>
              <w:left w:val="nil"/>
              <w:bottom w:val="single" w:color="auto" w:sz="4" w:space="0"/>
              <w:right w:val="single" w:color="auto" w:sz="4" w:space="0"/>
            </w:tcBorders>
            <w:vAlign w:val="bottom"/>
          </w:tcPr>
          <w:p>
            <w:pPr>
              <w:spacing w:line="240" w:lineRule="auto"/>
              <w:jc w:val="cente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t>2403</w:t>
            </w:r>
          </w:p>
        </w:tc>
        <w:tc>
          <w:tcPr>
            <w:tcW w:w="735" w:type="dxa"/>
            <w:tcBorders>
              <w:top w:val="single" w:color="auto" w:sz="4" w:space="0"/>
              <w:left w:val="nil"/>
              <w:bottom w:val="single" w:color="auto" w:sz="4" w:space="0"/>
              <w:right w:val="single" w:color="auto" w:sz="4" w:space="0"/>
            </w:tcBorders>
            <w:vAlign w:val="bottom"/>
          </w:tcPr>
          <w:p>
            <w:pPr>
              <w:spacing w:line="240" w:lineRule="auto"/>
              <w:jc w:val="cente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t>29441</w:t>
            </w:r>
          </w:p>
        </w:tc>
        <w:tc>
          <w:tcPr>
            <w:tcW w:w="791" w:type="dxa"/>
            <w:tcBorders>
              <w:top w:val="single" w:color="auto" w:sz="4" w:space="0"/>
              <w:left w:val="nil"/>
              <w:bottom w:val="single" w:color="auto" w:sz="4" w:space="0"/>
              <w:right w:val="single" w:color="auto" w:sz="4" w:space="0"/>
            </w:tcBorders>
            <w:vAlign w:val="bottom"/>
          </w:tcPr>
          <w:p>
            <w:pPr>
              <w:spacing w:line="240" w:lineRule="auto"/>
              <w:jc w:val="cente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t>135928</w:t>
            </w:r>
          </w:p>
        </w:tc>
        <w:tc>
          <w:tcPr>
            <w:tcW w:w="1003" w:type="dxa"/>
            <w:tcBorders>
              <w:top w:val="single" w:color="auto" w:sz="4" w:space="0"/>
              <w:left w:val="nil"/>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18"/>
                <w:szCs w:val="18"/>
                <w:highlight w:val="none"/>
                <w14:textFill>
                  <w14:solidFill>
                    <w14:schemeClr w14:val="tx1"/>
                  </w14:solidFill>
                </w14:textFill>
              </w:rPr>
              <w:t>18.14%</w:t>
            </w:r>
          </w:p>
        </w:tc>
      </w:tr>
    </w:tbl>
    <w:p>
      <w:pPr>
        <w:pStyle w:val="4"/>
        <w:spacing w:before="120" w:after="120" w:line="480" w:lineRule="auto"/>
        <w:jc w:val="center"/>
        <w:rPr>
          <w:rFonts w:hint="default" w:ascii="Times New Roman" w:hAnsi="Times New Roman" w:cs="Times New Roman" w:eastAsiaTheme="minorEastAsia"/>
          <w:bCs/>
          <w:color w:val="000000" w:themeColor="text1"/>
          <w:sz w:val="21"/>
          <w:szCs w:val="21"/>
          <w:highlight w:val="none"/>
          <w14:textFill>
            <w14:solidFill>
              <w14:schemeClr w14:val="tx1"/>
            </w14:solidFill>
          </w14:textFill>
        </w:rPr>
      </w:pPr>
      <w:bookmarkStart w:id="327" w:name="_Toc8161"/>
      <w:bookmarkStart w:id="328" w:name="_Toc16104"/>
      <w:bookmarkStart w:id="329" w:name="_Toc17522"/>
      <w:r>
        <w:rPr>
          <w:rFonts w:hint="default" w:ascii="Times New Roman" w:hAnsi="Times New Roman" w:cs="Times New Roman" w:eastAsiaTheme="minorEastAsia"/>
          <w:bCs/>
          <w:color w:val="000000" w:themeColor="text1"/>
          <w:sz w:val="21"/>
          <w:szCs w:val="21"/>
          <w:highlight w:val="none"/>
          <w14:textFill>
            <w14:solidFill>
              <w14:schemeClr w14:val="tx1"/>
            </w14:solidFill>
          </w14:textFill>
        </w:rPr>
        <w:t>表4.</w:t>
      </w:r>
      <w:r>
        <w:rPr>
          <w:rFonts w:hint="eastAsia"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t>1.3</w:t>
      </w:r>
      <w:r>
        <w:rPr>
          <w:rFonts w:hint="default" w:ascii="Times New Roman" w:hAnsi="Times New Roman" w:cs="Times New Roman" w:eastAsiaTheme="minorEastAsia"/>
          <w:bCs/>
          <w:color w:val="000000" w:themeColor="text1"/>
          <w:sz w:val="21"/>
          <w:szCs w:val="21"/>
          <w:highlight w:val="none"/>
          <w14:textFill>
            <w14:solidFill>
              <w14:schemeClr w14:val="tx1"/>
            </w14:solidFill>
          </w14:textFill>
        </w:rPr>
        <w:t>-</w:t>
      </w:r>
      <w:r>
        <w:rPr>
          <w:rFonts w:hint="eastAsia"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eastAsiaTheme="minorEastAsia"/>
          <w:bCs/>
          <w:color w:val="000000" w:themeColor="text1"/>
          <w:sz w:val="21"/>
          <w:szCs w:val="21"/>
          <w:highlight w:val="none"/>
          <w14:textFill>
            <w14:solidFill>
              <w14:schemeClr w14:val="tx1"/>
            </w14:solidFill>
          </w14:textFill>
        </w:rPr>
        <w:t>“十四五”抚仙湖规划分类投资进度汇总表</w:t>
      </w:r>
      <w:bookmarkEnd w:id="327"/>
      <w:bookmarkEnd w:id="328"/>
      <w:bookmarkEnd w:id="329"/>
    </w:p>
    <w:tbl>
      <w:tblPr>
        <w:tblStyle w:val="17"/>
        <w:tblW w:w="4994" w:type="pct"/>
        <w:tblInd w:w="0" w:type="dxa"/>
        <w:tblLayout w:type="autofit"/>
        <w:tblCellMar>
          <w:top w:w="0" w:type="dxa"/>
          <w:left w:w="108" w:type="dxa"/>
          <w:bottom w:w="0" w:type="dxa"/>
          <w:right w:w="108" w:type="dxa"/>
        </w:tblCellMar>
      </w:tblPr>
      <w:tblGrid>
        <w:gridCol w:w="524"/>
        <w:gridCol w:w="1778"/>
        <w:gridCol w:w="554"/>
        <w:gridCol w:w="1004"/>
        <w:gridCol w:w="1029"/>
        <w:gridCol w:w="1034"/>
        <w:gridCol w:w="1081"/>
        <w:gridCol w:w="915"/>
        <w:gridCol w:w="1018"/>
        <w:gridCol w:w="1098"/>
        <w:gridCol w:w="1034"/>
        <w:gridCol w:w="899"/>
        <w:gridCol w:w="891"/>
        <w:gridCol w:w="1004"/>
      </w:tblGrid>
      <w:tr>
        <w:tblPrEx>
          <w:tblCellMar>
            <w:top w:w="0" w:type="dxa"/>
            <w:left w:w="108" w:type="dxa"/>
            <w:bottom w:w="0" w:type="dxa"/>
            <w:right w:w="108" w:type="dxa"/>
          </w:tblCellMar>
        </w:tblPrEx>
        <w:trPr>
          <w:trHeight w:val="266" w:hRule="atLeast"/>
        </w:trPr>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序号</w:t>
            </w: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项目类型</w:t>
            </w:r>
          </w:p>
        </w:tc>
        <w:tc>
          <w:tcPr>
            <w:tcW w:w="2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项目数</w:t>
            </w:r>
          </w:p>
        </w:tc>
        <w:tc>
          <w:tcPr>
            <w:tcW w:w="3962"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项目投资完成情况（万元）</w:t>
            </w:r>
          </w:p>
        </w:tc>
      </w:tr>
      <w:tr>
        <w:tblPrEx>
          <w:tblCellMar>
            <w:top w:w="0" w:type="dxa"/>
            <w:left w:w="108" w:type="dxa"/>
            <w:bottom w:w="0" w:type="dxa"/>
            <w:right w:w="108" w:type="dxa"/>
          </w:tblCellMar>
        </w:tblPrEx>
        <w:trPr>
          <w:trHeight w:val="794"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规划总投资</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批复投资</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已到位资金</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资金到位率</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已完成投资</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投资完成率</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中央补助资金</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省级补助资金</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州市配套资金</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县级配套资金</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自筹资金</w:t>
            </w:r>
          </w:p>
        </w:tc>
      </w:tr>
      <w:tr>
        <w:tblPrEx>
          <w:tblCellMar>
            <w:top w:w="0" w:type="dxa"/>
            <w:left w:w="108" w:type="dxa"/>
            <w:bottom w:w="0" w:type="dxa"/>
            <w:right w:w="108" w:type="dxa"/>
          </w:tblCellMar>
        </w:tblPrEx>
        <w:trPr>
          <w:trHeight w:val="267" w:hRule="atLeast"/>
        </w:trPr>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空间管控</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5</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316000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30429</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17138</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5.42%</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10463</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3.31%</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0</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14850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550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1737.6</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21" w:hRule="atLeast"/>
        </w:trPr>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2</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水资源保护与利用</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3</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74197.31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71765.34</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32690.85</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44.06%</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37371</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50.37%</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0</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4125</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110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28455.85</w:t>
            </w:r>
          </w:p>
        </w:tc>
      </w:tr>
      <w:tr>
        <w:tblPrEx>
          <w:tblCellMar>
            <w:top w:w="0" w:type="dxa"/>
            <w:left w:w="108" w:type="dxa"/>
            <w:bottom w:w="0" w:type="dxa"/>
            <w:right w:w="108" w:type="dxa"/>
          </w:tblCellMar>
        </w:tblPrEx>
        <w:trPr>
          <w:trHeight w:val="270" w:hRule="atLeast"/>
        </w:trPr>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3</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水污染防治</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5</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239060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60219.88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94462</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39.51%</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65974</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27.60%</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2492.73</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90635.83</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303.2</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45.37</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985</w:t>
            </w:r>
          </w:p>
        </w:tc>
      </w:tr>
      <w:tr>
        <w:tblPrEx>
          <w:tblCellMar>
            <w:top w:w="0" w:type="dxa"/>
            <w:left w:w="108" w:type="dxa"/>
            <w:bottom w:w="0" w:type="dxa"/>
            <w:right w:w="108" w:type="dxa"/>
          </w:tblCellMar>
        </w:tblPrEx>
        <w:trPr>
          <w:trHeight w:val="270" w:hRule="atLeast"/>
        </w:trPr>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4</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水环境治理</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10000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7345.09</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8800</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88.00%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3190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31.90%</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0</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8800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70" w:hRule="atLeast"/>
        </w:trPr>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水生态修复</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2</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56500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61537</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20559</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36.39%</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13132</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23.24%</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40</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19949</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570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70" w:hRule="atLeast"/>
        </w:trPr>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6</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水灾害防治</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3300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1372.66</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1200</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36.36%</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1347</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40.82%</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1200</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270" w:hRule="atLeast"/>
        </w:trPr>
        <w:tc>
          <w:tcPr>
            <w:tcW w:w="1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7</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执法监管</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7</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50125</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6011.74</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6467</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12.90%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4451</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8.88%</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0</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4398.65</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2017.78</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50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0</w:t>
            </w:r>
          </w:p>
        </w:tc>
      </w:tr>
      <w:tr>
        <w:tblPrEx>
          <w:tblCellMar>
            <w:top w:w="0" w:type="dxa"/>
            <w:left w:w="108" w:type="dxa"/>
            <w:bottom w:w="0" w:type="dxa"/>
            <w:right w:w="108" w:type="dxa"/>
          </w:tblCellMar>
        </w:tblPrEx>
        <w:trPr>
          <w:trHeight w:val="420" w:hRule="atLeast"/>
        </w:trPr>
        <w:tc>
          <w:tcPr>
            <w:tcW w:w="8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合计</w:t>
            </w:r>
          </w:p>
        </w:tc>
        <w:tc>
          <w:tcPr>
            <w:tcW w:w="2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24</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lang w:bidi="ar"/>
                <w14:textFill>
                  <w14:solidFill>
                    <w14:schemeClr w14:val="tx1"/>
                  </w14:solidFill>
                </w14:textFill>
              </w:rPr>
              <w:t>749182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lang w:bidi="ar"/>
                <w14:textFill>
                  <w14:solidFill>
                    <w14:schemeClr w14:val="tx1"/>
                  </w14:solidFill>
                </w14:textFill>
              </w:rPr>
              <w:t>238681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181317</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24.20%</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135928</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18.14%</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3733</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142759</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2981</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2403</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29441</w:t>
            </w:r>
          </w:p>
        </w:tc>
      </w:tr>
    </w:tbl>
    <w:p>
      <w:pPr>
        <w:widowControl/>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sectPr>
          <w:pgSz w:w="16838" w:h="11906" w:orient="landscape"/>
          <w:pgMar w:top="1134"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36" w:charSpace="0"/>
        </w:sectPr>
      </w:pPr>
    </w:p>
    <w:p>
      <w:pPr>
        <w:pStyle w:val="4"/>
        <w:spacing w:before="120" w:after="120" w:line="480" w:lineRule="auto"/>
        <w:rPr>
          <w:rFonts w:hint="default" w:ascii="Times New Roman" w:hAnsi="Times New Roman" w:cs="Times New Roman" w:eastAsiaTheme="minorEastAsia"/>
          <w:color w:val="000000" w:themeColor="text1"/>
          <w:highlight w:val="none"/>
          <w14:textFill>
            <w14:solidFill>
              <w14:schemeClr w14:val="tx1"/>
            </w14:solidFill>
          </w14:textFill>
        </w:rPr>
      </w:pPr>
      <w:bookmarkStart w:id="330" w:name="_Toc18360"/>
      <w:r>
        <w:rPr>
          <w:rFonts w:hint="default" w:ascii="Times New Roman" w:hAnsi="Times New Roman" w:cs="Times New Roman" w:eastAsiaTheme="minorEastAsia"/>
          <w:color w:val="000000" w:themeColor="text1"/>
          <w:highlight w:val="none"/>
          <w14:textFill>
            <w14:solidFill>
              <w14:schemeClr w14:val="tx1"/>
            </w14:solidFill>
          </w14:textFill>
        </w:rPr>
        <w:t>4.2规划任务落实情况评估</w:t>
      </w:r>
      <w:bookmarkEnd w:id="325"/>
      <w:bookmarkEnd w:id="326"/>
      <w:bookmarkEnd w:id="330"/>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331" w:name="_Toc20148"/>
      <w:bookmarkStart w:id="332" w:name="_Toc10211787"/>
      <w:bookmarkStart w:id="333" w:name="_Toc27068"/>
      <w:bookmarkStart w:id="334" w:name="_Toc17141"/>
      <w:r>
        <w:rPr>
          <w:rFonts w:hint="default" w:ascii="Times New Roman" w:hAnsi="Times New Roman" w:cs="Times New Roman" w:eastAsiaTheme="minorEastAsia"/>
          <w:color w:val="000000" w:themeColor="text1"/>
          <w:highlight w:val="none"/>
          <w14:textFill>
            <w14:solidFill>
              <w14:schemeClr w14:val="tx1"/>
            </w14:solidFill>
          </w14:textFill>
        </w:rPr>
        <w:t>4.2.1</w:t>
      </w:r>
      <w:bookmarkEnd w:id="331"/>
      <w:bookmarkEnd w:id="332"/>
      <w:r>
        <w:rPr>
          <w:rFonts w:hint="default" w:ascii="Times New Roman" w:hAnsi="Times New Roman" w:cs="Times New Roman" w:eastAsiaTheme="minorEastAsia"/>
          <w:color w:val="000000" w:themeColor="text1"/>
          <w:highlight w:val="none"/>
          <w14:textFill>
            <w14:solidFill>
              <w14:schemeClr w14:val="tx1"/>
            </w14:solidFill>
          </w14:textFill>
        </w:rPr>
        <w:t>空间管控</w:t>
      </w:r>
      <w:bookmarkEnd w:id="333"/>
      <w:bookmarkEnd w:id="334"/>
    </w:p>
    <w:p>
      <w:pPr>
        <w:pStyle w:val="6"/>
        <w:spacing w:before="0" w:after="0" w:line="360" w:lineRule="auto"/>
        <w:rPr>
          <w:rFonts w:hint="default" w:ascii="Times New Roman" w:hAnsi="Times New Roman" w:cs="Times New Roman" w:eastAsiaTheme="minorEastAsia"/>
          <w:b w:val="0"/>
          <w:color w:val="000000" w:themeColor="text1"/>
          <w:highlight w:val="none"/>
          <w14:textFill>
            <w14:solidFill>
              <w14:schemeClr w14:val="tx1"/>
            </w14:solidFill>
          </w14:textFill>
        </w:rPr>
      </w:pPr>
      <w:bookmarkStart w:id="335" w:name="_Toc4558"/>
      <w:bookmarkStart w:id="336" w:name="_Toc10211788"/>
      <w:bookmarkStart w:id="337" w:name="_Toc4185"/>
      <w:bookmarkStart w:id="338" w:name="_Toc23728"/>
      <w:bookmarkStart w:id="339" w:name="_Toc17219"/>
      <w:r>
        <w:rPr>
          <w:rFonts w:hint="default" w:ascii="Times New Roman" w:hAnsi="Times New Roman" w:cs="Times New Roman" w:eastAsiaTheme="minorEastAsia"/>
          <w:b w:val="0"/>
          <w:color w:val="000000" w:themeColor="text1"/>
          <w:highlight w:val="none"/>
          <w14:textFill>
            <w14:solidFill>
              <w14:schemeClr w14:val="tx1"/>
            </w14:solidFill>
          </w14:textFill>
        </w:rPr>
        <w:t>4.2.1.1</w:t>
      </w:r>
      <w:bookmarkEnd w:id="335"/>
      <w:bookmarkEnd w:id="336"/>
      <w:r>
        <w:rPr>
          <w:rFonts w:hint="default" w:ascii="Times New Roman" w:hAnsi="Times New Roman" w:cs="Times New Roman" w:eastAsiaTheme="minorEastAsia"/>
          <w:b w:val="0"/>
          <w:color w:val="000000" w:themeColor="text1"/>
          <w:highlight w:val="none"/>
          <w14:textFill>
            <w14:solidFill>
              <w14:schemeClr w14:val="tx1"/>
            </w14:solidFill>
          </w14:textFill>
        </w:rPr>
        <w:t>抚仙湖空间管控项目</w:t>
      </w:r>
      <w:bookmarkEnd w:id="337"/>
      <w:bookmarkEnd w:id="338"/>
      <w:bookmarkEnd w:id="339"/>
    </w:p>
    <w:p>
      <w:pPr>
        <w:numPr>
          <w:ilvl w:val="0"/>
          <w:numId w:val="1"/>
        </w:num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①编制完成《澄江市国土空间规划（2021年—2035年）》。②修订《抚仙湖流域国土空间保护和科学利用专项规</w:t>
      </w:r>
      <w:r>
        <w:rPr>
          <w:rFonts w:hint="eastAsia" w:cs="Times New Roman" w:eastAsiaTheme="minorEastAsia"/>
          <w:bCs/>
          <w:color w:val="000000" w:themeColor="text1"/>
          <w:highlight w:val="none"/>
          <w:lang w:val="en-US" w:eastAsia="zh-CN"/>
          <w14:textFill>
            <w14:solidFill>
              <w14:schemeClr w14:val="tx1"/>
            </w14:solidFill>
          </w14:textFill>
        </w:rPr>
        <w:t>划</w:t>
      </w:r>
      <w:r>
        <w:rPr>
          <w:rFonts w:hint="default" w:ascii="Times New Roman" w:hAnsi="Times New Roman" w:cs="Times New Roman" w:eastAsiaTheme="minorEastAsia"/>
          <w:bCs/>
          <w:color w:val="000000" w:themeColor="text1"/>
          <w:highlight w:val="none"/>
          <w14:textFill>
            <w14:solidFill>
              <w14:schemeClr w14:val="tx1"/>
            </w14:solidFill>
          </w14:textFill>
        </w:rPr>
        <w:t>（2018—2035年）》。</w:t>
      </w:r>
      <w:r>
        <w:rPr>
          <w:rFonts w:hint="default" w:ascii="Times New Roman" w:hAnsi="Times New Roman" w:cs="Times New Roman" w:eastAsiaTheme="minorEastAsia"/>
          <w:bCs/>
          <w:color w:val="000000" w:themeColor="text1"/>
          <w:highlight w:val="none"/>
          <w:u w:val="none"/>
          <w14:textFill>
            <w14:solidFill>
              <w14:schemeClr w14:val="tx1"/>
            </w14:solidFill>
          </w14:textFill>
        </w:rPr>
        <w:t>③科学论证、划定抚仙湖生态廊道线、环湖公路线</w:t>
      </w:r>
      <w:r>
        <w:rPr>
          <w:rFonts w:hint="default" w:ascii="Times New Roman" w:hAnsi="Times New Roman" w:cs="Times New Roman" w:eastAsiaTheme="minorEastAsia"/>
          <w:bCs/>
          <w:color w:val="000000" w:themeColor="text1"/>
          <w:highlight w:val="none"/>
          <w:u w:val="none"/>
          <w:lang w:eastAsia="zh-CN"/>
          <w14:textFill>
            <w14:solidFill>
              <w14:schemeClr w14:val="tx1"/>
            </w14:solidFill>
          </w14:textFill>
        </w:rPr>
        <w:t>（现名称变更为湖滨生态红线、湖泊生态黄线</w:t>
      </w:r>
      <w:r>
        <w:rPr>
          <w:rFonts w:hint="eastAsia"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④划定抚仙湖流域边界线。</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规划实施年限：2021-2023年</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项目责任单位：澄江市自然资源局</w:t>
      </w:r>
    </w:p>
    <w:p>
      <w:pPr>
        <w:numPr>
          <w:ilvl w:val="0"/>
          <w:numId w:val="1"/>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1200万元，总投资1038.4万元，截至2023年6月，已到位资金645万元，资金到位率62.11%，其中州市配套资金62万元，县级配套583万元；已完成投资235万元，投资完成率22.63%。该项目于2021年4月25日签订澄江市国土空间总体规划(2020-2035年)编制合同，合同金额820万元；于2021年8月23日签订抚仙湖径流区边界划定专题研究合同，合同金额38.8万元；于2022年1月11日签订抚仙湖流域国士空间保护和科学利用专项规划(2020--2035年)修编项目合同，合同金额179.6万元。目前①编制完成《澄江市国土空间规划（2021年—2035年）》，并已组织完成规划草案公示、听证会、专家评审会；通过澄江市规委会、市政府常务会、市委常委、人大常委会审议；通过玉溪市专家及部门联席审查会、玉溪市规委会审议</w:t>
      </w:r>
      <w:r>
        <w:rPr>
          <w:rFonts w:hint="eastAsia"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已通过县、市两级审查，并上报玉溪市人民政府审批。其中的8个专题研究和“双评估”备案已完成；国土空间规划“三区三线”划定成果于2022年10月14日经自然资源部审查正式启用作为建设项目用地组卷报批依据，11月11日下发“三区三线”数据。②已修订完成《抚仙湖流域国土空间保护和科学利用专项规划（2021-2023年）》，并于2023年6月25日经玉溪市人民政府批复实施。</w:t>
      </w:r>
      <w:r>
        <w:rPr>
          <w:rFonts w:hint="default" w:ascii="Times New Roman" w:hAnsi="Times New Roman" w:cs="Times New Roman" w:eastAsiaTheme="minorEastAsia"/>
          <w:bCs/>
          <w:color w:val="000000" w:themeColor="text1"/>
          <w:highlight w:val="none"/>
          <w:u w:val="none"/>
          <w14:textFill>
            <w14:solidFill>
              <w14:schemeClr w14:val="tx1"/>
            </w14:solidFill>
          </w14:textFill>
        </w:rPr>
        <w:t>③</w:t>
      </w:r>
      <w:r>
        <w:rPr>
          <w:rFonts w:hint="default" w:ascii="Times New Roman" w:hAnsi="Times New Roman" w:cs="Times New Roman" w:eastAsiaTheme="minorEastAsia"/>
          <w:bCs/>
          <w:color w:val="000000" w:themeColor="text1"/>
          <w:highlight w:val="none"/>
          <w14:textFill>
            <w14:solidFill>
              <w14:schemeClr w14:val="tx1"/>
            </w14:solidFill>
          </w14:textFill>
        </w:rPr>
        <w:t>《抚仙湖保护“三区”管控实施细则》于2022年8月30日已发布实施。“两线”落地</w:t>
      </w:r>
      <w:r>
        <w:rPr>
          <w:rFonts w:hint="eastAsia" w:cs="Times New Roman" w:eastAsiaTheme="minorEastAsia"/>
          <w:bCs/>
          <w:color w:val="000000" w:themeColor="text1"/>
          <w:highlight w:val="none"/>
          <w:lang w:eastAsia="zh-CN"/>
          <w14:textFill>
            <w14:solidFill>
              <w14:schemeClr w14:val="tx1"/>
            </w14:solidFill>
          </w14:textFill>
        </w:rPr>
        <w:t>截至2022年</w:t>
      </w:r>
      <w:r>
        <w:rPr>
          <w:rFonts w:hint="default" w:ascii="Times New Roman" w:hAnsi="Times New Roman" w:cs="Times New Roman" w:eastAsiaTheme="minorEastAsia"/>
          <w:bCs/>
          <w:color w:val="000000" w:themeColor="text1"/>
          <w:highlight w:val="none"/>
          <w14:textFill>
            <w14:solidFill>
              <w14:schemeClr w14:val="tx1"/>
            </w14:solidFill>
          </w14:textFill>
        </w:rPr>
        <w:t>12月30日完成690颗界桩埋设。④抚仙湖流域边界线成果已纳入《抚仙湖国土空间保护和科学利用专项规划（2021—2035年）》。目前该项目</w:t>
      </w:r>
      <w:r>
        <w:rPr>
          <w:rFonts w:hint="eastAsia" w:cs="Times New Roman" w:eastAsiaTheme="minorEastAsia"/>
          <w:bCs/>
          <w:color w:val="000000" w:themeColor="text1"/>
          <w:highlight w:val="none"/>
          <w:lang w:val="en-US" w:eastAsia="zh-CN"/>
          <w14:textFill>
            <w14:solidFill>
              <w14:schemeClr w14:val="tx1"/>
            </w14:solidFill>
          </w14:textFill>
        </w:rPr>
        <w:t>已经完成</w:t>
      </w:r>
      <w:r>
        <w:rPr>
          <w:rFonts w:hint="default" w:ascii="Times New Roman" w:hAnsi="Times New Roman" w:cs="Times New Roman" w:eastAsiaTheme="minorEastAsia"/>
          <w:bCs/>
          <w:color w:val="000000" w:themeColor="text1"/>
          <w:highlight w:val="none"/>
          <w14:textFill>
            <w14:solidFill>
              <w14:schemeClr w14:val="tx1"/>
            </w14:solidFill>
          </w14:textFill>
        </w:rPr>
        <w:t>，项目进展符合可研批复进度要求。</w:t>
      </w:r>
    </w:p>
    <w:p>
      <w:pPr>
        <w:rPr>
          <w:rFonts w:hint="default" w:ascii="Times New Roman" w:hAnsi="Times New Roman" w:cs="Times New Roman" w:eastAsiaTheme="minorEastAsia"/>
          <w:bCs/>
          <w:color w:val="000000" w:themeColor="text1"/>
          <w:highlight w:val="none"/>
          <w14:textFill>
            <w14:solidFill>
              <w14:schemeClr w14:val="tx1"/>
            </w14:solidFill>
          </w14:textFill>
        </w:rPr>
      </w:pPr>
      <w:bookmarkStart w:id="340" w:name="_Toc3827261"/>
      <w:bookmarkStart w:id="341" w:name="_Toc535866194"/>
      <w:bookmarkStart w:id="342" w:name="_Toc2678976"/>
      <w:bookmarkStart w:id="343" w:name="_Toc3827908"/>
      <w:bookmarkStart w:id="344" w:name="_Toc7439"/>
      <w:bookmarkStart w:id="345" w:name="_Toc3575267"/>
      <w:bookmarkStart w:id="346" w:name="_Toc535867081"/>
      <w:bookmarkStart w:id="347" w:name="_Toc3840297"/>
      <w:r>
        <w:rPr>
          <w:rFonts w:hint="default" w:ascii="Times New Roman" w:hAnsi="Times New Roman" w:cs="Times New Roman" w:eastAsiaTheme="minorEastAsia"/>
          <w:bCs/>
          <w:color w:val="000000" w:themeColor="text1"/>
          <w:highlight w:val="none"/>
          <w14:textFill>
            <w14:solidFill>
              <w14:schemeClr w14:val="tx1"/>
            </w14:solidFill>
          </w14:textFill>
        </w:rPr>
        <w:t>（3）项目环境效益</w:t>
      </w:r>
      <w:bookmarkEnd w:id="340"/>
      <w:bookmarkEnd w:id="341"/>
      <w:bookmarkEnd w:id="342"/>
      <w:bookmarkEnd w:id="343"/>
      <w:bookmarkEnd w:id="344"/>
      <w:bookmarkEnd w:id="345"/>
      <w:bookmarkEnd w:id="346"/>
      <w:bookmarkEnd w:id="347"/>
    </w:p>
    <w:p>
      <w:pPr>
        <w:widowControl/>
        <w:ind w:firstLine="480" w:firstLineChars="200"/>
        <w:jc w:val="left"/>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该项目为科学保护抚仙湖提供依据，确定各级保护的方向和范围，工程环境效益无法具体体现。</w:t>
      </w:r>
    </w:p>
    <w:p>
      <w:pPr>
        <w:pStyle w:val="6"/>
        <w:spacing w:before="0" w:after="0" w:line="360" w:lineRule="auto"/>
        <w:rPr>
          <w:rFonts w:hint="default" w:ascii="Times New Roman" w:hAnsi="Times New Roman" w:cs="Times New Roman" w:eastAsiaTheme="minorEastAsia"/>
          <w:b w:val="0"/>
          <w:color w:val="000000" w:themeColor="text1"/>
          <w:highlight w:val="none"/>
          <w14:textFill>
            <w14:solidFill>
              <w14:schemeClr w14:val="tx1"/>
            </w14:solidFill>
          </w14:textFill>
        </w:rPr>
      </w:pPr>
      <w:bookmarkStart w:id="348" w:name="_Toc19736"/>
      <w:bookmarkStart w:id="349" w:name="_Toc10427"/>
      <w:bookmarkStart w:id="350" w:name="_Toc10928"/>
      <w:r>
        <w:rPr>
          <w:rFonts w:hint="default" w:ascii="Times New Roman" w:hAnsi="Times New Roman" w:cs="Times New Roman" w:eastAsiaTheme="minorEastAsia"/>
          <w:b w:val="0"/>
          <w:color w:val="000000" w:themeColor="text1"/>
          <w:highlight w:val="none"/>
          <w14:textFill>
            <w14:solidFill>
              <w14:schemeClr w14:val="tx1"/>
            </w14:solidFill>
          </w14:textFill>
        </w:rPr>
        <w:t>4.2.1.2抚仙湖环湖生态移民搬迁安置工程</w:t>
      </w:r>
      <w:bookmarkEnd w:id="348"/>
      <w:bookmarkEnd w:id="349"/>
      <w:bookmarkEnd w:id="350"/>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left="480" w:left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将抚仙湖生态移民搬迁一级保护区剩余的196户756人进行退出。</w:t>
      </w:r>
    </w:p>
    <w:p>
      <w:pPr>
        <w:ind w:left="480" w:left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规划实施年限：2021—2025年</w:t>
      </w:r>
    </w:p>
    <w:p>
      <w:pPr>
        <w:ind w:left="480" w:left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w:t>
      </w:r>
      <w:r>
        <w:rPr>
          <w:rFonts w:hint="default" w:ascii="Times New Roman" w:hAnsi="Times New Roman" w:cs="Times New Roman" w:eastAsiaTheme="minorEastAsia"/>
          <w:color w:val="000000" w:themeColor="text1"/>
          <w:highlight w:val="none"/>
          <w14:textFill>
            <w14:solidFill>
              <w14:schemeClr w14:val="tx1"/>
            </w14:solidFill>
          </w14:textFill>
        </w:rPr>
        <w:t>单位：澄江市住房和城乡建设局</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（2）项目实施情况</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2019年环湖棚户区改造暨生态移民搬迁项目一级保护区内尚有196户未完成退出（包含立昌社区未退出部分），196户基本情况：集体土地139户517人，房屋建筑面积3.9万平方米；国有土地57户239人，土地面积1.08万平方米，房屋建筑面积2.44万平方米。根据2022年9月9日上报“两违”图斑排查表属于一级保护区“原住民村落”建议暂时保留，已列入生态移民搬迁计划，并制定退出方案。下一步按《抚仙湖保护“三区”管控实施细则（试行）》规定做好管控，待资金就位，条件成熟，再行退出，退出后进行生态恢复。因此该项目处于未启动状态，</w:t>
      </w:r>
      <w:r>
        <w:rPr>
          <w:rFonts w:hint="default" w:ascii="Times New Roman" w:hAnsi="Times New Roman" w:cs="Times New Roman" w:eastAsiaTheme="minorEastAsia"/>
          <w:bCs/>
          <w:color w:val="000000" w:themeColor="text1"/>
          <w:highlight w:val="none"/>
          <w14:textFill>
            <w14:solidFill>
              <w14:schemeClr w14:val="tx1"/>
            </w14:solidFill>
          </w14:textFill>
        </w:rPr>
        <w:t>项目进展不符合规划进度要求，严重滞后</w:t>
      </w:r>
      <w:r>
        <w:rPr>
          <w:rFonts w:hint="default" w:ascii="Times New Roman" w:hAnsi="Times New Roman" w:cs="Times New Roman" w:eastAsiaTheme="minorEastAsia"/>
          <w:color w:val="000000" w:themeColor="text1"/>
          <w:highlight w:val="none"/>
          <w14:textFill>
            <w14:solidFill>
              <w14:schemeClr w14:val="tx1"/>
            </w14:solidFill>
          </w14:textFill>
        </w:rPr>
        <w:t>。</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（3）项目环境效益</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该项目的实施将全面发挥生态屏障功能，但目前尚</w:t>
      </w:r>
      <w:r>
        <w:rPr>
          <w:rFonts w:hint="default" w:ascii="Times New Roman" w:hAnsi="Times New Roman" w:cs="Times New Roman" w:eastAsiaTheme="minorEastAsia"/>
          <w:color w:val="000000" w:themeColor="text1"/>
          <w:highlight w:val="none"/>
          <w14:textFill>
            <w14:solidFill>
              <w14:schemeClr w14:val="tx1"/>
            </w14:solidFill>
          </w14:textFill>
        </w:rPr>
        <w:t>未启动</w:t>
      </w:r>
      <w:r>
        <w:rPr>
          <w:rFonts w:hint="default" w:ascii="Times New Roman" w:hAnsi="Times New Roman" w:cs="Times New Roman" w:eastAsiaTheme="minorEastAsia"/>
          <w:bCs/>
          <w:color w:val="000000" w:themeColor="text1"/>
          <w:highlight w:val="none"/>
          <w14:textFill>
            <w14:solidFill>
              <w14:schemeClr w14:val="tx1"/>
            </w14:solidFill>
          </w14:textFill>
        </w:rPr>
        <w:t>，故暂不核算工程环境效益。</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（4）存在问题</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滞后的主要原因是：①土地及资金均未得到保障。9个安置区规划建设用地总面积1362.7亩，已批复用地841.29亩，未批复用地521.41亩。2019年以来共需资金约217.49亿元，已筹措到位86.14亿元，缺口129.67亿元。②安置房未能如期交付，需筹措资金支付延期交房过渡费。经测算，2022年需支付过渡费3.16亿元，2023年起每年需支付过渡费4.68亿元。现急需支付延期交房过渡费1.68亿元，目前未筹集到所需资金，至今未完成兑付；政府公信力降低，涉迁群众已多批次、多人数频繁到各级各部门进行信访，问题矛盾叠加累积，形成安保维稳巨大隐患风险。</w:t>
      </w:r>
    </w:p>
    <w:p>
      <w:pPr>
        <w:pStyle w:val="6"/>
        <w:spacing w:before="0" w:after="0" w:line="360" w:lineRule="auto"/>
        <w:rPr>
          <w:rFonts w:hint="default" w:ascii="Times New Roman" w:hAnsi="Times New Roman" w:cs="Times New Roman" w:eastAsiaTheme="minorEastAsia"/>
          <w:b w:val="0"/>
          <w:color w:val="000000" w:themeColor="text1"/>
          <w:highlight w:val="none"/>
          <w14:textFill>
            <w14:solidFill>
              <w14:schemeClr w14:val="tx1"/>
            </w14:solidFill>
          </w14:textFill>
        </w:rPr>
      </w:pPr>
      <w:bookmarkStart w:id="351" w:name="_Toc20444"/>
      <w:bookmarkStart w:id="352" w:name="_Toc1492"/>
      <w:bookmarkStart w:id="353" w:name="_Toc25114"/>
      <w:r>
        <w:rPr>
          <w:rFonts w:hint="default" w:ascii="Times New Roman" w:hAnsi="Times New Roman" w:cs="Times New Roman" w:eastAsiaTheme="minorEastAsia"/>
          <w:b w:val="0"/>
          <w:color w:val="000000" w:themeColor="text1"/>
          <w:highlight w:val="none"/>
          <w14:textFill>
            <w14:solidFill>
              <w14:schemeClr w14:val="tx1"/>
            </w14:solidFill>
          </w14:textFill>
        </w:rPr>
        <w:t>4.2.1.3沿湖“违规违建”整治及生态恢复项目</w:t>
      </w:r>
      <w:bookmarkEnd w:id="351"/>
      <w:bookmarkEnd w:id="352"/>
      <w:bookmarkEnd w:id="353"/>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按照抚仙湖沿岸“两违”排查甄别意见，对355个图斑进行拆除（拆除图斑228个，限期拆除127个），拆除总建筑面积161946.42平方米，同步对拆除地块实施生态修复。</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规划实施年限：2021—2025年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2、项目设计（可研）情况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依据2022年12月17日澄江市人民政府文件：按照《云南省人民政府关于九大高原湖泊“三区”管控的指导意见》、《抚仙湖保护“三区”管控实施细则（试行）》对图斑进行重新甄别，共需拆除163个图斑，其中至（</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十四五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期间）2025年前需拆除87个，拆除建筑面积31052.88平方米。</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工程建设年限：2021-2030年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项目责任单位：澄江市自然资源局、市抚管局、市林草局；沿湖各镇（街道）</w:t>
      </w:r>
    </w:p>
    <w:p>
      <w:pPr>
        <w:numPr>
          <w:ilvl w:val="0"/>
          <w:numId w:val="2"/>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该项目规划投资92100万元，截至2023年6月，已到位资金955万元，资金到位率1.04%，其中州市配套资金438万元，县级配套517万元；已完成投资228万元，投资完成率0.25%。</w:t>
      </w:r>
      <w:r>
        <w:rPr>
          <w:rFonts w:hint="eastAsia" w:cs="Times New Roman" w:eastAsiaTheme="minorEastAsia"/>
          <w:bCs/>
          <w:color w:val="000000" w:themeColor="text1"/>
          <w:highlight w:val="none"/>
          <w:lang w:eastAsia="zh-CN"/>
          <w14:textFill>
            <w14:solidFill>
              <w14:schemeClr w14:val="tx1"/>
            </w14:solidFill>
          </w14:textFill>
        </w:rPr>
        <w:t>截至</w:t>
      </w:r>
      <w:r>
        <w:rPr>
          <w:rFonts w:hint="default" w:ascii="Times New Roman" w:hAnsi="Times New Roman" w:cs="Times New Roman" w:eastAsiaTheme="minorEastAsia"/>
          <w:bCs/>
          <w:color w:val="000000" w:themeColor="text1"/>
          <w:highlight w:val="none"/>
          <w14:textFill>
            <w14:solidFill>
              <w14:schemeClr w14:val="tx1"/>
            </w14:solidFill>
          </w14:textFill>
        </w:rPr>
        <w:t>2023年6月，共完成①</w:t>
      </w:r>
      <w:r>
        <w:rPr>
          <w:rFonts w:hint="default" w:ascii="Times New Roman" w:hAnsi="Times New Roman" w:cs="Times New Roman" w:eastAsiaTheme="minorEastAsia"/>
          <w:color w:val="000000" w:themeColor="text1"/>
          <w:highlight w:val="none"/>
          <w14:textFill>
            <w14:solidFill>
              <w14:schemeClr w14:val="tx1"/>
            </w14:solidFill>
          </w14:textFill>
        </w:rPr>
        <w:t>根据澄江市初步甄别意见，目前已完成119个建（构）筑物图斑拆除整改工作，其中：一级保护区内98个，一级保护区外21个，拆除建筑面积3.150276万平方米。②是结合《云南省人民政府关于九大高原湖泊“三区”管控的指导意见》（云政发</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2022</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25号）、玉溪市人民政府印发《抚仙湖保护“三区"管控实施细则（试行）》文件精神，开展重新甄别工作，经玉溪市湖泊革命“两违图斑排查甄别组与澄江市人民政府现场踏勘核实，形成甄别意见。</w:t>
      </w:r>
      <w:r>
        <w:rPr>
          <w:rFonts w:hint="default" w:ascii="Times New Roman" w:hAnsi="Times New Roman" w:cs="Times New Roman" w:eastAsiaTheme="minorEastAsia"/>
          <w:bCs/>
          <w:color w:val="000000" w:themeColor="text1"/>
          <w:highlight w:val="none"/>
          <w14:textFill>
            <w14:solidFill>
              <w14:schemeClr w14:val="tx1"/>
            </w14:solidFill>
          </w14:textFill>
        </w:rPr>
        <w:t>该项目处于在建工作阶段，项目进展符合规划进度要求，但投资滞后。</w:t>
      </w:r>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（3）项目环境效益</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该项目的实施将全面发挥生态屏障功能，目前处于在建工作阶段，故暂不核算工程环境效益。</w:t>
      </w:r>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（4）存在问题</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投资滞后。</w:t>
      </w:r>
    </w:p>
    <w:p>
      <w:pPr>
        <w:pStyle w:val="6"/>
        <w:spacing w:before="0" w:after="0" w:line="360" w:lineRule="auto"/>
        <w:rPr>
          <w:rFonts w:hint="default" w:ascii="Times New Roman" w:hAnsi="Times New Roman" w:cs="Times New Roman" w:eastAsiaTheme="minorEastAsia"/>
          <w:b w:val="0"/>
          <w:color w:val="000000" w:themeColor="text1"/>
          <w:highlight w:val="none"/>
          <w14:textFill>
            <w14:solidFill>
              <w14:schemeClr w14:val="tx1"/>
            </w14:solidFill>
          </w14:textFill>
        </w:rPr>
      </w:pPr>
      <w:bookmarkStart w:id="354" w:name="_Toc29651"/>
      <w:bookmarkStart w:id="355" w:name="_Toc14305"/>
      <w:bookmarkStart w:id="356" w:name="_Toc19285"/>
      <w:r>
        <w:rPr>
          <w:rFonts w:hint="default" w:ascii="Times New Roman" w:hAnsi="Times New Roman" w:cs="Times New Roman" w:eastAsiaTheme="minorEastAsia"/>
          <w:b w:val="0"/>
          <w:color w:val="000000" w:themeColor="text1"/>
          <w:highlight w:val="none"/>
          <w14:textFill>
            <w14:solidFill>
              <w14:schemeClr w14:val="tx1"/>
            </w14:solidFill>
          </w14:textFill>
        </w:rPr>
        <w:t>4.2.1.4抚仙湖环湖路提升改造工程</w:t>
      </w:r>
      <w:bookmarkEnd w:id="354"/>
      <w:bookmarkEnd w:id="355"/>
      <w:bookmarkEnd w:id="356"/>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将原有环湖路（广龙—太阳山段16.4公里）交通功能退出，建设慢行系统，外移货运交通功能。实施道路路面加罩、景观绿化提升、地下综合管线埋设、雨污管道完善、路灯亮化打造，完善交通监控和公共配套设施等。</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规划实施年限：2021—2025年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项目责任单位：澄江市交运局、市文旅局</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2、项目设计（可研）情况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根据2021年5月29日省人民政府玉溪“三湖”保护治理工作现场会精神，省交通运输厅牵头编制了《玉溪“三湖”保护治理公路领域方案》（以下简称《方案》），于2021年12月4日经第五届玉溪市人民政府第77次常务会议审议通过；并于2021年12月24日报请省人民政府审核同意《方案》</w:t>
      </w:r>
      <w:r>
        <w:rPr>
          <w:rFonts w:hint="eastAsia"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玉政请</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75号</w:t>
      </w:r>
      <w:r>
        <w:rPr>
          <w:rFonts w:hint="eastAsia"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。依据2022年3月24日《云南省交通运输厅关于加快抚仙湖东西两岸和洱海东岸既有普通国省道交通功能外移项目前期工作的通知》</w:t>
      </w:r>
      <w:r>
        <w:rPr>
          <w:rFonts w:hint="eastAsia"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云交规划便</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166号</w:t>
      </w:r>
      <w:r>
        <w:rPr>
          <w:rFonts w:hint="eastAsia"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抚仙湖东西两岸普通国省道交通功能外移项目已纳入《云南省公路“十四五”发展规划》；抚仙湖东岸普通省道S212外移新建起点为澄江市九村镇，止点为路居镇上营村。抚仙湖西岸普通国道G245外移改扩建起点为晋宁晋城镇河西厂，止点为江川区江城镇翠峰山岔口。</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国道G245抚仙湖段外移方案（G245晋宁晋城镇河西厂-江川区江城镇翠峰山岔口段改扩建工程）：外移路线起于呈贡马金铺，与国道G213共线至河西厂，经原省道S214至江城镇后再转接原国道G245，使国道G245抚仙湖段彻底移出抚仙湖流域范围。路线全长41.1公里，其中原二级路路面修复4.8公里，原三、四级路改造为二级路36.3公里，估算总投资7.55亿元。</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省道S212抚仙湖段外移方案（S212澄江市九村镇-路居镇上营村外移改扩建工程）：路线总里程111.6公里，估算总投资24.57亿元。路线起点为九村镇，从九村镇至鸭蛋村为新建路段，从鸭蛋村至下营村为利用老路改造。新建里程45公里，其主要控制点包括龙潭村、东鸡哨、罗哩山、新村、浑水塘、松元村、石龙、打营盘、关地、白沙沟、者白村、丙乙村、鸭蛋村，设计速度40km/h，路基宽8.5米，桥梁7座，合计995米；利用老路改扩建总里程66.6公里（三级27.2公里，四级39.4公里，路基宽6.5米/52.5公里、8.5米/10.1公里、12米/4.0公里）其主要控制点包括落梅、矣马白、斗居、茂地村、葫芦冲、铁梗社区、西冲、白石岩。</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工程建设年限：2024-2026年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项目责任单位：云南省交通运输厅</w:t>
      </w:r>
    </w:p>
    <w:p>
      <w:pPr>
        <w:numPr>
          <w:ilvl w:val="0"/>
          <w:numId w:val="3"/>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64700万元，截至2023年6月，已到位资金638万元，资金到位率0.99%，资金全部来源于县级配套638万元；已完成投资0万元，投资完成率0。该项目于2019年3月5日签订了《澄江县环湖路（广龙-太阳山）道路提升改造项目可行性研究报告》合同；4月29日签订《澄江县环湖路（广龙-太阳山）道路提升改造项目建设工程设计合同》；5月7日签订了《澄江县环湖路（广龙-太阳山）道路提升改造项目地质灾害危险性评估》合同、《建设项目环境影响评价合同》、《水土保持方案编制合同》、《压覆矿产资源调查合同书》；5月20日签订了《建设工程造价咨询》合同；5月28日签订《社会稳定风险评估合同书》；6月28日签订《澄江县环湖路（广龙-太阳山）道路提升改造项目建设用地勘测界定项目合同书》。目前已编制完成《澄江县环湖路（广龙—太阳山）道路提升改造工程可行性研究报告》、《水土保持方案》，还未进行专家评审；编制完成《环境影响报告书》，还未进行专家评审；编制完成《压覆矿产调查资源备案表》、《地质灾害危险评估报告》，还未进行备案；编制完成《社会稳定性风险评估报告》，已进行备案。该项目处于前期工作阶段，项目进展不符合规划进度要求，项目进度滞后。</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（3）项目环境效益</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该项目为完善流域内交通监控和公共配套设施等，目前处于前期工作阶段，故暂不核算工程环境效益。</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（4）存在问题</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①抚仙湖环湖交通功能（G245和S212）外移项目未纳入国家“十四五”规划，</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十四五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期间内难以启动实施；②资金投资体量大，项目建设资金尚未落实。</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抚仙湖环湖交通功能（G245和S212）外移项目目前纳入《云南省公路“十四五”发展规划》，建议调出。</w:t>
      </w:r>
    </w:p>
    <w:p>
      <w:pPr>
        <w:pStyle w:val="6"/>
        <w:spacing w:before="0" w:after="0" w:line="360" w:lineRule="auto"/>
        <w:rPr>
          <w:rFonts w:hint="default" w:ascii="Times New Roman" w:hAnsi="Times New Roman" w:cs="Times New Roman" w:eastAsiaTheme="minorEastAsia"/>
          <w:b w:val="0"/>
          <w:color w:val="000000" w:themeColor="text1"/>
          <w:highlight w:val="none"/>
          <w14:textFill>
            <w14:solidFill>
              <w14:schemeClr w14:val="tx1"/>
            </w14:solidFill>
          </w14:textFill>
        </w:rPr>
      </w:pPr>
      <w:bookmarkStart w:id="357" w:name="_Toc17933"/>
      <w:bookmarkStart w:id="358" w:name="_Toc7183"/>
      <w:bookmarkStart w:id="359" w:name="_Toc20864"/>
      <w:r>
        <w:rPr>
          <w:rFonts w:hint="default" w:ascii="Times New Roman" w:hAnsi="Times New Roman" w:cs="Times New Roman" w:eastAsiaTheme="minorEastAsia"/>
          <w:b w:val="0"/>
          <w:color w:val="000000" w:themeColor="text1"/>
          <w:highlight w:val="none"/>
          <w14:textFill>
            <w14:solidFill>
              <w14:schemeClr w14:val="tx1"/>
            </w14:solidFill>
          </w14:textFill>
        </w:rPr>
        <w:t>4.2.1.5抚仙湖环湖生态廊道建设项目</w:t>
      </w:r>
      <w:bookmarkEnd w:id="357"/>
      <w:bookmarkEnd w:id="358"/>
      <w:bookmarkEnd w:id="359"/>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按照“统一规划、分步实施”的原则，先期实施北岸生态廊道，总长约16.8公里；结合“两线”划定以及抚仙湖老环湖路提升改造项目，对东岸、西岸、南岸进行物理隔离，实现生态廊道闭合。</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w:t>
      </w:r>
      <w:r>
        <w:rPr>
          <w:rFonts w:hint="default" w:ascii="Times New Roman" w:hAnsi="Times New Roman" w:cs="Times New Roman" w:eastAsiaTheme="minorEastAsia"/>
          <w:bCs/>
          <w:color w:val="000000" w:themeColor="text1"/>
          <w:highlight w:val="none"/>
          <w14:textFill>
            <w14:solidFill>
              <w14:schemeClr w14:val="tx1"/>
            </w14:solidFill>
          </w14:textFill>
        </w:rPr>
        <w:t>限：2021—2025年</w:t>
      </w:r>
    </w:p>
    <w:p>
      <w:pPr>
        <w:numPr>
          <w:ilvl w:val="0"/>
          <w:numId w:val="4"/>
        </w:num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项目设计（可研）情况</w:t>
      </w:r>
      <w:r>
        <w:rPr>
          <w:rFonts w:hint="default" w:ascii="Times New Roman" w:hAnsi="Times New Roman" w:cs="Times New Roman" w:eastAsiaTheme="minorEastAsia"/>
          <w:color w:val="000000" w:themeColor="text1"/>
          <w:highlight w:val="none"/>
          <w14:textFill>
            <w14:solidFill>
              <w14:schemeClr w14:val="tx1"/>
            </w14:solidFill>
          </w14:textFill>
        </w:rPr>
        <w:t>(备注：该项内容来自可研批复玉发改资环复〔2022</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7号)</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项目名称：抚仙湖北岸生态廊道项目。</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项目内容：</w:t>
      </w:r>
      <w:r>
        <w:rPr>
          <w:rFonts w:hint="default" w:ascii="Times New Roman" w:hAnsi="Times New Roman" w:cs="Times New Roman" w:eastAsiaTheme="minorEastAsia"/>
          <w:color w:val="000000" w:themeColor="text1"/>
          <w:highlight w:val="none"/>
          <w14:textFill>
            <w14:solidFill>
              <w14:schemeClr w14:val="tx1"/>
            </w14:solidFill>
          </w14:textFill>
        </w:rPr>
        <w:t>主要建设规模及内容项目主要由抚仙湖广场、东大河至月亮湾湿地、寒武纪矣旧区块湿地三个主要节点，以及以老环湖路为基础串联三个节点的慢行道共同组成。调整后的工程内容如下:</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①生态湿地提升改造工程:湿地改造面积53224m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highlight w:val="none"/>
          <w14:textFill>
            <w14:solidFill>
              <w14:schemeClr w14:val="tx1"/>
            </w14:solidFill>
          </w14:textFill>
        </w:rPr>
        <w:t>。</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②生态建设工程：生态绿化483445.76m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highlight w:val="none"/>
          <w14:textFill>
            <w14:solidFill>
              <w14:schemeClr w14:val="tx1"/>
            </w14:solidFill>
          </w14:textFill>
        </w:rPr>
        <w:t>，生态科普廊12个，生态透水铺砖面积共28012.5m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highlight w:val="none"/>
          <w14:textFill>
            <w14:solidFill>
              <w14:schemeClr w14:val="tx1"/>
            </w14:solidFill>
          </w14:textFill>
        </w:rPr>
        <w:t>，集散场地8252m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highlight w:val="none"/>
          <w14:textFill>
            <w14:solidFill>
              <w14:schemeClr w14:val="tx1"/>
            </w14:solidFill>
          </w14:textFill>
        </w:rPr>
        <w:t>,生态文明建设宣教墙17组，雨水收集池2800m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highlight w:val="none"/>
          <w14:textFill>
            <w14:solidFill>
              <w14:schemeClr w14:val="tx1"/>
            </w14:solidFill>
          </w14:textFill>
        </w:rPr>
        <w:t>，管护道路34618m。</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③维护管理配套工程:湿地公园管护步道长度5212.5m,管理及服务用房面积6367m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highlight w:val="none"/>
          <w14:textFill>
            <w14:solidFill>
              <w14:schemeClr w14:val="tx1"/>
            </w14:solidFill>
          </w14:textFill>
        </w:rPr>
        <w:t>，配套生态停车场面积35180m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highlight w:val="none"/>
          <w14:textFill>
            <w14:solidFill>
              <w14:schemeClr w14:val="tx1"/>
            </w14:solidFill>
          </w14:textFill>
        </w:rPr>
        <w:t>。</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④</w:t>
      </w:r>
      <w:r>
        <w:rPr>
          <w:rFonts w:hint="default" w:ascii="Times New Roman" w:hAnsi="Times New Roman" w:cs="Times New Roman" w:eastAsiaTheme="minorEastAsia"/>
          <w:color w:val="000000" w:themeColor="text1"/>
          <w:highlight w:val="none"/>
          <w14:textFill>
            <w14:solidFill>
              <w14:schemeClr w14:val="tx1"/>
            </w14:solidFill>
          </w14:textFill>
        </w:rPr>
        <w:t>老环湖路提升改造:老环湖路提升改造5600m，面积约28000m(一级慢行道)。</w:t>
      </w:r>
    </w:p>
    <w:p>
      <w:pPr>
        <w:ind w:firstLine="480" w:firstLineChars="200"/>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⑤</w:t>
      </w:r>
      <w:r>
        <w:rPr>
          <w:rFonts w:hint="default" w:ascii="Times New Roman" w:hAnsi="Times New Roman" w:cs="Times New Roman" w:eastAsiaTheme="minorEastAsia"/>
          <w:color w:val="000000" w:themeColor="text1"/>
          <w:highlight w:val="none"/>
          <w14:textFill>
            <w14:solidFill>
              <w14:schemeClr w14:val="tx1"/>
            </w14:solidFill>
          </w14:textFill>
        </w:rPr>
        <w:t>附属工程:给排水工程、零星照明亮化、标识系统、安全监控系统(智慧管理及监控)等附属工程。</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项目责任单位：澄江市抚管局、市文化和旅游局；市文化和旅游投资开发有限责任公司</w:t>
      </w:r>
    </w:p>
    <w:p>
      <w:pPr>
        <w:numPr>
          <w:ilvl w:val="0"/>
          <w:numId w:val="5"/>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该项目规划投资80000万元，一期工程可研批复投资30429</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bCs/>
          <w:color w:val="000000" w:themeColor="text1"/>
          <w:highlight w:val="none"/>
          <w14:textFill>
            <w14:solidFill>
              <w14:schemeClr w14:val="tx1"/>
            </w14:solidFill>
          </w14:textFill>
        </w:rPr>
        <w:t>万元，截至2023年6月，已到位资金14900万元，资金到位率48.97%，其中省级补助资金14850万元，州市配套资金50万元；已完成投资1</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2408</w:t>
      </w:r>
      <w:r>
        <w:rPr>
          <w:rFonts w:hint="default" w:ascii="Times New Roman" w:hAnsi="Times New Roman" w:cs="Times New Roman" w:eastAsiaTheme="minorEastAsia"/>
          <w:bCs/>
          <w:color w:val="000000" w:themeColor="text1"/>
          <w:highlight w:val="none"/>
          <w14:textFill>
            <w14:solidFill>
              <w14:schemeClr w14:val="tx1"/>
            </w14:solidFill>
          </w14:textFill>
        </w:rPr>
        <w:t>万元，投资完成率</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40.78</w:t>
      </w:r>
      <w:r>
        <w:rPr>
          <w:rFonts w:hint="default" w:ascii="Times New Roman" w:hAnsi="Times New Roman" w:cs="Times New Roman" w:eastAsiaTheme="minorEastAsia"/>
          <w:bCs/>
          <w:color w:val="000000" w:themeColor="text1"/>
          <w:highlight w:val="none"/>
          <w14:textFill>
            <w14:solidFill>
              <w14:schemeClr w14:val="tx1"/>
            </w14:solidFill>
          </w14:textFill>
        </w:rPr>
        <w:t>%。</w:t>
      </w:r>
      <w:r>
        <w:rPr>
          <w:rFonts w:hint="eastAsia" w:cs="Times New Roman" w:eastAsiaTheme="minorEastAsia"/>
          <w:bCs/>
          <w:color w:val="000000" w:themeColor="text1"/>
          <w:highlight w:val="none"/>
          <w:lang w:eastAsia="zh-CN"/>
          <w14:textFill>
            <w14:solidFill>
              <w14:schemeClr w14:val="tx1"/>
            </w14:solidFill>
          </w14:textFill>
        </w:rPr>
        <w:t>截至</w:t>
      </w:r>
      <w:r>
        <w:rPr>
          <w:rFonts w:hint="default" w:ascii="Times New Roman" w:hAnsi="Times New Roman" w:cs="Times New Roman" w:eastAsiaTheme="minorEastAsia"/>
          <w:bCs/>
          <w:color w:val="000000" w:themeColor="text1"/>
          <w:highlight w:val="none"/>
          <w14:textFill>
            <w14:solidFill>
              <w14:schemeClr w14:val="tx1"/>
            </w14:solidFill>
          </w14:textFill>
        </w:rPr>
        <w:t>2023年6月，该项目一期工程可研已编制完成，并已获得批复（澄发改发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12号），一期工程初步设计已编制完成，并已获得批复（澄发改发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20号），已获得澄江市自然资源局一期项目用地规划情况说明（便笺</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39号），2021年4月1日获得开工令。在项目实施过程中，一是由于当前基本农田、耕地及生态环境保护等方面政策变化，需重新调整项目规划，剔除原项目区域内基本农田、耕地。二是由于抚仙湖广场规划调整，需结合实际用地情况，对该项工程进行调整。三是项目区域内建设用地与自然资源部门增减挂项目重叠，需对项目建设内容进行调整。因此在2022年3月18日上报玉溪市</w:t>
      </w:r>
      <w:r>
        <w:rPr>
          <w:rFonts w:hint="eastAsia" w:cs="Times New Roman" w:eastAsiaTheme="minorEastAsia"/>
          <w:bCs/>
          <w:color w:val="000000" w:themeColor="text1"/>
          <w:highlight w:val="none"/>
          <w:lang w:eastAsia="zh-CN"/>
          <w14:textFill>
            <w14:solidFill>
              <w14:schemeClr w14:val="tx1"/>
            </w14:solidFill>
          </w14:textFill>
        </w:rPr>
        <w:t>发展和改革委员会</w:t>
      </w:r>
      <w:r>
        <w:rPr>
          <w:rFonts w:hint="default" w:ascii="Times New Roman" w:hAnsi="Times New Roman" w:cs="Times New Roman" w:eastAsiaTheme="minorEastAsia"/>
          <w:bCs/>
          <w:color w:val="000000" w:themeColor="text1"/>
          <w:highlight w:val="none"/>
          <w14:textFill>
            <w14:solidFill>
              <w14:schemeClr w14:val="tx1"/>
            </w14:solidFill>
          </w14:textFill>
        </w:rPr>
        <w:t>，并获得工程可行性研究调整报告的批复（玉发改资环复</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7号）。目前完成约</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40.78</w:t>
      </w:r>
      <w:r>
        <w:rPr>
          <w:rFonts w:hint="default" w:ascii="Times New Roman" w:hAnsi="Times New Roman" w:cs="Times New Roman" w:eastAsiaTheme="minorEastAsia"/>
          <w:bCs/>
          <w:color w:val="000000" w:themeColor="text1"/>
          <w:highlight w:val="none"/>
          <w14:textFill>
            <w14:solidFill>
              <w14:schemeClr w14:val="tx1"/>
            </w14:solidFill>
          </w14:textFill>
        </w:rPr>
        <w:t>%工程进度。该项目处于在建工作阶段，项目进展符合规划进度要求。</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（3）项目环境效益</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实施该项目是为抚仙湖北岸增添一道生态屏障，丰富生物多样性，保护水资源和生物完整性。目前项目处于在建工作阶段，故暂不核算工程环境效益。</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（4）存在问题</w:t>
      </w:r>
    </w:p>
    <w:p>
      <w:pPr>
        <w:widowControl/>
        <w:ind w:firstLine="480" w:firstLineChars="200"/>
        <w:jc w:val="left"/>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抚仙湖北岸生态廊道项目一期工程项目建设地点为澄江市抚仙湖北岸，环湖生态廊道项目的东、南、西岸因“三线三区”划定已不具备项目实施条件，项目实施内容需进行调减。抚仙湖北岸生态廊道项目一期工程项目名称可变更为“抚仙湖北岸生态廊道项目”。</w:t>
      </w:r>
    </w:p>
    <w:p>
      <w:pPr>
        <w:widowControl/>
        <w:jc w:val="cente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drawing>
          <wp:inline distT="0" distB="0" distL="114300" distR="114300">
            <wp:extent cx="2094230" cy="2507615"/>
            <wp:effectExtent l="0" t="0" r="8890" b="6985"/>
            <wp:docPr id="28" name="图片 28" descr="20230510102300000-9-6518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20230510102300000-9-651891"/>
                    <pic:cNvPicPr>
                      <a:picLocks noChangeAspect="true"/>
                    </pic:cNvPicPr>
                  </pic:nvPicPr>
                  <pic:blipFill>
                    <a:blip r:embed="rId29"/>
                    <a:stretch>
                      <a:fillRect/>
                    </a:stretch>
                  </pic:blipFill>
                  <pic:spPr>
                    <a:xfrm>
                      <a:off x="0" y="0"/>
                      <a:ext cx="2094230" cy="2507615"/>
                    </a:xfrm>
                    <a:prstGeom prst="rect">
                      <a:avLst/>
                    </a:prstGeom>
                  </pic:spPr>
                </pic:pic>
              </a:graphicData>
            </a:graphic>
          </wp:inline>
        </w:drawing>
      </w:r>
      <w:r>
        <w:rPr>
          <w:rFonts w:hint="default" w:ascii="Times New Roman" w:hAnsi="Times New Roman" w:cs="Times New Roman" w:eastAsiaTheme="minorEastAsia"/>
          <w:bCs/>
          <w:color w:val="000000" w:themeColor="text1"/>
          <w:highlight w:val="none"/>
          <w14:textFill>
            <w14:solidFill>
              <w14:schemeClr w14:val="tx1"/>
            </w14:solidFill>
          </w14:textFill>
        </w:rPr>
        <w:drawing>
          <wp:inline distT="0" distB="0" distL="114300" distR="114300">
            <wp:extent cx="2959100" cy="2499360"/>
            <wp:effectExtent l="0" t="0" r="12700" b="0"/>
            <wp:docPr id="22" name="图片 22"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1"/>
                    <pic:cNvPicPr>
                      <a:picLocks noChangeAspect="true"/>
                    </pic:cNvPicPr>
                  </pic:nvPicPr>
                  <pic:blipFill>
                    <a:blip r:embed="rId30"/>
                    <a:stretch>
                      <a:fillRect/>
                    </a:stretch>
                  </pic:blipFill>
                  <pic:spPr>
                    <a:xfrm>
                      <a:off x="0" y="0"/>
                      <a:ext cx="2959100" cy="2499360"/>
                    </a:xfrm>
                    <a:prstGeom prst="rect">
                      <a:avLst/>
                    </a:prstGeom>
                  </pic:spPr>
                </pic:pic>
              </a:graphicData>
            </a:graphic>
          </wp:inline>
        </w:drawing>
      </w:r>
    </w:p>
    <w:p>
      <w:pPr>
        <w:widowControl/>
        <w:jc w:val="cente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图4</w:t>
      </w:r>
      <w:r>
        <w:rPr>
          <w:rFonts w:hint="eastAsia" w:cs="Times New Roman" w:eastAsiaTheme="minorEastAsia"/>
          <w:bCs/>
          <w:color w:val="000000" w:themeColor="text1"/>
          <w:highlight w:val="none"/>
          <w:lang w:val="en-US" w:eastAsia="zh-CN"/>
          <w14:textFill>
            <w14:solidFill>
              <w14:schemeClr w14:val="tx1"/>
            </w14:solidFill>
          </w14:textFill>
        </w:rPr>
        <w:t>.2.1</w:t>
      </w:r>
      <w:r>
        <w:rPr>
          <w:rFonts w:hint="default" w:ascii="Times New Roman" w:hAnsi="Times New Roman" w:cs="Times New Roman" w:eastAsiaTheme="minorEastAsia"/>
          <w:bCs/>
          <w:color w:val="000000" w:themeColor="text1"/>
          <w:highlight w:val="none"/>
          <w14:textFill>
            <w14:solidFill>
              <w14:schemeClr w14:val="tx1"/>
            </w14:solidFill>
          </w14:textFill>
        </w:rPr>
        <w:t>-1抚仙湖北岸生态廊道项目起始点</w:t>
      </w:r>
    </w:p>
    <w:p>
      <w:pPr>
        <w:pStyle w:val="5"/>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bookmarkStart w:id="360" w:name="_Toc1639"/>
      <w:bookmarkStart w:id="361" w:name="_Toc18112"/>
      <w:r>
        <w:rPr>
          <w:rFonts w:hint="default" w:ascii="Times New Roman" w:hAnsi="Times New Roman" w:cs="Times New Roman" w:eastAsiaTheme="minorEastAsia"/>
          <w:color w:val="000000" w:themeColor="text1"/>
          <w:highlight w:val="none"/>
          <w14:textFill>
            <w14:solidFill>
              <w14:schemeClr w14:val="tx1"/>
            </w14:solidFill>
          </w14:textFill>
        </w:rPr>
        <w:t>4.2.2水资源保护与利用类</w:t>
      </w:r>
      <w:bookmarkEnd w:id="360"/>
      <w:bookmarkEnd w:id="361"/>
    </w:p>
    <w:p>
      <w:pPr>
        <w:pStyle w:val="6"/>
        <w:spacing w:before="0" w:after="0" w:line="360" w:lineRule="auto"/>
        <w:rPr>
          <w:rFonts w:hint="default" w:ascii="Times New Roman" w:hAnsi="Times New Roman" w:cs="Times New Roman" w:eastAsiaTheme="minorEastAsia"/>
          <w:bCs w:val="0"/>
          <w:color w:val="000000" w:themeColor="text1"/>
          <w:szCs w:val="20"/>
          <w:highlight w:val="none"/>
          <w14:textFill>
            <w14:solidFill>
              <w14:schemeClr w14:val="tx1"/>
            </w14:solidFill>
          </w14:textFill>
        </w:rPr>
      </w:pPr>
      <w:bookmarkStart w:id="362" w:name="_Toc32744"/>
      <w:bookmarkStart w:id="363" w:name="_Toc781"/>
      <w:bookmarkStart w:id="364" w:name="_Toc27731"/>
      <w:r>
        <w:rPr>
          <w:rFonts w:hint="default" w:ascii="Times New Roman" w:hAnsi="Times New Roman" w:cs="Times New Roman" w:eastAsiaTheme="minorEastAsia"/>
          <w:b w:val="0"/>
          <w:color w:val="000000" w:themeColor="text1"/>
          <w:highlight w:val="none"/>
          <w14:textFill>
            <w14:solidFill>
              <w14:schemeClr w14:val="tx1"/>
            </w14:solidFill>
          </w14:textFill>
        </w:rPr>
        <w:t>4.2.2.1南片区供水替代工程</w:t>
      </w:r>
      <w:bookmarkEnd w:id="362"/>
      <w:bookmarkEnd w:id="363"/>
      <w:bookmarkEnd w:id="364"/>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完成路居干管、江川支管建设，龙泉园区水厂和路居水厂建设及配水管网建设。</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2、项目设计（可研）情况</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①抚仙湖流域健康水循环系统江川路居片区供水工程（Ⅰ期）</w:t>
      </w:r>
      <w:r>
        <w:rPr>
          <w:rFonts w:hint="default" w:ascii="Times New Roman" w:hAnsi="Times New Roman" w:cs="Times New Roman" w:eastAsiaTheme="minorEastAsia"/>
          <w:color w:val="000000" w:themeColor="text1"/>
          <w:highlight w:val="none"/>
          <w14:textFill>
            <w14:solidFill>
              <w14:schemeClr w14:val="tx1"/>
            </w14:solidFill>
          </w14:textFill>
        </w:rPr>
        <w:t>(备注：该项内容来自初设批复玉水规财</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2020</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15号)</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一、工程任务：满足江川.路居片区供水需求，取缔从抚仙湖不合理取水；优化水资源配置，科学合理用水。</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二、设计水平年和设计保证率：基本同意供水工程现状基准年为2019年，设计水平年为2035年。供水设计保证率取P=95%。</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三、需水预测：基本同意2035年供水区总需水量4113.1万m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,其中江川区中心城区857.8万m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，龙泉工业园区883.3万m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，抚仙湖南岸(含路居镇)404.3万m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，星空国际旅游度假区123.5万m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,江城镇926.5万m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，前卫镇617.7万m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，星云湖补水300万m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四、供水工程规模:</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1、基本同意确定江川支管供水规模(扣除现有供水工程供水量164.3万m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)为1577万m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/年；路居干管供水规模为2372万m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/年；共计供水3948.8万m</w:t>
      </w:r>
      <w:r>
        <w:rPr>
          <w:rFonts w:hint="default" w:ascii="Times New Roman" w:hAnsi="Times New Roman" w:cs="Times New Roman" w:eastAsiaTheme="minorEastAsia"/>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/年。</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2、基本同意各水厂规模为:江川中心城区水厂3.2万m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/d，龙泉园区水厂2.2万m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/d，路居水厂(包含抚仙湖南岸及星空国际旅游度假区)1.6万m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/d，江城镇水厂3.0万m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/d，前卫镇水厂2.0万m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/d。</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②抚仙湖流域健康水循环系统江川路居片区供水工程（</w:t>
      </w:r>
      <w:r>
        <w:rPr>
          <w:rFonts w:hint="default" w:ascii="Times New Roman" w:hAnsi="Times New Roman" w:eastAsia="方正仿宋_GBK" w:cs="Times New Roman"/>
          <w:bCs/>
          <w:color w:val="000000" w:themeColor="text1"/>
          <w:highlight w:val="none"/>
          <w14:textFill>
            <w14:solidFill>
              <w14:schemeClr w14:val="tx1"/>
            </w14:solidFill>
          </w14:textFill>
        </w:rPr>
        <w:t>Ⅲ</w:t>
      </w:r>
      <w:r>
        <w:rPr>
          <w:rFonts w:hint="default" w:ascii="Times New Roman" w:hAnsi="Times New Roman" w:cs="Times New Roman" w:eastAsiaTheme="minorEastAsia"/>
          <w:bCs/>
          <w:color w:val="000000" w:themeColor="text1"/>
          <w:highlight w:val="none"/>
          <w14:textFill>
            <w14:solidFill>
              <w14:schemeClr w14:val="tx1"/>
            </w14:solidFill>
          </w14:textFill>
        </w:rPr>
        <w:t>期）</w:t>
      </w:r>
      <w:r>
        <w:rPr>
          <w:rFonts w:hint="default" w:ascii="Times New Roman" w:hAnsi="Times New Roman" w:cs="Times New Roman" w:eastAsiaTheme="minorEastAsia"/>
          <w:color w:val="000000" w:themeColor="text1"/>
          <w:highlight w:val="none"/>
          <w14:textFill>
            <w14:solidFill>
              <w14:schemeClr w14:val="tx1"/>
            </w14:solidFill>
          </w14:textFill>
        </w:rPr>
        <w:t>(备注：该项内容来自初设批复玉水规财</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7号)</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建设内容：路居水厂及配水管网项目建设</w:t>
      </w:r>
    </w:p>
    <w:p>
      <w:pPr>
        <w:widowControl/>
        <w:ind w:firstLine="480" w:firstLineChars="200"/>
        <w:jc w:val="left"/>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一、基本同意水厂选址位于路居上坝原新烟叶站，占地面积约24.9亩。</w:t>
      </w:r>
    </w:p>
    <w:p>
      <w:pPr>
        <w:widowControl/>
        <w:ind w:firstLine="480" w:firstLineChars="200"/>
        <w:jc w:val="left"/>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二、基本同意水厂处理工艺及主要处理构筑物的布置结构设计：水厂处理工艺由配水井、网格絮凝池、斜板沉淀池、V型滤池、反冲洗泵房、清水池、加药加氯间、排水池、排泥池、污泥干化间等组成，主要建筑物为综合办公楼现有改建。</w:t>
      </w:r>
    </w:p>
    <w:p>
      <w:pPr>
        <w:widowControl/>
        <w:ind w:firstLine="480" w:firstLineChars="200"/>
        <w:jc w:val="left"/>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三、基本同意供水范围为螺蛳铺、兰田、石岩哨、上坝村、中坝村、下坝村6个村委会和抚仙湖星空国际旅游度假社区。</w:t>
      </w:r>
    </w:p>
    <w:p>
      <w:pPr>
        <w:widowControl/>
        <w:ind w:firstLine="480" w:firstLineChars="200"/>
        <w:jc w:val="left"/>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四、基本同意输配水管网走向和流量分配设计:配水管网全长13.99km，其中管径DN600长150米，DN400mm有3310m，DN355mm有2350m，DN315mm有1220米，DN200mm有4550m，DN150mm有2410m。</w:t>
      </w:r>
    </w:p>
    <w:p>
      <w:pPr>
        <w:widowControl/>
        <w:ind w:firstLine="480" w:firstLineChars="200"/>
        <w:jc w:val="left"/>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工程建设地点：澄江市抚仙湖北片区</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项目责任单位：玉溪市抚仙湖保护开发投资有限责任公司、玉溪市水利局</w:t>
      </w:r>
    </w:p>
    <w:p>
      <w:pPr>
        <w:numPr>
          <w:ilvl w:val="0"/>
          <w:numId w:val="0"/>
        </w:num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3</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30897万元，初设批复投资31612万元，截至2023年6月，已到位资金22042万元，资金到位率69.73%，其中自筹资金22042万元；已完成投资29988万元，投资完成率94.86%。该项目已编制完成可行性研究报告，并于2020年8月11日获得批复（玉发改农经复</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2020</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25号），编制完成项目初步设计，并于2020年9月10日获得Ⅰ期工程初设批复（玉水规财</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2020</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15号），于2022年2月17日获得Ⅲ期工程初设批复（玉水规财</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7号），分别于2021年1月26日、7月3日开工。由于施工期间的疫情影响，原材料上涨过快等原因，玉溪市抚仙湖水务管理有限责任公司上报玉溪市水利局及玉溪市发展和改革委员会，申请Ⅰ期工程增加投资6500万元，并于2022年1月5日获得批复（玉水规财</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3号</w:t>
      </w:r>
      <w:r>
        <w:rPr>
          <w:rFonts w:hint="default" w:ascii="Times New Roman" w:hAnsi="Times New Roman" w:cs="Times New Roman" w:eastAsiaTheme="minorEastAsia"/>
          <w:bCs/>
          <w:color w:val="000000" w:themeColor="text1"/>
          <w:highlight w:val="none"/>
          <w14:textFill>
            <w14:solidFill>
              <w14:schemeClr w14:val="tx1"/>
            </w14:solidFill>
          </w14:textFill>
        </w:rPr>
        <w:t>）。目前该项目已完成①路居干管：已全部接通，目前处于试运行阶段。②江川支管累计完成管槽开挖19.4千米，管道安装19.2千米，主管已全线贯通，主供龙泉水厂，水厂于2023年2月27日向外正常供水。③路居水厂于2022年6月30日开工，厂区主体结构建筑、设备安装及厂外总长15.49千米管道已全部安装完成，正在进行厂区场地平整及附属绿化、道路铺设及挡土墙施工。于2023年2月27日正常向外供水。该项目处于在建工作阶段，项目进展符合规划进度要求。</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highlight w:val="none"/>
          <w14:textFill>
            <w14:solidFill>
              <w14:schemeClr w14:val="tx1"/>
            </w14:solidFill>
          </w14:textFill>
        </w:rPr>
        <w:t>）项目环境效益</w:t>
      </w:r>
    </w:p>
    <w:p>
      <w:pPr>
        <w:widowControl/>
        <w:ind w:firstLine="480" w:firstLineChars="200"/>
        <w:jc w:val="left"/>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该项目为减少从抚仙湖取水，目前处于在建工作阶段，故暂不核算工程环境效益。</w:t>
      </w:r>
    </w:p>
    <w:p>
      <w:pPr>
        <w:pStyle w:val="6"/>
        <w:spacing w:before="0" w:after="0" w:line="360" w:lineRule="auto"/>
        <w:rPr>
          <w:rFonts w:hint="default" w:ascii="Times New Roman" w:hAnsi="Times New Roman" w:cs="Times New Roman" w:eastAsiaTheme="minorEastAsia"/>
          <w:b w:val="0"/>
          <w:color w:val="000000" w:themeColor="text1"/>
          <w:highlight w:val="none"/>
          <w14:textFill>
            <w14:solidFill>
              <w14:schemeClr w14:val="tx1"/>
            </w14:solidFill>
          </w14:textFill>
        </w:rPr>
      </w:pPr>
      <w:bookmarkStart w:id="365" w:name="_Toc18579"/>
      <w:bookmarkStart w:id="366" w:name="_Toc32214"/>
      <w:bookmarkStart w:id="367" w:name="_Toc1207"/>
      <w:r>
        <w:rPr>
          <w:rFonts w:hint="default" w:ascii="Times New Roman" w:hAnsi="Times New Roman" w:cs="Times New Roman" w:eastAsiaTheme="minorEastAsia"/>
          <w:b w:val="0"/>
          <w:color w:val="000000" w:themeColor="text1"/>
          <w:highlight w:val="none"/>
          <w14:textFill>
            <w14:solidFill>
              <w14:schemeClr w14:val="tx1"/>
            </w14:solidFill>
          </w14:textFill>
        </w:rPr>
        <w:t>4.2.2.2澄江市城乡供水一体化工程项目</w:t>
      </w:r>
      <w:bookmarkEnd w:id="365"/>
      <w:bookmarkEnd w:id="366"/>
      <w:bookmarkEnd w:id="367"/>
    </w:p>
    <w:p>
      <w:pPr>
        <w:numPr>
          <w:ilvl w:val="0"/>
          <w:numId w:val="6"/>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项目基本情况</w:t>
      </w:r>
    </w:p>
    <w:p>
      <w:pPr>
        <w:numPr>
          <w:ilvl w:val="0"/>
          <w:numId w:val="7"/>
        </w:num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①对大湾至立昌线以北片区供水系统完善提升，实现抚仙湖北岸坝区供水一体化。②实施农村供水保障专项行动。完善供水主管网至各村落之间的支管网建设，并对水源不稳定村组实现正常供水。</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numPr>
          <w:ilvl w:val="0"/>
          <w:numId w:val="7"/>
        </w:numPr>
        <w:ind w:left="480" w:left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项目设计（可研）情况</w:t>
      </w:r>
    </w:p>
    <w:p>
      <w:pPr>
        <w:ind w:left="480" w:left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w:t>
      </w:r>
      <w:r>
        <w:rPr>
          <w:rFonts w:hint="default" w:ascii="Times New Roman" w:hAnsi="Times New Roman" w:cs="Times New Roman" w:eastAsiaTheme="minorEastAsia"/>
          <w:color w:val="000000" w:themeColor="text1"/>
          <w:highlight w:val="none"/>
          <w14:textFill>
            <w14:solidFill>
              <w14:schemeClr w14:val="tx1"/>
            </w14:solidFill>
          </w14:textFill>
        </w:rPr>
        <w:t>该项内容来自可研批复</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5</w:t>
      </w:r>
      <w:r>
        <w:rPr>
          <w:rFonts w:hint="default" w:ascii="Times New Roman" w:hAnsi="Times New Roman" w:cs="Times New Roman" w:eastAsiaTheme="minorEastAsia"/>
          <w:color w:val="000000" w:themeColor="text1"/>
          <w:highlight w:val="none"/>
          <w14:textFill>
            <w14:solidFill>
              <w14:schemeClr w14:val="tx1"/>
            </w14:solidFill>
          </w14:textFill>
        </w:rPr>
        <w:t>号</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工程名称：澄江市城乡供水一体化建设项目</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工程内容：在抚仙湖北片区新、改建DN150-DN600给水主管长度总长82.36km，其中，新建给水管道61.3km，改造给水管道21.03km；扩建二水厂，新增10000m</w:t>
      </w:r>
      <w:r>
        <w:rPr>
          <w:rFonts w:hint="default" w:ascii="Times New Roman" w:hAnsi="Times New Roman" w:cs="Times New Roman" w:eastAsiaTheme="minorEastAsia"/>
          <w:bCs/>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/d处理能力，在二水厂内部新建絮凝沉淀池</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bCs/>
          <w:color w:val="000000" w:themeColor="text1"/>
          <w:highlight w:val="none"/>
          <w14:textFill>
            <w14:solidFill>
              <w14:schemeClr w14:val="tx1"/>
            </w14:solidFill>
          </w14:textFill>
        </w:rPr>
        <w:t>座、滤池</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bCs/>
          <w:color w:val="000000" w:themeColor="text1"/>
          <w:highlight w:val="none"/>
          <w14:textFill>
            <w14:solidFill>
              <w14:schemeClr w14:val="tx1"/>
            </w14:solidFill>
          </w14:textFill>
        </w:rPr>
        <w:t>座及配套设备。</w:t>
      </w:r>
    </w:p>
    <w:p>
      <w:pPr>
        <w:ind w:left="480" w:left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②</w:t>
      </w:r>
      <w:r>
        <w:rPr>
          <w:rFonts w:hint="default" w:ascii="Times New Roman" w:hAnsi="Times New Roman" w:cs="Times New Roman" w:eastAsiaTheme="minorEastAsia"/>
          <w:color w:val="000000" w:themeColor="text1"/>
          <w:highlight w:val="none"/>
          <w14:textFill>
            <w14:solidFill>
              <w14:schemeClr w14:val="tx1"/>
            </w14:solidFill>
          </w14:textFill>
        </w:rPr>
        <w:t>该项内容来自可研批复</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83</w:t>
      </w:r>
      <w:r>
        <w:rPr>
          <w:rFonts w:hint="default" w:ascii="Times New Roman" w:hAnsi="Times New Roman" w:cs="Times New Roman" w:eastAsiaTheme="minorEastAsia"/>
          <w:color w:val="000000" w:themeColor="text1"/>
          <w:highlight w:val="none"/>
          <w14:textFill>
            <w14:solidFill>
              <w14:schemeClr w14:val="tx1"/>
            </w14:solidFill>
          </w14:textFill>
        </w:rPr>
        <w:t>号</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工程名称：玉溪市澄江市农村供水保障专项行动项目</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工程内容：项目占地面积1061.72亩，新建提水泵站7座，水池17个，智能化终端计量表36730套。铺设供水管网1279km及其附属建筑物。</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项目责任单位：澄江市住房和城乡建设局、澄江市水利局</w:t>
      </w:r>
    </w:p>
    <w:p>
      <w:pPr>
        <w:numPr>
          <w:ilvl w:val="0"/>
          <w:numId w:val="6"/>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33300万元，批复投资33291万元，截至2023年6月，已到位资金6649万元，资金到位率19.59%，其中省级补助资金125万元，州市配套资金110万元，自筹资金6414万元，已完成投资3533万元，投资完成率10.61%。该项目分2个部分，其中项目①</w:t>
      </w:r>
      <w:r>
        <w:rPr>
          <w:rFonts w:hint="default" w:ascii="Times New Roman" w:hAnsi="Times New Roman" w:cs="Times New Roman" w:eastAsiaTheme="minorEastAsia"/>
          <w:color w:val="000000" w:themeColor="text1"/>
          <w:highlight w:val="none"/>
          <w14:textFill>
            <w14:solidFill>
              <w14:schemeClr w14:val="tx1"/>
            </w14:solidFill>
          </w14:textFill>
        </w:rPr>
        <w:t>可研批复投资</w:t>
      </w:r>
      <w:r>
        <w:rPr>
          <w:rFonts w:hint="default" w:ascii="Times New Roman" w:hAnsi="Times New Roman" w:cs="Times New Roman" w:eastAsiaTheme="minorEastAsia"/>
          <w:bCs/>
          <w:color w:val="000000" w:themeColor="text1"/>
          <w:highlight w:val="none"/>
          <w14:textFill>
            <w14:solidFill>
              <w14:schemeClr w14:val="tx1"/>
            </w14:solidFill>
          </w14:textFill>
        </w:rPr>
        <w:t>25000万元，截至2023年6月，已到位资金235万元，资金到位率0.94%，其中省级补助资金125万元，州市配套资金110万元，完成投资0万元；项目②可研批复投资8291万元，截至2023年6月，已到位资金6414万元（全部为自筹资金），资金到位率77.36%，已完成投资3533万元，投资完成率42.61%。</w:t>
      </w:r>
      <w:r>
        <w:rPr>
          <w:rFonts w:hint="eastAsia" w:cs="Times New Roman" w:eastAsiaTheme="minorEastAsia"/>
          <w:bCs/>
          <w:color w:val="000000" w:themeColor="text1"/>
          <w:highlight w:val="none"/>
          <w:lang w:eastAsia="zh-CN"/>
          <w14:textFill>
            <w14:solidFill>
              <w14:schemeClr w14:val="tx1"/>
            </w14:solidFill>
          </w14:textFill>
        </w:rPr>
        <w:t>截至</w:t>
      </w:r>
      <w:r>
        <w:rPr>
          <w:rFonts w:hint="default" w:ascii="Times New Roman" w:hAnsi="Times New Roman" w:cs="Times New Roman" w:eastAsiaTheme="minorEastAsia"/>
          <w:bCs/>
          <w:color w:val="000000" w:themeColor="text1"/>
          <w:highlight w:val="none"/>
          <w14:textFill>
            <w14:solidFill>
              <w14:schemeClr w14:val="tx1"/>
            </w14:solidFill>
          </w14:textFill>
        </w:rPr>
        <w:t>2023年6月，项目①已编制完成《澄江市城镇供水专项规划及城乡供水一体化实施方案》、《澄江市城镇排水专项规划》，已获得澄江市自然资源局项目用地及规划回复以及玉溪市生态环境局澄江分局无需办理环评手续的回复，已经编制完成《澄江市城乡供水一体化建设项目可行性研究报告》，并获得批复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5</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。该子项目目前配合国投开展项目融资资料准备阶段。项目②已编制完成可行性研究报告，并获得批复（澄发改发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83</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），于2021年12月签订施工总承包合同，并于2021年12月取得开工令；已获得澄江市水利局关于该项目的2021年度实施方案的批复（澄水字</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83</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）和2022年度实施方案的批复（澄水字</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74</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该子项目共涉及129个村管网改造（2021年度60个，2022年度69个），目前已完成72个村（2021年度54个，2022年度18个），14个村正在施工。该项目处于在建工作阶段，项目进展符合规划进度要求，但项目①进展滞后。</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（3）项目环境效益</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实施该项目为提升农村饮水安全保障水平，不断满足人民群众对美好生活的向往，提高农村节水意识，目前项目处于在建工作阶段，故暂不核算工程环境效益。</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（4）存在问题</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截至2023年6月，项目①进展滞后。</w:t>
      </w:r>
    </w:p>
    <w:p>
      <w:pPr>
        <w:pStyle w:val="6"/>
        <w:spacing w:before="0" w:after="0" w:line="360" w:lineRule="auto"/>
        <w:rPr>
          <w:rFonts w:hint="default" w:ascii="Times New Roman" w:hAnsi="Times New Roman" w:cs="Times New Roman" w:eastAsiaTheme="minorEastAsia"/>
          <w:b w:val="0"/>
          <w:color w:val="000000" w:themeColor="text1"/>
          <w:highlight w:val="none"/>
          <w14:textFill>
            <w14:solidFill>
              <w14:schemeClr w14:val="tx1"/>
            </w14:solidFill>
          </w14:textFill>
        </w:rPr>
      </w:pPr>
      <w:bookmarkStart w:id="368" w:name="_Toc32187"/>
      <w:bookmarkStart w:id="369" w:name="_Toc4485"/>
      <w:bookmarkStart w:id="370" w:name="_Toc30234"/>
      <w:r>
        <w:rPr>
          <w:rFonts w:hint="default" w:ascii="Times New Roman" w:hAnsi="Times New Roman" w:cs="Times New Roman" w:eastAsiaTheme="minorEastAsia"/>
          <w:b w:val="0"/>
          <w:color w:val="000000" w:themeColor="text1"/>
          <w:highlight w:val="none"/>
          <w14:textFill>
            <w14:solidFill>
              <w14:schemeClr w14:val="tx1"/>
            </w14:solidFill>
          </w14:textFill>
        </w:rPr>
        <w:t>4.2.2.3抚仙湖北岸初期雨水收集循环利用项目</w:t>
      </w:r>
      <w:bookmarkEnd w:id="368"/>
      <w:bookmarkEnd w:id="369"/>
      <w:bookmarkEnd w:id="370"/>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改造提升原有泵站、新建管道，将调蓄带低污染水抽提灌溉回用。东线工程提至浑水塘水库，设计年总提水量541.77万m³，覆盖浑水塘2.07万亩灌面；西线工程提至山冲河水库北灌沟，设计年总提水量54.41万m³，覆盖山冲河水库约0.6万亩灌面。在调蓄带马房村段新增日处理1.5万m³/</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d</w:t>
      </w:r>
      <w:r>
        <w:rPr>
          <w:rFonts w:hint="default" w:ascii="Times New Roman" w:hAnsi="Times New Roman" w:cs="Times New Roman" w:eastAsiaTheme="minorEastAsia"/>
          <w:bCs/>
          <w:color w:val="000000" w:themeColor="text1"/>
          <w:highlight w:val="none"/>
          <w14:textFill>
            <w14:solidFill>
              <w14:schemeClr w14:val="tx1"/>
            </w14:solidFill>
          </w14:textFill>
        </w:rPr>
        <w:t>的水质提升设备，对调蓄带不达标水体进行水质提升后回用。</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2、项目设计（可研）情况</w:t>
      </w:r>
      <w:r>
        <w:rPr>
          <w:rFonts w:hint="default" w:ascii="Times New Roman" w:hAnsi="Times New Roman" w:cs="Times New Roman" w:eastAsiaTheme="minorEastAsia"/>
          <w:color w:val="000000" w:themeColor="text1"/>
          <w:highlight w:val="none"/>
          <w14:textFill>
            <w14:solidFill>
              <w14:schemeClr w14:val="tx1"/>
            </w14:solidFill>
          </w14:textFill>
        </w:rPr>
        <w:t>(备注：该项内容来自初设批复澄水字</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100号)</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工程名称：抚仙湖北岸生态调蓄带提蓄水循环利用工程</w:t>
      </w:r>
    </w:p>
    <w:p>
      <w:pPr>
        <w:ind w:firstLine="480" w:firstLineChars="200"/>
        <w:rPr>
          <w:rFonts w:hint="eastAsia" w:ascii="Times New Roman" w:hAnsi="Times New Roman" w:cs="Times New Roman" w:eastAsiaTheme="minorEastAsia"/>
          <w:bCs/>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工程内容：本工程主要由提水泵站、输水管道及高位水池等组成，根据灌溉区域分布位置，分为东线工程和西线工程两部分。</w:t>
      </w:r>
    </w:p>
    <w:p>
      <w:pPr>
        <w:ind w:firstLine="480" w:firstLineChars="200"/>
        <w:rPr>
          <w:rFonts w:hint="eastAsia" w:ascii="Times New Roman" w:hAnsi="Times New Roman" w:cs="Times New Roman" w:eastAsiaTheme="minorEastAsia"/>
          <w:bCs/>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西线工程提取生态调蓄带二期水至山冲河北灌沟，增加现有生态调蓄带1#泵站控灌灌面。西线工程主要由生态调蓄带1#泵站改造工程、提水管道工程及北大沟修复工程组成。</w:t>
      </w:r>
    </w:p>
    <w:p>
      <w:pPr>
        <w:ind w:firstLine="480" w:firstLineChars="200"/>
        <w:rPr>
          <w:rFonts w:hint="eastAsia" w:ascii="Times New Roman" w:hAnsi="Times New Roman" w:cs="Times New Roman" w:eastAsiaTheme="minorEastAsia"/>
          <w:bCs/>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西线工程通过更换生态调蓄带1#泵站1台水泵用以抽水至山冲河水库放水涵出水池方案，提水管道全长约2.85km，管径DN400，材质为热涂塑钢管（Q235C）；更换水泵功率为220kW,设计流量为0.2m³/s；北灌沟修复段全长3.5km，主要对其进行清淤、垮塌段修复及抹面修复等工作。</w:t>
      </w:r>
    </w:p>
    <w:p>
      <w:pPr>
        <w:ind w:firstLine="480" w:firstLineChars="200"/>
        <w:rPr>
          <w:rFonts w:hint="eastAsia" w:ascii="Times New Roman" w:hAnsi="Times New Roman" w:cs="Times New Roman" w:eastAsiaTheme="minorEastAsia"/>
          <w:bCs/>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东线工程从调蓄带中直接取水，通过新建泵站提水至浑水塘水库，并灌溉沿途2.07万亩灌面。东线工程包括引水工程和水库整治工程，其中引水工程包括提水泵站工程、提水管道工程、高位水池工程、输水管道工程、灌溉干管工程。为保障灌溉供水的实施效果，对浑水塘水库进行了库区防渗工作等。</w:t>
      </w:r>
    </w:p>
    <w:p>
      <w:pPr>
        <w:ind w:firstLine="480" w:firstLineChars="200"/>
        <w:rPr>
          <w:rFonts w:hint="eastAsia" w:ascii="Times New Roman" w:hAnsi="Times New Roman" w:cs="Times New Roman" w:eastAsiaTheme="minorEastAsia"/>
          <w:bCs/>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1.引水建筑物：引水管道从调蓄带向新建提水泵站前池引水，引水管道总长0.69km，管径DN600，材质为热涂塑钢管（Q235C）。</w:t>
      </w:r>
    </w:p>
    <w:p>
      <w:pPr>
        <w:ind w:firstLine="480" w:firstLineChars="200"/>
        <w:rPr>
          <w:rFonts w:hint="eastAsia" w:ascii="Times New Roman" w:hAnsi="Times New Roman" w:cs="Times New Roman" w:eastAsiaTheme="minorEastAsia"/>
          <w:bCs/>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2.提水泵站：提水泵站位于梅玉一级提升泵站旧址，泵站设计扬程231.82m，设计流量0.42m³/s，水泵2台，总装机1420kW。</w:t>
      </w:r>
    </w:p>
    <w:p>
      <w:pPr>
        <w:ind w:firstLine="480" w:firstLineChars="200"/>
        <w:rPr>
          <w:rFonts w:hint="eastAsia" w:ascii="Times New Roman" w:hAnsi="Times New Roman" w:cs="Times New Roman" w:eastAsiaTheme="minorEastAsia"/>
          <w:bCs/>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3.提水管道：起点位于新建泵站出水管，终点位于浑水塘水库西北侧山顶高位水池。提水管道总长7.3km，为DN600热涂塑钢管（Q235C）。</w:t>
      </w:r>
    </w:p>
    <w:p>
      <w:pPr>
        <w:ind w:firstLine="480" w:firstLineChars="200"/>
        <w:rPr>
          <w:rFonts w:hint="eastAsia" w:ascii="Times New Roman" w:hAnsi="Times New Roman" w:cs="Times New Roman" w:eastAsiaTheme="minorEastAsia"/>
          <w:bCs/>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4.高位水池：高位水池位于尖峰山山腰处，为圆形现浇钢筋混凝土水池，有效容积2000m³，水池直径27.5m，深5m，有效水深3.6m。</w:t>
      </w:r>
    </w:p>
    <w:p>
      <w:pPr>
        <w:ind w:firstLine="480" w:firstLineChars="200"/>
        <w:rPr>
          <w:rFonts w:hint="eastAsia" w:ascii="Times New Roman" w:hAnsi="Times New Roman" w:cs="Times New Roman" w:eastAsiaTheme="minorEastAsia"/>
          <w:bCs/>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5.输水管道：输水管道起点位于高位水池出水管，终点位于浑水塘水库，管道全长1.54km，其中DN400管道0.95km，DN350管道0.59km。</w:t>
      </w:r>
    </w:p>
    <w:p>
      <w:pPr>
        <w:ind w:firstLine="480" w:firstLineChars="200"/>
        <w:rPr>
          <w:rFonts w:hint="eastAsia" w:ascii="Times New Roman" w:hAnsi="Times New Roman" w:cs="Times New Roman" w:eastAsiaTheme="minorEastAsia"/>
          <w:bCs/>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6.灌溉干管：高位水池南北两侧布设新村灌溉干管及浑水塘灌溉干管，其中新村灌溉干管用于新村及沿线灌区，总长3.54km，管材采用热涂塑钢管(Q235C)，管径为DN500及DN600，其中DN600管道0.27km，DN500管道3.27km；浑水塘灌溉干管用于灌溉浑水塘片区，总长1.69km，管材采用热涂塑钢管(Q235C)，管径为DN200。浑水塘灌溉干管末端设200m³圆形钢筋混凝土结构调蓄水池，池内设浮球阀控制水位及进水管管道启闭。</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7.浑水塘水库库盆防渗：本次库盆防渗与坝体防渗结合为一个整体防渗体系，库盆采用复合土工膜（两布一膜）进行防渗。库岸及库底经清基压实后，填筑0.2m厚黏土垫层，上部铺设两布一膜复合土工膜，上部再铺设6cm厚砂垫层和C20混凝土预制块保护层。</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工程建设年限：2022年，计划工期：120天</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项目责任单位：澄江市水利局</w:t>
      </w:r>
    </w:p>
    <w:p>
      <w:pPr>
        <w:numPr>
          <w:ilvl w:val="0"/>
          <w:numId w:val="0"/>
        </w:num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（2）</w:t>
      </w: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10000万元，可研批复投资6862万元，截至2023年6月，已到位资金4000万元，资金到位率58.29%，其中省级补助资金4000万元；已完成投资3850万元，投资完成率56.11%。截至2023年6月，已编制完成工程项目初步设计，并获得澄江市水利局批复（</w:t>
      </w:r>
      <w:r>
        <w:rPr>
          <w:rFonts w:hint="default" w:ascii="Times New Roman" w:hAnsi="Times New Roman" w:cs="Times New Roman" w:eastAsiaTheme="minorEastAsia"/>
          <w:color w:val="000000" w:themeColor="text1"/>
          <w:highlight w:val="none"/>
          <w14:textFill>
            <w14:solidFill>
              <w14:schemeClr w14:val="tx1"/>
            </w14:solidFill>
          </w14:textFill>
        </w:rPr>
        <w:t>澄水字</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100号</w:t>
      </w:r>
      <w:r>
        <w:rPr>
          <w:rFonts w:hint="default" w:ascii="Times New Roman" w:hAnsi="Times New Roman" w:cs="Times New Roman" w:eastAsiaTheme="minorEastAsia"/>
          <w:bCs/>
          <w:color w:val="000000" w:themeColor="text1"/>
          <w:highlight w:val="none"/>
          <w14:textFill>
            <w14:solidFill>
              <w14:schemeClr w14:val="tx1"/>
            </w14:solidFill>
          </w14:textFill>
        </w:rPr>
        <w:t>），2022年2月签订抚仙湖北岸生态调蓄带提蓄水循环利用工程项目施工合同，于2022年2月9日取得开工令。项目目前完成①抚仙湖北岸生态调蓄带提蓄水循环利用工程西线已全部完工并投入使用。东线完成引水管道安装1456m，中水管安装200m，泵房建设及机电设备安装；提水管道安装7200m，2000m³高位水池建设。②湖外农业循环用水一期项目正在有序推进，开展测量放线工作，泵站开工6座，蓄水池开工3座。③湖外农业循环用水二期项目左所华光片区实现供水，牛市河片区安装管道6987米，萝卜村片区清表外运及消纳800m³、沟槽开挖266m³，东片区中水回用提水管、输水管片区清表外运消纳1681.14m³。该项目处于在建工作阶段，项目进展符合规划进度要求。</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（3）项目环境效益</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该项目规划污染物预期削减量COD62.24t/a，TN3.89t/a，TP0.49t/a，该项目处于在建工作阶段，故暂不核算工程环境效益。</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（4）存在问题</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该项目资金未完全到位，部分水池还未建设，配套设施还未完善。</w:t>
      </w:r>
    </w:p>
    <w:p>
      <w:pPr>
        <w:jc w:val="cente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drawing>
          <wp:inline distT="0" distB="0" distL="114300" distR="114300">
            <wp:extent cx="2618105" cy="3490595"/>
            <wp:effectExtent l="0" t="0" r="3175" b="14605"/>
            <wp:docPr id="29" name="图片 29" descr="20230510105608000-7-3586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20230510105608000-7-358602"/>
                    <pic:cNvPicPr>
                      <a:picLocks noChangeAspect="true"/>
                    </pic:cNvPicPr>
                  </pic:nvPicPr>
                  <pic:blipFill>
                    <a:blip r:embed="rId31"/>
                    <a:stretch>
                      <a:fillRect/>
                    </a:stretch>
                  </pic:blipFill>
                  <pic:spPr>
                    <a:xfrm>
                      <a:off x="0" y="0"/>
                      <a:ext cx="2618105" cy="3490595"/>
                    </a:xfrm>
                    <a:prstGeom prst="rect">
                      <a:avLst/>
                    </a:prstGeom>
                  </pic:spPr>
                </pic:pic>
              </a:graphicData>
            </a:graphic>
          </wp:inline>
        </w:drawing>
      </w:r>
      <w:r>
        <w:rPr>
          <w:rFonts w:hint="default" w:ascii="Times New Roman" w:hAnsi="Times New Roman" w:cs="Times New Roman" w:eastAsiaTheme="minorEastAsia"/>
          <w:bCs/>
          <w:color w:val="000000" w:themeColor="text1"/>
          <w:highlight w:val="none"/>
          <w14:textFill>
            <w14:solidFill>
              <w14:schemeClr w14:val="tx1"/>
            </w14:solidFill>
          </w14:textFill>
        </w:rPr>
        <w:drawing>
          <wp:inline distT="0" distB="0" distL="114300" distR="114300">
            <wp:extent cx="2613025" cy="3484880"/>
            <wp:effectExtent l="0" t="0" r="8255" b="5080"/>
            <wp:docPr id="30" name="图片 30"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2"/>
                    <pic:cNvPicPr>
                      <a:picLocks noChangeAspect="true"/>
                    </pic:cNvPicPr>
                  </pic:nvPicPr>
                  <pic:blipFill>
                    <a:blip r:embed="rId32"/>
                    <a:stretch>
                      <a:fillRect/>
                    </a:stretch>
                  </pic:blipFill>
                  <pic:spPr>
                    <a:xfrm>
                      <a:off x="0" y="0"/>
                      <a:ext cx="2613025" cy="3484880"/>
                    </a:xfrm>
                    <a:prstGeom prst="rect">
                      <a:avLst/>
                    </a:prstGeom>
                  </pic:spPr>
                </pic:pic>
              </a:graphicData>
            </a:graphic>
          </wp:inline>
        </w:drawing>
      </w:r>
    </w:p>
    <w:p>
      <w:pPr>
        <w:jc w:val="cente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eastAsia" w:cs="Times New Roman" w:eastAsiaTheme="minorEastAsia"/>
          <w:bCs/>
          <w:color w:val="000000" w:themeColor="text1"/>
          <w:highlight w:val="none"/>
          <w:lang w:val="en-US" w:eastAsia="zh-CN"/>
          <w14:textFill>
            <w14:solidFill>
              <w14:schemeClr w14:val="tx1"/>
            </w14:solidFill>
          </w14:textFill>
        </w:rPr>
        <w:t>图4.2.2-1</w:t>
      </w:r>
      <w:r>
        <w:rPr>
          <w:rFonts w:hint="default" w:ascii="Times New Roman" w:hAnsi="Times New Roman" w:cs="Times New Roman" w:eastAsiaTheme="minorEastAsia"/>
          <w:bCs/>
          <w:color w:val="000000" w:themeColor="text1"/>
          <w:highlight w:val="none"/>
          <w14:textFill>
            <w14:solidFill>
              <w14:schemeClr w14:val="tx1"/>
            </w14:solidFill>
          </w14:textFill>
        </w:rPr>
        <w:t>新建泵站</w:t>
      </w:r>
    </w:p>
    <w:p>
      <w:pPr>
        <w:jc w:val="cente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drawing>
          <wp:inline distT="0" distB="0" distL="114300" distR="114300">
            <wp:extent cx="2649220" cy="1986915"/>
            <wp:effectExtent l="0" t="0" r="2540" b="9525"/>
            <wp:docPr id="7" name="图片 7" descr="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true"/>
                    </pic:cNvPicPr>
                  </pic:nvPicPr>
                  <pic:blipFill>
                    <a:blip r:embed="rId33"/>
                    <a:stretch>
                      <a:fillRect/>
                    </a:stretch>
                  </pic:blipFill>
                  <pic:spPr>
                    <a:xfrm>
                      <a:off x="0" y="0"/>
                      <a:ext cx="2649220" cy="1986915"/>
                    </a:xfrm>
                    <a:prstGeom prst="rect">
                      <a:avLst/>
                    </a:prstGeom>
                  </pic:spPr>
                </pic:pic>
              </a:graphicData>
            </a:graphic>
          </wp:inline>
        </w:drawing>
      </w:r>
      <w:r>
        <w:rPr>
          <w:rFonts w:hint="default" w:ascii="Times New Roman" w:hAnsi="Times New Roman" w:cs="Times New Roman" w:eastAsiaTheme="minorEastAsia"/>
          <w:bCs/>
          <w:color w:val="000000" w:themeColor="text1"/>
          <w:highlight w:val="none"/>
          <w14:textFill>
            <w14:solidFill>
              <w14:schemeClr w14:val="tx1"/>
            </w14:solidFill>
          </w14:textFill>
        </w:rPr>
        <w:drawing>
          <wp:inline distT="0" distB="0" distL="114300" distR="114300">
            <wp:extent cx="2536825" cy="1997710"/>
            <wp:effectExtent l="0" t="0" r="15875" b="2540"/>
            <wp:docPr id="31" name="图片 31" descr="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8"/>
                    <pic:cNvPicPr>
                      <a:picLocks noChangeAspect="true"/>
                    </pic:cNvPicPr>
                  </pic:nvPicPr>
                  <pic:blipFill>
                    <a:blip r:embed="rId34"/>
                    <a:stretch>
                      <a:fillRect/>
                    </a:stretch>
                  </pic:blipFill>
                  <pic:spPr>
                    <a:xfrm>
                      <a:off x="0" y="0"/>
                      <a:ext cx="2536825" cy="1997710"/>
                    </a:xfrm>
                    <a:prstGeom prst="rect">
                      <a:avLst/>
                    </a:prstGeom>
                  </pic:spPr>
                </pic:pic>
              </a:graphicData>
            </a:graphic>
          </wp:inline>
        </w:drawing>
      </w:r>
    </w:p>
    <w:p>
      <w:pPr>
        <w:jc w:val="cente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eastAsia" w:cs="Times New Roman" w:eastAsiaTheme="minorEastAsia"/>
          <w:bCs/>
          <w:color w:val="000000" w:themeColor="text1"/>
          <w:highlight w:val="none"/>
          <w:lang w:val="en-US" w:eastAsia="zh-CN"/>
          <w14:textFill>
            <w14:solidFill>
              <w14:schemeClr w14:val="tx1"/>
            </w14:solidFill>
          </w14:textFill>
        </w:rPr>
        <w:t>图4.2.2-2</w:t>
      </w:r>
      <w:r>
        <w:rPr>
          <w:rFonts w:hint="default" w:ascii="Times New Roman" w:hAnsi="Times New Roman" w:cs="Times New Roman" w:eastAsiaTheme="minorEastAsia"/>
          <w:bCs/>
          <w:color w:val="000000" w:themeColor="text1"/>
          <w:highlight w:val="none"/>
          <w14:textFill>
            <w14:solidFill>
              <w14:schemeClr w14:val="tx1"/>
            </w14:solidFill>
          </w14:textFill>
        </w:rPr>
        <w:t>控制室</w:t>
      </w: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371" w:name="_Toc3036"/>
      <w:bookmarkStart w:id="372" w:name="_Toc27426"/>
      <w:r>
        <w:rPr>
          <w:rFonts w:hint="default" w:ascii="Times New Roman" w:hAnsi="Times New Roman" w:cs="Times New Roman" w:eastAsiaTheme="minorEastAsia"/>
          <w:color w:val="000000" w:themeColor="text1"/>
          <w:highlight w:val="none"/>
          <w14:textFill>
            <w14:solidFill>
              <w14:schemeClr w14:val="tx1"/>
            </w14:solidFill>
          </w14:textFill>
        </w:rPr>
        <w:t>4.2.3水污染防治类</w:t>
      </w:r>
      <w:bookmarkEnd w:id="371"/>
      <w:bookmarkEnd w:id="372"/>
    </w:p>
    <w:p>
      <w:pPr>
        <w:pStyle w:val="6"/>
        <w:spacing w:before="0" w:after="0" w:line="360" w:lineRule="auto"/>
        <w:rPr>
          <w:rFonts w:hint="default" w:ascii="Times New Roman" w:hAnsi="Times New Roman" w:cs="Times New Roman" w:eastAsiaTheme="minorEastAsia"/>
          <w:b w:val="0"/>
          <w:color w:val="000000" w:themeColor="text1"/>
          <w:highlight w:val="none"/>
          <w14:textFill>
            <w14:solidFill>
              <w14:schemeClr w14:val="tx1"/>
            </w14:solidFill>
          </w14:textFill>
        </w:rPr>
      </w:pPr>
      <w:bookmarkStart w:id="373" w:name="_Toc9543"/>
      <w:bookmarkStart w:id="374" w:name="_Toc9025"/>
      <w:bookmarkStart w:id="375" w:name="_Toc1508"/>
      <w:r>
        <w:rPr>
          <w:rFonts w:hint="default" w:ascii="Times New Roman" w:hAnsi="Times New Roman" w:cs="Times New Roman" w:eastAsiaTheme="minorEastAsia"/>
          <w:b w:val="0"/>
          <w:color w:val="000000" w:themeColor="text1"/>
          <w:highlight w:val="none"/>
          <w14:textFill>
            <w14:solidFill>
              <w14:schemeClr w14:val="tx1"/>
            </w14:solidFill>
          </w14:textFill>
        </w:rPr>
        <w:t>4.2.3.1农业绿色转型升级发展工程</w:t>
      </w:r>
      <w:bookmarkEnd w:id="373"/>
      <w:bookmarkEnd w:id="374"/>
      <w:bookmarkEnd w:id="375"/>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巩固坝区5.8万亩土地流转休耕轮作，推进抚仙湖流域农业种植结构调整，强化化肥、农药销售使用及农业灌溉用水管理，实施有机肥替代工程，建设“三化”农业产业园，实施抚仙湖流域畜禽水产养殖全面退出。</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widowControl/>
        <w:ind w:firstLine="480" w:firstLineChars="200"/>
        <w:jc w:val="left"/>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项目责任单位：澄江市农业农村局</w:t>
      </w:r>
    </w:p>
    <w:p>
      <w:pPr>
        <w:numPr>
          <w:ilvl w:val="0"/>
          <w:numId w:val="8"/>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169180万元，截至2023年6月，已到位资金52123万元，资金到位率31.12%，其中中央补助资金525万元，省级补助资金4000万元；已完成投资25177万元，投资完成率14.88%。截至2023年6月，该项目已编制完成《抚仙湖流域“十四五”化肥减量方案》、《抚仙湖流域“十四五”种植结构调整方案》、《抚仙湖流域“十四五”化学农药减量方案》，并于2022年3月由澄江市人民政府下发各镇人民政府、街道办事处、市直有关机关实施（澄</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政</w:t>
      </w:r>
      <w:r>
        <w:rPr>
          <w:rFonts w:hint="default" w:ascii="Times New Roman" w:hAnsi="Times New Roman" w:cs="Times New Roman" w:eastAsiaTheme="minorEastAsia"/>
          <w:bCs/>
          <w:color w:val="000000" w:themeColor="text1"/>
          <w:highlight w:val="none"/>
          <w14:textFill>
            <w14:solidFill>
              <w14:schemeClr w14:val="tx1"/>
            </w14:solidFill>
          </w14:textFill>
        </w:rPr>
        <w:t>办发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17号</w:t>
      </w:r>
      <w:r>
        <w:rPr>
          <w:rFonts w:hint="default" w:ascii="Times New Roman" w:hAnsi="Times New Roman" w:cs="Times New Roman" w:eastAsiaTheme="minorEastAsia"/>
          <w:bCs/>
          <w:color w:val="000000" w:themeColor="text1"/>
          <w:highlight w:val="none"/>
          <w14:textFill>
            <w14:solidFill>
              <w14:schemeClr w14:val="tx1"/>
            </w14:solidFill>
          </w14:textFill>
        </w:rPr>
        <w:t>）、（澄</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政</w:t>
      </w:r>
      <w:r>
        <w:rPr>
          <w:rFonts w:hint="default" w:ascii="Times New Roman" w:hAnsi="Times New Roman" w:cs="Times New Roman" w:eastAsiaTheme="minorEastAsia"/>
          <w:bCs/>
          <w:color w:val="000000" w:themeColor="text1"/>
          <w:highlight w:val="none"/>
          <w14:textFill>
            <w14:solidFill>
              <w14:schemeClr w14:val="tx1"/>
            </w14:solidFill>
          </w14:textFill>
        </w:rPr>
        <w:t>办发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18号</w:t>
      </w:r>
      <w:r>
        <w:rPr>
          <w:rFonts w:hint="default" w:ascii="Times New Roman" w:hAnsi="Times New Roman" w:cs="Times New Roman" w:eastAsiaTheme="minorEastAsia"/>
          <w:bCs/>
          <w:color w:val="000000" w:themeColor="text1"/>
          <w:highlight w:val="none"/>
          <w14:textFill>
            <w14:solidFill>
              <w14:schemeClr w14:val="tx1"/>
            </w14:solidFill>
          </w14:textFill>
        </w:rPr>
        <w:t>）、（澄</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政</w:t>
      </w:r>
      <w:r>
        <w:rPr>
          <w:rFonts w:hint="default" w:ascii="Times New Roman" w:hAnsi="Times New Roman" w:cs="Times New Roman" w:eastAsiaTheme="minorEastAsia"/>
          <w:bCs/>
          <w:color w:val="000000" w:themeColor="text1"/>
          <w:highlight w:val="none"/>
          <w14:textFill>
            <w14:solidFill>
              <w14:schemeClr w14:val="tx1"/>
            </w14:solidFill>
          </w14:textFill>
        </w:rPr>
        <w:t>办发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19号</w:t>
      </w:r>
      <w:r>
        <w:rPr>
          <w:rFonts w:hint="default" w:ascii="Times New Roman" w:hAnsi="Times New Roman" w:cs="Times New Roman" w:eastAsiaTheme="minorEastAsia"/>
          <w:bCs/>
          <w:color w:val="000000" w:themeColor="text1"/>
          <w:highlight w:val="none"/>
          <w14:textFill>
            <w14:solidFill>
              <w14:schemeClr w14:val="tx1"/>
            </w14:solidFill>
          </w14:textFill>
        </w:rPr>
        <w:t>）；编制完成《2022年澄江市抚仙湖径流区农业产业种植规划图》和《2022年澄江市抚仙湖径流区小春种植规划布局图》。目前已完成烤烟移栽1.65万亩、荷藕0.2万亩、玉米0.4万亩。该项目处于在建工作阶段，项目进展符合规划进度要求，但投资滞后。</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（3）项目环境效益</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该项目处于在建工作阶段，故暂不核算工程环境效益。</w:t>
      </w:r>
    </w:p>
    <w:p>
      <w:pPr>
        <w:pStyle w:val="6"/>
        <w:spacing w:before="0" w:after="0" w:line="360" w:lineRule="auto"/>
        <w:rPr>
          <w:rFonts w:hint="default" w:ascii="Times New Roman" w:hAnsi="Times New Roman" w:cs="Times New Roman" w:eastAsiaTheme="minorEastAsia"/>
          <w:b w:val="0"/>
          <w:color w:val="000000" w:themeColor="text1"/>
          <w:highlight w:val="none"/>
          <w14:textFill>
            <w14:solidFill>
              <w14:schemeClr w14:val="tx1"/>
            </w14:solidFill>
          </w14:textFill>
        </w:rPr>
      </w:pPr>
      <w:bookmarkStart w:id="376" w:name="_Toc27110"/>
      <w:bookmarkStart w:id="377" w:name="_Toc20424"/>
      <w:bookmarkStart w:id="378" w:name="_Toc12290"/>
      <w:r>
        <w:rPr>
          <w:rFonts w:hint="default" w:ascii="Times New Roman" w:hAnsi="Times New Roman" w:cs="Times New Roman" w:eastAsiaTheme="minorEastAsia"/>
          <w:b w:val="0"/>
          <w:color w:val="000000" w:themeColor="text1"/>
          <w:highlight w:val="none"/>
          <w14:textFill>
            <w14:solidFill>
              <w14:schemeClr w14:val="tx1"/>
            </w14:solidFill>
          </w14:textFill>
        </w:rPr>
        <w:t>4.2.3.2高标准农田建设项目</w:t>
      </w:r>
      <w:bookmarkEnd w:id="376"/>
      <w:bookmarkEnd w:id="377"/>
      <w:bookmarkEnd w:id="378"/>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完成高标准农田12.71万亩以上，比重达65%以上；完善农田灌排体系，配套高效节水灌溉设施。</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2、项目设计（可研）情况</w:t>
      </w:r>
    </w:p>
    <w:p>
      <w:pPr>
        <w:spacing w:line="360" w:lineRule="auto"/>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w:t>
      </w:r>
      <w:r>
        <w:rPr>
          <w:rFonts w:hint="default" w:ascii="Times New Roman" w:hAnsi="Times New Roman" w:cs="Times New Roman" w:eastAsiaTheme="minorEastAsia"/>
          <w:color w:val="000000" w:themeColor="text1"/>
          <w:highlight w:val="none"/>
          <w14:textFill>
            <w14:solidFill>
              <w14:schemeClr w14:val="tx1"/>
            </w14:solidFill>
          </w14:textFill>
        </w:rPr>
        <w:t>2021年农田建设项目（第一批）（该项内容来自初设批复</w:t>
      </w:r>
      <w:r>
        <w:rPr>
          <w:rFonts w:hint="default" w:ascii="Times New Roman" w:hAnsi="Times New Roman" w:cs="Times New Roman" w:eastAsiaTheme="minorEastAsia"/>
          <w:bCs/>
          <w:color w:val="000000" w:themeColor="text1"/>
          <w:highlight w:val="none"/>
          <w14:textFill>
            <w14:solidFill>
              <w14:schemeClr w14:val="tx1"/>
            </w14:solidFill>
          </w14:textFill>
        </w:rPr>
        <w:t>玉农复</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6</w:t>
      </w:r>
      <w:r>
        <w:rPr>
          <w:rFonts w:hint="default" w:ascii="Times New Roman" w:hAnsi="Times New Roman" w:cs="Times New Roman" w:eastAsiaTheme="minorEastAsia"/>
          <w:color w:val="000000" w:themeColor="text1"/>
          <w:highlight w:val="none"/>
          <w14:textFill>
            <w14:solidFill>
              <w14:schemeClr w14:val="tx1"/>
            </w14:solidFill>
          </w14:textFill>
        </w:rPr>
        <w:t>号）</w:t>
      </w:r>
    </w:p>
    <w:p>
      <w:pPr>
        <w:widowControl/>
        <w:ind w:firstLine="480" w:firstLineChars="200"/>
        <w:jc w:val="left"/>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包括4个子项目：2021年澄江市九村镇龙潭片区高标准农田建设项目、2021年易门县铜厂、绿汁2乡镇铜厂、棚苴等5片区高标准农田建设项目、2021年新平县平甸、新化等4乡（镇）白鹤、者渣等4片区高标准农田建设项目、2021年元江县那诺、羊街等2乡打芒、哈施、浪树、坝木等4片区高标准农田建设项目。计划建成高标准农田6.03万亩（其中高效节水灌溉建设面积2.3万亩），共投入资金9614.7万元。</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②</w:t>
      </w:r>
      <w:r>
        <w:rPr>
          <w:rFonts w:hint="default" w:ascii="Times New Roman" w:hAnsi="Times New Roman" w:cs="Times New Roman" w:eastAsiaTheme="minorEastAsia"/>
          <w:color w:val="000000" w:themeColor="text1"/>
          <w:highlight w:val="none"/>
          <w14:textFill>
            <w14:solidFill>
              <w14:schemeClr w14:val="tx1"/>
            </w14:solidFill>
          </w14:textFill>
        </w:rPr>
        <w:t>2022年澄江市海口镇新村片区高标准农田建设项目（该项内容来自初设批复</w:t>
      </w:r>
      <w:r>
        <w:rPr>
          <w:rFonts w:hint="default" w:ascii="Times New Roman" w:hAnsi="Times New Roman" w:cs="Times New Roman" w:eastAsiaTheme="minorEastAsia"/>
          <w:bCs/>
          <w:color w:val="000000" w:themeColor="text1"/>
          <w:highlight w:val="none"/>
          <w14:textFill>
            <w14:solidFill>
              <w14:schemeClr w14:val="tx1"/>
            </w14:solidFill>
          </w14:textFill>
        </w:rPr>
        <w:t>玉农复</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号）</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建设内容：计划建成高标准农田0.68万亩，共投入资金1110万元。</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一、耕地质量保护与提升：主要由群众投工投劳增施农家肥，完成地力培肥6800亩。</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二、灌溉与排水：新建泵站2座；进水前池1座；100m</w:t>
      </w:r>
      <w:r>
        <w:rPr>
          <w:rFonts w:hint="default" w:ascii="Times New Roman" w:hAnsi="Times New Roman" w:cs="Times New Roman" w:eastAsiaTheme="minorEastAsia"/>
          <w:bCs/>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蓄水池1座；200m</w:t>
      </w:r>
      <w:r>
        <w:rPr>
          <w:rFonts w:hint="default" w:ascii="Times New Roman" w:hAnsi="Times New Roman" w:cs="Times New Roman" w:eastAsiaTheme="minorEastAsia"/>
          <w:bCs/>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调节池1座；200m</w:t>
      </w:r>
      <w:r>
        <w:rPr>
          <w:rFonts w:hint="default" w:ascii="Times New Roman" w:hAnsi="Times New Roman" w:cs="Times New Roman" w:eastAsiaTheme="minorEastAsia"/>
          <w:bCs/>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蓄水池1座</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新建500m</w:t>
      </w:r>
      <w:r>
        <w:rPr>
          <w:rFonts w:hint="default" w:ascii="Times New Roman" w:hAnsi="Times New Roman" w:cs="Times New Roman" w:eastAsiaTheme="minorEastAsia"/>
          <w:bCs/>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高位水池1座。高效节水灌溉面积1300亩，管道工程新建管网15436m，其中：DN100热镀锌钢管6972m，DN125热镀锌钢管472m，DN80热镀锌钢管4237m,φ140x6mm无缝钢管3755m。</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三、田间道路：修建机耕路19条，总长9125m，其中3m宽硬化道路4031m，3.5m宽硬化道路4708m，4m宽硬化道路386m。</w:t>
      </w:r>
    </w:p>
    <w:p>
      <w:pPr>
        <w:ind w:firstLine="480" w:firstLineChars="200"/>
        <w:rPr>
          <w:rFonts w:hint="default" w:ascii="Times New Roman" w:hAnsi="Times New Roman" w:cs="Times New Roman" w:eastAsiaTheme="minorEastAsia"/>
          <w:bCs/>
          <w:color w:val="000000" w:themeColor="text1"/>
          <w:highlight w:val="none"/>
          <w:u w:val="none"/>
          <w14:textFill>
            <w14:solidFill>
              <w14:schemeClr w14:val="tx1"/>
            </w14:solidFill>
          </w14:textFill>
        </w:rPr>
      </w:pPr>
      <w:r>
        <w:rPr>
          <w:rFonts w:hint="default" w:ascii="Times New Roman" w:hAnsi="Times New Roman" w:cs="Times New Roman" w:eastAsiaTheme="minorEastAsia"/>
          <w:bCs/>
          <w:color w:val="000000" w:themeColor="text1"/>
          <w:highlight w:val="none"/>
          <w:u w:val="none"/>
          <w14:textFill>
            <w14:solidFill>
              <w14:schemeClr w14:val="tx1"/>
            </w14:solidFill>
          </w14:textFill>
        </w:rPr>
        <w:t>四、农田输配电工程：本项目新建10kv输电线路1850m，160kva台架变压器1套，l00kva台架变压器1套。</w:t>
      </w:r>
    </w:p>
    <w:p>
      <w:pPr>
        <w:ind w:left="480" w:left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五、其他工程：新建标识牌3座。</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③</w:t>
      </w:r>
      <w:r>
        <w:rPr>
          <w:rFonts w:hint="default" w:ascii="Times New Roman" w:hAnsi="Times New Roman" w:cs="Times New Roman" w:eastAsiaTheme="minorEastAsia"/>
          <w:color w:val="000000" w:themeColor="text1"/>
          <w:highlight w:val="none"/>
          <w14:textFill>
            <w14:solidFill>
              <w14:schemeClr w14:val="tx1"/>
            </w14:solidFill>
          </w14:textFill>
        </w:rPr>
        <w:t>2022年澄江市路居镇高标准农田建设项目</w:t>
      </w:r>
      <w:r>
        <w:rPr>
          <w:rFonts w:hint="default" w:ascii="Times New Roman" w:hAnsi="Times New Roman" w:cs="Times New Roman" w:eastAsiaTheme="minorEastAsia"/>
          <w:bCs/>
          <w:color w:val="000000" w:themeColor="text1"/>
          <w:highlight w:val="none"/>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该项内容来自初设批复</w:t>
      </w:r>
      <w:r>
        <w:rPr>
          <w:rFonts w:hint="default" w:ascii="Times New Roman" w:hAnsi="Times New Roman" w:cs="Times New Roman" w:eastAsiaTheme="minorEastAsia"/>
          <w:bCs/>
          <w:color w:val="000000" w:themeColor="text1"/>
          <w:highlight w:val="none"/>
          <w14:textFill>
            <w14:solidFill>
              <w14:schemeClr w14:val="tx1"/>
            </w14:solidFill>
          </w14:textFill>
        </w:rPr>
        <w:t>玉农复</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16</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建设内容：计划建成高标准农田1.1万亩，共投入资金1815万元。</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一、土地平整：田块修筑374亩。</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二、土壤改良工程：土壤改良11000亩。</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三、灌溉与排水工程：</w:t>
      </w:r>
    </w:p>
    <w:p>
      <w:pPr>
        <w:ind w:firstLine="960" w:firstLineChars="4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1、水源工程：上坝村委会龙潭坝塘</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加</w:t>
      </w:r>
      <w:r>
        <w:rPr>
          <w:rFonts w:hint="default" w:ascii="Times New Roman" w:hAnsi="Times New Roman" w:cs="Times New Roman" w:eastAsiaTheme="minorEastAsia"/>
          <w:bCs/>
          <w:color w:val="000000" w:themeColor="text1"/>
          <w:highlight w:val="none"/>
          <w14:textFill>
            <w14:solidFill>
              <w14:schemeClr w14:val="tx1"/>
            </w14:solidFill>
          </w14:textFill>
        </w:rPr>
        <w:t>固。</w:t>
      </w:r>
    </w:p>
    <w:p>
      <w:pPr>
        <w:ind w:firstLine="960" w:firstLineChars="4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2、小型集雨设施：新建水池20座，其中50m</w:t>
      </w:r>
      <w:r>
        <w:rPr>
          <w:rFonts w:hint="default" w:ascii="Times New Roman" w:hAnsi="Times New Roman" w:cs="Times New Roman" w:eastAsiaTheme="minorEastAsia"/>
          <w:bCs/>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水池5座，100m</w:t>
      </w:r>
      <w:r>
        <w:rPr>
          <w:rFonts w:hint="default" w:ascii="Times New Roman" w:hAnsi="Times New Roman" w:cs="Times New Roman" w:eastAsiaTheme="minorEastAsia"/>
          <w:bCs/>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水池11座，200m</w:t>
      </w:r>
      <w:r>
        <w:rPr>
          <w:rFonts w:hint="default" w:ascii="Times New Roman" w:hAnsi="Times New Roman" w:cs="Times New Roman" w:eastAsiaTheme="minorEastAsia"/>
          <w:bCs/>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水</w:t>
      </w:r>
      <w:r>
        <w:rPr>
          <w:rFonts w:hint="default" w:ascii="Times New Roman" w:hAnsi="Times New Roman" w:cs="Times New Roman" w:eastAsiaTheme="minorEastAsia"/>
          <w:bCs/>
          <w:color w:val="000000" w:themeColor="text1"/>
          <w:highlight w:val="none"/>
          <w14:textFill>
            <w14:solidFill>
              <w14:schemeClr w14:val="tx1"/>
            </w14:solidFill>
          </w14:textFill>
        </w:rPr>
        <w:t>池4座，总容积2150m</w:t>
      </w:r>
      <w:r>
        <w:rPr>
          <w:rFonts w:hint="default" w:ascii="Times New Roman" w:hAnsi="Times New Roman" w:cs="Times New Roman" w:eastAsiaTheme="minorEastAsia"/>
          <w:bCs/>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w:t>
      </w:r>
    </w:p>
    <w:p>
      <w:pPr>
        <w:ind w:firstLine="960" w:firstLineChars="4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3、输水与排水工程:新建灌排渠道37条14.095km,矩形过流断面，C20混凝土解结构，其中断面尺寸为0.4mx0.6m(宽x高)4条1.886km，断面尺寸为0.5mx0.7m(宽x高)31条10.358km，断面尺寸为0.6mx0.8m(宽x高)2条1.851km；水闸52个。</w:t>
      </w:r>
    </w:p>
    <w:p>
      <w:pPr>
        <w:ind w:firstLine="960" w:firstLineChars="4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4、泵站工程</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新建龙潭泵站1座，设计流量为46m</w:t>
      </w:r>
      <w:r>
        <w:rPr>
          <w:rFonts w:hint="default" w:ascii="Times New Roman" w:hAnsi="Times New Roman" w:cs="Times New Roman" w:eastAsiaTheme="minorEastAsia"/>
          <w:bCs/>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/h。</w:t>
      </w:r>
    </w:p>
    <w:p>
      <w:pPr>
        <w:ind w:firstLine="960" w:firstLineChars="4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5、高效节水灌溉：铺设DN100镀锌钢管4.354km。</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四、田间道路工程：在原有土路基础上扩建新建田间道路32条总长17.765km，其中2.5m路面宽度1条0.194km，3m路面宽度11条4.123km,3.5m路面宽度7条4.615km，4m路面宽度5条5.167km，4.5m路面宽度7条2.84km，5m路面宽度1条0.826km。路面形式均为20cm厚C25混凝土路面。</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五、农田输配电：架设10KV输电线路0.5km，安装160KVA</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变压</w:t>
      </w:r>
      <w:r>
        <w:rPr>
          <w:rFonts w:hint="default" w:ascii="Times New Roman" w:hAnsi="Times New Roman" w:cs="Times New Roman" w:eastAsiaTheme="minorEastAsia"/>
          <w:bCs/>
          <w:color w:val="000000" w:themeColor="text1"/>
          <w:highlight w:val="none"/>
          <w14:textFill>
            <w14:solidFill>
              <w14:schemeClr w14:val="tx1"/>
            </w14:solidFill>
          </w14:textFill>
        </w:rPr>
        <w:t>器1台。</w:t>
      </w:r>
    </w:p>
    <w:p>
      <w:pPr>
        <w:ind w:left="480" w:left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六、科技推广措施：在项目区开展耕地质量前后对比监测。</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项目责任单位：澄江市农业农村局</w:t>
      </w:r>
    </w:p>
    <w:p>
      <w:pPr>
        <w:numPr>
          <w:ilvl w:val="0"/>
          <w:numId w:val="0"/>
        </w:num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5730万元，3个子项目初设批复投资共计12539.7万元，截至2023年6月，已到位资金2300万元，资金到位率18.34%，其中中央补助资金1968万元，省级补助资金273万元，州市配套资金59万元；已完成投资1980万元，投资完成率15.79%。目前2021年澄江市九村镇龙潭片区高标准农田建设项目于2021年12月8日开工，2022年4月10日完工，并于2022年12月27日进行县级竣工验收，建成高标准农田7400亩（含高效节水灌溉5300亩），总投资1044.78万元，完成投资668.18万元。2022年第一批海口新村高标准农田6800亩，已建成；2022年第二批路居镇高标准农田批复11000亩，已完成30%，预计年底完工；2023年澄江市龙街街道新建1.1万亩高标准农田及提质改造1.01万亩高标准农田，目前2个项目正在等待市级批复下达，前期设计工作正在推进。目前该项目处于在建工作阶段，项目进展符合规划进度要求，但建成的高标准农田只有1.42万亩，占总规划量的11.2%，工程建设滞后，投资滞后。</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（3）项目环境效益</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该项目规划污染物预期削减量COD48.353t/a，TN50.1t/a，TP14.65t/a，NH</w:t>
      </w:r>
      <w:r>
        <w:rPr>
          <w:rFonts w:hint="default" w:ascii="Times New Roman" w:hAnsi="Times New Roman" w:cs="Times New Roman" w:eastAsiaTheme="minorEastAsia"/>
          <w:bCs/>
          <w:color w:val="000000" w:themeColor="text1"/>
          <w:highlight w:val="none"/>
          <w:vertAlign w:val="subscript"/>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N10.02t/a；目前建成的项目各项设施已投入使用，运行情况正常。通过对项目区道路及水利设施建设，提高了农业综合生产能力，促进了农业结构调整，达到了农业增产、农民增收的项目建设目标。高标准农田建设把改善农业生产条件和生态环境建设有机结合起来，通过提高现有耕地资源的产出率和水资源的利用率，节约、保护和合理利用农业资源，遏制农业生态恶化趋势，增强农业可持续发展能力，具有明显的生态效益。</w:t>
      </w:r>
    </w:p>
    <w:p>
      <w:pPr>
        <w:numPr>
          <w:ilvl w:val="0"/>
          <w:numId w:val="0"/>
        </w:num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存在问题</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目前建成的高标准农田只有1.42万亩，占总规划量的11.2%，工程建设滞后，投资滞后。</w:t>
      </w:r>
    </w:p>
    <w:p>
      <w:pPr>
        <w:pStyle w:val="6"/>
        <w:spacing w:before="0" w:after="0" w:line="360" w:lineRule="auto"/>
        <w:rPr>
          <w:rFonts w:hint="default" w:ascii="Times New Roman" w:hAnsi="Times New Roman" w:cs="Times New Roman" w:eastAsiaTheme="minorEastAsia"/>
          <w:b w:val="0"/>
          <w:color w:val="000000" w:themeColor="text1"/>
          <w:highlight w:val="none"/>
          <w14:textFill>
            <w14:solidFill>
              <w14:schemeClr w14:val="tx1"/>
            </w14:solidFill>
          </w14:textFill>
        </w:rPr>
      </w:pPr>
      <w:bookmarkStart w:id="379" w:name="_Toc19113"/>
      <w:bookmarkStart w:id="380" w:name="_Toc8256"/>
      <w:bookmarkStart w:id="381" w:name="_Toc5273"/>
      <w:r>
        <w:rPr>
          <w:rFonts w:hint="default" w:ascii="Times New Roman" w:hAnsi="Times New Roman" w:cs="Times New Roman" w:eastAsiaTheme="minorEastAsia"/>
          <w:b w:val="0"/>
          <w:color w:val="000000" w:themeColor="text1"/>
          <w:highlight w:val="none"/>
          <w14:textFill>
            <w14:solidFill>
              <w14:schemeClr w14:val="tx1"/>
            </w14:solidFill>
          </w14:textFill>
        </w:rPr>
        <w:t>4.2.3.3澄江市抚仙湖全流域截污治污项目</w:t>
      </w:r>
      <w:bookmarkEnd w:id="379"/>
      <w:bookmarkEnd w:id="380"/>
      <w:bookmarkEnd w:id="381"/>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对全域6个镇（街道）、47个行政村（社区）、414个村（居）民小组污水收集管网系统进行完善提升，实现污水全收集、全处理。</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2、项目设计（可研）情况</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①澄江市抚仙湖全流域截污治污及健康水循环建设项目—凤麓片区可行性研究报告的批复</w:t>
      </w:r>
      <w:r>
        <w:rPr>
          <w:rFonts w:hint="default" w:ascii="Times New Roman" w:hAnsi="Times New Roman" w:cs="Times New Roman" w:eastAsiaTheme="minorEastAsia"/>
          <w:color w:val="000000" w:themeColor="text1"/>
          <w:highlight w:val="none"/>
          <w14:textFill>
            <w14:solidFill>
              <w14:schemeClr w14:val="tx1"/>
            </w14:solidFill>
          </w14:textFill>
        </w:rPr>
        <w:t>（备注：该项内容来自可研批复</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108</w:t>
      </w:r>
      <w:r>
        <w:rPr>
          <w:rFonts w:hint="default" w:ascii="Times New Roman" w:hAnsi="Times New Roman" w:cs="Times New Roman" w:eastAsiaTheme="minorEastAsia"/>
          <w:color w:val="000000" w:themeColor="text1"/>
          <w:highlight w:val="none"/>
          <w14:textFill>
            <w14:solidFill>
              <w14:schemeClr w14:val="tx1"/>
            </w14:solidFill>
          </w14:textFill>
        </w:rPr>
        <w:t>号）</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一、河道排污治理:清掏河道15600米，新增集水井50座，河道防渗处理600米，移除部分污水管网，新增市政污水管网400米，检查井60座。</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二、排水系统清淤疏通:清掏疏浚社区污水管网15400米，清掏化粪池300座。</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三、街面排水设施修复：新增混凝土污水沟200米，新增及更换PVC管道29900米，新增化粪池697座，更换铸铁井盖282座，更换PVC管为DN300HPDE管2691米，河道内污水接入点位核查加固526处，截污管道加固870处。</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四、配套水质监测系统:在辖区河道内增设在线水质监测系统1套。</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②澄江市抚仙湖全流域截污治污及健康水循环建设项目—海口片区可行性研究报告的批复</w:t>
      </w:r>
      <w:r>
        <w:rPr>
          <w:rFonts w:hint="default" w:ascii="Times New Roman" w:hAnsi="Times New Roman" w:cs="Times New Roman" w:eastAsiaTheme="minorEastAsia"/>
          <w:color w:val="000000" w:themeColor="text1"/>
          <w:highlight w:val="none"/>
          <w14:textFill>
            <w14:solidFill>
              <w14:schemeClr w14:val="tx1"/>
            </w14:solidFill>
          </w14:textFill>
        </w:rPr>
        <w:t>（备注：该项内容来自可研批复</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119</w:t>
      </w:r>
      <w:r>
        <w:rPr>
          <w:rFonts w:hint="default" w:ascii="Times New Roman" w:hAnsi="Times New Roman" w:cs="Times New Roman" w:eastAsiaTheme="minorEastAsia"/>
          <w:color w:val="000000" w:themeColor="text1"/>
          <w:highlight w:val="none"/>
          <w14:textFill>
            <w14:solidFill>
              <w14:schemeClr w14:val="tx1"/>
            </w14:solidFill>
          </w14:textFill>
        </w:rPr>
        <w:t>号）</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建设内容：</w:t>
      </w:r>
    </w:p>
    <w:p>
      <w:pPr>
        <w:ind w:firstLine="480" w:firstLineChars="200"/>
        <w:rPr>
          <w:rFonts w:hint="eastAsia" w:ascii="Times New Roman" w:hAnsi="Times New Roman" w:cs="Times New Roman" w:eastAsiaTheme="minorEastAsia"/>
          <w:bCs/>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一、排污治理：新增污水管网DN300HDPE双壁波纹41805米。</w:t>
      </w:r>
    </w:p>
    <w:p>
      <w:pPr>
        <w:ind w:firstLine="480" w:firstLineChars="200"/>
        <w:rPr>
          <w:rFonts w:hint="eastAsia" w:ascii="Times New Roman" w:hAnsi="Times New Roman" w:cs="Times New Roman" w:eastAsiaTheme="minorEastAsia"/>
          <w:bCs/>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二、排水系统清淤疏通：雨水沟渠清淤3465m³。</w:t>
      </w:r>
    </w:p>
    <w:p>
      <w:pPr>
        <w:ind w:firstLine="480" w:firstLineChars="200"/>
        <w:rPr>
          <w:rFonts w:hint="eastAsia" w:ascii="Times New Roman" w:hAnsi="Times New Roman" w:cs="Times New Roman" w:eastAsiaTheme="minorEastAsia"/>
          <w:bCs/>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三、街面排水设施修复：新建雨水沟渠3750米，新增及换DN200UPVC管18360米、DN160UPVC管24240米、DN100UPVC管30360米，新增化粪池3365座，新建隔油池3座。</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四、终端处理设施：在辖区新建11座污水处理终端。</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③澄江市抚仙湖全流域截污治污及健康水循环建设项目—九村区可行性研究报告的批复</w:t>
      </w:r>
      <w:r>
        <w:rPr>
          <w:rFonts w:hint="default" w:ascii="Times New Roman" w:hAnsi="Times New Roman" w:cs="Times New Roman" w:eastAsiaTheme="minorEastAsia"/>
          <w:color w:val="000000" w:themeColor="text1"/>
          <w:highlight w:val="none"/>
          <w14:textFill>
            <w14:solidFill>
              <w14:schemeClr w14:val="tx1"/>
            </w14:solidFill>
          </w14:textFill>
        </w:rPr>
        <w:t>（备注：该项内容来自可研批复</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120</w:t>
      </w:r>
      <w:r>
        <w:rPr>
          <w:rFonts w:hint="default" w:ascii="Times New Roman" w:hAnsi="Times New Roman" w:cs="Times New Roman" w:eastAsiaTheme="minorEastAsia"/>
          <w:color w:val="000000" w:themeColor="text1"/>
          <w:highlight w:val="none"/>
          <w14:textFill>
            <w14:solidFill>
              <w14:schemeClr w14:val="tx1"/>
            </w14:solidFill>
          </w14:textFill>
        </w:rPr>
        <w:t>号）</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建设内容：项目新建26955mφ300污水收集干管、97710mp110污水入户收集管；新增塑料检查井共计2314个；新建玻璃钢化粪池共计602套，化粪池改造共计724套；分散式终端处理设备共计26套；配套管道疏通清淤、修复失效污水处理系统。</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④澄江市抚仙湖全流域截污治污及健康水循环建设项目—路居片区可行性研究报告的批复</w:t>
      </w:r>
      <w:r>
        <w:rPr>
          <w:rFonts w:hint="default" w:ascii="Times New Roman" w:hAnsi="Times New Roman" w:cs="Times New Roman" w:eastAsiaTheme="minorEastAsia"/>
          <w:color w:val="000000" w:themeColor="text1"/>
          <w:highlight w:val="none"/>
          <w14:textFill>
            <w14:solidFill>
              <w14:schemeClr w14:val="tx1"/>
            </w14:solidFill>
          </w14:textFill>
        </w:rPr>
        <w:t>（备注：该项内容来自可研批复</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121</w:t>
      </w:r>
      <w:r>
        <w:rPr>
          <w:rFonts w:hint="default" w:ascii="Times New Roman" w:hAnsi="Times New Roman" w:cs="Times New Roman" w:eastAsiaTheme="minorEastAsia"/>
          <w:color w:val="000000" w:themeColor="text1"/>
          <w:highlight w:val="none"/>
          <w14:textFill>
            <w14:solidFill>
              <w14:schemeClr w14:val="tx1"/>
            </w14:solidFill>
          </w14:textFill>
        </w:rPr>
        <w:t>号）</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建设内容：污水管网清掏213659米，更换管道41080米，新建化粪池2081座，新建沉淀池2330座，雨水沟硬化14959米，雨水沟清淤16504米，管网改道、道路硬化以及新建一体化设备等。</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⑤澄江市抚仙湖全流域截污治污及健康水循环建设项目—右所片区可行性研究报告的批复</w:t>
      </w:r>
      <w:r>
        <w:rPr>
          <w:rFonts w:hint="default" w:ascii="Times New Roman" w:hAnsi="Times New Roman" w:cs="Times New Roman" w:eastAsiaTheme="minorEastAsia"/>
          <w:color w:val="000000" w:themeColor="text1"/>
          <w:highlight w:val="none"/>
          <w14:textFill>
            <w14:solidFill>
              <w14:schemeClr w14:val="tx1"/>
            </w14:solidFill>
          </w14:textFill>
        </w:rPr>
        <w:t>（备注：该项内容来自可研批复</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122</w:t>
      </w:r>
      <w:r>
        <w:rPr>
          <w:rFonts w:hint="default" w:ascii="Times New Roman" w:hAnsi="Times New Roman" w:cs="Times New Roman" w:eastAsiaTheme="minorEastAsia"/>
          <w:color w:val="000000" w:themeColor="text1"/>
          <w:highlight w:val="none"/>
          <w14:textFill>
            <w14:solidFill>
              <w14:schemeClr w14:val="tx1"/>
            </w14:solidFill>
          </w14:textFill>
        </w:rPr>
        <w:t>号）</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建设内容：</w:t>
      </w:r>
      <w:r>
        <w:rPr>
          <w:rFonts w:hint="default" w:ascii="Times New Roman" w:hAnsi="Times New Roman" w:cs="Times New Roman" w:eastAsiaTheme="minorEastAsia"/>
          <w:color w:val="000000" w:themeColor="text1"/>
          <w:highlight w:val="none"/>
          <w14:textFill>
            <w14:solidFill>
              <w14:schemeClr w14:val="tx1"/>
            </w14:solidFill>
          </w14:textFill>
        </w:rPr>
        <w:t>项目新建38011.7mφ300污水收集干管、51341.8mφ110污水入户收集管；修复管道安装路面6081.9m</w:t>
      </w:r>
      <w:r>
        <w:rPr>
          <w:rFonts w:hint="default" w:ascii="Times New Roman" w:hAnsi="Times New Roman" w:cs="Times New Roman" w:eastAsiaTheme="minorEastAsia"/>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，雨污分流24715m；新建6530m村内雨水排水沟，修复检查井38座、井盖472套；新建隔油池450座，新建化粪池4351座；配套管道疏通清淤、修复失效污水处理系统。</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⑥澄江市抚仙湖全流域截污治污及健康水循环建设项目—龙街片区可行性研究报告的批复</w:t>
      </w:r>
      <w:r>
        <w:rPr>
          <w:rFonts w:hint="default" w:ascii="Times New Roman" w:hAnsi="Times New Roman" w:cs="Times New Roman" w:eastAsiaTheme="minorEastAsia"/>
          <w:color w:val="000000" w:themeColor="text1"/>
          <w:highlight w:val="none"/>
          <w14:textFill>
            <w14:solidFill>
              <w14:schemeClr w14:val="tx1"/>
            </w14:solidFill>
          </w14:textFill>
        </w:rPr>
        <w:t>（备注：该项内容来自可研批复</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123</w:t>
      </w:r>
      <w:r>
        <w:rPr>
          <w:rFonts w:hint="default" w:ascii="Times New Roman" w:hAnsi="Times New Roman" w:cs="Times New Roman" w:eastAsiaTheme="minorEastAsia"/>
          <w:color w:val="000000" w:themeColor="text1"/>
          <w:highlight w:val="none"/>
          <w14:textFill>
            <w14:solidFill>
              <w14:schemeClr w14:val="tx1"/>
            </w14:solidFill>
          </w14:textFill>
        </w:rPr>
        <w:t>号）</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建设内容：项目新建干管DN300共计27398米，入户管DN100共计103501米；新增塑料检查井共计2394个；新建玻璃钢化粪池共计755套，化粪池改造共计1303套；分散式终端处理设备共计26套；配套管道疏通清淤、修复失效污水处理系统。</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项目责任单位：澄江市住房和城乡建设局</w:t>
      </w:r>
    </w:p>
    <w:p>
      <w:pPr>
        <w:numPr>
          <w:ilvl w:val="0"/>
          <w:numId w:val="9"/>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38000万元，可研批复投资43487.33万元，截至2023年6月，已到位资金37440万元，资金到位率86.09%，其中省级补助资金37240万元，州市配套资金200万元；已完成投资37000万元，投资完成率85.08%。该项目已分别完成6个镇的可研报告，并分别获得澄江市发展和改革局批复文件，文件号为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108</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119</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120</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121</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122</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123</w:t>
      </w:r>
      <w:r>
        <w:rPr>
          <w:rFonts w:hint="default" w:ascii="Times New Roman" w:hAnsi="Times New Roman" w:cs="Times New Roman" w:eastAsiaTheme="minorEastAsia"/>
          <w:color w:val="000000" w:themeColor="text1"/>
          <w:highlight w:val="none"/>
          <w14:textFill>
            <w14:solidFill>
              <w14:schemeClr w14:val="tx1"/>
            </w14:solidFill>
          </w14:textFill>
        </w:rPr>
        <w:t>号；于2022年1月分别签订各片区各标段建设合同，于2022年2月取得各片区各标段开工令；于2022年6月5日申请</w:t>
      </w:r>
      <w:r>
        <w:rPr>
          <w:rFonts w:hint="default" w:ascii="Times New Roman" w:hAnsi="Times New Roman" w:cs="Times New Roman" w:eastAsiaTheme="minorEastAsia"/>
          <w:bCs/>
          <w:color w:val="000000" w:themeColor="text1"/>
          <w:highlight w:val="none"/>
          <w14:textFill>
            <w14:solidFill>
              <w14:schemeClr w14:val="tx1"/>
            </w14:solidFill>
          </w14:textFill>
        </w:rPr>
        <w:t>九村片区</w:t>
      </w:r>
      <w:r>
        <w:rPr>
          <w:rFonts w:hint="default" w:ascii="Times New Roman" w:hAnsi="Times New Roman" w:cs="Times New Roman" w:eastAsiaTheme="minorEastAsia"/>
          <w:color w:val="000000" w:themeColor="text1"/>
          <w:highlight w:val="none"/>
          <w14:textFill>
            <w14:solidFill>
              <w14:schemeClr w14:val="tx1"/>
            </w14:solidFill>
          </w14:textFill>
        </w:rPr>
        <w:t>建设项目效果验收，于2022年8月4日申请</w:t>
      </w:r>
      <w:r>
        <w:rPr>
          <w:rFonts w:hint="default" w:ascii="Times New Roman" w:hAnsi="Times New Roman" w:cs="Times New Roman" w:eastAsiaTheme="minorEastAsia"/>
          <w:bCs/>
          <w:color w:val="000000" w:themeColor="text1"/>
          <w:highlight w:val="none"/>
          <w14:textFill>
            <w14:solidFill>
              <w14:schemeClr w14:val="tx1"/>
            </w14:solidFill>
          </w14:textFill>
        </w:rPr>
        <w:t>龙街片区</w:t>
      </w:r>
      <w:r>
        <w:rPr>
          <w:rFonts w:hint="default" w:ascii="Times New Roman" w:hAnsi="Times New Roman" w:cs="Times New Roman" w:eastAsiaTheme="minorEastAsia"/>
          <w:color w:val="000000" w:themeColor="text1"/>
          <w:highlight w:val="none"/>
          <w14:textFill>
            <w14:solidFill>
              <w14:schemeClr w14:val="tx1"/>
            </w14:solidFill>
          </w14:textFill>
        </w:rPr>
        <w:t>建设项目效果验收，于2022年8月10日申请</w:t>
      </w:r>
      <w:r>
        <w:rPr>
          <w:rFonts w:hint="default" w:ascii="Times New Roman" w:hAnsi="Times New Roman" w:cs="Times New Roman" w:eastAsiaTheme="minorEastAsia"/>
          <w:bCs/>
          <w:color w:val="000000" w:themeColor="text1"/>
          <w:highlight w:val="none"/>
          <w14:textFill>
            <w14:solidFill>
              <w14:schemeClr w14:val="tx1"/>
            </w14:solidFill>
          </w14:textFill>
        </w:rPr>
        <w:t>右所片区</w:t>
      </w:r>
      <w:r>
        <w:rPr>
          <w:rFonts w:hint="default" w:ascii="Times New Roman" w:hAnsi="Times New Roman" w:cs="Times New Roman" w:eastAsiaTheme="minorEastAsia"/>
          <w:color w:val="000000" w:themeColor="text1"/>
          <w:highlight w:val="none"/>
          <w14:textFill>
            <w14:solidFill>
              <w14:schemeClr w14:val="tx1"/>
            </w14:solidFill>
          </w14:textFill>
        </w:rPr>
        <w:t>建设项目效果验收，于2022年8月23日申请</w:t>
      </w:r>
      <w:r>
        <w:rPr>
          <w:rFonts w:hint="default" w:ascii="Times New Roman" w:hAnsi="Times New Roman" w:cs="Times New Roman" w:eastAsiaTheme="minorEastAsia"/>
          <w:bCs/>
          <w:color w:val="000000" w:themeColor="text1"/>
          <w:highlight w:val="none"/>
          <w14:textFill>
            <w14:solidFill>
              <w14:schemeClr w14:val="tx1"/>
            </w14:solidFill>
          </w14:textFill>
        </w:rPr>
        <w:t>海口片区</w:t>
      </w:r>
      <w:r>
        <w:rPr>
          <w:rFonts w:hint="default" w:ascii="Times New Roman" w:hAnsi="Times New Roman" w:cs="Times New Roman" w:eastAsiaTheme="minorEastAsia"/>
          <w:color w:val="000000" w:themeColor="text1"/>
          <w:highlight w:val="none"/>
          <w14:textFill>
            <w14:solidFill>
              <w14:schemeClr w14:val="tx1"/>
            </w14:solidFill>
          </w14:textFill>
        </w:rPr>
        <w:t>建设项目效果验收，于2022年8月29日申请</w:t>
      </w:r>
      <w:r>
        <w:rPr>
          <w:rFonts w:hint="default" w:ascii="Times New Roman" w:hAnsi="Times New Roman" w:cs="Times New Roman" w:eastAsiaTheme="minorEastAsia"/>
          <w:bCs/>
          <w:color w:val="000000" w:themeColor="text1"/>
          <w:highlight w:val="none"/>
          <w14:textFill>
            <w14:solidFill>
              <w14:schemeClr w14:val="tx1"/>
            </w14:solidFill>
          </w14:textFill>
        </w:rPr>
        <w:t>路居片区</w:t>
      </w:r>
      <w:r>
        <w:rPr>
          <w:rFonts w:hint="default" w:ascii="Times New Roman" w:hAnsi="Times New Roman" w:cs="Times New Roman" w:eastAsiaTheme="minorEastAsia"/>
          <w:color w:val="000000" w:themeColor="text1"/>
          <w:highlight w:val="none"/>
          <w14:textFill>
            <w14:solidFill>
              <w14:schemeClr w14:val="tx1"/>
            </w14:solidFill>
          </w14:textFill>
        </w:rPr>
        <w:t>建设项目效果验收，于2022年9月6日申请</w:t>
      </w:r>
      <w:r>
        <w:rPr>
          <w:rFonts w:hint="default" w:ascii="Times New Roman" w:hAnsi="Times New Roman" w:cs="Times New Roman" w:eastAsiaTheme="minorEastAsia"/>
          <w:bCs/>
          <w:color w:val="000000" w:themeColor="text1"/>
          <w:highlight w:val="none"/>
          <w14:textFill>
            <w14:solidFill>
              <w14:schemeClr w14:val="tx1"/>
            </w14:solidFill>
          </w14:textFill>
        </w:rPr>
        <w:t>凤麓片区</w:t>
      </w:r>
      <w:r>
        <w:rPr>
          <w:rFonts w:hint="default" w:ascii="Times New Roman" w:hAnsi="Times New Roman" w:cs="Times New Roman" w:eastAsiaTheme="minorEastAsia"/>
          <w:color w:val="000000" w:themeColor="text1"/>
          <w:highlight w:val="none"/>
          <w14:textFill>
            <w14:solidFill>
              <w14:schemeClr w14:val="tx1"/>
            </w14:solidFill>
          </w14:textFill>
        </w:rPr>
        <w:t>建设项目效果验收。</w:t>
      </w:r>
      <w:r>
        <w:rPr>
          <w:rFonts w:hint="default" w:ascii="Times New Roman" w:hAnsi="Times New Roman" w:cs="Times New Roman" w:eastAsiaTheme="minorEastAsia"/>
          <w:bCs/>
          <w:color w:val="000000" w:themeColor="text1"/>
          <w:highlight w:val="none"/>
          <w14:textFill>
            <w14:solidFill>
              <w14:schemeClr w14:val="tx1"/>
            </w14:solidFill>
          </w14:textFill>
        </w:rPr>
        <w:t>该项目处于在建工作阶段，项目进展符合规划进度要求。</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（3）项目环境效益</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项目实施后，新建主管56千米、支管312千米、化粪池4661座、隔油池646座、提升泵站44座，改建管网45千米，完成抚仙湖流域内339个小组雨污分流及截污治污完善提升工作，实现抚仙湖流域内污水收集处理全覆盖，其中271个小组污水纳管进厂处理、54个小组污水采用分散式一体化终端处理、14个小组因地制宜采用大三格化粪池处理。</w:t>
      </w:r>
      <w:r>
        <w:rPr>
          <w:rFonts w:hint="default" w:ascii="Times New Roman" w:hAnsi="Times New Roman" w:cs="Times New Roman" w:eastAsiaTheme="minorEastAsia"/>
          <w:bCs/>
          <w:color w:val="000000" w:themeColor="text1"/>
          <w:highlight w:val="none"/>
          <w14:textFill>
            <w14:solidFill>
              <w14:schemeClr w14:val="tx1"/>
            </w14:solidFill>
          </w14:textFill>
        </w:rPr>
        <w:t>该项目处于在建工作阶段，故暂不核算工程环境效益。</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（4）存在问题</w:t>
      </w:r>
    </w:p>
    <w:p>
      <w:pPr>
        <w:ind w:firstLine="48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1、该项目</w:t>
      </w:r>
      <w:r>
        <w:rPr>
          <w:rFonts w:hint="default" w:ascii="Times New Roman" w:hAnsi="Times New Roman" w:cs="Times New Roman" w:eastAsiaTheme="minorEastAsia"/>
          <w:bCs/>
          <w:color w:val="000000" w:themeColor="text1"/>
          <w:highlight w:val="none"/>
          <w14:textFill>
            <w14:solidFill>
              <w14:schemeClr w14:val="tx1"/>
            </w14:solidFill>
          </w14:textFill>
        </w:rPr>
        <w:t>全域6个镇（街道）的主体建设已经完成，但是由于经费</w:t>
      </w:r>
      <w:r>
        <w:rPr>
          <w:rFonts w:hint="default" w:ascii="Times New Roman" w:hAnsi="Times New Roman" w:cs="Times New Roman" w:eastAsiaTheme="minorEastAsia"/>
          <w:color w:val="000000" w:themeColor="text1"/>
          <w:highlight w:val="none"/>
          <w14:textFill>
            <w14:solidFill>
              <w14:schemeClr w14:val="tx1"/>
            </w14:solidFill>
          </w14:textFill>
        </w:rPr>
        <w:t>到位率低，（项目已完成投资3.7亿元，到位资金4084万元），缺口资金较大，影响项目竣工验收。</w:t>
      </w:r>
    </w:p>
    <w:p>
      <w:pPr>
        <w:ind w:firstLine="48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2、是管护机制有待进一步完善。虽已制定实施《澄江市城镇排水管理办法》、《澄江市一水两污专管员制度》等管理办法，但由于缺乏专业管护队伍，污水设施运行管护存在一定差距。</w:t>
      </w:r>
    </w:p>
    <w:p>
      <w:pPr>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drawing>
          <wp:inline distT="0" distB="0" distL="114300" distR="114300">
            <wp:extent cx="3115945" cy="2336800"/>
            <wp:effectExtent l="0" t="0" r="8255" b="10160"/>
            <wp:docPr id="17" name="图片 17" descr="IMG_20230510_1211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IMG_20230510_121139"/>
                    <pic:cNvPicPr>
                      <a:picLocks noChangeAspect="true"/>
                    </pic:cNvPicPr>
                  </pic:nvPicPr>
                  <pic:blipFill>
                    <a:blip r:embed="rId35"/>
                    <a:stretch>
                      <a:fillRect/>
                    </a:stretch>
                  </pic:blipFill>
                  <pic:spPr>
                    <a:xfrm>
                      <a:off x="0" y="0"/>
                      <a:ext cx="3115945" cy="2336800"/>
                    </a:xfrm>
                    <a:prstGeom prst="rect">
                      <a:avLst/>
                    </a:prstGeom>
                  </pic:spPr>
                </pic:pic>
              </a:graphicData>
            </a:graphic>
          </wp:inline>
        </w:drawing>
      </w:r>
      <w:r>
        <w:rPr>
          <w:rFonts w:hint="default" w:ascii="Times New Roman" w:hAnsi="Times New Roman" w:cs="Times New Roman" w:eastAsiaTheme="minorEastAsia"/>
          <w:color w:val="000000" w:themeColor="text1"/>
          <w:highlight w:val="none"/>
          <w14:textFill>
            <w14:solidFill>
              <w14:schemeClr w14:val="tx1"/>
            </w14:solidFill>
          </w14:textFill>
        </w:rPr>
        <w:drawing>
          <wp:inline distT="0" distB="0" distL="114300" distR="114300">
            <wp:extent cx="1755775" cy="2341245"/>
            <wp:effectExtent l="0" t="0" r="12065" b="5715"/>
            <wp:docPr id="18" name="图片 18" descr="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19"/>
                    <pic:cNvPicPr>
                      <a:picLocks noChangeAspect="true"/>
                    </pic:cNvPicPr>
                  </pic:nvPicPr>
                  <pic:blipFill>
                    <a:blip r:embed="rId36"/>
                    <a:stretch>
                      <a:fillRect/>
                    </a:stretch>
                  </pic:blipFill>
                  <pic:spPr>
                    <a:xfrm>
                      <a:off x="0" y="0"/>
                      <a:ext cx="1755775" cy="2341245"/>
                    </a:xfrm>
                    <a:prstGeom prst="rect">
                      <a:avLst/>
                    </a:prstGeom>
                  </pic:spPr>
                </pic:pic>
              </a:graphicData>
            </a:graphic>
          </wp:inline>
        </w:drawing>
      </w:r>
    </w:p>
    <w:p>
      <w:pPr>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eastAsia" w:cs="Times New Roman" w:eastAsiaTheme="minorEastAsia"/>
          <w:color w:val="000000" w:themeColor="text1"/>
          <w:highlight w:val="none"/>
          <w:lang w:val="en-US" w:eastAsia="zh-CN"/>
          <w14:textFill>
            <w14:solidFill>
              <w14:schemeClr w14:val="tx1"/>
            </w14:solidFill>
          </w14:textFill>
        </w:rPr>
        <w:t>图4.2.3-1</w:t>
      </w:r>
      <w:r>
        <w:rPr>
          <w:rFonts w:hint="default" w:ascii="Times New Roman" w:hAnsi="Times New Roman" w:cs="Times New Roman" w:eastAsiaTheme="minorEastAsia"/>
          <w:color w:val="000000" w:themeColor="text1"/>
          <w:highlight w:val="none"/>
          <w14:textFill>
            <w14:solidFill>
              <w14:schemeClr w14:val="tx1"/>
            </w14:solidFill>
          </w14:textFill>
        </w:rPr>
        <w:t>雨污分流</w:t>
      </w:r>
    </w:p>
    <w:p>
      <w:pPr>
        <w:pStyle w:val="6"/>
        <w:spacing w:before="0" w:after="0" w:line="360" w:lineRule="auto"/>
        <w:rPr>
          <w:rFonts w:hint="default" w:ascii="Times New Roman" w:hAnsi="Times New Roman" w:cs="Times New Roman" w:eastAsiaTheme="minorEastAsia"/>
          <w:b w:val="0"/>
          <w:color w:val="000000" w:themeColor="text1"/>
          <w:highlight w:val="none"/>
          <w14:textFill>
            <w14:solidFill>
              <w14:schemeClr w14:val="tx1"/>
            </w14:solidFill>
          </w14:textFill>
        </w:rPr>
      </w:pPr>
      <w:bookmarkStart w:id="382" w:name="_Toc21313"/>
      <w:bookmarkStart w:id="383" w:name="_Toc25117"/>
      <w:bookmarkStart w:id="384" w:name="_Toc22300"/>
      <w:r>
        <w:rPr>
          <w:rFonts w:hint="default" w:ascii="Times New Roman" w:hAnsi="Times New Roman" w:cs="Times New Roman" w:eastAsiaTheme="minorEastAsia"/>
          <w:b w:val="0"/>
          <w:color w:val="000000" w:themeColor="text1"/>
          <w:highlight w:val="none"/>
          <w14:textFill>
            <w14:solidFill>
              <w14:schemeClr w14:val="tx1"/>
            </w14:solidFill>
          </w14:textFill>
        </w:rPr>
        <w:t>4.2.3.4澄江市污水处理厂技术改造项目</w:t>
      </w:r>
      <w:bookmarkEnd w:id="382"/>
      <w:bookmarkEnd w:id="383"/>
      <w:bookmarkEnd w:id="384"/>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对澄江市第一污水处理厂技术改造，更换运行不良和达到使用年限的老旧设备，将现有的ICEAS工艺改造成A</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A</w:t>
      </w:r>
      <w:r>
        <w:rPr>
          <w:rFonts w:hint="default" w:ascii="Times New Roman" w:hAnsi="Times New Roman" w:cs="Times New Roman" w:eastAsiaTheme="minorEastAsia"/>
          <w:bCs/>
          <w:color w:val="000000" w:themeColor="text1"/>
          <w:highlight w:val="none"/>
          <w14:textFill>
            <w14:solidFill>
              <w14:schemeClr w14:val="tx1"/>
            </w14:solidFill>
          </w14:textFill>
        </w:rPr>
        <w:t>/O工艺，改扩建污水处理车间，重新设置自控系统；对路居污水处理厂进行扩容，将目前1500m³/天处理量提升至3000m³/天处理量，并将出水标准提升至准Ⅲ类。</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2022—2023年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2、项目设计（可研）情况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①澄江市路居镇污水处理厂扩建二期工程</w:t>
      </w:r>
      <w:r>
        <w:rPr>
          <w:rFonts w:hint="default" w:ascii="Times New Roman" w:hAnsi="Times New Roman" w:cs="Times New Roman" w:eastAsiaTheme="minorEastAsia"/>
          <w:color w:val="000000" w:themeColor="text1"/>
          <w:highlight w:val="none"/>
          <w14:textFill>
            <w14:solidFill>
              <w14:schemeClr w14:val="tx1"/>
            </w14:solidFill>
          </w14:textFill>
        </w:rPr>
        <w:t>(备注：该项内容来自可研批复</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45</w:t>
      </w:r>
      <w:r>
        <w:rPr>
          <w:rFonts w:hint="default" w:ascii="Times New Roman" w:hAnsi="Times New Roman" w:cs="Times New Roman" w:eastAsiaTheme="minorEastAsia"/>
          <w:color w:val="000000" w:themeColor="text1"/>
          <w:highlight w:val="none"/>
          <w14:textFill>
            <w14:solidFill>
              <w14:schemeClr w14:val="tx1"/>
            </w14:solidFill>
          </w14:textFill>
        </w:rPr>
        <w:t>号)</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项目建设单位：澄江市住房和城乡建设局</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建设地点：澄江市路居镇</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建设周期：2022年3</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5月</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建设内容及规模：在原有1500m</w:t>
      </w:r>
      <w:r>
        <w:rPr>
          <w:rFonts w:hint="default" w:ascii="Times New Roman" w:hAnsi="Times New Roman" w:cs="Times New Roman" w:eastAsiaTheme="minorEastAsia"/>
          <w:bCs/>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/d污水处理规模基础上，扩建至3000m</w:t>
      </w:r>
      <w:r>
        <w:rPr>
          <w:rFonts w:hint="default" w:ascii="Times New Roman" w:hAnsi="Times New Roman" w:cs="Times New Roman" w:eastAsiaTheme="minorEastAsia"/>
          <w:bCs/>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/d处理规模。同意本项目新增污水处理规模为1500m</w:t>
      </w:r>
      <w:r>
        <w:rPr>
          <w:rFonts w:hint="default" w:ascii="Times New Roman" w:hAnsi="Times New Roman" w:cs="Times New Roman" w:eastAsiaTheme="minorEastAsia"/>
          <w:bCs/>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/d的污水处理设备。</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②澄江市污水处理厂技术改造项目</w:t>
      </w:r>
      <w:r>
        <w:rPr>
          <w:rFonts w:hint="default" w:ascii="Times New Roman" w:hAnsi="Times New Roman" w:cs="Times New Roman" w:eastAsiaTheme="minorEastAsia"/>
          <w:color w:val="000000" w:themeColor="text1"/>
          <w:highlight w:val="none"/>
          <w14:textFill>
            <w14:solidFill>
              <w14:schemeClr w14:val="tx1"/>
            </w14:solidFill>
          </w14:textFill>
        </w:rPr>
        <w:t>(备注：该项内容来自初设批复澄建复字</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2022</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8号)</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项目建设单位：澄江市住房和城乡建设局</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建设地点：澄江市凤鸣村西侧，郭家村公路南侧，处于城区与抚仙湖之间</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建设内容及规模：</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澄江市污水处理厂现状处理规模1.5万m</w:t>
      </w:r>
      <w:r>
        <w:rPr>
          <w:rFonts w:hint="default" w:ascii="Times New Roman" w:hAnsi="Times New Roman" w:cs="Times New Roman" w:eastAsiaTheme="minorEastAsia"/>
          <w:bCs/>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d，本工程主要对现污水处理厂进行技术改造，优化生化处理系统、深度处理系统、污泥处理系统，同时增加厂区电气自控系统，并改造原有雨水调蓄池。技改后使出水水质稳定达到《城镇污水处理厂污染物排放标准》（GB18918-2002）一级A标准，增加污水处理厂的进水调节能力，提高污水处理厂运营的自动化程度等。</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技术改造内容包括：</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bookmarkStart w:id="385" w:name="bookmark5"/>
      <w:r>
        <w:rPr>
          <w:rFonts w:hint="default" w:ascii="Times New Roman" w:hAnsi="Times New Roman" w:cs="Times New Roman" w:eastAsiaTheme="minorEastAsia"/>
          <w:bCs/>
          <w:color w:val="000000" w:themeColor="text1"/>
          <w:highlight w:val="none"/>
          <w14:textFill>
            <w14:solidFill>
              <w14:schemeClr w14:val="tx1"/>
            </w14:solidFill>
          </w14:textFill>
        </w:rPr>
        <w:t>（</w:t>
      </w:r>
      <w:bookmarkEnd w:id="385"/>
      <w:r>
        <w:rPr>
          <w:rFonts w:hint="default" w:ascii="Times New Roman" w:hAnsi="Times New Roman" w:cs="Times New Roman" w:eastAsiaTheme="minorEastAsia"/>
          <w:bCs/>
          <w:color w:val="000000" w:themeColor="text1"/>
          <w:highlight w:val="none"/>
          <w14:textFill>
            <w14:solidFill>
              <w14:schemeClr w14:val="tx1"/>
            </w14:solidFill>
          </w14:textFill>
        </w:rPr>
        <w:t>一）</w:t>
      </w:r>
      <w:r>
        <w:rPr>
          <w:rFonts w:hint="default" w:ascii="Times New Roman" w:hAnsi="Times New Roman" w:cs="Times New Roman" w:eastAsiaTheme="minorEastAsia"/>
          <w:bCs/>
          <w:color w:val="000000" w:themeColor="text1"/>
          <w:highlight w:val="none"/>
          <w14:textFill>
            <w14:solidFill>
              <w14:schemeClr w14:val="tx1"/>
            </w14:solidFill>
          </w14:textFill>
        </w:rPr>
        <w:tab/>
      </w:r>
      <w:r>
        <w:rPr>
          <w:rFonts w:hint="default" w:ascii="Times New Roman" w:hAnsi="Times New Roman" w:cs="Times New Roman" w:eastAsiaTheme="minorEastAsia"/>
          <w:bCs/>
          <w:color w:val="000000" w:themeColor="text1"/>
          <w:highlight w:val="none"/>
          <w14:textFill>
            <w14:solidFill>
              <w14:schemeClr w14:val="tx1"/>
            </w14:solidFill>
          </w14:textFill>
        </w:rPr>
        <w:t>现状处理单元改造</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预处理单元：集水井-粗格栅改造、调蓄池改造、栅渣输送机更换、沉砂池排砂阀更换等；</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生化系统：将原ICEAS反应池改为AAO工艺，提高反应池TN、NH</w:t>
      </w:r>
      <w:r>
        <w:rPr>
          <w:rFonts w:hint="default" w:ascii="Times New Roman" w:hAnsi="Times New Roman" w:cs="Times New Roman" w:eastAsiaTheme="minorEastAsia"/>
          <w:bCs/>
          <w:color w:val="000000" w:themeColor="text1"/>
          <w:highlight w:val="none"/>
          <w:vertAlign w:val="subscript"/>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-N、TP等污染物的去除率，更换鼓风机房风机等。</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深度处理系统：对中间调节池-加药间进行设备优化，废除现状DJW混凝罐，更换纤维转盘滤布等。</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消毒系统：紫外</w:t>
      </w:r>
      <w:r>
        <w:rPr>
          <w:rFonts w:hint="eastAsia" w:cs="Times New Roman" w:eastAsiaTheme="minorEastAsia"/>
          <w:bCs/>
          <w:color w:val="000000" w:themeColor="text1"/>
          <w:highlight w:val="none"/>
          <w:lang w:eastAsia="zh-CN"/>
          <w14:textFill>
            <w14:solidFill>
              <w14:schemeClr w14:val="tx1"/>
            </w14:solidFill>
          </w14:textFill>
        </w:rPr>
        <w:t>线</w:t>
      </w:r>
      <w:r>
        <w:rPr>
          <w:rFonts w:hint="default" w:ascii="Times New Roman" w:hAnsi="Times New Roman" w:cs="Times New Roman" w:eastAsiaTheme="minorEastAsia"/>
          <w:bCs/>
          <w:color w:val="000000" w:themeColor="text1"/>
          <w:highlight w:val="none"/>
          <w14:textFill>
            <w14:solidFill>
              <w14:schemeClr w14:val="tx1"/>
            </w14:solidFill>
          </w14:textFill>
        </w:rPr>
        <w:t>消毒设备更换部分组件及新增控制系统，同时增设次氯酸钠辅助消毒设备。</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污泥系统：对污泥浓缩池进行改造，增加浓缩机；增设污泥调理池；更换脱水车间成套脱泥设备。</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bookmarkStart w:id="386" w:name="bookmark6"/>
      <w:r>
        <w:rPr>
          <w:rFonts w:hint="default" w:ascii="Times New Roman" w:hAnsi="Times New Roman" w:cs="Times New Roman" w:eastAsiaTheme="minorEastAsia"/>
          <w:bCs/>
          <w:color w:val="000000" w:themeColor="text1"/>
          <w:highlight w:val="none"/>
          <w14:textFill>
            <w14:solidFill>
              <w14:schemeClr w14:val="tx1"/>
            </w14:solidFill>
          </w14:textFill>
        </w:rPr>
        <w:t>（</w:t>
      </w:r>
      <w:bookmarkEnd w:id="386"/>
      <w:r>
        <w:rPr>
          <w:rFonts w:hint="default" w:ascii="Times New Roman" w:hAnsi="Times New Roman" w:cs="Times New Roman" w:eastAsiaTheme="minorEastAsia"/>
          <w:bCs/>
          <w:color w:val="000000" w:themeColor="text1"/>
          <w:highlight w:val="none"/>
          <w14:textFill>
            <w14:solidFill>
              <w14:schemeClr w14:val="tx1"/>
            </w14:solidFill>
          </w14:textFill>
        </w:rPr>
        <w:t>二）</w:t>
      </w:r>
      <w:r>
        <w:rPr>
          <w:rFonts w:hint="default" w:ascii="Times New Roman" w:hAnsi="Times New Roman" w:cs="Times New Roman" w:eastAsiaTheme="minorEastAsia"/>
          <w:bCs/>
          <w:color w:val="000000" w:themeColor="text1"/>
          <w:highlight w:val="none"/>
          <w14:textFill>
            <w14:solidFill>
              <w14:schemeClr w14:val="tx1"/>
            </w14:solidFill>
          </w14:textFill>
        </w:rPr>
        <w:tab/>
      </w:r>
      <w:r>
        <w:rPr>
          <w:rFonts w:hint="default" w:ascii="Times New Roman" w:hAnsi="Times New Roman" w:cs="Times New Roman" w:eastAsiaTheme="minorEastAsia"/>
          <w:bCs/>
          <w:color w:val="000000" w:themeColor="text1"/>
          <w:highlight w:val="none"/>
          <w14:textFill>
            <w14:solidFill>
              <w14:schemeClr w14:val="tx1"/>
            </w14:solidFill>
          </w14:textFill>
        </w:rPr>
        <w:t>电气自控系统技改</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对厂区内老化电缆电线等辅助设施进行整改；增加厂区控制系统，调整运行参数，达到自动控制功能；</w:t>
      </w:r>
    </w:p>
    <w:p>
      <w:pPr>
        <w:numPr>
          <w:ilvl w:val="0"/>
          <w:numId w:val="10"/>
        </w:num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新建处理单元</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二沉池</w:t>
      </w:r>
      <w:r>
        <w:rPr>
          <w:rFonts w:hint="default" w:ascii="Times New Roman" w:hAnsi="Times New Roman" w:cs="Times New Roman" w:eastAsiaTheme="minorEastAsia"/>
          <w:bCs/>
          <w:color w:val="000000" w:themeColor="text1"/>
          <w:highlight w:val="none"/>
          <w:lang w:val="zh-CN"/>
          <w14:textFill>
            <w14:solidFill>
              <w14:schemeClr w14:val="tx1"/>
            </w14:solidFill>
          </w14:textFill>
        </w:rPr>
        <w:t>2</w:t>
      </w:r>
      <w:r>
        <w:rPr>
          <w:rFonts w:hint="default" w:ascii="Times New Roman" w:hAnsi="Times New Roman" w:cs="Times New Roman" w:eastAsiaTheme="minorEastAsia"/>
          <w:bCs/>
          <w:color w:val="000000" w:themeColor="text1"/>
          <w:highlight w:val="none"/>
          <w14:textFill>
            <w14:solidFill>
              <w14:schemeClr w14:val="tx1"/>
            </w14:solidFill>
          </w14:textFill>
        </w:rPr>
        <w:t>座、高效沉淀池1座、剩余污泥泵房1座、配电间及柴油发电机房1座、在线监测房2座、除臭系统1套。</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项目责任单位：澄江市住房和城乡建设局</w:t>
      </w:r>
    </w:p>
    <w:p>
      <w:pPr>
        <w:numPr>
          <w:ilvl w:val="0"/>
          <w:numId w:val="9"/>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4800万元，批复投资4192.85万元，截至2023年6月，已到位资金1000万元（全部为省级补助资金），资金到位率23.85%；已完成投资743万元，投资完成率17.72%。截至2023年6月，该项目分为2个子项目，均已编制完成可研报告，并分别于2022年3月10日、2022年6月17日获得可研批复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45</w:t>
      </w:r>
      <w:r>
        <w:rPr>
          <w:rFonts w:hint="default" w:ascii="Times New Roman" w:hAnsi="Times New Roman" w:cs="Times New Roman" w:eastAsiaTheme="minorEastAsia"/>
          <w:color w:val="000000" w:themeColor="text1"/>
          <w:highlight w:val="none"/>
          <w14:textFill>
            <w14:solidFill>
              <w14:schemeClr w14:val="tx1"/>
            </w14:solidFill>
          </w14:textFill>
        </w:rPr>
        <w:t>号和</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84</w:t>
      </w:r>
      <w:r>
        <w:rPr>
          <w:rFonts w:hint="default" w:ascii="Times New Roman" w:hAnsi="Times New Roman" w:cs="Times New Roman" w:eastAsiaTheme="minorEastAsia"/>
          <w:color w:val="000000" w:themeColor="text1"/>
          <w:highlight w:val="none"/>
          <w14:textFill>
            <w14:solidFill>
              <w14:schemeClr w14:val="tx1"/>
            </w14:solidFill>
          </w14:textFill>
        </w:rPr>
        <w:t>号；于2022年5月26日签订</w:t>
      </w:r>
      <w:r>
        <w:rPr>
          <w:rFonts w:hint="default" w:ascii="Times New Roman" w:hAnsi="Times New Roman" w:cs="Times New Roman" w:eastAsiaTheme="minorEastAsia"/>
          <w:bCs/>
          <w:color w:val="000000" w:themeColor="text1"/>
          <w:highlight w:val="none"/>
          <w14:textFill>
            <w14:solidFill>
              <w14:schemeClr w14:val="tx1"/>
            </w14:solidFill>
          </w14:textFill>
        </w:rPr>
        <w:t>澄江市路居镇污水处理厂扩建二期工程</w:t>
      </w:r>
      <w:r>
        <w:rPr>
          <w:rFonts w:hint="default" w:ascii="Times New Roman" w:hAnsi="Times New Roman" w:cs="Times New Roman" w:eastAsiaTheme="minorEastAsia"/>
          <w:color w:val="000000" w:themeColor="text1"/>
          <w:highlight w:val="none"/>
          <w14:textFill>
            <w14:solidFill>
              <w14:schemeClr w14:val="tx1"/>
            </w14:solidFill>
          </w14:textFill>
        </w:rPr>
        <w:t>合同。</w:t>
      </w:r>
      <w:r>
        <w:rPr>
          <w:rFonts w:hint="default" w:ascii="Times New Roman" w:hAnsi="Times New Roman" w:cs="Times New Roman" w:eastAsiaTheme="minorEastAsia"/>
          <w:bCs/>
          <w:color w:val="000000" w:themeColor="text1"/>
          <w:highlight w:val="none"/>
          <w14:textFill>
            <w14:solidFill>
              <w14:schemeClr w14:val="tx1"/>
            </w14:solidFill>
          </w14:textFill>
        </w:rPr>
        <w:t>澄江市污水处理厂技术改造项目于2022年12月19日取得初设批复</w:t>
      </w:r>
      <w:r>
        <w:rPr>
          <w:rFonts w:hint="default" w:ascii="Times New Roman" w:hAnsi="Times New Roman" w:cs="Times New Roman" w:eastAsiaTheme="minorEastAsia"/>
          <w:color w:val="000000" w:themeColor="text1"/>
          <w:highlight w:val="none"/>
          <w14:textFill>
            <w14:solidFill>
              <w14:schemeClr w14:val="tx1"/>
            </w14:solidFill>
          </w14:textFill>
        </w:rPr>
        <w:t>澄建复字</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2022</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8号</w:t>
      </w:r>
      <w:r>
        <w:rPr>
          <w:rFonts w:hint="default" w:ascii="Times New Roman" w:hAnsi="Times New Roman" w:cs="Times New Roman" w:eastAsiaTheme="minorEastAsia"/>
          <w:bCs/>
          <w:color w:val="000000" w:themeColor="text1"/>
          <w:highlight w:val="none"/>
          <w14:textFill>
            <w14:solidFill>
              <w14:schemeClr w14:val="tx1"/>
            </w14:solidFill>
          </w14:textFill>
        </w:rPr>
        <w:t>，2023年1月11日在澄江市公共资源交易中心进行了开标和评标工作，1月18日发布中标通知书，2月完成厂区土建工程施工，3月完成设备安装及单机调试、人员培训，4月完成系统调试、试运转、验收运行；路居污水处理厂扩容项目于2022年5月17日完成招标工作，2022年5月26日签订施工合同，2022年6月28日进场施工，</w:t>
      </w:r>
      <w:r>
        <w:rPr>
          <w:rFonts w:hint="eastAsia" w:cs="Times New Roman" w:eastAsiaTheme="minorEastAsia"/>
          <w:bCs/>
          <w:color w:val="000000" w:themeColor="text1"/>
          <w:highlight w:val="none"/>
          <w:lang w:eastAsia="zh-CN"/>
          <w14:textFill>
            <w14:solidFill>
              <w14:schemeClr w14:val="tx1"/>
            </w14:solidFill>
          </w14:textFill>
        </w:rPr>
        <w:t>截至2022年</w:t>
      </w:r>
      <w:r>
        <w:rPr>
          <w:rFonts w:hint="default" w:ascii="Times New Roman" w:hAnsi="Times New Roman" w:cs="Times New Roman" w:eastAsiaTheme="minorEastAsia"/>
          <w:bCs/>
          <w:color w:val="000000" w:themeColor="text1"/>
          <w:highlight w:val="none"/>
          <w14:textFill>
            <w14:solidFill>
              <w14:schemeClr w14:val="tx1"/>
            </w14:solidFill>
          </w14:textFill>
        </w:rPr>
        <w:t>10月底已完工，目前正在推进调试工作。该项目处于在建工作阶段，项目进展符合规划进度要求，但投资滞后。</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（3）项目环境效益</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该项目处于在建工作阶段，故暂不核算工程环境效益。</w:t>
      </w:r>
    </w:p>
    <w:p>
      <w:pPr>
        <w:numPr>
          <w:ilvl w:val="0"/>
          <w:numId w:val="9"/>
        </w:num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存在问题</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项目投资滞后。</w:t>
      </w:r>
    </w:p>
    <w:p>
      <w:pPr>
        <w:pStyle w:val="6"/>
        <w:spacing w:before="0" w:after="0" w:line="360" w:lineRule="auto"/>
        <w:rPr>
          <w:rFonts w:hint="default" w:ascii="Times New Roman" w:hAnsi="Times New Roman" w:cs="Times New Roman" w:eastAsiaTheme="minorEastAsia"/>
          <w:b w:val="0"/>
          <w:color w:val="000000" w:themeColor="text1"/>
          <w:highlight w:val="none"/>
          <w:u w:val="none"/>
          <w14:textFill>
            <w14:solidFill>
              <w14:schemeClr w14:val="tx1"/>
            </w14:solidFill>
          </w14:textFill>
        </w:rPr>
      </w:pPr>
      <w:bookmarkStart w:id="387" w:name="_Toc26176"/>
      <w:bookmarkStart w:id="388" w:name="_Toc8625"/>
      <w:bookmarkStart w:id="389" w:name="_Toc8810"/>
      <w:r>
        <w:rPr>
          <w:rFonts w:hint="default" w:ascii="Times New Roman" w:hAnsi="Times New Roman" w:cs="Times New Roman" w:eastAsiaTheme="minorEastAsia"/>
          <w:b w:val="0"/>
          <w:color w:val="000000" w:themeColor="text1"/>
          <w:highlight w:val="none"/>
          <w:u w:val="none"/>
          <w14:textFill>
            <w14:solidFill>
              <w14:schemeClr w14:val="tx1"/>
            </w14:solidFill>
          </w14:textFill>
        </w:rPr>
        <w:t>4.2.3.5澄江市生活垃圾治理项目</w:t>
      </w:r>
      <w:bookmarkEnd w:id="387"/>
      <w:bookmarkEnd w:id="388"/>
      <w:bookmarkEnd w:id="389"/>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①持续推进全域垃圾分级分类分拣。②分期完成大山、小马沟、冷阴箐三座垃圾填埋场封厂。③对餐厨潲水、泔水进行收集，同步配套建设厨余垃圾处理设施。</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2022—2025年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2、项目设计（可研）情况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①澄江市50吨/日餐厨垃圾资源化综合利用项目</w:t>
      </w:r>
      <w:r>
        <w:rPr>
          <w:rFonts w:hint="default" w:ascii="Times New Roman" w:hAnsi="Times New Roman" w:cs="Times New Roman" w:eastAsiaTheme="minorEastAsia"/>
          <w:color w:val="000000" w:themeColor="text1"/>
          <w:highlight w:val="none"/>
          <w14:textFill>
            <w14:solidFill>
              <w14:schemeClr w14:val="tx1"/>
            </w14:solidFill>
          </w14:textFill>
        </w:rPr>
        <w:t>(备注：该项内容来自项目</w:t>
      </w:r>
      <w:r>
        <w:rPr>
          <w:rFonts w:hint="default" w:ascii="Times New Roman" w:hAnsi="Times New Roman" w:cs="Times New Roman" w:eastAsiaTheme="minorEastAsia"/>
          <w:bCs/>
          <w:color w:val="000000" w:themeColor="text1"/>
          <w:highlight w:val="none"/>
          <w14:textFill>
            <w14:solidFill>
              <w14:schemeClr w14:val="tx1"/>
            </w14:solidFill>
          </w14:textFill>
        </w:rPr>
        <w:t>环境影响报告书批复澄环审</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10</w:t>
      </w:r>
      <w:r>
        <w:rPr>
          <w:rFonts w:hint="default" w:ascii="Times New Roman" w:hAnsi="Times New Roman" w:cs="Times New Roman" w:eastAsiaTheme="minorEastAsia"/>
          <w:color w:val="000000" w:themeColor="text1"/>
          <w:highlight w:val="none"/>
          <w14:textFill>
            <w14:solidFill>
              <w14:schemeClr w14:val="tx1"/>
            </w14:solidFill>
          </w14:textFill>
        </w:rPr>
        <w:t>号)</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主要依托澄江县生活垃圾焚烧发电项目主厂房预留车间建设餐厨垃圾处理车间，建设1条餐厨垃圾处理生产线，分区设置有卸料区、预处理区、出渣区，配套设置有破搅一体机、粗分机、挤压机、三相离心机、液压站等生产设备，项目建成后餐厨垃圾处理量约为50t/d。</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工程建设年限：2022年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②大山、小马沟、路居冷阴菁三座垃圾填埋场封场项目：包括澄江市大山填埋场老场封场暨扩容改造项目、路居上坝冷阴箐垃圾填埋场整治工程、小马沟垃圾填埋场整治工程。</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项目责任单位：澄江市住房和城乡建设局</w:t>
      </w:r>
    </w:p>
    <w:p>
      <w:pPr>
        <w:numPr>
          <w:ilvl w:val="0"/>
          <w:numId w:val="11"/>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21350万元，截至2023年6月，已到位资金1074万元，资金到位率5.03%，其中州市配套资金44万元，县级配套资金45万元，自筹资金985万元；已完成投资1074万元，投资完成率5.03%。该项目分2个子项目，子项目一为澄江市50吨/日餐厨垃圾资源化综合利用项目，该子项目截至2023年6月，已完成环境影响报告书、可行性研究报告及节能评估报告的编制，该项目按照特许经营方式实施，于2021年11月19日与澄江伟明环保科技有限公司签订投资建设运营协议及特许经营协议，项目合作期限29年（其中建设期1年，运营期28年），估算总投资为1771.18万元，资金来源于澄江伟明环保科技有限公司出资和通过银行等金融机构融资，全部投资由该公司自筹解决，政府不承担融资及融资担保责任。该子项目于2022年1月29日获得澄江市发展和改革局项目备案证（项目代码:2201-530422-04-01-973164），于2022年7月20日获得玉溪市生态环境局澄江分局对该项目的环境影响报告书的批复（澄环审</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10</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目前设备已完成安装，该子项目目前基本完工。子项目二为大山、小马沟、路居冷阴菁三座垃圾填埋场封场项目，截至2023年6月，三座垃圾填埋场已分别编制完成可研报告，并且于2021年7月9日获得澄江市大山填埋场老场封场暨扩容改造项目的社会稳定风险评估备案证书（编号：</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4</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），于2022年4月26日获得小马沟垃圾填埋场整治工程的社会稳定风险评估备案证书（编号：</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4</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于2022年6月2日获得路居上坝冷阴箐垃圾填埋场整治工程的社会稳定风险评估备案证书（编号：</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8</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），该子项目目前处于前期工作阶段。结合2个子项目，该项目处于在建工作阶段，项目进展符合规划进度要求，但投资滞后。</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（3）项目环境效益</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该项目规划污染物预期削减量COD94.31t/a</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TN27.44t/a，TP3.58t/a，NH</w:t>
      </w:r>
      <w:r>
        <w:rPr>
          <w:rFonts w:hint="default" w:ascii="Times New Roman" w:hAnsi="Times New Roman" w:cs="Times New Roman" w:eastAsiaTheme="minorEastAsia"/>
          <w:bCs/>
          <w:color w:val="000000" w:themeColor="text1"/>
          <w:highlight w:val="none"/>
          <w:vertAlign w:val="subscript"/>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-N13.48t/a，该项目处于在建工作阶段，故暂不核算工程环境效益。</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（4）存在问题</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子项目：大山、小马沟、路居冷阴菁三座垃圾填埋场封场项目进展情况滞后。</w:t>
      </w: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390" w:name="_Toc12488"/>
      <w:bookmarkStart w:id="391" w:name="_Toc32335"/>
      <w:r>
        <w:rPr>
          <w:rFonts w:hint="default" w:ascii="Times New Roman" w:hAnsi="Times New Roman" w:cs="Times New Roman" w:eastAsiaTheme="minorEastAsia"/>
          <w:color w:val="000000" w:themeColor="text1"/>
          <w:highlight w:val="none"/>
          <w14:textFill>
            <w14:solidFill>
              <w14:schemeClr w14:val="tx1"/>
            </w14:solidFill>
          </w14:textFill>
        </w:rPr>
        <w:t>4.2.4水环境综合治理类</w:t>
      </w:r>
      <w:bookmarkEnd w:id="390"/>
      <w:bookmarkEnd w:id="391"/>
    </w:p>
    <w:p>
      <w:pPr>
        <w:pStyle w:val="6"/>
        <w:spacing w:before="0" w:after="0" w:line="360" w:lineRule="auto"/>
        <w:rPr>
          <w:rFonts w:hint="default" w:ascii="Times New Roman" w:hAnsi="Times New Roman" w:cs="Times New Roman" w:eastAsiaTheme="minorEastAsia"/>
          <w:bCs w:val="0"/>
          <w:color w:val="000000" w:themeColor="text1"/>
          <w:szCs w:val="20"/>
          <w:highlight w:val="none"/>
          <w14:textFill>
            <w14:solidFill>
              <w14:schemeClr w14:val="tx1"/>
            </w14:solidFill>
          </w14:textFill>
        </w:rPr>
      </w:pPr>
      <w:bookmarkStart w:id="392" w:name="_Toc29963"/>
      <w:bookmarkStart w:id="393" w:name="_Toc31965"/>
      <w:bookmarkStart w:id="394" w:name="_Toc13581"/>
      <w:r>
        <w:rPr>
          <w:rFonts w:hint="default" w:ascii="Times New Roman" w:hAnsi="Times New Roman" w:cs="Times New Roman" w:eastAsiaTheme="minorEastAsia"/>
          <w:b w:val="0"/>
          <w:color w:val="000000" w:themeColor="text1"/>
          <w:highlight w:val="none"/>
          <w14:textFill>
            <w14:solidFill>
              <w14:schemeClr w14:val="tx1"/>
            </w14:solidFill>
          </w14:textFill>
        </w:rPr>
        <w:t>4.2.4.1抚仙湖入湖河道水质提升工程</w:t>
      </w:r>
      <w:bookmarkEnd w:id="392"/>
      <w:bookmarkEnd w:id="393"/>
      <w:bookmarkEnd w:id="394"/>
    </w:p>
    <w:p>
      <w:pPr>
        <w:numPr>
          <w:ilvl w:val="0"/>
          <w:numId w:val="0"/>
        </w:num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项目基本情况</w:t>
      </w:r>
    </w:p>
    <w:p>
      <w:pPr>
        <w:numPr>
          <w:ilvl w:val="0"/>
          <w:numId w:val="12"/>
        </w:num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对抚仙湖入湖河道及湿地进行综合整治，划定清水水源及清水通道，设置河滨生态隔离带、封堵排污口、清淤、收割替换水生植物，进行常态化管护，实现清水入湖；消除马房中沟、马房西沟、窑泥沟、大摆沟等河道消除Ⅴ类、劣Ⅴ类水体，实现水质提升。</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2、项目设计（可研）情况</w:t>
      </w:r>
      <w:r>
        <w:rPr>
          <w:rFonts w:hint="default" w:ascii="Times New Roman" w:hAnsi="Times New Roman" w:cs="Times New Roman" w:eastAsiaTheme="minorEastAsia"/>
          <w:color w:val="000000" w:themeColor="text1"/>
          <w:highlight w:val="none"/>
          <w14:textFill>
            <w14:solidFill>
              <w14:schemeClr w14:val="tx1"/>
            </w14:solidFill>
          </w14:textFill>
        </w:rPr>
        <w:t>(备注：该项内容来自可研批复</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47</w:t>
      </w:r>
      <w:r>
        <w:rPr>
          <w:rFonts w:hint="default" w:ascii="Times New Roman" w:hAnsi="Times New Roman" w:cs="Times New Roman" w:eastAsiaTheme="minorEastAsia"/>
          <w:color w:val="000000" w:themeColor="text1"/>
          <w:highlight w:val="none"/>
          <w14:textFill>
            <w14:solidFill>
              <w14:schemeClr w14:val="tx1"/>
            </w14:solidFill>
          </w14:textFill>
        </w:rPr>
        <w:t>号)</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抚仙湖入湖河道水质提升一期工程项目内容：</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一、清水入湖通道整治。对抚澄河、东大沟、梁王河、沙亥河、代村河、尖山河、路居河（大鲫鱼河）等7条直接入湖河流进行河道清淤、岸坡整治、截污治污、自然生态物理隔离带建设的整治工程，河道治理总长度约41.28km。</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二、强制脱劣河道（沟渠）。对大摆沟、窑泥沟、锁水桥沟、马房中沟、马房西沟等存在劣五类水体的河道（沟渠）进行截污治污、水系连通、渠道清淤及岸坡整治的水质提升工程，河道（沟渠）治理，总长度约28.36km。</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三、调蓄带及湿地整治工程。对牛山脚坝塘进行坝塘内清淤、下游渠道修复及岸坡整治工程；对23块湿地2块沉砂池进行管养、维护、清淤、植物收割、水系连通、灌溉系统建设、自然生态物理隔离带建设的整治工程。抚仙湖北岸23块湿地：由西至东具体分别为尖山河湿地（共6块）沙亥河湿地、镇海营湿地、抚澄河湿地、马房村湿地、小洋村湿地、窑泥沟湿地（上、中、末端共3块）沙河村湿地、横大路湿地、洋潦营新河口湿地（2块）东大河湿地、兜底寺湿地、代村河湿地以及马房中沟沉砂池、锁水桥沟沉砂池，抚仙湖南岸湿地2块：分别为大鲫鱼河湿地、张营田心沟末段湿地。</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项目责任单位：澄江市水利局</w:t>
      </w:r>
    </w:p>
    <w:p>
      <w:pPr>
        <w:numPr>
          <w:ilvl w:val="0"/>
          <w:numId w:val="13"/>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10000万元，可研批复投资7345.09万元，截至2023年6月，已到位资金8800万元，资金到位率100%，其中省级补助资金8800万元；已完成投资3190万元，投资完成率43.43%。截至2023年6月，已编制完成可行性研究报告，并获得批复（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47</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该项目工程实施分4个标段建设，于2022年6月6日与云南国凯建设工程有限公司签订（一）标段，与云南威耀建设工程有限公司签订（二）标段，弥勒市弥阳建筑安装工程公司签订（三）标段，云南德汇建筑工程有限公司签订（四）标段工程建设合同，并于2022年6月10日获得开工令。目前已完成排查封堵各类入河排水口424个，完成东大河、窑泥沟末端湿地等河道及湿地清淤25.97万立方米、水生植物打捞及收割20.48万平方米、岸坡清理整治7.08万平方米、水生植物补植补种10.46万平方米，开挖物理隔离沟3860米，安装生态补水管道1844米，栽种树苗403棵，新建沉砂池1座。该项目处于在建工作阶段，项目进展符合可研批复进度要求。</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（3）项目环境效益</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该项目处于在建工作阶段，故暂不核算工程环境效益。</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（4）存在问题</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目前处于旱季，下端湿地无水，挂膜太早，掉落较多，后期应加强水资源调配。</w:t>
      </w:r>
    </w:p>
    <w:p>
      <w:pPr>
        <w:jc w:val="cente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drawing>
          <wp:inline distT="0" distB="0" distL="114300" distR="114300">
            <wp:extent cx="2311400" cy="3082925"/>
            <wp:effectExtent l="0" t="0" r="5080" b="10795"/>
            <wp:docPr id="12" name="图片 12" descr="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4"/>
                    <pic:cNvPicPr>
                      <a:picLocks noChangeAspect="true"/>
                    </pic:cNvPicPr>
                  </pic:nvPicPr>
                  <pic:blipFill>
                    <a:blip r:embed="rId37"/>
                    <a:stretch>
                      <a:fillRect/>
                    </a:stretch>
                  </pic:blipFill>
                  <pic:spPr>
                    <a:xfrm>
                      <a:off x="0" y="0"/>
                      <a:ext cx="2311400" cy="3082925"/>
                    </a:xfrm>
                    <a:prstGeom prst="rect">
                      <a:avLst/>
                    </a:prstGeom>
                  </pic:spPr>
                </pic:pic>
              </a:graphicData>
            </a:graphic>
          </wp:inline>
        </w:drawing>
      </w:r>
      <w:r>
        <w:rPr>
          <w:rFonts w:hint="default" w:ascii="Times New Roman" w:hAnsi="Times New Roman" w:cs="Times New Roman" w:eastAsiaTheme="minorEastAsia"/>
          <w:color w:val="000000" w:themeColor="text1"/>
          <w:highlight w:val="none"/>
          <w14:textFill>
            <w14:solidFill>
              <w14:schemeClr w14:val="tx1"/>
            </w14:solidFill>
          </w14:textFill>
        </w:rPr>
        <w:drawing>
          <wp:inline distT="0" distB="0" distL="114300" distR="114300">
            <wp:extent cx="2308225" cy="3079750"/>
            <wp:effectExtent l="0" t="0" r="8255" b="13970"/>
            <wp:docPr id="32" name="图片 32" descr="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12"/>
                    <pic:cNvPicPr>
                      <a:picLocks noChangeAspect="true"/>
                    </pic:cNvPicPr>
                  </pic:nvPicPr>
                  <pic:blipFill>
                    <a:blip r:embed="rId38"/>
                    <a:stretch>
                      <a:fillRect/>
                    </a:stretch>
                  </pic:blipFill>
                  <pic:spPr>
                    <a:xfrm>
                      <a:off x="0" y="0"/>
                      <a:ext cx="2308225" cy="3079750"/>
                    </a:xfrm>
                    <a:prstGeom prst="rect">
                      <a:avLst/>
                    </a:prstGeom>
                  </pic:spPr>
                </pic:pic>
              </a:graphicData>
            </a:graphic>
          </wp:inline>
        </w:drawing>
      </w:r>
      <w:r>
        <w:rPr>
          <w:rFonts w:hint="default" w:ascii="Times New Roman" w:hAnsi="Times New Roman" w:cs="Times New Roman" w:eastAsiaTheme="minorEastAsia"/>
          <w:bCs/>
          <w:color w:val="000000" w:themeColor="text1"/>
          <w:highlight w:val="none"/>
          <w14:textFill>
            <w14:solidFill>
              <w14:schemeClr w14:val="tx1"/>
            </w14:solidFill>
          </w14:textFill>
        </w:rPr>
        <w:drawing>
          <wp:inline distT="0" distB="0" distL="114300" distR="114300">
            <wp:extent cx="3005455" cy="2254885"/>
            <wp:effectExtent l="0" t="0" r="12065" b="635"/>
            <wp:docPr id="10" name="图片 10" descr="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11"/>
                    <pic:cNvPicPr>
                      <a:picLocks noChangeAspect="true"/>
                    </pic:cNvPicPr>
                  </pic:nvPicPr>
                  <pic:blipFill>
                    <a:blip r:embed="rId39"/>
                    <a:stretch>
                      <a:fillRect/>
                    </a:stretch>
                  </pic:blipFill>
                  <pic:spPr>
                    <a:xfrm>
                      <a:off x="0" y="0"/>
                      <a:ext cx="3005455" cy="2254885"/>
                    </a:xfrm>
                    <a:prstGeom prst="rect">
                      <a:avLst/>
                    </a:prstGeom>
                  </pic:spPr>
                </pic:pic>
              </a:graphicData>
            </a:graphic>
          </wp:inline>
        </w:drawing>
      </w:r>
      <w:r>
        <w:rPr>
          <w:rFonts w:hint="default" w:ascii="Times New Roman" w:hAnsi="Times New Roman" w:cs="Times New Roman" w:eastAsiaTheme="minorEastAsia"/>
          <w:bCs/>
          <w:color w:val="000000" w:themeColor="text1"/>
          <w:highlight w:val="none"/>
          <w14:textFill>
            <w14:solidFill>
              <w14:schemeClr w14:val="tx1"/>
            </w14:solidFill>
          </w14:textFill>
        </w:rPr>
        <w:drawing>
          <wp:inline distT="0" distB="0" distL="114300" distR="114300">
            <wp:extent cx="1892300" cy="2264410"/>
            <wp:effectExtent l="0" t="0" r="12700" b="6350"/>
            <wp:docPr id="21" name="图片 21" descr="20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2000"/>
                    <pic:cNvPicPr>
                      <a:picLocks noChangeAspect="true"/>
                    </pic:cNvPicPr>
                  </pic:nvPicPr>
                  <pic:blipFill>
                    <a:blip r:embed="rId40"/>
                    <a:stretch>
                      <a:fillRect/>
                    </a:stretch>
                  </pic:blipFill>
                  <pic:spPr>
                    <a:xfrm>
                      <a:off x="0" y="0"/>
                      <a:ext cx="1892300" cy="2264410"/>
                    </a:xfrm>
                    <a:prstGeom prst="rect">
                      <a:avLst/>
                    </a:prstGeom>
                  </pic:spPr>
                </pic:pic>
              </a:graphicData>
            </a:graphic>
          </wp:inline>
        </w:drawing>
      </w:r>
      <w:r>
        <w:rPr>
          <w:rFonts w:hint="default" w:ascii="Times New Roman" w:hAnsi="Times New Roman" w:cs="Times New Roman" w:eastAsiaTheme="minorEastAsia"/>
          <w:bCs/>
          <w:color w:val="000000" w:themeColor="text1"/>
          <w:highlight w:val="none"/>
          <w14:textFill>
            <w14:solidFill>
              <w14:schemeClr w14:val="tx1"/>
            </w14:solidFill>
          </w14:textFill>
        </w:rPr>
        <w:drawing>
          <wp:inline distT="0" distB="0" distL="114300" distR="114300">
            <wp:extent cx="2284095" cy="3046095"/>
            <wp:effectExtent l="0" t="0" r="1905" b="1905"/>
            <wp:docPr id="19" name="图片 19" descr="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5"/>
                    <pic:cNvPicPr>
                      <a:picLocks noChangeAspect="true"/>
                    </pic:cNvPicPr>
                  </pic:nvPicPr>
                  <pic:blipFill>
                    <a:blip r:embed="rId41"/>
                    <a:stretch>
                      <a:fillRect/>
                    </a:stretch>
                  </pic:blipFill>
                  <pic:spPr>
                    <a:xfrm>
                      <a:off x="0" y="0"/>
                      <a:ext cx="2284095" cy="3046095"/>
                    </a:xfrm>
                    <a:prstGeom prst="rect">
                      <a:avLst/>
                    </a:prstGeom>
                  </pic:spPr>
                </pic:pic>
              </a:graphicData>
            </a:graphic>
          </wp:inline>
        </w:drawing>
      </w:r>
      <w:r>
        <w:rPr>
          <w:rFonts w:hint="default" w:ascii="Times New Roman" w:hAnsi="Times New Roman" w:cs="Times New Roman" w:eastAsiaTheme="minorEastAsia"/>
          <w:bCs/>
          <w:color w:val="000000" w:themeColor="text1"/>
          <w:highlight w:val="none"/>
          <w14:textFill>
            <w14:solidFill>
              <w14:schemeClr w14:val="tx1"/>
            </w14:solidFill>
          </w14:textFill>
        </w:rPr>
        <w:drawing>
          <wp:inline distT="0" distB="0" distL="114300" distR="114300">
            <wp:extent cx="2283460" cy="3044825"/>
            <wp:effectExtent l="0" t="0" r="2540" b="3175"/>
            <wp:docPr id="33" name="图片 33" descr="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13"/>
                    <pic:cNvPicPr>
                      <a:picLocks noChangeAspect="true"/>
                    </pic:cNvPicPr>
                  </pic:nvPicPr>
                  <pic:blipFill>
                    <a:blip r:embed="rId42"/>
                    <a:stretch>
                      <a:fillRect/>
                    </a:stretch>
                  </pic:blipFill>
                  <pic:spPr>
                    <a:xfrm>
                      <a:off x="0" y="0"/>
                      <a:ext cx="2283460" cy="3044825"/>
                    </a:xfrm>
                    <a:prstGeom prst="rect">
                      <a:avLst/>
                    </a:prstGeom>
                  </pic:spPr>
                </pic:pic>
              </a:graphicData>
            </a:graphic>
          </wp:inline>
        </w:drawing>
      </w:r>
    </w:p>
    <w:p>
      <w:pPr>
        <w:ind w:left="0" w:leftChars="0" w:firstLine="0" w:firstLineChars="0"/>
        <w:jc w:val="cente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eastAsia" w:cs="Times New Roman" w:eastAsiaTheme="minorEastAsia"/>
          <w:bCs/>
          <w:color w:val="000000" w:themeColor="text1"/>
          <w:highlight w:val="none"/>
          <w:lang w:val="en-US" w:eastAsia="zh-CN"/>
          <w14:textFill>
            <w14:solidFill>
              <w14:schemeClr w14:val="tx1"/>
            </w14:solidFill>
          </w14:textFill>
        </w:rPr>
        <w:t>图4.2.4-1</w:t>
      </w:r>
      <w:r>
        <w:rPr>
          <w:rFonts w:hint="default" w:ascii="Times New Roman" w:hAnsi="Times New Roman" w:cs="Times New Roman" w:eastAsiaTheme="minorEastAsia"/>
          <w:bCs/>
          <w:color w:val="000000" w:themeColor="text1"/>
          <w:highlight w:val="none"/>
          <w14:textFill>
            <w14:solidFill>
              <w14:schemeClr w14:val="tx1"/>
            </w14:solidFill>
          </w14:textFill>
        </w:rPr>
        <w:t>湿地东大河清淤</w:t>
      </w: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395" w:name="_Toc10096"/>
      <w:bookmarkStart w:id="396" w:name="_Toc657"/>
      <w:r>
        <w:rPr>
          <w:rFonts w:hint="default" w:ascii="Times New Roman" w:hAnsi="Times New Roman" w:cs="Times New Roman" w:eastAsiaTheme="minorEastAsia"/>
          <w:color w:val="000000" w:themeColor="text1"/>
          <w:highlight w:val="none"/>
          <w14:textFill>
            <w14:solidFill>
              <w14:schemeClr w14:val="tx1"/>
            </w14:solidFill>
          </w14:textFill>
        </w:rPr>
        <w:t>4.2.5水生态修复类</w:t>
      </w:r>
      <w:bookmarkEnd w:id="395"/>
      <w:bookmarkEnd w:id="396"/>
    </w:p>
    <w:p>
      <w:pPr>
        <w:pStyle w:val="6"/>
        <w:spacing w:before="0" w:after="0" w:line="360" w:lineRule="auto"/>
        <w:rPr>
          <w:rFonts w:hint="default" w:ascii="Times New Roman" w:hAnsi="Times New Roman" w:cs="Times New Roman" w:eastAsiaTheme="minorEastAsia"/>
          <w:bCs w:val="0"/>
          <w:color w:val="000000" w:themeColor="text1"/>
          <w:szCs w:val="20"/>
          <w:highlight w:val="none"/>
          <w14:textFill>
            <w14:solidFill>
              <w14:schemeClr w14:val="tx1"/>
            </w14:solidFill>
          </w14:textFill>
        </w:rPr>
      </w:pPr>
      <w:bookmarkStart w:id="397" w:name="_Toc20739"/>
      <w:bookmarkStart w:id="398" w:name="_Toc4543"/>
      <w:bookmarkStart w:id="399" w:name="_Toc1457"/>
      <w:r>
        <w:rPr>
          <w:rFonts w:hint="default" w:ascii="Times New Roman" w:hAnsi="Times New Roman" w:cs="Times New Roman" w:eastAsiaTheme="minorEastAsia"/>
          <w:b w:val="0"/>
          <w:color w:val="000000" w:themeColor="text1"/>
          <w:highlight w:val="none"/>
          <w14:textFill>
            <w14:solidFill>
              <w14:schemeClr w14:val="tx1"/>
            </w14:solidFill>
          </w14:textFill>
        </w:rPr>
        <w:t>4.2.5.1矿山修复项目</w:t>
      </w:r>
      <w:bookmarkEnd w:id="397"/>
      <w:bookmarkEnd w:id="398"/>
      <w:bookmarkEnd w:id="399"/>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对辖区及托管区内大山采石场、双水塘采石场、郭帅洗沙场等13个历史遗留矿山进行生态修复，总面积约为147.98hm²。</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2、项目设计（可研）情况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云南省澄江市（片区：路居镇甸头新村等三个点）历史遗留矿山生态修复工程包括：路居镇甸头新村建筑用白云岩（新村正西方向1800米处）、江川区路居镇上坝村民委员会建筑用白云岩废弃矿山（白沙地村正南方向200米处）、澄江市海口镇新村村委会白云岩矿废弃矿山（小田东方向500米处）三个点的矿山生态修复工程。</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②云南省澄江市（片区：二家村等四个点）历史遗留矿山生态修复工程包括：海口羊洞箐砂场、二家村东南方向100米处、郭帅洗沙场、双树黑码头绍坤石场四个点的矿山生态修复工程。</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③云南省澄江市长坡片区历史遗留矿山生态修复治理工程</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④磨盘山磷矿采区、海口镇海关社区龙母村西南方向351米处、云南省江川县水泥厂北矿区、澄江县大山采石场、澄江县通吉石料场五个点的矿山生态修复工程。</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项目责任单位：澄江市自然资源局</w:t>
      </w:r>
    </w:p>
    <w:p>
      <w:pPr>
        <w:numPr>
          <w:ilvl w:val="0"/>
          <w:numId w:val="0"/>
        </w:num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4000万元，实施方案批复投资8999万元，截至2023年6月，已到位资金809万元，资金到位率8.99%，其中中央补助资金40万元，省级补助资金199万元，县级配套资金570万元；已完成投资2907万元，投资完成率32.30%。该项目已编制完成项目实施方案，并于2021年9月2日获得玉溪市自然资源和规划局的相关批复（玉自然资函</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39</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），编制完成环境影响报告，并获得批复（澄环审</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16号）；通过公开招标于2022年2月18日与山东正元地质资源勘查有限责任公司签订云南省澄江市（片区：路居镇甸头新村等三个点）历史遗留矿山生态修复工程勘察设计施工合同总承包合同（EPC），编制完成该项目的勘察设计，并于2022年6月14日获得批复（玉自然资修复耕保</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42</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于2022年5月18日开始施工；通过公开招标于2022年2月18日与西南能矿建设工程有限公司签订云南省澄江市（片区：二家村等四个点）历史遗留矿山生态修复工程勘察设计施工合同总承包合同（EPC），编制完成该项目的勘察设计，并于2022年6月14日获得批复（玉自然资修复耕保</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41</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于2022年2月24日开始施工；通过公开招标于2021年10月12日与云南地质工程勘察设计研究院签订云南省澄江市长坡片区历史遗留矿山生态修复治理工程勘察设计合同，编制完成该项目的勘察设计，并于2021年12月10日获得批复（自然资修复耕保</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147</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于2022年1月26日与西南有色昆明勘测设计(院)股份有限公司签订建设工程施工合同，于2022年10月10日开始施工；通过公开招标于2021年9月30日与西南有色昆明勘测设计(院)股份有限公司签订云南省澄江市磨盘山磷矿采区历史遗留矿山生态修复治理工程勘查设计合同。目前该项目①云南省澄江市（片区：路居镇甸头新村等三个点）历史遗留矿山生态修复工程和云南省澄江市（片区：二家村等四个点）历史遗留矿山生态修复工程包括的7座矿山已经完工，计划2023年8月初验；②剩余的6座矿山，其中：长坡片区历史遗留矿山生态修复项目已进场施工，按合同于2025年竣工验收；海口镇海关社区龙母村矿点计划2023年8月完工并完成初验；剩余的4座矿山将加快前期工作，力争2023年年内启动项目实施。该项目处于在建工作阶段，项目进展符合规划进度要求，但投资滞后。</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（3）项目环境效益</w:t>
      </w:r>
    </w:p>
    <w:p>
      <w:pPr>
        <w:widowControl/>
        <w:ind w:firstLine="480" w:firstLineChars="200"/>
        <w:jc w:val="left"/>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该项目使矿山的生态环境得到修复和改善，目前项目处于在建工作阶段，故暂不核算工程环境效益。</w:t>
      </w:r>
    </w:p>
    <w:p>
      <w:pPr>
        <w:pStyle w:val="6"/>
        <w:spacing w:before="0" w:after="0" w:line="360" w:lineRule="auto"/>
        <w:rPr>
          <w:rFonts w:hint="default" w:ascii="Times New Roman" w:hAnsi="Times New Roman" w:cs="Times New Roman" w:eastAsiaTheme="minorEastAsia"/>
          <w:b w:val="0"/>
          <w:color w:val="000000" w:themeColor="text1"/>
          <w:highlight w:val="none"/>
          <w14:textFill>
            <w14:solidFill>
              <w14:schemeClr w14:val="tx1"/>
            </w14:solidFill>
          </w14:textFill>
        </w:rPr>
      </w:pPr>
      <w:bookmarkStart w:id="400" w:name="_Toc7919"/>
      <w:bookmarkStart w:id="401" w:name="_Toc13964"/>
      <w:bookmarkStart w:id="402" w:name="_Toc10484"/>
      <w:r>
        <w:rPr>
          <w:rFonts w:hint="default" w:ascii="Times New Roman" w:hAnsi="Times New Roman" w:cs="Times New Roman" w:eastAsiaTheme="minorEastAsia"/>
          <w:b w:val="0"/>
          <w:color w:val="000000" w:themeColor="text1"/>
          <w:highlight w:val="none"/>
          <w14:textFill>
            <w14:solidFill>
              <w14:schemeClr w14:val="tx1"/>
            </w14:solidFill>
          </w14:textFill>
        </w:rPr>
        <w:t>4.2.5.2抚仙湖生物多样性保护工程</w:t>
      </w:r>
      <w:bookmarkEnd w:id="400"/>
      <w:bookmarkEnd w:id="401"/>
      <w:bookmarkEnd w:id="402"/>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巩固森林抚仙湖6万亩山地流转，确保森林抚仙湖生态治理林木保存率；对森林抚仙湖项目开展抚育提升，实施抚育提升5万亩。</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2、项目设计（可研）情况</w:t>
      </w:r>
      <w:r>
        <w:rPr>
          <w:rFonts w:hint="default" w:ascii="Times New Roman" w:hAnsi="Times New Roman" w:cs="Times New Roman" w:eastAsiaTheme="minorEastAsia"/>
          <w:color w:val="000000" w:themeColor="text1"/>
          <w:highlight w:val="none"/>
          <w14:textFill>
            <w14:solidFill>
              <w14:schemeClr w14:val="tx1"/>
            </w14:solidFill>
          </w14:textFill>
        </w:rPr>
        <w:t>(备注：该项内容来自可研批复</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99</w:t>
      </w:r>
      <w:r>
        <w:rPr>
          <w:rFonts w:hint="default" w:ascii="Times New Roman" w:hAnsi="Times New Roman" w:cs="Times New Roman" w:eastAsiaTheme="minorEastAsia"/>
          <w:color w:val="000000" w:themeColor="text1"/>
          <w:highlight w:val="none"/>
          <w14:textFill>
            <w14:solidFill>
              <w14:schemeClr w14:val="tx1"/>
            </w14:solidFill>
          </w14:textFill>
        </w:rPr>
        <w:t>号)</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项目名称：森林抚仙湖项目抚育提升工程</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建设内容：项目建设总规模10.5万亩，其中：对9万亩的森林进行抚育提升，主要建设内容为补植补造抚育提升、整形抚育提升、割灌除草抚育提升：新建水源涵养林1.5万亩。</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项目责任单位：澄江市林业和草原局</w:t>
      </w:r>
    </w:p>
    <w:p>
      <w:pPr>
        <w:numPr>
          <w:ilvl w:val="0"/>
          <w:numId w:val="11"/>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52500万元，批复投资52538万元，截至2023年6月，已到位资金19750万元，资金到位率37.59%，其中省级补助资金19750万元；已完成投资10225万元，投资完成率19.46%。截至2023年6月，该项目已编制完成森林抚仙湖项目抚育提升工程可行性研究报告，并于2022年8月2日获得批复（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99</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）；编制完成森林抚仙湖项目抚育提升工程（2021年度）初步设计，于2022年9月6日获得批复（澄发改发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114</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于2022年11月9日与云南杨桥建工有限公司签订施工合同，并于11月15日开工。目前①完成2021年度森林抚仙湖6万亩山地流转兑付。②完成森林抚仙湖项目抚育提升9万亩、封山育林1.5万亩项目立项。③2022年12月底完成2021年度抚育任务3万亩，目前2022年度3万亩抚育提升工程已完成初步设计评审及审批工作，准备开展招投标工作。该项目处于在建工作阶段，项目进展符合规划进度要求，但投资滞后。</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（3）项目环境效益</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该项目对森林抚仙湖项目进行抚育提升，促进植物生长，改善林木品质，提高树木存活率，稳定森林覆盖率，目前项目处于</w:t>
      </w:r>
      <w:r>
        <w:rPr>
          <w:rFonts w:hint="default" w:ascii="Times New Roman" w:hAnsi="Times New Roman" w:cs="Times New Roman" w:eastAsiaTheme="minorEastAsia"/>
          <w:bCs/>
          <w:color w:val="000000" w:themeColor="text1"/>
          <w:highlight w:val="none"/>
          <w14:textFill>
            <w14:solidFill>
              <w14:schemeClr w14:val="tx1"/>
            </w14:solidFill>
          </w14:textFill>
        </w:rPr>
        <w:t>在建工作阶段，故暂不核算工程环境效益。</w:t>
      </w: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403" w:name="_Toc3429"/>
      <w:bookmarkStart w:id="404" w:name="_Toc20802"/>
      <w:r>
        <w:rPr>
          <w:rFonts w:hint="default" w:ascii="Times New Roman" w:hAnsi="Times New Roman" w:cs="Times New Roman" w:eastAsiaTheme="minorEastAsia"/>
          <w:color w:val="000000" w:themeColor="text1"/>
          <w:highlight w:val="none"/>
          <w14:textFill>
            <w14:solidFill>
              <w14:schemeClr w14:val="tx1"/>
            </w14:solidFill>
          </w14:textFill>
        </w:rPr>
        <w:t>4.2.6水灾害防治</w:t>
      </w:r>
      <w:bookmarkEnd w:id="403"/>
      <w:bookmarkEnd w:id="404"/>
    </w:p>
    <w:p>
      <w:pPr>
        <w:pStyle w:val="6"/>
        <w:spacing w:before="0" w:after="0" w:line="360" w:lineRule="auto"/>
        <w:rPr>
          <w:rFonts w:hint="default" w:ascii="Times New Roman" w:hAnsi="Times New Roman" w:cs="Times New Roman" w:eastAsiaTheme="minorEastAsia"/>
          <w:b w:val="0"/>
          <w:color w:val="000000" w:themeColor="text1"/>
          <w:highlight w:val="none"/>
          <w14:textFill>
            <w14:solidFill>
              <w14:schemeClr w14:val="tx1"/>
            </w14:solidFill>
          </w14:textFill>
        </w:rPr>
      </w:pPr>
      <w:bookmarkStart w:id="405" w:name="_Toc7165"/>
      <w:bookmarkStart w:id="406" w:name="_Toc20705"/>
      <w:bookmarkStart w:id="407" w:name="_Toc6662"/>
      <w:r>
        <w:rPr>
          <w:rFonts w:hint="default" w:ascii="Times New Roman" w:hAnsi="Times New Roman" w:cs="Times New Roman" w:eastAsiaTheme="minorEastAsia"/>
          <w:b w:val="0"/>
          <w:color w:val="000000" w:themeColor="text1"/>
          <w:highlight w:val="none"/>
          <w14:textFill>
            <w14:solidFill>
              <w14:schemeClr w14:val="tx1"/>
            </w14:solidFill>
          </w14:textFill>
        </w:rPr>
        <w:t>4.2.6.1澄江市智慧水务监管平台（一水两污监控中心）建设项目</w:t>
      </w:r>
      <w:bookmarkEnd w:id="405"/>
      <w:bookmarkEnd w:id="406"/>
      <w:bookmarkEnd w:id="407"/>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布设污水监测点；搭建污水数据采集、支撑服务及应用平台，建设基础数据库、时空数据库、监测数据库；布设污水、垃圾场站设施视频监控；建设一水两污监控中心。</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2、项目设计（可研）情况</w:t>
      </w:r>
      <w:r>
        <w:rPr>
          <w:rFonts w:hint="default" w:ascii="Times New Roman" w:hAnsi="Times New Roman" w:cs="Times New Roman" w:eastAsiaTheme="minorEastAsia"/>
          <w:color w:val="000000" w:themeColor="text1"/>
          <w:highlight w:val="none"/>
          <w14:textFill>
            <w14:solidFill>
              <w14:schemeClr w14:val="tx1"/>
            </w14:solidFill>
          </w14:textFill>
        </w:rPr>
        <w:t>(备注：该项内容来自初设批复</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63</w:t>
      </w:r>
      <w:r>
        <w:rPr>
          <w:rFonts w:hint="default" w:ascii="Times New Roman" w:hAnsi="Times New Roman" w:cs="Times New Roman" w:eastAsiaTheme="minorEastAsia"/>
          <w:color w:val="000000" w:themeColor="text1"/>
          <w:highlight w:val="none"/>
          <w14:textFill>
            <w14:solidFill>
              <w14:schemeClr w14:val="tx1"/>
            </w14:solidFill>
          </w14:textFill>
        </w:rPr>
        <w:t>号)</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①监控系统工程及土建工程部分</w:t>
      </w:r>
      <w:r>
        <w:rPr>
          <w:rFonts w:hint="default" w:ascii="Times New Roman" w:hAnsi="Times New Roman" w:cs="Times New Roman" w:eastAsiaTheme="minorEastAsia"/>
          <w:color w:val="000000" w:themeColor="text1"/>
          <w:highlight w:val="none"/>
          <w14:textFill>
            <w14:solidFill>
              <w14:schemeClr w14:val="tx1"/>
            </w14:solidFill>
          </w14:textFill>
        </w:rPr>
        <w:t>(备注：该项内容来自可研批复</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2020</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103</w:t>
      </w:r>
      <w:r>
        <w:rPr>
          <w:rFonts w:hint="default" w:ascii="Times New Roman" w:hAnsi="Times New Roman" w:cs="Times New Roman" w:eastAsiaTheme="minorEastAsia"/>
          <w:color w:val="000000" w:themeColor="text1"/>
          <w:highlight w:val="none"/>
          <w14:textFill>
            <w14:solidFill>
              <w14:schemeClr w14:val="tx1"/>
            </w14:solidFill>
          </w14:textFill>
        </w:rPr>
        <w:t>号)</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一、视频监控系统工程</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1、监控中心监控系统工程(含3座县镇级污水处理厂信息化监控系统，垃圾焚烧厂监控信息接入)</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2、25个示范村视频监控工程</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3、垃圾处理部分(垃圾焚烧厂2座、可堆肥垃圾处理厂1座)视频监控系统工程(监控信息接入)</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4、生态护岸工程视频监控(3.7km生态护岸工程</w:t>
      </w:r>
      <w:r>
        <w:rPr>
          <w:rFonts w:hint="eastAsia" w:cs="Times New Roman" w:eastAsiaTheme="minorEastAsia"/>
          <w:bCs/>
          <w:color w:val="000000" w:themeColor="text1"/>
          <w:highlight w:val="none"/>
          <w:lang w:eastAsia="zh-CN"/>
          <w14:textFill>
            <w14:solidFill>
              <w14:schemeClr w14:val="tx1"/>
            </w14:solidFill>
          </w14:textFill>
        </w:rPr>
        <w:t>视频监控</w:t>
      </w:r>
      <w:r>
        <w:rPr>
          <w:rFonts w:hint="default" w:ascii="Times New Roman" w:hAnsi="Times New Roman" w:cs="Times New Roman" w:eastAsiaTheme="minorEastAsia"/>
          <w:bCs/>
          <w:color w:val="000000" w:themeColor="text1"/>
          <w:highlight w:val="none"/>
          <w14:textFill>
            <w14:solidFill>
              <w14:schemeClr w14:val="tx1"/>
            </w14:solidFill>
          </w14:textFill>
        </w:rPr>
        <w:t>)</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5、生态护岸工程水质监测部分(4个监测点)</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二、工程规模</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澄江市智慧水务监管平台(一水两污监控中心)占地总面积4138m</w:t>
      </w:r>
      <w:r>
        <w:rPr>
          <w:rFonts w:hint="default" w:ascii="Times New Roman" w:hAnsi="Times New Roman" w:cs="Times New Roman" w:eastAsiaTheme="minorEastAsia"/>
          <w:bCs/>
          <w:color w:val="000000" w:themeColor="text1"/>
          <w:highlight w:val="none"/>
          <w:vertAlign w:val="superscript"/>
          <w14:textFill>
            <w14:solidFill>
              <w14:schemeClr w14:val="tx1"/>
            </w14:solidFill>
          </w14:textFill>
        </w:rPr>
        <w:t>2</w:t>
      </w:r>
      <w:r>
        <w:rPr>
          <w:rFonts w:hint="default" w:ascii="Times New Roman" w:hAnsi="Times New Roman" w:cs="Times New Roman" w:eastAsiaTheme="minorEastAsia"/>
          <w:bCs/>
          <w:color w:val="000000" w:themeColor="text1"/>
          <w:highlight w:val="none"/>
          <w14:textFill>
            <w14:solidFill>
              <w14:schemeClr w14:val="tx1"/>
            </w14:solidFill>
          </w14:textFill>
        </w:rPr>
        <w:t>，总建筑面积4258.93m</w:t>
      </w:r>
      <w:r>
        <w:rPr>
          <w:rFonts w:hint="default" w:ascii="Times New Roman" w:hAnsi="Times New Roman" w:cs="Times New Roman" w:eastAsiaTheme="minorEastAsia"/>
          <w:bCs/>
          <w:color w:val="000000" w:themeColor="text1"/>
          <w:highlight w:val="none"/>
          <w:vertAlign w:val="superscript"/>
          <w14:textFill>
            <w14:solidFill>
              <w14:schemeClr w14:val="tx1"/>
            </w14:solidFill>
          </w14:textFill>
        </w:rPr>
        <w:t>2</w:t>
      </w:r>
      <w:r>
        <w:rPr>
          <w:rFonts w:hint="default" w:ascii="Times New Roman" w:hAnsi="Times New Roman" w:cs="Times New Roman" w:eastAsiaTheme="minorEastAsia"/>
          <w:bCs/>
          <w:color w:val="000000" w:themeColor="text1"/>
          <w:highlight w:val="none"/>
          <w14:textFill>
            <w14:solidFill>
              <w14:schemeClr w14:val="tx1"/>
            </w14:solidFill>
          </w14:textFill>
        </w:rPr>
        <w:t>，共四层，总高18.6米。</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②采购信息建设部分</w:t>
      </w:r>
      <w:r>
        <w:rPr>
          <w:rFonts w:hint="default" w:ascii="Times New Roman" w:hAnsi="Times New Roman" w:cs="Times New Roman" w:eastAsiaTheme="minorEastAsia"/>
          <w:color w:val="000000" w:themeColor="text1"/>
          <w:highlight w:val="none"/>
          <w14:textFill>
            <w14:solidFill>
              <w14:schemeClr w14:val="tx1"/>
            </w14:solidFill>
          </w14:textFill>
        </w:rPr>
        <w:t>(备注：该项内容来自初设批复</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63</w:t>
      </w:r>
      <w:r>
        <w:rPr>
          <w:rFonts w:hint="default" w:ascii="Times New Roman" w:hAnsi="Times New Roman" w:cs="Times New Roman" w:eastAsiaTheme="minorEastAsia"/>
          <w:color w:val="000000" w:themeColor="text1"/>
          <w:highlight w:val="none"/>
          <w14:textFill>
            <w14:solidFill>
              <w14:schemeClr w14:val="tx1"/>
            </w14:solidFill>
          </w14:textFill>
        </w:rPr>
        <w:t>号)</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一、信息采集系统建设</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在澄江市中心城区及周边村落排水管网建设-体化监测站48处，采集管网关键节点流量、水位和流速数据，完善排水管网感知系统。购置投入式超声波流量监测仪48台，压力式水位计48台，遥测终端机48台，城市水文遥测终端系统48套，一体化监测站48套等。</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二、数据资源中心建设</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①采集汇聚6个污水处理厂、排水管网、4座供水厂、8个垃圾中转站数据，实现数据统一接入。</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②建设统一融合的数据资源中心，完成综合数据库搭建，实现数据互通共享。</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三、应用支撑系统建设</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建设基础软件环境和公共支撑服务，包括统一用户及权限服务、GIS地理信息系统、操作系统等内容。</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四、智慧水务应用系统建设</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建设智慧水务应用系统，包括智慧水务一张图，污水全收集监管系统，供水安全监管系统，垃圾全处理监管系统，长效运维管理系统及移动端监管系统。</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五、标准规范体系设计</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建设技术标准规范及管理标准规范。</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六、网络及安全系统建设</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①建设无线和有线网络传输链路。</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②采用防火墙等网络安全技术措施，构建可信、可控、可管的网络安全保障体系。</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七、会商指挥中心建设</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购置音响、调音台、电视机等设备，搭建音频系统和大屏系统。</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项目责任单位：澄江住房和城乡建设局</w:t>
      </w:r>
    </w:p>
    <w:p>
      <w:pPr>
        <w:numPr>
          <w:ilvl w:val="0"/>
          <w:numId w:val="0"/>
        </w:num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3300万元，可研批复投资4487.31万元，初设批复投资1372.66万元，截至2023年6月，已到位资金1200万元，按可研批复资金到位率26.74%，其中中央补助资金1200万元；已完成投资1347万元，投资完成率30.02%。截至2023年6月，该项目已完成可行性研究报告、初步设计编写，并获得批复（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2020</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103号，澄发改发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63号），于2021年11月27日与云南百翔建设工程有限公司签订工程建设EPC总承包合同，并开始施工，暂估合同价1151.12万元；于2021年9月18日与四创科技有限公司签订采购项目合同，合同价500.12万元。目前项目综合楼已完成主体结构建设，正在进行室内装修；完成监测点布控14个，智慧化监控预警平台完成总体建设约76%，处于功能测试及调整优化阶段。该项目处于在建工作阶段，项目进展符合可研批复进度要求，但投资滞后。</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（3）项目环境效益</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该项目的实施是为实现澄江市一水两污动态化、智慧化管理目标，该项目处于在建工作阶段，故暂不核算工程环境效益。</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（4）存在问题</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项目综合楼已完成主体结构建设但目前资金还未拨付建设方，建设方因此封闭了该综合楼，使后续工作无法完成。</w:t>
      </w:r>
    </w:p>
    <w:p>
      <w:pPr>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drawing>
          <wp:inline distT="0" distB="0" distL="114300" distR="114300">
            <wp:extent cx="2616835" cy="3489960"/>
            <wp:effectExtent l="0" t="0" r="4445" b="0"/>
            <wp:docPr id="16" name="图片 16" descr="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true"/>
                    </pic:cNvPicPr>
                  </pic:nvPicPr>
                  <pic:blipFill>
                    <a:blip r:embed="rId43"/>
                    <a:stretch>
                      <a:fillRect/>
                    </a:stretch>
                  </pic:blipFill>
                  <pic:spPr>
                    <a:xfrm>
                      <a:off x="0" y="0"/>
                      <a:ext cx="2616835" cy="3489960"/>
                    </a:xfrm>
                    <a:prstGeom prst="rect">
                      <a:avLst/>
                    </a:prstGeom>
                  </pic:spPr>
                </pic:pic>
              </a:graphicData>
            </a:graphic>
          </wp:inline>
        </w:drawing>
      </w:r>
    </w:p>
    <w:p>
      <w:pPr>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eastAsia" w:cs="Times New Roman" w:eastAsiaTheme="minorEastAsia"/>
          <w:color w:val="000000" w:themeColor="text1"/>
          <w:highlight w:val="none"/>
          <w:lang w:val="en-US" w:eastAsia="zh-CN"/>
          <w14:textFill>
            <w14:solidFill>
              <w14:schemeClr w14:val="tx1"/>
            </w14:solidFill>
          </w14:textFill>
        </w:rPr>
        <w:t>图4.2.6-1</w:t>
      </w:r>
      <w:r>
        <w:rPr>
          <w:rFonts w:hint="default" w:ascii="Times New Roman" w:hAnsi="Times New Roman" w:cs="Times New Roman" w:eastAsiaTheme="minorEastAsia"/>
          <w:color w:val="000000" w:themeColor="text1"/>
          <w:highlight w:val="none"/>
          <w14:textFill>
            <w14:solidFill>
              <w14:schemeClr w14:val="tx1"/>
            </w14:solidFill>
          </w14:textFill>
        </w:rPr>
        <w:t>新建综合楼</w:t>
      </w: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408" w:name="_Toc24962"/>
      <w:bookmarkStart w:id="409" w:name="_Toc6247"/>
      <w:r>
        <w:rPr>
          <w:rFonts w:hint="default" w:ascii="Times New Roman" w:hAnsi="Times New Roman" w:cs="Times New Roman" w:eastAsiaTheme="minorEastAsia"/>
          <w:color w:val="000000" w:themeColor="text1"/>
          <w:highlight w:val="none"/>
          <w14:textFill>
            <w14:solidFill>
              <w14:schemeClr w14:val="tx1"/>
            </w14:solidFill>
          </w14:textFill>
        </w:rPr>
        <w:t>4.2.7执法监管类</w:t>
      </w:r>
      <w:bookmarkEnd w:id="408"/>
      <w:bookmarkEnd w:id="409"/>
    </w:p>
    <w:p>
      <w:pPr>
        <w:pStyle w:val="6"/>
        <w:spacing w:before="0" w:after="0" w:line="360" w:lineRule="auto"/>
        <w:rPr>
          <w:rFonts w:hint="default" w:ascii="Times New Roman" w:hAnsi="Times New Roman" w:cs="Times New Roman" w:eastAsiaTheme="minorEastAsia"/>
          <w:b w:val="0"/>
          <w:color w:val="000000" w:themeColor="text1"/>
          <w:highlight w:val="none"/>
          <w14:textFill>
            <w14:solidFill>
              <w14:schemeClr w14:val="tx1"/>
            </w14:solidFill>
          </w14:textFill>
        </w:rPr>
      </w:pPr>
      <w:bookmarkStart w:id="410" w:name="_Toc31276"/>
      <w:bookmarkStart w:id="411" w:name="_Toc4487"/>
      <w:bookmarkStart w:id="412" w:name="_Toc18257"/>
      <w:r>
        <w:rPr>
          <w:rFonts w:hint="default" w:ascii="Times New Roman" w:hAnsi="Times New Roman" w:cs="Times New Roman" w:eastAsiaTheme="minorEastAsia"/>
          <w:b w:val="0"/>
          <w:color w:val="000000" w:themeColor="text1"/>
          <w:highlight w:val="none"/>
          <w14:textFill>
            <w14:solidFill>
              <w14:schemeClr w14:val="tx1"/>
            </w14:solidFill>
          </w14:textFill>
        </w:rPr>
        <w:t>4.2.7.1抚仙湖流域保护治理项目运行管护</w:t>
      </w:r>
      <w:bookmarkEnd w:id="410"/>
      <w:bookmarkEnd w:id="411"/>
      <w:bookmarkEnd w:id="412"/>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对“十二五”以来已建成项目以及抚仙湖保护相关“专项行动”的项目进行运营管理，确保设施充分发挥效益。</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2、项目设计（可研）情况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①澄江市抚仙湖湖滨生态区域管护工作方案中的内容：</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一、管护区域。经第三方测绘机构测量排查，环湖路内侧以下（含抚仙湖一级保护区）需日常管护区域包含2个部分：玉溪市湖泊管理局委托澄江市管护湖滩清扫保洁（湖岸线）约90.28千米（禄充、月亮湾、仙湖湾、樱花谷等景区约4.91千米由企业自行管理，属地镇、街道负责监管）。其他区域总面积约7930.72亩，其中湖滨缓冲带约5462.56亩，湿地约1474.37亩，退企地块762.8亩，规划馆绿化区77.04亩，时光栈道约153.95亩（详见管护区域统计表）。</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二、管护内容。湖岸线(含老环湖路)区域的环境卫生保洁，清理、打捞水草、藻类、垃圾及其他废弃物等，湖滩平整无坑洼、沟壑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对湿地水面水体进行打捞清理、做好湿地辖区卫生保洁、水生植物收割、清淤、湿地设施设备管理维护等，加强对进出口水质监测，杜绝水质倒挂，确保湿地正常运行;缓冲带及生态恢复区内乔木、灌木、地被等植物的管养，杂草清理，卫生保洁，辖区内设施设备维护及秩序管理;管护区域植物补种选择乡土树种，禁止新增花卉及观赏性草坪，管护过程中禁止“大水、大肥、大药”；管护区域内河(沟)道保洁，清理、打捞河(沟)道内的垃圾、废弃物、漂浮物、淤泥，设施设备的管理维护等；适时对管护区域内的外来物种进行清理；开展公共厕所保洁，落实管护区域内垃圾箱、垃圾池管理责任，及时清运管护中产生的垃圾；对时光栈道进行维护维修；做好其他临时交办的工作。</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②抚仙湖北岸生态调蓄带管护项目</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管护对象：抚仙湖北岸生态调蓄带。管护范围：7.85千米，起点：广龙小村，终点:肖咀新村。主要包括：一是游道管护：游道的日常保洁及管护；二是河道管护：调蓄带及水面日常保洁、垃圾打捞清运；三是绿化管护：病虫害防治、地被管护、乔木管护；四是设施设备维护：泵站管理及设施设备维护、闸门运行及维护保养。</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③抚仙湖流域6项已建生态环境保护项目及27条主要入湖河道管护工程</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一、管护范围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抚仙湖流域6项已建生态环境保护项目及27条主要入湖河道沟道管护项目一标，主要包括：河道日常管护和监管、湿地及附属设施工程、已种植的乔木、灌木、藤本植物等绿地、护栏、宣传牌、警示牌等设施、沉砂池、拦砂坝、谷坊、游路等工程(详见《龙街街道抚仙湖流域6项生态环保项目及27条入湖河道管护项目清单》。</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二、管护内容</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管护内容主要包括:(1)河道日常管护(含河道沟道垃圾打捞、范围日常监管、安全防洪度汛、水生植物收割、河帮杂草清除、游路保洁、两边绿化带管护等工作);(2)湿地(多塘系统)及附属工程管护(湿地水生植物日常管护;每年至少收割水生植物--次;枯死植物清理和补植补种;绿地排水沟(包括截水沟、边沟等)的清理并保证排水畅通;绿地给排水系统、护栏、宣传牌、警示牌等设施维护;绿化带修剪、防虫石灰涂刷、杂草清理)；(3)水质稳定向好，排查村落污水和农田尾水排口；(4)清除福寿螺；(5)生态砾石床处理系统管护。</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④澄江市抚澄河管护项目</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作内容为：完成抚澄河管护项目约8.75千米游道、河道、绿化、设施设备等管理及维护(自抚澄河水库坝脚至环湖路)。主要包括:(1)河道保洁。河道内无生产生活垃圾，无行洪障碍物，无漂浮废弃物，无大面积杂草及浮萍草等，保持水流畅通，水面千净整洁;河道内洗衣服拖把等不文明行为;河道内无污水流入，无新增排污口等:(2)绿化带管护。绿化带除杂草,修剪整形(含乔木、灌木的修枝打杈)，防干旱死亡，防病虫害(含乔灌木防虫石灰涂刷等)，无垃圾杂草等;(3)附属工程管护。保障给排水系统、路灯、护栏、宣传牌、提示牌、吸烟亭、厕所、垃圾箱等设施完好干净整洁:(4)日常巡查管护。河道管理范围内严禁摆摊设点，畜禽养殖，取水，排污水等。</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⑤右所镇河道及抚仙湖12项已建项目</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⑥九村河道管护</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⑦海口镇河道管护</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项目责任单位：各项目营运管护单位</w:t>
      </w:r>
    </w:p>
    <w:p>
      <w:pPr>
        <w:pStyle w:val="2"/>
        <w:rPr>
          <w:rFonts w:hint="default"/>
          <w:color w:val="000000" w:themeColor="text1"/>
          <w:highlight w:val="none"/>
          <w14:textFill>
            <w14:solidFill>
              <w14:schemeClr w14:val="tx1"/>
            </w14:solidFill>
          </w14:textFill>
        </w:rPr>
      </w:pPr>
    </w:p>
    <w:p>
      <w:pPr>
        <w:numPr>
          <w:ilvl w:val="0"/>
          <w:numId w:val="14"/>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36667万元，截至2023年6月，已到位资金2068万元，资金到位率5.64%，其中州市配套资金2018万元，县级配套资金50万元；已完成投资1286万元，投资完成率3.51%。该项目①已编制完成澄江市抚仙湖湖滨生态区域管护工作方案，并通过第二届澄江市人民政府第8次常务会议研究同意，下发各镇人民政府、街道办事处，市直有关单位贯彻执行（澄政办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52号）；并且按要求，于2022年1月至12月每月进行巡查，于2022年7月至11月每月进行考核。②于2022年3月30日签订抚仙湖北岸生态调蓄带管护项目管护合同；③于2021年10月30日签订抚仙湖流域6项已建生态环境保护项目及27条主要入湖河道管护工程合同；④于2022年4月1日签订澄江市抚澄河管护项目合同；⑤于2021年12月签订右所镇河道及抚仙湖12项已建项目</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管护协议</w:t>
      </w:r>
      <w:r>
        <w:rPr>
          <w:rFonts w:hint="default" w:ascii="Times New Roman" w:hAnsi="Times New Roman" w:cs="Times New Roman" w:eastAsiaTheme="minorEastAsia"/>
          <w:bCs/>
          <w:color w:val="000000" w:themeColor="text1"/>
          <w:highlight w:val="none"/>
          <w14:textFill>
            <w14:solidFill>
              <w14:schemeClr w14:val="tx1"/>
            </w14:solidFill>
          </w14:textFill>
        </w:rPr>
        <w:t>；⑥于2021年9月30日签订九村河道管护</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协议；</w:t>
      </w:r>
      <w:r>
        <w:rPr>
          <w:rFonts w:hint="default" w:ascii="Times New Roman" w:hAnsi="Times New Roman" w:cs="Times New Roman" w:eastAsiaTheme="minorEastAsia"/>
          <w:bCs/>
          <w:color w:val="000000" w:themeColor="text1"/>
          <w:highlight w:val="none"/>
          <w14:textFill>
            <w14:solidFill>
              <w14:schemeClr w14:val="tx1"/>
            </w14:solidFill>
          </w14:textFill>
        </w:rPr>
        <w:t>⑦于2022年1月11日签订海口镇河道管护协议。截至2023年6月，“十二五”项目由原管护单位管护，所有需管护项目正常管护。该项目处于在建工作阶段，项目进展符合可研批复进度要求，但投资滞后。</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（3）项目环境效益</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该项目处于在建工作阶段，故暂不核算工程环境效益。</w:t>
      </w:r>
    </w:p>
    <w:p>
      <w:pPr>
        <w:numPr>
          <w:ilvl w:val="0"/>
          <w:numId w:val="14"/>
        </w:num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存在问题</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1、资金缺口较大，影响日常维护的进行。</w:t>
      </w:r>
    </w:p>
    <w:p>
      <w:pPr>
        <w:jc w:val="cente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drawing>
          <wp:inline distT="0" distB="0" distL="114300" distR="114300">
            <wp:extent cx="2415540" cy="3222625"/>
            <wp:effectExtent l="0" t="0" r="3810" b="15875"/>
            <wp:docPr id="11" name="图片 11" descr="20230510103844000-9-10208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20230510103844000-9-1020849"/>
                    <pic:cNvPicPr>
                      <a:picLocks noChangeAspect="true"/>
                    </pic:cNvPicPr>
                  </pic:nvPicPr>
                  <pic:blipFill>
                    <a:blip r:embed="rId44"/>
                    <a:stretch>
                      <a:fillRect/>
                    </a:stretch>
                  </pic:blipFill>
                  <pic:spPr>
                    <a:xfrm>
                      <a:off x="0" y="0"/>
                      <a:ext cx="2415540" cy="3222625"/>
                    </a:xfrm>
                    <a:prstGeom prst="rect">
                      <a:avLst/>
                    </a:prstGeom>
                  </pic:spPr>
                </pic:pic>
              </a:graphicData>
            </a:graphic>
          </wp:inline>
        </w:drawing>
      </w:r>
    </w:p>
    <w:p>
      <w:pPr>
        <w:jc w:val="cente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eastAsia" w:cs="Times New Roman" w:eastAsiaTheme="minorEastAsia"/>
          <w:bCs/>
          <w:color w:val="000000" w:themeColor="text1"/>
          <w:highlight w:val="none"/>
          <w:lang w:val="en-US" w:eastAsia="zh-CN"/>
          <w14:textFill>
            <w14:solidFill>
              <w14:schemeClr w14:val="tx1"/>
            </w14:solidFill>
          </w14:textFill>
        </w:rPr>
        <w:t>图4.2.7-1</w:t>
      </w:r>
      <w:r>
        <w:rPr>
          <w:rFonts w:hint="default" w:ascii="Times New Roman" w:hAnsi="Times New Roman" w:cs="Times New Roman" w:eastAsiaTheme="minorEastAsia"/>
          <w:bCs/>
          <w:color w:val="000000" w:themeColor="text1"/>
          <w:highlight w:val="none"/>
          <w14:textFill>
            <w14:solidFill>
              <w14:schemeClr w14:val="tx1"/>
            </w14:solidFill>
          </w14:textFill>
        </w:rPr>
        <w:t>缓冲带干凅</w:t>
      </w:r>
    </w:p>
    <w:p>
      <w:pPr>
        <w:pStyle w:val="6"/>
        <w:spacing w:before="0" w:after="0" w:line="360" w:lineRule="auto"/>
        <w:rPr>
          <w:rFonts w:hint="default" w:ascii="Times New Roman" w:hAnsi="Times New Roman" w:cs="Times New Roman" w:eastAsiaTheme="minorEastAsia"/>
          <w:b w:val="0"/>
          <w:color w:val="000000" w:themeColor="text1"/>
          <w:highlight w:val="none"/>
          <w14:textFill>
            <w14:solidFill>
              <w14:schemeClr w14:val="tx1"/>
            </w14:solidFill>
          </w14:textFill>
        </w:rPr>
      </w:pPr>
      <w:bookmarkStart w:id="413" w:name="_Toc8616"/>
      <w:bookmarkStart w:id="414" w:name="_Toc5125"/>
      <w:bookmarkStart w:id="415" w:name="_Toc18769"/>
      <w:r>
        <w:rPr>
          <w:rFonts w:hint="default" w:ascii="Times New Roman" w:hAnsi="Times New Roman" w:cs="Times New Roman" w:eastAsiaTheme="minorEastAsia"/>
          <w:b w:val="0"/>
          <w:color w:val="000000" w:themeColor="text1"/>
          <w:highlight w:val="none"/>
          <w14:textFill>
            <w14:solidFill>
              <w14:schemeClr w14:val="tx1"/>
            </w14:solidFill>
          </w14:textFill>
        </w:rPr>
        <w:t>4.2.7.2三湖流域水环境保护数字化监管系统建设</w:t>
      </w:r>
      <w:bookmarkEnd w:id="413"/>
      <w:bookmarkEnd w:id="414"/>
      <w:bookmarkEnd w:id="415"/>
    </w:p>
    <w:p>
      <w:pPr>
        <w:ind w:firstLine="240" w:firstLineChars="1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搭建数据采集、支撑服务及应用平台；建设基础数据库、时空数据库、监测数据库等7类数据库，同时布设视频监控、气象水文等感知设备；新建澄江、江川、通海湖泊指挥调度中心。</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项目责任单位：玉溪市委网信办</w:t>
      </w:r>
    </w:p>
    <w:p>
      <w:pPr>
        <w:numPr>
          <w:ilvl w:val="0"/>
          <w:numId w:val="0"/>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（2）</w:t>
      </w: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该项目规划投资5000万元，截至2023年6月，已到位资金0万元；已完成投资0万元。目前该项目还未启动</w:t>
      </w:r>
      <w:r>
        <w:rPr>
          <w:rFonts w:hint="default" w:ascii="Times New Roman" w:hAnsi="Times New Roman" w:cs="Times New Roman" w:eastAsiaTheme="minorEastAsia"/>
          <w:color w:val="000000" w:themeColor="text1"/>
          <w:highlight w:val="none"/>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项目进展不符合规划进度要求，严重滞后。</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项目环境效益</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该项目的实施是为构建玉溪市“三湖”超流域智慧管控体系，实现抚仙湖智能化保护治理。该项目还未启动，故暂不核算工程环境效益。</w:t>
      </w:r>
    </w:p>
    <w:p>
      <w:pPr>
        <w:numPr>
          <w:ilvl w:val="0"/>
          <w:numId w:val="0"/>
        </w:num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存在问题</w:t>
      </w:r>
    </w:p>
    <w:p>
      <w:pPr>
        <w:ind w:firstLine="48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项目滞后原因：未有资金到位。</w:t>
      </w:r>
    </w:p>
    <w:p>
      <w:pPr>
        <w:pStyle w:val="6"/>
        <w:spacing w:before="0" w:after="0" w:line="360" w:lineRule="auto"/>
        <w:rPr>
          <w:rFonts w:hint="default" w:ascii="Times New Roman" w:hAnsi="Times New Roman" w:cs="Times New Roman" w:eastAsiaTheme="minorEastAsia"/>
          <w:b w:val="0"/>
          <w:color w:val="000000" w:themeColor="text1"/>
          <w:highlight w:val="none"/>
          <w14:textFill>
            <w14:solidFill>
              <w14:schemeClr w14:val="tx1"/>
            </w14:solidFill>
          </w14:textFill>
        </w:rPr>
      </w:pPr>
      <w:bookmarkStart w:id="416" w:name="_Toc9204"/>
      <w:bookmarkStart w:id="417" w:name="_Toc27385"/>
      <w:bookmarkStart w:id="418" w:name="_Toc7413"/>
      <w:r>
        <w:rPr>
          <w:rFonts w:hint="default" w:ascii="Times New Roman" w:hAnsi="Times New Roman" w:cs="Times New Roman" w:eastAsiaTheme="minorEastAsia"/>
          <w:b w:val="0"/>
          <w:color w:val="000000" w:themeColor="text1"/>
          <w:highlight w:val="none"/>
          <w14:textFill>
            <w14:solidFill>
              <w14:schemeClr w14:val="tx1"/>
            </w14:solidFill>
          </w14:textFill>
        </w:rPr>
        <w:t>4.2.7.3玉溪市“三湖”流域水环境质量自动监测建设项目</w:t>
      </w:r>
      <w:bookmarkEnd w:id="416"/>
      <w:bookmarkEnd w:id="417"/>
      <w:bookmarkEnd w:id="418"/>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bCs/>
          <w:color w:val="000000" w:themeColor="text1"/>
          <w:highlight w:val="none"/>
          <w14:textFill>
            <w14:solidFill>
              <w14:schemeClr w14:val="tx1"/>
            </w14:solidFill>
          </w14:textFill>
        </w:rPr>
        <w:t>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在星云湖、杞麓湖省级地表水监测4个断面、“三湖”39条主要入湖河流入湖口以及24个调蓄带点位建设67个水质自动监测站，其中：抚仙湖24个（包含6个调蓄带及18条河道）、星云湖22个（包含2个湖体监测点位、9个调蓄带及11条河道）、杞麓湖21个（包含2个湖体监测点位、9个调蓄带及10条河道）。</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w:t>
      </w:r>
      <w:r>
        <w:rPr>
          <w:rFonts w:hint="eastAsia" w:cs="Times New Roman" w:eastAsiaTheme="minorEastAsia"/>
          <w:bCs/>
          <w:color w:val="000000" w:themeColor="text1"/>
          <w:highlight w:val="none"/>
          <w:lang w:val="en-US" w:eastAsia="zh-CN"/>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年</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2、项目设计（可研）情况</w:t>
      </w:r>
      <w:r>
        <w:rPr>
          <w:rFonts w:hint="default" w:ascii="Times New Roman" w:hAnsi="Times New Roman" w:cs="Times New Roman" w:eastAsiaTheme="minorEastAsia"/>
          <w:color w:val="000000" w:themeColor="text1"/>
          <w:highlight w:val="none"/>
          <w14:textFill>
            <w14:solidFill>
              <w14:schemeClr w14:val="tx1"/>
            </w14:solidFill>
          </w14:textFill>
        </w:rPr>
        <w:t>(备注：该项内容</w:t>
      </w:r>
      <w:r>
        <w:rPr>
          <w:rFonts w:hint="default" w:ascii="Times New Roman" w:hAnsi="Times New Roman" w:cs="Times New Roman" w:eastAsiaTheme="minorEastAsia"/>
          <w:bCs/>
          <w:color w:val="000000" w:themeColor="text1"/>
          <w:highlight w:val="none"/>
          <w14:textFill>
            <w14:solidFill>
              <w14:schemeClr w14:val="tx1"/>
            </w14:solidFill>
          </w14:textFill>
        </w:rPr>
        <w:t>来自可研批复玉发改产业复</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14</w:t>
      </w:r>
      <w:r>
        <w:rPr>
          <w:rFonts w:hint="eastAsia" w:cs="Times New Roman" w:eastAsiaTheme="minorEastAsia"/>
          <w:color w:val="000000" w:themeColor="text1"/>
          <w:highlight w:val="none"/>
          <w:lang w:eastAsia="zh-CN"/>
          <w14:textFill>
            <w14:solidFill>
              <w14:schemeClr w14:val="tx1"/>
            </w14:solidFill>
          </w14:textFill>
        </w:rPr>
        <w:t>号</w:t>
      </w:r>
      <w:r>
        <w:rPr>
          <w:rFonts w:hint="default" w:ascii="Times New Roman" w:hAnsi="Times New Roman" w:cs="Times New Roman" w:eastAsiaTheme="minorEastAsia"/>
          <w:color w:val="000000" w:themeColor="text1"/>
          <w:highlight w:val="none"/>
          <w14:textFill>
            <w14:solidFill>
              <w14:schemeClr w14:val="tx1"/>
            </w14:solidFill>
          </w14:textFill>
        </w:rPr>
        <w:t>)</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在星云湖、杞麓湖省级地表水监测4个断面、“三湖”39条主要入湖河流入湖口以及24个调蓄带点位建设67个水质自动监测站。</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项目责任单位：玉溪市生态环境局</w:t>
      </w:r>
    </w:p>
    <w:p>
      <w:pPr>
        <w:numPr>
          <w:ilvl w:val="0"/>
          <w:numId w:val="15"/>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6000万元，可研批复投资6011.74万元，截至2023年6月，已到位资金4000万元，资金到位率69.86%，其中省级补助资金4200万元；已完成投资3005万元，投资完成率49.99%。该项目已编制完成可行性研究报告，并于2022年4月22日获得批复（玉发改产业复</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14</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w:t>
      </w:r>
      <w:r>
        <w:rPr>
          <w:rFonts w:hint="eastAsia" w:cs="Times New Roman" w:eastAsiaTheme="minorEastAsia"/>
          <w:bCs/>
          <w:color w:val="000000" w:themeColor="text1"/>
          <w:highlight w:val="none"/>
          <w:lang w:eastAsia="zh-CN"/>
          <w14:textFill>
            <w14:solidFill>
              <w14:schemeClr w14:val="tx1"/>
            </w14:solidFill>
          </w14:textFill>
        </w:rPr>
        <w:t>截至</w:t>
      </w:r>
      <w:r>
        <w:rPr>
          <w:rFonts w:hint="default" w:ascii="Times New Roman" w:hAnsi="Times New Roman" w:cs="Times New Roman" w:eastAsiaTheme="minorEastAsia"/>
          <w:bCs/>
          <w:color w:val="000000" w:themeColor="text1"/>
          <w:highlight w:val="none"/>
          <w14:textFill>
            <w14:solidFill>
              <w14:schemeClr w14:val="tx1"/>
            </w14:solidFill>
          </w14:textFill>
        </w:rPr>
        <w:t>2023年6月，已完成星云湖、杞麓湖省级地表水监测4个断面浮船站入湖前性能测试；完成三湖”39条主要入湖河流入湖口以及24个调蓄带点位建设61个水质自动监测站性能测试，已全部完工（其中：抚仙湖21个、星云湖20个杞麓湖20个），其余6座点位由于其他原因，目前暂停实施</w:t>
      </w:r>
      <w:r>
        <w:rPr>
          <w:rFonts w:hint="eastAsia"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抚仙湖</w:t>
      </w:r>
      <w:r>
        <w:rPr>
          <w:rFonts w:hint="eastAsia" w:cs="Times New Roman" w:eastAsiaTheme="minorEastAsia"/>
          <w:bCs/>
          <w:color w:val="000000" w:themeColor="text1"/>
          <w:highlight w:val="none"/>
          <w:lang w:val="en-US" w:eastAsia="zh-CN"/>
          <w14:textFill>
            <w14:solidFill>
              <w14:schemeClr w14:val="tx1"/>
            </w14:solidFill>
          </w14:textFill>
        </w:rPr>
        <w:t>流域</w:t>
      </w:r>
      <w:r>
        <w:rPr>
          <w:rFonts w:hint="default" w:ascii="Times New Roman" w:hAnsi="Times New Roman" w:cs="Times New Roman" w:eastAsiaTheme="minorEastAsia"/>
          <w:bCs/>
          <w:color w:val="000000" w:themeColor="text1"/>
          <w:highlight w:val="none"/>
          <w14:textFill>
            <w14:solidFill>
              <w14:schemeClr w14:val="tx1"/>
            </w14:solidFill>
          </w14:textFill>
        </w:rPr>
        <w:t>代村河</w:t>
      </w:r>
      <w:r>
        <w:rPr>
          <w:rFonts w:hint="eastAsia"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马房中沟正在进行封堵改造；星云湖</w:t>
      </w:r>
      <w:r>
        <w:rPr>
          <w:rFonts w:hint="eastAsia" w:cs="Times New Roman" w:eastAsiaTheme="minorEastAsia"/>
          <w:bCs/>
          <w:color w:val="000000" w:themeColor="text1"/>
          <w:highlight w:val="none"/>
          <w:lang w:val="en-US" w:eastAsia="zh-CN"/>
          <w14:textFill>
            <w14:solidFill>
              <w14:schemeClr w14:val="tx1"/>
            </w14:solidFill>
          </w14:textFill>
        </w:rPr>
        <w:t>流域</w:t>
      </w:r>
      <w:r>
        <w:rPr>
          <w:rFonts w:hint="default" w:ascii="Times New Roman" w:hAnsi="Times New Roman" w:cs="Times New Roman" w:eastAsiaTheme="minorEastAsia"/>
          <w:bCs/>
          <w:color w:val="000000" w:themeColor="text1"/>
          <w:highlight w:val="none"/>
          <w14:textFill>
            <w14:solidFill>
              <w14:schemeClr w14:val="tx1"/>
            </w14:solidFill>
          </w14:textFill>
        </w:rPr>
        <w:t>螺蛳铺河、周官河、东西大河建设与“智慧三湖”原建水质监测站有重复，建议优化调整后再实施，目前已经调整一个点。该项目处于在建工作阶段，项目进展符合可研批复进度要求。</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（3）项目环境效益</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该项目的实施是为构建玉溪市“三湖”超流域智慧管控体系，实现抚仙湖智能化保护治理。该项目处于在建工作阶段，故暂不核算工程环境效益。</w:t>
      </w:r>
    </w:p>
    <w:p>
      <w:pPr>
        <w:rPr>
          <w:rFonts w:hint="default" w:ascii="Times New Roman" w:hAnsi="Times New Roman" w:cs="Times New Roman" w:eastAsiaTheme="minorEastAsia"/>
          <w:color w:val="000000" w:themeColor="text1"/>
          <w:highlight w:val="none"/>
          <w14:textFill>
            <w14:solidFill>
              <w14:schemeClr w14:val="tx1"/>
            </w14:solidFill>
          </w14:textFill>
        </w:rPr>
      </w:pPr>
    </w:p>
    <w:p>
      <w:pPr>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drawing>
          <wp:inline distT="0" distB="0" distL="114300" distR="114300">
            <wp:extent cx="2518410" cy="3359150"/>
            <wp:effectExtent l="0" t="0" r="11430" b="8890"/>
            <wp:docPr id="14" name="图片 14" descr="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6"/>
                    <pic:cNvPicPr>
                      <a:picLocks noChangeAspect="true"/>
                    </pic:cNvPicPr>
                  </pic:nvPicPr>
                  <pic:blipFill>
                    <a:blip r:embed="rId45"/>
                    <a:stretch>
                      <a:fillRect/>
                    </a:stretch>
                  </pic:blipFill>
                  <pic:spPr>
                    <a:xfrm>
                      <a:off x="0" y="0"/>
                      <a:ext cx="2518410" cy="3359150"/>
                    </a:xfrm>
                    <a:prstGeom prst="rect">
                      <a:avLst/>
                    </a:prstGeom>
                  </pic:spPr>
                </pic:pic>
              </a:graphicData>
            </a:graphic>
          </wp:inline>
        </w:drawing>
      </w:r>
      <w:r>
        <w:rPr>
          <w:rFonts w:hint="default" w:ascii="Times New Roman" w:hAnsi="Times New Roman" w:cs="Times New Roman" w:eastAsiaTheme="minorEastAsia"/>
          <w:color w:val="000000" w:themeColor="text1"/>
          <w:highlight w:val="none"/>
          <w14:textFill>
            <w14:solidFill>
              <w14:schemeClr w14:val="tx1"/>
            </w14:solidFill>
          </w14:textFill>
        </w:rPr>
        <w:drawing>
          <wp:inline distT="0" distB="0" distL="114300" distR="114300">
            <wp:extent cx="2526030" cy="3368040"/>
            <wp:effectExtent l="0" t="0" r="3810" b="0"/>
            <wp:docPr id="15" name="图片 15" descr="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13"/>
                    <pic:cNvPicPr>
                      <a:picLocks noChangeAspect="true"/>
                    </pic:cNvPicPr>
                  </pic:nvPicPr>
                  <pic:blipFill>
                    <a:blip r:embed="rId46"/>
                    <a:stretch>
                      <a:fillRect/>
                    </a:stretch>
                  </pic:blipFill>
                  <pic:spPr>
                    <a:xfrm>
                      <a:off x="0" y="0"/>
                      <a:ext cx="2526030" cy="3368040"/>
                    </a:xfrm>
                    <a:prstGeom prst="rect">
                      <a:avLst/>
                    </a:prstGeom>
                  </pic:spPr>
                </pic:pic>
              </a:graphicData>
            </a:graphic>
          </wp:inline>
        </w:drawing>
      </w:r>
    </w:p>
    <w:p>
      <w:pPr>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eastAsia" w:cs="Times New Roman" w:eastAsiaTheme="minorEastAsia"/>
          <w:color w:val="000000" w:themeColor="text1"/>
          <w:highlight w:val="none"/>
          <w:lang w:val="en-US" w:eastAsia="zh-CN"/>
          <w14:textFill>
            <w14:solidFill>
              <w14:schemeClr w14:val="tx1"/>
            </w14:solidFill>
          </w14:textFill>
        </w:rPr>
        <w:t>图4.2.7-2</w:t>
      </w:r>
      <w:r>
        <w:rPr>
          <w:rFonts w:hint="default" w:ascii="Times New Roman" w:hAnsi="Times New Roman" w:cs="Times New Roman" w:eastAsiaTheme="minorEastAsia"/>
          <w:color w:val="000000" w:themeColor="text1"/>
          <w:highlight w:val="none"/>
          <w14:textFill>
            <w14:solidFill>
              <w14:schemeClr w14:val="tx1"/>
            </w14:solidFill>
          </w14:textFill>
        </w:rPr>
        <w:t>东大河站点</w:t>
      </w:r>
    </w:p>
    <w:p>
      <w:pPr>
        <w:pStyle w:val="6"/>
        <w:spacing w:before="0" w:after="0" w:line="360" w:lineRule="auto"/>
        <w:rPr>
          <w:rFonts w:hint="default" w:ascii="Times New Roman" w:hAnsi="Times New Roman" w:cs="Times New Roman" w:eastAsiaTheme="minorEastAsia"/>
          <w:b w:val="0"/>
          <w:color w:val="000000" w:themeColor="text1"/>
          <w:highlight w:val="none"/>
          <w14:textFill>
            <w14:solidFill>
              <w14:schemeClr w14:val="tx1"/>
            </w14:solidFill>
          </w14:textFill>
        </w:rPr>
      </w:pPr>
      <w:bookmarkStart w:id="419" w:name="_Toc15771"/>
      <w:bookmarkStart w:id="420" w:name="_Toc17284"/>
      <w:bookmarkStart w:id="421" w:name="_Toc179"/>
      <w:r>
        <w:rPr>
          <w:rFonts w:hint="default" w:ascii="Times New Roman" w:hAnsi="Times New Roman" w:cs="Times New Roman" w:eastAsiaTheme="minorEastAsia"/>
          <w:b w:val="0"/>
          <w:color w:val="000000" w:themeColor="text1"/>
          <w:highlight w:val="none"/>
          <w14:textFill>
            <w14:solidFill>
              <w14:schemeClr w14:val="tx1"/>
            </w14:solidFill>
          </w14:textFill>
        </w:rPr>
        <w:t>4.2.7.4抚仙湖水文监测中心</w:t>
      </w:r>
      <w:bookmarkEnd w:id="419"/>
      <w:bookmarkEnd w:id="420"/>
      <w:bookmarkEnd w:id="421"/>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规划建设地点澄江海口水文中心站。①中心能力建设。②水文站网建设。</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项目责任单位：云南省水文水资源局玉溪分局</w:t>
      </w:r>
    </w:p>
    <w:p>
      <w:pPr>
        <w:numPr>
          <w:ilvl w:val="0"/>
          <w:numId w:val="0"/>
        </w:num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该项目规划投资1238万元，截至2023年6月，已到位资金0万元；已完成投资0万元。2022年4月18日湖泊指挥部科技支撑和水质监测监控组和玉溪水文局共同研究三湖水量监测方案。该项目还未启动</w:t>
      </w:r>
      <w:r>
        <w:rPr>
          <w:rFonts w:hint="default" w:ascii="Times New Roman" w:hAnsi="Times New Roman" w:cs="Times New Roman" w:eastAsiaTheme="minorEastAsia"/>
          <w:color w:val="000000" w:themeColor="text1"/>
          <w:highlight w:val="none"/>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项目进展不符合规划进度要求，严重滞后</w:t>
      </w:r>
      <w:r>
        <w:rPr>
          <w:rFonts w:hint="default" w:ascii="Times New Roman" w:hAnsi="Times New Roman" w:cs="Times New Roman" w:eastAsiaTheme="minorEastAsia"/>
          <w:color w:val="000000" w:themeColor="text1"/>
          <w:highlight w:val="none"/>
          <w14:textFill>
            <w14:solidFill>
              <w14:schemeClr w14:val="tx1"/>
            </w14:solidFill>
          </w14:textFill>
        </w:rPr>
        <w:t>。</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（3）项目环境效益</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该项目的实施为更全面掌握抚仙湖水资源和水环境的变化规律，提升改造抚仙湖水文监测能力，加强水生态监测和水质自动监测。该项目还未启动，故暂不核算工程环境效益。</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（4）存在问题</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工程滞后的主要原因是：因无资金支持，长期无实质性进展。</w:t>
      </w:r>
    </w:p>
    <w:p>
      <w:pPr>
        <w:pStyle w:val="6"/>
        <w:spacing w:before="0" w:after="0" w:line="360" w:lineRule="auto"/>
        <w:rPr>
          <w:rFonts w:hint="default" w:ascii="Times New Roman" w:hAnsi="Times New Roman" w:cs="Times New Roman" w:eastAsiaTheme="minorEastAsia"/>
          <w:b w:val="0"/>
          <w:color w:val="000000" w:themeColor="text1"/>
          <w:highlight w:val="none"/>
          <w14:textFill>
            <w14:solidFill>
              <w14:schemeClr w14:val="tx1"/>
            </w14:solidFill>
          </w14:textFill>
        </w:rPr>
      </w:pPr>
      <w:bookmarkStart w:id="422" w:name="_Toc9953"/>
      <w:bookmarkStart w:id="423" w:name="_Toc32084"/>
      <w:bookmarkStart w:id="424" w:name="_Toc14528"/>
      <w:r>
        <w:rPr>
          <w:rFonts w:hint="default" w:ascii="Times New Roman" w:hAnsi="Times New Roman" w:cs="Times New Roman" w:eastAsiaTheme="minorEastAsia"/>
          <w:b w:val="0"/>
          <w:color w:val="000000" w:themeColor="text1"/>
          <w:highlight w:val="none"/>
          <w14:textFill>
            <w14:solidFill>
              <w14:schemeClr w14:val="tx1"/>
            </w14:solidFill>
          </w14:textFill>
        </w:rPr>
        <w:t>4.2.7.5抚仙湖水环境保护精准研究项目</w:t>
      </w:r>
      <w:bookmarkEnd w:id="422"/>
      <w:bookmarkEnd w:id="423"/>
      <w:bookmarkEnd w:id="424"/>
    </w:p>
    <w:p>
      <w:pPr>
        <w:ind w:firstLine="240" w:firstLineChars="1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①抚仙湖水质波动原因解析。②抚仙湖藻类异常增殖机制研究。③抚仙湖水量及物质平衡研究。</w:t>
      </w:r>
      <w:r>
        <w:rPr>
          <w:rFonts w:hint="default" w:ascii="Times New Roman" w:hAnsi="Times New Roman" w:cs="Times New Roman" w:eastAsiaTheme="minorEastAsia"/>
          <w:bCs/>
          <w:color w:val="000000" w:themeColor="text1"/>
          <w:sz w:val="28"/>
          <w:szCs w:val="28"/>
          <w:highlight w:val="none"/>
          <w14:textFill>
            <w14:solidFill>
              <w14:schemeClr w14:val="tx1"/>
            </w14:solidFill>
          </w14:textFill>
        </w:rPr>
        <w:t>④</w:t>
      </w:r>
      <w:r>
        <w:rPr>
          <w:rFonts w:hint="default" w:ascii="Times New Roman" w:hAnsi="Times New Roman" w:cs="Times New Roman" w:eastAsiaTheme="minorEastAsia"/>
          <w:bCs/>
          <w:color w:val="000000" w:themeColor="text1"/>
          <w:highlight w:val="none"/>
          <w14:textFill>
            <w14:solidFill>
              <w14:schemeClr w14:val="tx1"/>
            </w14:solidFill>
          </w14:textFill>
        </w:rPr>
        <w:t>抚仙湖水生态环境保护对策建议。</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项目责任单位：玉溪市湖泊管理局、澄江市政府</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820万元，截至2023年6月，已到位资金0万元；已完成投资0万元。目前已组建上海交大-玉溪市湖泊联合研究中心，对抚仙湖开展常规监测分析，未开展专项研究。该项目还未启动，项目进展不符合可研批复进度要求，严重滞后。</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（3）项目环境效益</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该项目的实施是为加强抚仙湖基础科学研究，为提升抚仙湖保护治理措施的精准性和有效性提供科学支撑。该项目未启动，故暂不核算工程环境效益。</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（4）存在问题</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工程滞后的主要原因是：因无资金支持，长期无实质性进展。</w:t>
      </w:r>
    </w:p>
    <w:p>
      <w:pPr>
        <w:pStyle w:val="6"/>
        <w:spacing w:before="0" w:after="0" w:line="360" w:lineRule="auto"/>
        <w:rPr>
          <w:rFonts w:hint="default" w:ascii="Times New Roman" w:hAnsi="Times New Roman" w:cs="Times New Roman" w:eastAsiaTheme="minorEastAsia"/>
          <w:b w:val="0"/>
          <w:color w:val="000000" w:themeColor="text1"/>
          <w:highlight w:val="none"/>
          <w14:textFill>
            <w14:solidFill>
              <w14:schemeClr w14:val="tx1"/>
            </w14:solidFill>
          </w14:textFill>
        </w:rPr>
      </w:pPr>
      <w:bookmarkStart w:id="425" w:name="_Toc16571"/>
      <w:bookmarkStart w:id="426" w:name="_Toc20892"/>
      <w:bookmarkStart w:id="427" w:name="_Toc2537"/>
      <w:r>
        <w:rPr>
          <w:rFonts w:hint="default" w:ascii="Times New Roman" w:hAnsi="Times New Roman" w:cs="Times New Roman" w:eastAsiaTheme="minorEastAsia"/>
          <w:b w:val="0"/>
          <w:color w:val="000000" w:themeColor="text1"/>
          <w:highlight w:val="none"/>
          <w14:textFill>
            <w14:solidFill>
              <w14:schemeClr w14:val="tx1"/>
            </w14:solidFill>
          </w14:textFill>
        </w:rPr>
        <w:t>4.2.7.6抚仙湖流域再生水综合利用和雨水冲击性负荷研究与示范</w:t>
      </w:r>
      <w:bookmarkEnd w:id="425"/>
      <w:bookmarkEnd w:id="426"/>
      <w:bookmarkEnd w:id="427"/>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通过系统调查研究，完成再生水综合利用和雨水冲击性负荷研究与示范总体实施方案编制。</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项目责任单位：玉溪市生态环境局澄江分局</w:t>
      </w:r>
    </w:p>
    <w:p>
      <w:pPr>
        <w:numPr>
          <w:ilvl w:val="0"/>
          <w:numId w:val="0"/>
        </w:num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199万元，截至2023年6月，已到位资金199万元，资金到位率100%，其中省级补助资金199万元；已完成投资160万元，投资完成率80%。目前项目承担单位在完成基础资料收集、前期水质、水资源相关基础数据整理分析、基础调查、抚仙湖北岸主要入湖河流溯源样品分析、全过程暴雨径流采样、化验检测及分析等工作获取相关暴雨冲击负荷、水环境治理、水资源量等数据，开展了研究成果分析以及研究报告编制，于1月19日将《抚仙湖北岸片区初期雨水冲击负荷特征专题研究报告</w:t>
      </w:r>
      <w:r>
        <w:rPr>
          <w:rFonts w:hint="eastAsia" w:cs="Times New Roman" w:eastAsiaTheme="minorEastAsia"/>
          <w:bCs/>
          <w:color w:val="000000" w:themeColor="text1"/>
          <w:highlight w:val="none"/>
          <w:lang w:eastAsia="zh-CN"/>
          <w14:textFill>
            <w14:solidFill>
              <w14:schemeClr w14:val="tx1"/>
            </w14:solidFill>
          </w14:textFill>
        </w:rPr>
        <w:t>（初稿）》</w:t>
      </w:r>
      <w:r>
        <w:rPr>
          <w:rFonts w:hint="default" w:ascii="Times New Roman" w:hAnsi="Times New Roman" w:cs="Times New Roman" w:eastAsiaTheme="minorEastAsia"/>
          <w:bCs/>
          <w:color w:val="000000" w:themeColor="text1"/>
          <w:highlight w:val="none"/>
          <w14:textFill>
            <w14:solidFill>
              <w14:schemeClr w14:val="tx1"/>
            </w14:solidFill>
          </w14:textFill>
        </w:rPr>
        <w:t>、《抚仙湖北岸片区常规水资源和再生水资源配置专题研究报告</w:t>
      </w:r>
      <w:r>
        <w:rPr>
          <w:rFonts w:hint="eastAsia" w:cs="Times New Roman" w:eastAsiaTheme="minorEastAsia"/>
          <w:bCs/>
          <w:color w:val="000000" w:themeColor="text1"/>
          <w:highlight w:val="none"/>
          <w:lang w:eastAsia="zh-CN"/>
          <w14:textFill>
            <w14:solidFill>
              <w14:schemeClr w14:val="tx1"/>
            </w14:solidFill>
          </w14:textFill>
        </w:rPr>
        <w:t>（初稿）》</w:t>
      </w:r>
      <w:r>
        <w:rPr>
          <w:rFonts w:hint="default" w:ascii="Times New Roman" w:hAnsi="Times New Roman" w:cs="Times New Roman" w:eastAsiaTheme="minorEastAsia"/>
          <w:bCs/>
          <w:color w:val="000000" w:themeColor="text1"/>
          <w:highlight w:val="none"/>
          <w14:textFill>
            <w14:solidFill>
              <w14:schemeClr w14:val="tx1"/>
            </w14:solidFill>
          </w14:textFill>
        </w:rPr>
        <w:t>提交至玉溪市生态环境局澄江分局。目前正在开展多情景工程总体布局方案设计，即将开展工程设计及比选论证，已步入最终工程可研报告的编制阶段。该项目处于在建工作阶段，项目进展符合可研批复进度要求。</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（3）项目环境效益</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该项目的实施是为加强抚仙湖基础科学研究，为提升抚仙湖保护治理措施的精准性和有效性提供科学支撑。目前项目处于在建工作阶段，故暂不核算工程环境效益。</w:t>
      </w:r>
    </w:p>
    <w:p>
      <w:pPr>
        <w:pStyle w:val="6"/>
        <w:spacing w:before="0" w:after="0" w:line="360" w:lineRule="auto"/>
        <w:rPr>
          <w:rFonts w:hint="default" w:ascii="Times New Roman" w:hAnsi="Times New Roman" w:cs="Times New Roman" w:eastAsiaTheme="minorEastAsia"/>
          <w:b w:val="0"/>
          <w:color w:val="000000" w:themeColor="text1"/>
          <w:highlight w:val="none"/>
          <w14:textFill>
            <w14:solidFill>
              <w14:schemeClr w14:val="tx1"/>
            </w14:solidFill>
          </w14:textFill>
        </w:rPr>
      </w:pPr>
      <w:bookmarkStart w:id="428" w:name="_Toc15860"/>
      <w:bookmarkStart w:id="429" w:name="_Toc18077"/>
      <w:bookmarkStart w:id="430" w:name="_Toc28935"/>
      <w:r>
        <w:rPr>
          <w:rFonts w:hint="default" w:ascii="Times New Roman" w:hAnsi="Times New Roman" w:cs="Times New Roman" w:eastAsiaTheme="minorEastAsia"/>
          <w:b w:val="0"/>
          <w:color w:val="000000" w:themeColor="text1"/>
          <w:highlight w:val="none"/>
          <w14:textFill>
            <w14:solidFill>
              <w14:schemeClr w14:val="tx1"/>
            </w14:solidFill>
          </w14:textFill>
        </w:rPr>
        <w:t>4.2.7.7抚仙湖总磷变化机制和趋势分析研判课题研究</w:t>
      </w:r>
      <w:bookmarkEnd w:id="428"/>
      <w:bookmarkEnd w:id="429"/>
      <w:bookmarkEnd w:id="430"/>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揭示抚仙湖总磷变化机制，进行抚仙湖总磷变化趋势分析研判，为提升抚仙湖保护治理措施的精准性和有效性提供科学支撑。</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项目责任单位：玉溪市湖泊管理局</w:t>
      </w:r>
    </w:p>
    <w:p>
      <w:pPr>
        <w:numPr>
          <w:ilvl w:val="0"/>
          <w:numId w:val="0"/>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（2）</w:t>
      </w: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该项目规划投资200万元，截至2023年6月，已到位资金0万元；已完成投资0万元。该项目还未启动</w:t>
      </w:r>
      <w:r>
        <w:rPr>
          <w:rFonts w:hint="default" w:ascii="Times New Roman" w:hAnsi="Times New Roman" w:cs="Times New Roman" w:eastAsiaTheme="minorEastAsia"/>
          <w:color w:val="000000" w:themeColor="text1"/>
          <w:highlight w:val="none"/>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项目进展不符合规划进度要求，严重滞后。</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（3）项目环境效益</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该项目的实施是为加强抚仙湖基础科学研究，为提升抚仙湖保护治理措施的精准性和有效性提供科学支撑。目前项目还未启动，故暂不核算工程环境效益。</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（4）存在问题</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sectPr>
          <w:footerReference r:id="rId11" w:type="default"/>
          <w:pgSz w:w="11907" w:h="16840"/>
          <w:pgMar w:top="1440" w:right="1587" w:bottom="1440" w:left="1587" w:header="851" w:footer="992" w:gutter="0"/>
          <w:pgBorders>
            <w:top w:val="none" w:sz="0" w:space="0"/>
            <w:left w:val="none" w:sz="0" w:space="0"/>
            <w:bottom w:val="none" w:sz="0" w:space="0"/>
            <w:right w:val="none" w:sz="0" w:space="0"/>
          </w:pgBorders>
          <w:pgNumType w:fmt="decimal" w:start="44"/>
          <w:cols w:space="720" w:num="1"/>
          <w:rtlGutter w:val="0"/>
          <w:docGrid w:linePitch="312" w:charSpace="0"/>
        </w:sectPr>
      </w:pPr>
      <w:r>
        <w:rPr>
          <w:rFonts w:hint="default" w:ascii="Times New Roman" w:hAnsi="Times New Roman" w:cs="Times New Roman" w:eastAsiaTheme="minorEastAsia"/>
          <w:bCs/>
          <w:color w:val="000000" w:themeColor="text1"/>
          <w:highlight w:val="none"/>
          <w14:textFill>
            <w14:solidFill>
              <w14:schemeClr w14:val="tx1"/>
            </w14:solidFill>
          </w14:textFill>
        </w:rPr>
        <w:t>工程滞后的主要原因是：因无资金支持，长期无实质性进展。</w:t>
      </w:r>
    </w:p>
    <w:p>
      <w:pPr>
        <w:pStyle w:val="3"/>
        <w:rPr>
          <w:rFonts w:hint="default" w:ascii="Times New Roman" w:hAnsi="Times New Roman" w:cs="Times New Roman" w:eastAsiaTheme="minorEastAsia"/>
          <w:color w:val="000000" w:themeColor="text1"/>
          <w:highlight w:val="none"/>
          <w14:textFill>
            <w14:solidFill>
              <w14:schemeClr w14:val="tx1"/>
            </w14:solidFill>
          </w14:textFill>
        </w:rPr>
      </w:pPr>
      <w:bookmarkStart w:id="431" w:name="_Toc6572"/>
      <w:r>
        <w:rPr>
          <w:rFonts w:hint="default" w:ascii="Times New Roman" w:hAnsi="Times New Roman" w:cs="Times New Roman" w:eastAsiaTheme="minorEastAsia"/>
          <w:color w:val="000000" w:themeColor="text1"/>
          <w:highlight w:val="none"/>
          <w14:textFill>
            <w14:solidFill>
              <w14:schemeClr w14:val="tx1"/>
            </w14:solidFill>
          </w14:textFill>
        </w:rPr>
        <w:t>5规划实施面临的主要问题和风险挑战</w:t>
      </w:r>
      <w:bookmarkEnd w:id="431"/>
    </w:p>
    <w:p>
      <w:pPr>
        <w:pStyle w:val="4"/>
        <w:spacing w:before="120" w:after="120" w:line="480" w:lineRule="auto"/>
        <w:rPr>
          <w:rFonts w:hint="default" w:ascii="Times New Roman" w:hAnsi="Times New Roman" w:cs="Times New Roman" w:eastAsiaTheme="minorEastAsia"/>
          <w:color w:val="000000" w:themeColor="text1"/>
          <w:highlight w:val="none"/>
          <w14:textFill>
            <w14:solidFill>
              <w14:schemeClr w14:val="tx1"/>
            </w14:solidFill>
          </w14:textFill>
        </w:rPr>
      </w:pPr>
      <w:bookmarkStart w:id="432" w:name="_Toc14330"/>
      <w:r>
        <w:rPr>
          <w:rFonts w:hint="default" w:ascii="Times New Roman" w:hAnsi="Times New Roman" w:cs="Times New Roman" w:eastAsiaTheme="minorEastAsia"/>
          <w:color w:val="000000" w:themeColor="text1"/>
          <w:highlight w:val="none"/>
          <w14:textFill>
            <w14:solidFill>
              <w14:schemeClr w14:val="tx1"/>
            </w14:solidFill>
          </w14:textFill>
        </w:rPr>
        <w:t>5.1主要评价结论</w:t>
      </w:r>
      <w:bookmarkEnd w:id="432"/>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eastAsia" w:cs="Times New Roman" w:eastAsiaTheme="minorEastAsia"/>
          <w:color w:val="000000" w:themeColor="text1"/>
          <w:szCs w:val="24"/>
          <w:highlight w:val="none"/>
          <w:lang w:eastAsia="zh-CN"/>
          <w14:textFill>
            <w14:solidFill>
              <w14:schemeClr w14:val="tx1"/>
            </w14:solidFill>
          </w14:textFill>
        </w:rPr>
        <w:t>截至</w:t>
      </w:r>
      <w:r>
        <w:rPr>
          <w:rFonts w:hint="default" w:ascii="Times New Roman" w:hAnsi="Times New Roman" w:cs="Times New Roman" w:eastAsiaTheme="minorEastAsia"/>
          <w:color w:val="000000" w:themeColor="text1"/>
          <w:szCs w:val="24"/>
          <w:highlight w:val="none"/>
          <w14:textFill>
            <w14:solidFill>
              <w14:schemeClr w14:val="tx1"/>
            </w14:solidFill>
          </w14:textFill>
        </w:rPr>
        <w:t>2023年6月30日，《抚仙湖流域水环境保护治理“十四五”规划》24个项</w:t>
      </w:r>
      <w:r>
        <w:rPr>
          <w:rFonts w:hint="eastAsia" w:cs="Times New Roman" w:eastAsiaTheme="minorEastAsia"/>
          <w:color w:val="000000" w:themeColor="text1"/>
          <w:szCs w:val="24"/>
          <w:highlight w:val="none"/>
          <w:lang w:val="en-US" w:eastAsia="zh-CN"/>
          <w14:textFill>
            <w14:solidFill>
              <w14:schemeClr w14:val="tx1"/>
            </w14:solidFill>
          </w14:textFill>
        </w:rPr>
        <w:t>目，其中</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已</w:t>
      </w:r>
      <w:r>
        <w:rPr>
          <w:rFonts w:hint="default" w:ascii="Times New Roman" w:hAnsi="Times New Roman" w:cs="Times New Roman" w:eastAsiaTheme="minorEastAsia"/>
          <w:bCs/>
          <w:color w:val="000000" w:themeColor="text1"/>
          <w:highlight w:val="none"/>
          <w14:textFill>
            <w14:solidFill>
              <w14:schemeClr w14:val="tx1"/>
            </w14:solidFill>
          </w14:textFill>
        </w:rPr>
        <w:t>完工项目</w:t>
      </w:r>
      <w:r>
        <w:rPr>
          <w:rFonts w:hint="eastAsia" w:cs="Times New Roman" w:eastAsiaTheme="minorEastAsia"/>
          <w:bCs/>
          <w:color w:val="000000" w:themeColor="text1"/>
          <w:highlight w:val="none"/>
          <w:lang w:val="en-US" w:eastAsia="zh-CN"/>
          <w14:textFill>
            <w14:solidFill>
              <w14:schemeClr w14:val="tx1"/>
            </w14:solidFill>
          </w14:textFill>
        </w:rPr>
        <w:t>1</w:t>
      </w:r>
      <w:r>
        <w:rPr>
          <w:rFonts w:hint="default" w:ascii="Times New Roman" w:hAnsi="Times New Roman" w:cs="Times New Roman" w:eastAsiaTheme="minorEastAsia"/>
          <w:bCs/>
          <w:color w:val="000000" w:themeColor="text1"/>
          <w:highlight w:val="none"/>
          <w14:textFill>
            <w14:solidFill>
              <w14:schemeClr w14:val="tx1"/>
            </w14:solidFill>
          </w14:textFill>
        </w:rPr>
        <w:t>个，项目完工率</w:t>
      </w: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4.17</w:t>
      </w:r>
      <w:r>
        <w:rPr>
          <w:rFonts w:hint="default" w:ascii="Times New Roman" w:hAnsi="Times New Roman" w:cs="Times New Roman" w:eastAsiaTheme="minorEastAsia"/>
          <w:bCs/>
          <w:color w:val="000000" w:themeColor="text1"/>
          <w:highlight w:val="none"/>
          <w14:textFill>
            <w14:solidFill>
              <w14:schemeClr w14:val="tx1"/>
            </w14:solidFill>
          </w14:textFill>
        </w:rPr>
        <w:t>%；在建项目17个，项目在建率70.83%；前期项目1个，项目前期率4.17%；未启动项目5个，未启动率20.83%。</w:t>
      </w:r>
      <w:r>
        <w:rPr>
          <w:rFonts w:hint="default" w:ascii="Times New Roman" w:hAnsi="Times New Roman" w:cs="Times New Roman" w:eastAsiaTheme="minorEastAsia"/>
          <w:color w:val="000000" w:themeColor="text1"/>
          <w:szCs w:val="24"/>
          <w:highlight w:val="none"/>
          <w14:textFill>
            <w14:solidFill>
              <w14:schemeClr w14:val="tx1"/>
            </w14:solidFill>
          </w14:textFill>
        </w:rPr>
        <w:t>项目完工率较低，总体执行情况一般。</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规划24个项目中，有17个项目全部开工，开工率70.83%；规划总投资749182万元，截至2023年6月，批复投资238681万元，已到位资金181317万元，以批复投资为基数，资金到位率为73.31%；以规划投资为基数，资金到位率为24.2%。项目已完成投资135928万元，以批复投资为基数，投资完成率54.96%，以规划投资为基数，投资完成率18.14%。</w:t>
      </w:r>
      <w:r>
        <w:rPr>
          <w:rFonts w:hint="default" w:ascii="Times New Roman" w:hAnsi="Times New Roman" w:cs="Times New Roman" w:eastAsiaTheme="minorEastAsia"/>
          <w:color w:val="000000" w:themeColor="text1"/>
          <w:szCs w:val="24"/>
          <w:highlight w:val="none"/>
          <w14:textFill>
            <w14:solidFill>
              <w14:schemeClr w14:val="tx1"/>
            </w14:solidFill>
          </w14:textFill>
        </w:rPr>
        <w:t>完成投资未过半，资金缺口大，制约工程建设进度。</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“十四五”以来，抚仙湖在巩固</w:t>
      </w:r>
      <w:r>
        <w:rPr>
          <w:rFonts w:hint="default" w:ascii="Times New Roman" w:hAnsi="Times New Roman" w:cs="Times New Roman" w:eastAsiaTheme="minorEastAsia"/>
          <w:color w:val="000000" w:themeColor="text1"/>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14:textFill>
            <w14:solidFill>
              <w14:schemeClr w14:val="tx1"/>
            </w14:solidFill>
          </w14:textFill>
        </w:rPr>
        <w:t>十三五</w:t>
      </w:r>
      <w:r>
        <w:rPr>
          <w:rFonts w:hint="default" w:ascii="Times New Roman" w:hAnsi="Times New Roman" w:cs="Times New Roman" w:eastAsiaTheme="minorEastAsia"/>
          <w:color w:val="000000" w:themeColor="text1"/>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14:textFill>
            <w14:solidFill>
              <w14:schemeClr w14:val="tx1"/>
            </w14:solidFill>
          </w14:textFill>
        </w:rPr>
        <w:t>规划治理成效的基础上，按照打好补齐短板攻坚战的思想，坚持总量和质量控制两手抓，进一步完善流域污染源源头减排-污染源工程治理-入湖河流水质提升-抚仙湖污染综合控制体系完善构建。至十</w:t>
      </w:r>
      <w:r>
        <w:rPr>
          <w:rFonts w:hint="default" w:ascii="Times New Roman" w:hAnsi="Times New Roman" w:cs="Times New Roman" w:eastAsiaTheme="minorEastAsia"/>
          <w:color w:val="000000" w:themeColor="text1"/>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14:textFill>
            <w14:solidFill>
              <w14:schemeClr w14:val="tx1"/>
            </w14:solidFill>
          </w14:textFill>
        </w:rPr>
        <w:t>十四五</w:t>
      </w:r>
      <w:r>
        <w:rPr>
          <w:rFonts w:hint="default" w:ascii="Times New Roman" w:hAnsi="Times New Roman" w:cs="Times New Roman" w:eastAsiaTheme="minorEastAsia"/>
          <w:color w:val="000000" w:themeColor="text1"/>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14:textFill>
            <w14:solidFill>
              <w14:schemeClr w14:val="tx1"/>
            </w14:solidFill>
          </w14:textFill>
        </w:rPr>
        <w:t>规划中期，抚仙湖空间管控项目已完成，抚仙湖全域截污治污工程、澄江市污水处理厂技改项目，加之生活垃圾治理项目的实施，城镇生活污水收集处理率、</w:t>
      </w:r>
      <w:r>
        <w:rPr>
          <w:rFonts w:hint="eastAsia" w:cs="Times New Roman" w:eastAsiaTheme="minorEastAsia"/>
          <w:color w:val="000000" w:themeColor="text1"/>
          <w:szCs w:val="24"/>
          <w:highlight w:val="none"/>
          <w:lang w:eastAsia="zh-CN"/>
          <w14:textFill>
            <w14:solidFill>
              <w14:schemeClr w14:val="tx1"/>
            </w14:solidFill>
          </w14:textFill>
        </w:rPr>
        <w:t>农村生活污水收集处理率</w:t>
      </w:r>
      <w:r>
        <w:rPr>
          <w:rFonts w:hint="default" w:ascii="Times New Roman" w:hAnsi="Times New Roman" w:cs="Times New Roman" w:eastAsiaTheme="minorEastAsia"/>
          <w:color w:val="000000" w:themeColor="text1"/>
          <w:szCs w:val="24"/>
          <w:highlight w:val="none"/>
          <w14:textFill>
            <w14:solidFill>
              <w14:schemeClr w14:val="tx1"/>
            </w14:solidFill>
          </w14:textFill>
        </w:rPr>
        <w:t>得以切实提高；抚仙湖污染综合控制体系不</w:t>
      </w:r>
      <w:r>
        <w:rPr>
          <w:rFonts w:hint="default" w:ascii="Times New Roman" w:hAnsi="Times New Roman" w:cs="Times New Roman" w:eastAsiaTheme="minorEastAsia"/>
          <w:color w:val="000000" w:themeColor="text1"/>
          <w:szCs w:val="24"/>
          <w:highlight w:val="none"/>
          <w:lang w:eastAsia="zh-CN"/>
          <w14:textFill>
            <w14:solidFill>
              <w14:schemeClr w14:val="tx1"/>
            </w14:solidFill>
          </w14:textFill>
        </w:rPr>
        <w:t>断</w:t>
      </w:r>
      <w:r>
        <w:rPr>
          <w:rFonts w:hint="default" w:ascii="Times New Roman" w:hAnsi="Times New Roman" w:cs="Times New Roman" w:eastAsiaTheme="minorEastAsia"/>
          <w:color w:val="000000" w:themeColor="text1"/>
          <w:szCs w:val="24"/>
          <w:highlight w:val="none"/>
          <w14:textFill>
            <w14:solidFill>
              <w14:schemeClr w14:val="tx1"/>
            </w14:solidFill>
          </w14:textFill>
        </w:rPr>
        <w:t>完善，抚仙湖入湖污染物总量控制能力得到全面提升，此外保卫抚仙湖</w:t>
      </w:r>
      <w:r>
        <w:rPr>
          <w:rFonts w:hint="default" w:ascii="Times New Roman" w:hAnsi="Times New Roman" w:cs="Times New Roman" w:eastAsiaTheme="minorEastAsia"/>
          <w:color w:val="000000" w:themeColor="text1"/>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14:textFill>
            <w14:solidFill>
              <w14:schemeClr w14:val="tx1"/>
            </w14:solidFill>
          </w14:textFill>
        </w:rPr>
        <w:t>雷霆行动</w:t>
      </w:r>
      <w:r>
        <w:rPr>
          <w:rFonts w:hint="default" w:ascii="Times New Roman" w:hAnsi="Times New Roman" w:cs="Times New Roman" w:eastAsiaTheme="minorEastAsia"/>
          <w:color w:val="000000" w:themeColor="text1"/>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14:textFill>
            <w14:solidFill>
              <w14:schemeClr w14:val="tx1"/>
            </w14:solidFill>
          </w14:textFill>
        </w:rPr>
        <w:t>、三年达标行动等专项规划的实施对抚仙湖</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十四五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14:textFill>
            <w14:solidFill>
              <w14:schemeClr w14:val="tx1"/>
            </w14:solidFill>
          </w14:textFill>
        </w:rPr>
        <w:t>规划的实施起到很大的助推作用，尤其是径流区休耕轮作、规模化畜禽养殖关闭搬迁、环湖2.8万人生态移民搬迁工程全面实施，从源头层面强有力地控制入湖污染负荷，使</w:t>
      </w:r>
      <w:r>
        <w:rPr>
          <w:rFonts w:hint="default" w:ascii="Times New Roman" w:hAnsi="Times New Roman" w:cs="Times New Roman" w:eastAsiaTheme="minorEastAsia"/>
          <w:color w:val="000000" w:themeColor="text1"/>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14:textFill>
            <w14:solidFill>
              <w14:schemeClr w14:val="tx1"/>
            </w14:solidFill>
          </w14:textFill>
        </w:rPr>
        <w:t>十四五</w:t>
      </w:r>
      <w:r>
        <w:rPr>
          <w:rFonts w:hint="default" w:ascii="Times New Roman" w:hAnsi="Times New Roman" w:cs="Times New Roman" w:eastAsiaTheme="minorEastAsia"/>
          <w:color w:val="000000" w:themeColor="text1"/>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14:textFill>
            <w14:solidFill>
              <w14:schemeClr w14:val="tx1"/>
            </w14:solidFill>
          </w14:textFill>
        </w:rPr>
        <w:t>原有规划项目环境效益扩大，目前抚仙湖流域规划内已完工的项目为空间管控项目，无具体污染负荷削减效益，故本评估暂无法核算削减量。整体而言目前抚仙湖</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十四五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14:textFill>
            <w14:solidFill>
              <w14:schemeClr w14:val="tx1"/>
            </w14:solidFill>
          </w14:textFill>
        </w:rPr>
        <w:t>规划由于资金的落实情况和到位不足的情</w:t>
      </w:r>
      <w:r>
        <w:rPr>
          <w:rFonts w:hint="default" w:ascii="Times New Roman" w:hAnsi="Times New Roman" w:cs="Times New Roman" w:eastAsiaTheme="minorEastAsia"/>
          <w:color w:val="000000" w:themeColor="text1"/>
          <w:szCs w:val="24"/>
          <w:highlight w:val="none"/>
          <w:lang w:eastAsia="zh-CN"/>
          <w14:textFill>
            <w14:solidFill>
              <w14:schemeClr w14:val="tx1"/>
            </w14:solidFill>
          </w14:textFill>
        </w:rPr>
        <w:t>况</w:t>
      </w:r>
      <w:r>
        <w:rPr>
          <w:rFonts w:hint="default" w:ascii="Times New Roman" w:hAnsi="Times New Roman" w:cs="Times New Roman" w:eastAsiaTheme="minorEastAsia"/>
          <w:color w:val="000000" w:themeColor="text1"/>
          <w:szCs w:val="24"/>
          <w:highlight w:val="none"/>
          <w14:textFill>
            <w14:solidFill>
              <w14:schemeClr w14:val="tx1"/>
            </w14:solidFill>
          </w14:textFill>
        </w:rPr>
        <w:t>下暂未达到规划执行中期预期效益。鉴于“十四五”规划绝大部分项目还</w:t>
      </w:r>
      <w:r>
        <w:rPr>
          <w:rFonts w:hint="default" w:ascii="Times New Roman" w:hAnsi="Times New Roman" w:cs="Times New Roman" w:eastAsiaTheme="minorEastAsia"/>
          <w:color w:val="000000" w:themeColor="text1"/>
          <w:szCs w:val="24"/>
          <w:highlight w:val="none"/>
          <w:lang w:eastAsia="zh-CN"/>
          <w14:textFill>
            <w14:solidFill>
              <w14:schemeClr w14:val="tx1"/>
            </w14:solidFill>
          </w14:textFill>
        </w:rPr>
        <w:t>处于</w:t>
      </w:r>
      <w:r>
        <w:rPr>
          <w:rFonts w:hint="default" w:ascii="Times New Roman" w:hAnsi="Times New Roman" w:cs="Times New Roman" w:eastAsiaTheme="minorEastAsia"/>
          <w:color w:val="000000" w:themeColor="text1"/>
          <w:szCs w:val="24"/>
          <w:highlight w:val="none"/>
          <w14:textFill>
            <w14:solidFill>
              <w14:schemeClr w14:val="tx1"/>
            </w14:solidFill>
          </w14:textFill>
        </w:rPr>
        <w:t>在建或启动阶段，工程效益尚未完全发挥，抚仙湖流域污染物总量目标暂未达到。因此，抚仙湖“十四五”规划在进一步与其他规划或专项行动相衔接，适时优化调整“十四五”项目的前提下，至规划末期，全部工程完工且正常运行的情况下，预期“十四五”规划设定的污染物总量控制目标可以实现。</w:t>
      </w:r>
    </w:p>
    <w:p>
      <w:pPr>
        <w:pStyle w:val="4"/>
        <w:spacing w:before="120" w:after="120" w:line="480" w:lineRule="auto"/>
        <w:rPr>
          <w:rFonts w:hint="default" w:ascii="Times New Roman" w:hAnsi="Times New Roman" w:cs="Times New Roman" w:eastAsiaTheme="minorEastAsia"/>
          <w:color w:val="000000" w:themeColor="text1"/>
          <w:highlight w:val="none"/>
          <w14:textFill>
            <w14:solidFill>
              <w14:schemeClr w14:val="tx1"/>
            </w14:solidFill>
          </w14:textFill>
        </w:rPr>
      </w:pPr>
      <w:bookmarkStart w:id="433" w:name="_Toc19851"/>
      <w:r>
        <w:rPr>
          <w:rFonts w:hint="default" w:ascii="Times New Roman" w:hAnsi="Times New Roman" w:cs="Times New Roman" w:eastAsiaTheme="minorEastAsia"/>
          <w:color w:val="000000" w:themeColor="text1"/>
          <w:highlight w:val="none"/>
          <w14:textFill>
            <w14:solidFill>
              <w14:schemeClr w14:val="tx1"/>
            </w14:solidFill>
          </w14:textFill>
        </w:rPr>
        <w:t>5.2主要成效</w:t>
      </w:r>
      <w:bookmarkEnd w:id="433"/>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480" w:firstLineChars="200"/>
        <w:textAlignment w:val="auto"/>
        <w:rPr>
          <w:rFonts w:hint="default" w:ascii="Times New Roman" w:hAnsi="Times New Roman" w:eastAsia="方正仿宋_GBK" w:cs="Times New Roman"/>
          <w:b w:val="0"/>
          <w:bCs w:val="0"/>
          <w:color w:val="auto"/>
          <w:kern w:val="2"/>
          <w:sz w:val="32"/>
          <w:szCs w:val="32"/>
          <w:lang w:val="en-US" w:eastAsia="zh-CN" w:bidi="ar-SA"/>
        </w:rPr>
      </w:pPr>
      <w:r>
        <w:rPr>
          <w:rFonts w:hint="default" w:ascii="Times New Roman" w:hAnsi="Times New Roman" w:cs="Times New Roman" w:eastAsiaTheme="minorEastAsia"/>
          <w:color w:val="000000" w:themeColor="text1"/>
          <w:szCs w:val="24"/>
          <w:highlight w:val="none"/>
          <w14:textFill>
            <w14:solidFill>
              <w14:schemeClr w14:val="tx1"/>
            </w14:solidFill>
          </w14:textFill>
        </w:rPr>
        <w:t>2021年以来，面对抚仙湖要稳定保持</w:t>
      </w:r>
      <w:r>
        <w:rPr>
          <w:rFonts w:hint="default" w:ascii="Times New Roman" w:hAnsi="Times New Roman" w:cs="Times New Roman" w:eastAsiaTheme="minorEastAsia"/>
          <w:color w:val="000000" w:themeColor="text1"/>
          <w:szCs w:val="24"/>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szCs w:val="24"/>
          <w:highlight w:val="none"/>
          <w14:textFill>
            <w14:solidFill>
              <w14:schemeClr w14:val="tx1"/>
            </w14:solidFill>
          </w14:textFill>
        </w:rPr>
        <w:instrText xml:space="preserve"> = 1 \* ROMAN </w:instrText>
      </w:r>
      <w:r>
        <w:rPr>
          <w:rFonts w:hint="default" w:ascii="Times New Roman" w:hAnsi="Times New Roman" w:cs="Times New Roman" w:eastAsiaTheme="minorEastAsia"/>
          <w:color w:val="000000" w:themeColor="text1"/>
          <w:szCs w:val="24"/>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szCs w:val="24"/>
          <w:highlight w:val="none"/>
          <w14:textFill>
            <w14:solidFill>
              <w14:schemeClr w14:val="tx1"/>
            </w14:solidFill>
          </w14:textFill>
        </w:rPr>
        <w:t>I</w:t>
      </w:r>
      <w:r>
        <w:rPr>
          <w:rFonts w:hint="default" w:ascii="Times New Roman" w:hAnsi="Times New Roman" w:cs="Times New Roman" w:eastAsiaTheme="minorEastAsia"/>
          <w:color w:val="000000" w:themeColor="text1"/>
          <w:szCs w:val="24"/>
          <w:highlight w:val="none"/>
          <w14:textFill>
            <w14:solidFill>
              <w14:schemeClr w14:val="tx1"/>
            </w14:solidFill>
          </w14:textFill>
        </w:rPr>
        <w:fldChar w:fldCharType="end"/>
      </w:r>
      <w:r>
        <w:rPr>
          <w:rFonts w:hint="default" w:ascii="Times New Roman" w:hAnsi="Times New Roman" w:cs="Times New Roman" w:eastAsiaTheme="minorEastAsia"/>
          <w:color w:val="000000" w:themeColor="text1"/>
          <w:szCs w:val="24"/>
          <w:highlight w:val="none"/>
          <w14:textFill>
            <w14:solidFill>
              <w14:schemeClr w14:val="tx1"/>
            </w14:solidFill>
          </w14:textFill>
        </w:rPr>
        <w:t>类水质目标的严峻形势，玉溪市在抓紧实施《抚仙湖流域水环境综合治理“十四五”规划》的同时，响应省委省政府为深入贯彻落实习近平生态文明思想和习近平总书记考察云南重要讲话精神，坚决扭转湖泊保护治理的严峻形势，实施“湖泊革命”攻坚战，采取“面源和点源污染共治、源头和末端治理并举、工程和非工程措施同施”相结合的方式，全面统筹推进抚仙湖综合保护治理工作，抚仙湖保护治理取得阶段性初步成效。</w:t>
      </w:r>
    </w:p>
    <w:p>
      <w:pPr>
        <w:ind w:firstLine="480" w:firstLineChars="200"/>
        <w:jc w:val="left"/>
        <w:rPr>
          <w:rFonts w:hint="default" w:ascii="Times New Roman" w:hAnsi="Times New Roman" w:cs="Times New Roman" w:eastAsiaTheme="minorEastAsia"/>
          <w:color w:val="000000" w:themeColor="text1"/>
          <w:szCs w:val="24"/>
          <w:highlight w:val="none"/>
          <w14:textFill>
            <w14:solidFill>
              <w14:schemeClr w14:val="tx1"/>
            </w14:solidFill>
          </w14:textFill>
        </w:rPr>
      </w:pP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434" w:name="_Toc9548"/>
      <w:bookmarkStart w:id="435" w:name="_Toc14705"/>
      <w:bookmarkStart w:id="436" w:name="_Toc2872"/>
      <w:bookmarkStart w:id="437" w:name="_Toc20441"/>
      <w:bookmarkStart w:id="438" w:name="_Toc11849480"/>
      <w:r>
        <w:rPr>
          <w:rFonts w:hint="default" w:ascii="Times New Roman" w:hAnsi="Times New Roman" w:cs="Times New Roman" w:eastAsiaTheme="minorEastAsia"/>
          <w:color w:val="000000" w:themeColor="text1"/>
          <w:highlight w:val="none"/>
          <w14:textFill>
            <w14:solidFill>
              <w14:schemeClr w14:val="tx1"/>
            </w14:solidFill>
          </w14:textFill>
        </w:rPr>
        <w:t>（1）流域空间管控成效显著</w:t>
      </w:r>
      <w:bookmarkEnd w:id="434"/>
      <w:bookmarkEnd w:id="435"/>
      <w:bookmarkEnd w:id="436"/>
      <w:bookmarkEnd w:id="437"/>
      <w:bookmarkEnd w:id="438"/>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szCs w:val="24"/>
          <w:highlight w:val="none"/>
          <w14:textFill>
            <w14:solidFill>
              <w14:schemeClr w14:val="tx1"/>
            </w14:solidFill>
          </w14:textFill>
        </w:rPr>
        <w:t>在“十四五”规划强调“分区、分级、分类”的空间管控格局的基础上，举全市之力开展</w:t>
      </w:r>
      <w:r>
        <w:rPr>
          <w:rFonts w:hint="default" w:ascii="Times New Roman" w:hAnsi="Times New Roman" w:cs="Times New Roman" w:eastAsiaTheme="minorEastAsia"/>
          <w:bCs/>
          <w:strike w:val="0"/>
          <w:dstrike w:val="0"/>
          <w:color w:val="000000" w:themeColor="text1"/>
          <w:szCs w:val="24"/>
          <w:highlight w:val="none"/>
          <w:u w:val="none"/>
          <w14:textFill>
            <w14:solidFill>
              <w14:schemeClr w14:val="tx1"/>
            </w14:solidFill>
          </w14:textFill>
        </w:rPr>
        <w:t>保卫抚仙湖雷霆行动，全面实施“四退三还”工程</w:t>
      </w:r>
      <w:r>
        <w:rPr>
          <w:rFonts w:hint="default" w:ascii="Times New Roman" w:hAnsi="Times New Roman" w:cs="Times New Roman" w:eastAsiaTheme="minorEastAsia"/>
          <w:bCs/>
          <w:color w:val="000000" w:themeColor="text1"/>
          <w:szCs w:val="24"/>
          <w:highlight w:val="none"/>
          <w14:textFill>
            <w14:solidFill>
              <w14:schemeClr w14:val="tx1"/>
            </w14:solidFill>
          </w14:textFill>
        </w:rPr>
        <w:t>，腾出生态空间。</w:t>
      </w:r>
      <w:r>
        <w:rPr>
          <w:rFonts w:hint="default" w:ascii="Times New Roman" w:hAnsi="Times New Roman" w:cs="Times New Roman" w:eastAsiaTheme="minorEastAsia"/>
          <w:bCs/>
          <w:color w:val="000000" w:themeColor="text1"/>
          <w:highlight w:val="none"/>
          <w14:textFill>
            <w14:solidFill>
              <w14:schemeClr w14:val="tx1"/>
            </w14:solidFill>
          </w14:textFill>
        </w:rPr>
        <w:t>编制完成《澄江市国土空间规划（2021年—2035年）》。修订《抚仙湖流域国土空间保护和科学利用专项规（2018—2035年）》。科学论证、划定</w:t>
      </w:r>
      <w:r>
        <w:rPr>
          <w:rFonts w:hint="default" w:ascii="Times New Roman" w:hAnsi="Times New Roman" w:cs="Times New Roman" w:eastAsiaTheme="minorEastAsia"/>
          <w:bCs/>
          <w:color w:val="000000" w:themeColor="text1"/>
          <w:highlight w:val="none"/>
          <w:u w:val="none"/>
          <w14:textFill>
            <w14:solidFill>
              <w14:schemeClr w14:val="tx1"/>
            </w14:solidFill>
          </w14:textFill>
        </w:rPr>
        <w:t>抚仙湖生态廊道线、环湖公路线</w:t>
      </w:r>
      <w:r>
        <w:rPr>
          <w:rFonts w:hint="default" w:ascii="Times New Roman" w:hAnsi="Times New Roman" w:cs="Times New Roman" w:eastAsiaTheme="minorEastAsia"/>
          <w:bCs/>
          <w:color w:val="000000" w:themeColor="text1"/>
          <w:highlight w:val="none"/>
          <w:u w:val="none"/>
          <w:lang w:eastAsia="zh-CN"/>
          <w14:textFill>
            <w14:solidFill>
              <w14:schemeClr w14:val="tx1"/>
            </w14:solidFill>
          </w14:textFill>
        </w:rPr>
        <w:t>（现名称变更为湖滨生态红线、湖泊生态黄线）</w:t>
      </w:r>
      <w:r>
        <w:rPr>
          <w:rFonts w:hint="default" w:ascii="Times New Roman" w:hAnsi="Times New Roman" w:cs="Times New Roman" w:eastAsiaTheme="minorEastAsia"/>
          <w:bCs/>
          <w:color w:val="000000" w:themeColor="text1"/>
          <w:highlight w:val="none"/>
          <w14:textFill>
            <w14:solidFill>
              <w14:schemeClr w14:val="tx1"/>
            </w14:solidFill>
          </w14:textFill>
        </w:rPr>
        <w:t>。划定抚仙湖流域边界线。</w:t>
      </w:r>
    </w:p>
    <w:p>
      <w:pPr>
        <w:ind w:firstLine="480" w:firstLineChars="200"/>
        <w:rPr>
          <w:rFonts w:hint="default" w:ascii="Times New Roman" w:hAnsi="Times New Roman" w:cs="Times New Roman" w:eastAsiaTheme="minorEastAsia"/>
          <w:bCs/>
          <w:color w:val="000000" w:themeColor="text1"/>
          <w:szCs w:val="24"/>
          <w:highlight w:val="none"/>
          <w14:textFill>
            <w14:solidFill>
              <w14:schemeClr w14:val="tx1"/>
            </w14:solidFill>
          </w14:textFill>
        </w:rPr>
      </w:pPr>
      <w:r>
        <w:rPr>
          <w:rFonts w:hint="default" w:ascii="Times New Roman" w:hAnsi="Times New Roman" w:cs="Times New Roman" w:eastAsiaTheme="minorEastAsia"/>
          <w:bCs/>
          <w:color w:val="000000" w:themeColor="text1"/>
          <w:szCs w:val="24"/>
          <w:highlight w:val="none"/>
          <w14:textFill>
            <w14:solidFill>
              <w14:schemeClr w14:val="tx1"/>
            </w14:solidFill>
          </w14:textFill>
        </w:rPr>
        <w:t>抚仙湖流域按照《澄江市国土空间规划》严格管控；一级保护区严格按照《云南省抚仙湖保护条例》进行管控，</w:t>
      </w:r>
      <w:r>
        <w:rPr>
          <w:rFonts w:hint="default" w:ascii="Times New Roman" w:hAnsi="Times New Roman" w:cs="Times New Roman" w:eastAsiaTheme="minorEastAsia"/>
          <w:bCs/>
          <w:color w:val="000000" w:themeColor="text1"/>
          <w:szCs w:val="24"/>
          <w:highlight w:val="none"/>
          <w:u w:val="none"/>
          <w14:textFill>
            <w14:solidFill>
              <w14:schemeClr w14:val="tx1"/>
            </w14:solidFill>
          </w14:textFill>
        </w:rPr>
        <w:t>一级保护区内的房屋设施、产业全部退出，违规建筑应拆尽拆；二级保护区严格按照《抚仙湖流域国土空间保护和科学利用专项规划（2018—2035）》进行管控</w:t>
      </w:r>
      <w:r>
        <w:rPr>
          <w:rFonts w:hint="default" w:ascii="Times New Roman" w:hAnsi="Times New Roman" w:cs="Times New Roman" w:eastAsiaTheme="minorEastAsia"/>
          <w:bCs/>
          <w:color w:val="000000" w:themeColor="text1"/>
          <w:szCs w:val="24"/>
          <w:highlight w:val="none"/>
          <w14:textFill>
            <w14:solidFill>
              <w14:schemeClr w14:val="tx1"/>
            </w14:solidFill>
          </w14:textFill>
        </w:rPr>
        <w:t>；坚决减少建筑工程建设，坚决不允许违法违规建设，坚决查处违法违规行为。</w:t>
      </w:r>
    </w:p>
    <w:p>
      <w:pPr>
        <w:ind w:firstLine="480" w:firstLineChars="200"/>
        <w:rPr>
          <w:rFonts w:hint="default" w:ascii="Times New Roman" w:hAnsi="Times New Roman" w:cs="Times New Roman" w:eastAsiaTheme="minorEastAsia"/>
          <w:bCs/>
          <w:color w:val="000000" w:themeColor="text1"/>
          <w:szCs w:val="24"/>
          <w:highlight w:val="none"/>
          <w14:textFill>
            <w14:solidFill>
              <w14:schemeClr w14:val="tx1"/>
            </w14:solidFill>
          </w14:textFill>
        </w:rPr>
      </w:pPr>
      <w:r>
        <w:rPr>
          <w:rFonts w:hint="default" w:ascii="Times New Roman" w:hAnsi="Times New Roman" w:cs="Times New Roman" w:eastAsiaTheme="minorEastAsia"/>
          <w:bCs/>
          <w:color w:val="000000" w:themeColor="text1"/>
          <w:szCs w:val="24"/>
          <w:highlight w:val="none"/>
          <w14:textFill>
            <w14:solidFill>
              <w14:schemeClr w14:val="tx1"/>
            </w14:solidFill>
          </w14:textFill>
        </w:rPr>
        <w:t>结合抚仙湖生态保护发展需求，对面山开发项目进行全面清理整顿，科学研判启动抚仙湖长久熔断机制，制定调减湖周的建设项目和用地规模的实施方案，停、拆、管、治多措并举，系统性、持久性解决好环湖开发强度大的问题。</w:t>
      </w:r>
    </w:p>
    <w:p>
      <w:pPr>
        <w:ind w:firstLine="480" w:firstLineChars="200"/>
        <w:rPr>
          <w:rFonts w:hint="default" w:ascii="Times New Roman" w:hAnsi="Times New Roman" w:cs="Times New Roman" w:eastAsiaTheme="minorEastAsia"/>
          <w:bCs/>
          <w:color w:val="000000" w:themeColor="text1"/>
          <w:szCs w:val="24"/>
          <w:highlight w:val="none"/>
          <w14:textFill>
            <w14:solidFill>
              <w14:schemeClr w14:val="tx1"/>
            </w14:solidFill>
          </w14:textFill>
        </w:rPr>
      </w:pPr>
      <w:r>
        <w:rPr>
          <w:rFonts w:hint="default" w:ascii="Times New Roman" w:hAnsi="Times New Roman" w:cs="Times New Roman" w:eastAsiaTheme="minorEastAsia"/>
          <w:bCs/>
          <w:color w:val="000000" w:themeColor="text1"/>
          <w:szCs w:val="24"/>
          <w:highlight w:val="none"/>
          <w14:textFill>
            <w14:solidFill>
              <w14:schemeClr w14:val="tx1"/>
            </w14:solidFill>
          </w14:textFill>
        </w:rPr>
        <w:t>立足千年大计，从严加强空间管控，多为今后留白。完成“两线”划定，690棵界桩全面落地，开展现场核实校准，实现“图、桩、数”相统一。制定“三区”管控实施细则，四个事项清单已上报省级核查。制定沿岸项目优化调整方案，16个项目全面清退7个、削减调整9个，规划建设用地面积从33186.09亩调减到7729.43亩、调减76.7%，整治“两违”图斑112个、拆除建筑面积21万平方米，“森林抚仙湖”项目抚育提升林木3万亩，流域空间管控从“长久熔断”向“永久管控”转变。</w:t>
      </w: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439" w:name="_Toc4039"/>
      <w:bookmarkStart w:id="440" w:name="_Toc30242"/>
      <w:bookmarkStart w:id="441" w:name="_Toc3203"/>
      <w:bookmarkStart w:id="442" w:name="_Toc669"/>
      <w:r>
        <w:rPr>
          <w:rFonts w:hint="default" w:ascii="Times New Roman" w:hAnsi="Times New Roman" w:cs="Times New Roman" w:eastAsiaTheme="minorEastAsia"/>
          <w:color w:val="000000" w:themeColor="text1"/>
          <w:highlight w:val="none"/>
          <w14:textFill>
            <w14:solidFill>
              <w14:schemeClr w14:val="tx1"/>
            </w14:solidFill>
          </w14:textFill>
        </w:rPr>
        <w:t>（2）截污治污体系不断完善，生活污染负荷得到有效控制</w:t>
      </w:r>
      <w:bookmarkEnd w:id="439"/>
      <w:bookmarkEnd w:id="440"/>
      <w:bookmarkEnd w:id="441"/>
      <w:bookmarkEnd w:id="442"/>
    </w:p>
    <w:p>
      <w:pPr>
        <w:spacing w:line="560" w:lineRule="exact"/>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一是城镇截污治污体系进一步完善，“十一五”以来，通过城镇污水处理厂改、扩建工程、城镇污水处理厂中水回用工程，大力提升县城污水收集处理率，县城污水处理规模提升至3万t/d。二是流域村落污水处理设施基本实现全覆盖，污水收集管网不断完善，收集处理率逐步提升，“十四五”期间，全面开展澄江市河道综合整治暨全域截污治污完善提升工程，对全域6个镇（街道）、村（社区）47个，398个村组的污水收集管网系统，村庄污水处理设施进行完善提升，对给水、雨水、污水排口进行新改建，贯通主管网，整改错混接点，完成泵站、化粪池、隔油池、小方井、支管沟渠新改建。在北片区新建规模为30000m³的污水收集调节池，在路居新建规模为5000m³的污水收集调节池；污水设施完善提升，完善提升雨污主管网、支管网及配套化粪池、泵站及检查井等内容，系统清查修复管网错接漏接、破损等问题，实施完善村落截污治污，加强污水收集及处理实施的运行管护。在全域截污治污工程基础上，精准系统开展河道综合整治，提升河道水质。三是流域生活垃圾清运设施基本完善，基本构建“村收集、镇转运、县处理”的生活垃圾处理体系，持续推进全域垃圾分级分类分拣。分期实施大山、小马沟、冷阴箐三座填埋场封场处置。对餐厨潲水、泔水进行收集，同步配套建设厨余垃圾处理设施。结合乡村振兴战略和农村人居环境整治，完善生活垃圾收集转运处理机制。项目实施后截至2025年基本实现澄江市生活垃圾无害化处理。</w:t>
      </w:r>
    </w:p>
    <w:p>
      <w:pPr>
        <w:spacing w:line="560" w:lineRule="exact"/>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按照“管好每一寸管网、每一滴污水、每一栋建筑”的要求，精准有效截污治污。流域6个片区截污治污项目已全部完工，新建截污管网368千米、化粪池4418座，查缺补漏整改雨污混流等问题962个，流域截污治污系统实现全覆盖。路居污水处理厂完成扩容，日处理能力从1500方提高到3000方。开展泔水全收处，流域内1801户餐饮经营单位、5.2万户居民全部实现集中收处，累计收处泔水5404吨。</w:t>
      </w: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443" w:name="_Toc25870"/>
      <w:bookmarkStart w:id="444" w:name="_Toc26978"/>
      <w:bookmarkStart w:id="445" w:name="_Toc22835"/>
      <w:bookmarkStart w:id="446" w:name="_Toc30009"/>
      <w:r>
        <w:rPr>
          <w:rFonts w:hint="default" w:ascii="Times New Roman" w:hAnsi="Times New Roman" w:cs="Times New Roman" w:eastAsiaTheme="minorEastAsia"/>
          <w:color w:val="000000" w:themeColor="text1"/>
          <w:highlight w:val="none"/>
          <w14:textFill>
            <w14:solidFill>
              <w14:schemeClr w14:val="tx1"/>
            </w14:solidFill>
          </w14:textFill>
        </w:rPr>
        <w:t>（3）产业结构调整实现突破，规模化畜禽养殖场全面关闭</w:t>
      </w:r>
      <w:bookmarkEnd w:id="443"/>
      <w:bookmarkEnd w:id="444"/>
      <w:bookmarkEnd w:id="445"/>
      <w:bookmarkEnd w:id="446"/>
    </w:p>
    <w:p>
      <w:pPr>
        <w:spacing w:line="560" w:lineRule="exact"/>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坚持生态优先、绿色发展，全域谋划“湖、人、城、村”，加快生产生活生态一体发展、农文旅深度融合。全年建成悦莲庄园、四季农庄等一批休闲农庄，创建马房村等5个乡村振兴示范点，荣获国家级“一村一品”称号2个。同步推进生态产品价值实现机制试点和GEP核算工作，正在探索可复制、可推广的生态文明制度成果。抚仙湖“两山”实践创新基地创建工作首次获省级推荐上报生态环境部。</w:t>
      </w:r>
    </w:p>
    <w:p>
      <w:pPr>
        <w:spacing w:line="560" w:lineRule="exact"/>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依法禁止大水大肥作物种植，禁售高毒、高残农药化肥，逐步明确不同季节、不同区域种植的具体品种，并对照执行。畜禽养殖污染防治方面，在抚仙湖“十三五”规划提出养殖业产业结构优化调整的基础上，采取摸清底数、判定区域、依法关闭搬迁等有效措施，顺利完成禁养区畜禽规模养殖场关闭工作，全面停止养殖活动，抚仙湖流域674.69km</w:t>
      </w:r>
      <w:r>
        <w:rPr>
          <w:rFonts w:hint="default" w:ascii="Times New Roman" w:hAnsi="Times New Roman" w:cs="Times New Roman" w:eastAsiaTheme="minorEastAsia"/>
          <w:color w:val="000000" w:themeColor="text1"/>
          <w:szCs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szCs w:val="24"/>
          <w:highlight w:val="none"/>
          <w14:textFill>
            <w14:solidFill>
              <w14:schemeClr w14:val="tx1"/>
            </w14:solidFill>
          </w14:textFill>
        </w:rPr>
        <w:t>全部划定为禁止养殖区，依法依规完成关闭搬迁1090户规模养殖户（企业），搬迁畜禽139.67万余头（只），畜禽粪污排放量每年减少11.3万吨。加强畜禽养殖监管，确保全流域禁养区范围内无规模畜禽养殖场，实现保卫抚仙湖生态安全的目标。</w:t>
      </w: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447" w:name="_Toc32516"/>
      <w:bookmarkStart w:id="448" w:name="_Toc5340"/>
      <w:bookmarkStart w:id="449" w:name="_Toc22765"/>
      <w:bookmarkStart w:id="450" w:name="_Toc6155"/>
      <w:r>
        <w:rPr>
          <w:rFonts w:hint="default" w:ascii="Times New Roman" w:hAnsi="Times New Roman" w:cs="Times New Roman" w:eastAsiaTheme="minorEastAsia"/>
          <w:color w:val="000000" w:themeColor="text1"/>
          <w:highlight w:val="none"/>
          <w14:textFill>
            <w14:solidFill>
              <w14:schemeClr w14:val="tx1"/>
            </w14:solidFill>
          </w14:textFill>
        </w:rPr>
        <w:t>（4）</w:t>
      </w:r>
      <w:bookmarkEnd w:id="447"/>
      <w:r>
        <w:rPr>
          <w:rFonts w:hint="default" w:ascii="Times New Roman" w:hAnsi="Times New Roman" w:cs="Times New Roman" w:eastAsiaTheme="minorEastAsia"/>
          <w:color w:val="000000" w:themeColor="text1"/>
          <w:highlight w:val="none"/>
          <w14:textFill>
            <w14:solidFill>
              <w14:schemeClr w14:val="tx1"/>
            </w14:solidFill>
          </w14:textFill>
        </w:rPr>
        <w:t>精准系统开展河道综合整治，提升河道水质</w:t>
      </w:r>
      <w:bookmarkEnd w:id="448"/>
      <w:bookmarkEnd w:id="449"/>
      <w:bookmarkEnd w:id="450"/>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480" w:firstLineChars="200"/>
        <w:textAlignment w:val="auto"/>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lang w:val="en-US" w:eastAsia="zh-CN"/>
          <w14:textFill>
            <w14:solidFill>
              <w14:schemeClr w14:val="tx1"/>
            </w14:solidFill>
          </w14:textFill>
        </w:rPr>
        <w:t>采取“截污、清淤、护坡、引水”措施，综合整治河道，持续提升水质。推进主要入湖河道水质提升一期工程建设，424个河道排口全部封堵，开挖物理隔离沟0.39万米，补种水生植物1.53万平方米。制定河道管理考核办法，深入开展“河长清河”等专项行动，累计清淤13万方。全年21条主要入湖河道除5条无水外，水质达Ⅲ类及以上11条（比2021年提高37.5%），Ⅳ类4条，Ⅴ类1条。</w:t>
      </w: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451" w:name="_Toc16041"/>
      <w:bookmarkStart w:id="452" w:name="_Toc21412"/>
      <w:bookmarkStart w:id="453" w:name="_Toc18172"/>
      <w:bookmarkStart w:id="454" w:name="_Toc4404"/>
      <w:r>
        <w:rPr>
          <w:rFonts w:hint="default" w:ascii="Times New Roman" w:hAnsi="Times New Roman" w:cs="Times New Roman" w:eastAsiaTheme="minorEastAsia"/>
          <w:color w:val="000000" w:themeColor="text1"/>
          <w:highlight w:val="none"/>
          <w14:textFill>
            <w14:solidFill>
              <w14:schemeClr w14:val="tx1"/>
            </w14:solidFill>
          </w14:textFill>
        </w:rPr>
        <w:t>（5）强化面山生态修复，持续推进抚仙湖森林抚育，提升流域水源涵养、水土保持功能</w:t>
      </w:r>
      <w:bookmarkEnd w:id="451"/>
      <w:bookmarkEnd w:id="452"/>
      <w:bookmarkEnd w:id="453"/>
      <w:bookmarkEnd w:id="454"/>
    </w:p>
    <w:p>
      <w:pPr>
        <w:spacing w:line="560" w:lineRule="exact"/>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近年来，结合抚仙湖山水林田湖草生态保护修复工程试点项目的实施，以“山水林田湖草是一个生命共同体”生态系统保护理念为指引，突出抚仙湖流域生物保护优先区，水源涵养林、湖滨带等区域的重要性，重点针对水土流失治理、矿山环境修复等亟待解决的重大问题，统筹部署，系统推进生态保护与修复工程加大石漠化、水土流失的治理及磷矿山开采治理修复力度。</w:t>
      </w:r>
    </w:p>
    <w:p>
      <w:pPr>
        <w:spacing w:line="560" w:lineRule="exact"/>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对辖区内历史遗留矿山进行生态修复，针对抚仙湖流域面山生态环境部分得到修复、整体脆弱的特征，以抚仙湖生态红线区除抚仙湖湖面范围、抚仙湖一级保护区以外的区域为重点生态修复建设范围，加强流域森林抚育，提升流域水源涵养能力和水土保持能力，通过流域磷矿迹地修复、流域水源涵养林建设、水土流失治理，切实提高流域森林覆盖率、水土保持率，全力建设抚仙湖生态圈，提升流域水源涵养、水土保持功能。</w:t>
      </w: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455" w:name="_Toc17368"/>
      <w:bookmarkStart w:id="456" w:name="_Toc13327"/>
      <w:bookmarkStart w:id="457" w:name="_Toc15786"/>
      <w:bookmarkStart w:id="458" w:name="_Toc22316"/>
      <w:r>
        <w:rPr>
          <w:rFonts w:hint="default" w:ascii="Times New Roman" w:hAnsi="Times New Roman" w:cs="Times New Roman" w:eastAsiaTheme="minorEastAsia"/>
          <w:color w:val="000000" w:themeColor="text1"/>
          <w:highlight w:val="none"/>
          <w14:textFill>
            <w14:solidFill>
              <w14:schemeClr w14:val="tx1"/>
            </w14:solidFill>
          </w14:textFill>
        </w:rPr>
        <w:t>（6）进一步优化管理机制体制，公众环境意识提高</w:t>
      </w:r>
      <w:bookmarkEnd w:id="455"/>
      <w:bookmarkEnd w:id="456"/>
      <w:bookmarkEnd w:id="457"/>
      <w:bookmarkEnd w:id="458"/>
    </w:p>
    <w:p>
      <w:pPr>
        <w:spacing w:line="560" w:lineRule="exact"/>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玉溪市委、市政府一直以来坚持依法治湖不动摇，努力构建完善相关法律法规体系、优化制度机制建设。一是夯实保护基础，通过积极争取，2007年9月颁布实施了《云南省抚仙湖保护条例》，确立了抚仙湖保护治理的基本法律依据，2016年完成《条例》修改工作。2016年9月29日，云南省第十二届人大常委会第29次会议表决通过《关于修改&lt;云南省抚仙湖保护条例&gt;的决定》，并将修改后的条例颁布实施。以《条例》为基础，配套出台了《玉溪市抚仙湖保护范围限制畜禽养殖管理办法（试行）》，于2019年5月1日正式实施；出台了《玉溪市抚仙湖非机动船管理办法》，规范非机动船入湖管理，于2019年7月1日执行。二是制定了《澄江市全面推行河长制工作方案》、《澄江市全面推行河长制2017—2020行动计划》及县镇村三级河长制工作方案等相关文件，建立县、镇、村三级河（湖）长责任体系，明确县镇村三级河（湖）长173名，河道责任单位37家，核定编制，落实经费，确保了抚仙湖103条入湖河道的日常管护。三是进一步强化规划项目责任考核制，建立健全推行“十四五”项目推进工作制度，主要包括：会议制度、信息共享制度、信息报送制度、工作督察制度等制度，由领导小组办公室负责统筹项目推进、调度，确保“十四五”项目顺利实施。根据《玉溪市“湖泊革命”指挥部工作管理制度（试行）》，指挥部充分发挥指挥部职能作用，负责“三湖”保护治理工作的组织领导、统筹协调、监督检查、任务交办等工作，定期召集成员单位研究解决工作推进中存在的困难问题。综合协调组统筹协调指挥部其他工作组开展各项工作有序进行。通过不断加强环保法律法规的宣传贯彻，以多种多样的形式开展生态、绿色创建活动，使湖泊保护思想深入人心、植入社会，并</w:t>
      </w:r>
      <w:r>
        <w:rPr>
          <w:rFonts w:hint="default" w:ascii="Times New Roman" w:hAnsi="Times New Roman" w:cs="Times New Roman" w:eastAsiaTheme="minorEastAsia"/>
          <w:color w:val="000000" w:themeColor="text1"/>
          <w:szCs w:val="24"/>
          <w:highlight w:val="none"/>
          <w:lang w:eastAsia="zh-CN"/>
          <w14:textFill>
            <w14:solidFill>
              <w14:schemeClr w14:val="tx1"/>
            </w14:solidFill>
          </w14:textFill>
        </w:rPr>
        <w:t>转</w:t>
      </w:r>
      <w:r>
        <w:rPr>
          <w:rFonts w:hint="default" w:ascii="Times New Roman" w:hAnsi="Times New Roman" w:cs="Times New Roman" w:eastAsiaTheme="minorEastAsia"/>
          <w:color w:val="000000" w:themeColor="text1"/>
          <w:szCs w:val="24"/>
          <w:highlight w:val="none"/>
          <w14:textFill>
            <w14:solidFill>
              <w14:schemeClr w14:val="tx1"/>
            </w14:solidFill>
          </w14:textFill>
        </w:rPr>
        <w:t>化为广大人民群众积极主动参与湖泊生态环境保护的自觉行动。同时，进一步加强了正面宣传引导，加强了与社会各界的沟通，营造了良好的舆论环境，提高了民众和社会各界对抚仙湖保护治理重要性、紧迫性的认识，增强了全民责任感和紧迫感，引导民众自觉加入到保护抚仙湖工作中来。</w:t>
      </w: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459" w:name="_Toc26672"/>
      <w:bookmarkStart w:id="460" w:name="_Toc21763"/>
      <w:bookmarkStart w:id="461" w:name="_Toc26077"/>
      <w:bookmarkStart w:id="462" w:name="_Toc1377"/>
      <w:r>
        <w:rPr>
          <w:rFonts w:hint="default" w:ascii="Times New Roman" w:hAnsi="Times New Roman" w:cs="Times New Roman" w:eastAsiaTheme="minorEastAsia"/>
          <w:color w:val="000000" w:themeColor="text1"/>
          <w:highlight w:val="none"/>
          <w14:textFill>
            <w14:solidFill>
              <w14:schemeClr w14:val="tx1"/>
            </w14:solidFill>
          </w14:textFill>
        </w:rPr>
        <w:t>（7）创新组织保障体系</w:t>
      </w:r>
      <w:bookmarkEnd w:id="459"/>
      <w:bookmarkEnd w:id="460"/>
      <w:bookmarkEnd w:id="461"/>
      <w:bookmarkEnd w:id="462"/>
    </w:p>
    <w:p>
      <w:pPr>
        <w:spacing w:line="560" w:lineRule="exact"/>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一是深化管理体制改革。以市、县“湖泊革命”指挥部为统领，建立保护治理长效机制，完善全流域覆盖、多层级联动、多部门协同、全社会参与的高效运行机制，构建以市镇村组四级为网格的组织指挥体系。二是深化工作责任落实。建立省级指导、市级负责、县级落实、分级推进的责任体系，严格落实“党政同责、一岗双责和失职追责”的环境保护责任制度，全面压实责任。玉溪市“湖泊革命”指挥部，作为市委、市政府的议事协调机构，履行统筹、督促、指导职责，发挥参谋助手作用，推动抚仙湖保护治理重要决策部署落实落地。各级有关部门和单位在同级政府领导下，按照职责分工，加强沟通协调、密切配合、形成合力，全面推动方案实施。三是加强队伍保障。依托玉溪市“湖泊革命”指挥部、玉溪市湖泊研究创新中心，整合国内外科研机构和团队，搭建开放式科研平台，推进以项目为核心的驻地研究方式，组织高水平基础研究，提升科技管理水平，加强抚仙湖基础调查研究，做好抚仙湖保护治理精准研究，为抚仙湖保护治理精准施策、精准治污提供强有力的技术支撑。</w:t>
      </w:r>
    </w:p>
    <w:p>
      <w:pPr>
        <w:pStyle w:val="4"/>
        <w:spacing w:before="120" w:after="120" w:line="480" w:lineRule="auto"/>
        <w:rPr>
          <w:rFonts w:hint="default" w:ascii="Times New Roman" w:hAnsi="Times New Roman" w:cs="Times New Roman" w:eastAsiaTheme="minorEastAsia"/>
          <w:color w:val="000000" w:themeColor="text1"/>
          <w:highlight w:val="none"/>
          <w14:textFill>
            <w14:solidFill>
              <w14:schemeClr w14:val="tx1"/>
            </w14:solidFill>
          </w14:textFill>
        </w:rPr>
      </w:pPr>
      <w:bookmarkStart w:id="463" w:name="_Toc9019"/>
      <w:r>
        <w:rPr>
          <w:rFonts w:hint="default" w:ascii="Times New Roman" w:hAnsi="Times New Roman" w:cs="Times New Roman" w:eastAsiaTheme="minorEastAsia"/>
          <w:color w:val="000000" w:themeColor="text1"/>
          <w:highlight w:val="none"/>
          <w14:textFill>
            <w14:solidFill>
              <w14:schemeClr w14:val="tx1"/>
            </w14:solidFill>
          </w14:textFill>
        </w:rPr>
        <w:t>5.3存在问题及风险挑战</w:t>
      </w:r>
      <w:bookmarkEnd w:id="463"/>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464" w:name="_Toc373082741"/>
      <w:bookmarkStart w:id="465" w:name="_Toc3229"/>
      <w:bookmarkStart w:id="466" w:name="_Toc11849486"/>
      <w:bookmarkStart w:id="467" w:name="_Toc11012"/>
      <w:bookmarkStart w:id="468" w:name="_Toc25214"/>
      <w:bookmarkStart w:id="469" w:name="_Toc31041"/>
      <w:r>
        <w:rPr>
          <w:rFonts w:hint="default" w:ascii="Times New Roman" w:hAnsi="Times New Roman" w:cs="Times New Roman" w:eastAsiaTheme="minorEastAsia"/>
          <w:color w:val="000000" w:themeColor="text1"/>
          <w:highlight w:val="none"/>
          <w14:textFill>
            <w14:solidFill>
              <w14:schemeClr w14:val="tx1"/>
            </w14:solidFill>
          </w14:textFill>
        </w:rPr>
        <w:t>（1）抚仙湖保护治理形势发生变化，规划项目大部分启动，</w:t>
      </w:r>
      <w:bookmarkEnd w:id="464"/>
      <w:r>
        <w:rPr>
          <w:rFonts w:hint="default" w:ascii="Times New Roman" w:hAnsi="Times New Roman" w:cs="Times New Roman" w:eastAsiaTheme="minorEastAsia"/>
          <w:color w:val="000000" w:themeColor="text1"/>
          <w:highlight w:val="none"/>
          <w14:textFill>
            <w14:solidFill>
              <w14:schemeClr w14:val="tx1"/>
            </w14:solidFill>
          </w14:textFill>
        </w:rPr>
        <w:t>部分项目需整合统筹，项目推进缓慢，项目完工率低。</w:t>
      </w:r>
      <w:bookmarkEnd w:id="465"/>
      <w:bookmarkEnd w:id="466"/>
      <w:bookmarkEnd w:id="467"/>
      <w:bookmarkEnd w:id="468"/>
      <w:bookmarkEnd w:id="469"/>
    </w:p>
    <w:p>
      <w:pPr>
        <w:ind w:firstLine="480" w:firstLineChars="200"/>
        <w:rPr>
          <w:rFonts w:hint="default" w:ascii="Times New Roman" w:hAnsi="Times New Roman" w:cs="Times New Roman" w:eastAsiaTheme="minorEastAsia"/>
          <w:color w:val="000000" w:themeColor="text1"/>
          <w:szCs w:val="24"/>
          <w:highlight w:val="none"/>
          <w:u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《抚仙湖流域水环境保护治理“十四五”规划》涵盖空间管控类、</w:t>
      </w:r>
      <w:r>
        <w:rPr>
          <w:rFonts w:hint="default" w:ascii="Times New Roman" w:hAnsi="Times New Roman" w:cs="Times New Roman" w:eastAsiaTheme="minorEastAsia"/>
          <w:color w:val="000000" w:themeColor="text1"/>
          <w:szCs w:val="24"/>
          <w:highlight w:val="none"/>
          <w:u w:val="none"/>
          <w14:textFill>
            <w14:solidFill>
              <w14:schemeClr w14:val="tx1"/>
            </w14:solidFill>
          </w14:textFill>
        </w:rPr>
        <w:t>水资源保护与利用类、水污染防治类、水环境综合治理类、生态修复类、水灾害防治类、监管执法、河湖长制工作类八大类共24个项目，截至2023年6月，</w:t>
      </w:r>
      <w:r>
        <w:rPr>
          <w:rFonts w:hint="eastAsia" w:cs="Times New Roman" w:eastAsiaTheme="minorEastAsia"/>
          <w:color w:val="000000" w:themeColor="text1"/>
          <w:szCs w:val="24"/>
          <w:highlight w:val="none"/>
          <w:u w:val="none"/>
          <w:lang w:val="en-US" w:eastAsia="zh-CN"/>
          <w14:textFill>
            <w14:solidFill>
              <w14:schemeClr w14:val="tx1"/>
            </w14:solidFill>
          </w14:textFill>
        </w:rPr>
        <w:t>完工项目1个，</w:t>
      </w:r>
      <w:r>
        <w:rPr>
          <w:rFonts w:hint="default" w:ascii="Times New Roman" w:hAnsi="Times New Roman" w:cs="Times New Roman" w:eastAsiaTheme="minorEastAsia"/>
          <w:bCs/>
          <w:color w:val="000000" w:themeColor="text1"/>
          <w:highlight w:val="none"/>
          <w14:textFill>
            <w14:solidFill>
              <w14:schemeClr w14:val="tx1"/>
            </w14:solidFill>
          </w14:textFill>
        </w:rPr>
        <w:t>项目完工率</w:t>
      </w: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4.17</w:t>
      </w:r>
      <w:r>
        <w:rPr>
          <w:rFonts w:hint="default" w:ascii="Times New Roman" w:hAnsi="Times New Roman" w:cs="Times New Roman" w:eastAsiaTheme="minorEastAsia"/>
          <w:bCs/>
          <w:color w:val="000000" w:themeColor="text1"/>
          <w:highlight w:val="none"/>
          <w14:textFill>
            <w14:solidFill>
              <w14:schemeClr w14:val="tx1"/>
            </w14:solidFill>
          </w14:textFill>
        </w:rPr>
        <w:t>%；</w:t>
      </w:r>
      <w:r>
        <w:rPr>
          <w:rFonts w:hint="default" w:ascii="Times New Roman" w:hAnsi="Times New Roman" w:cs="Times New Roman" w:eastAsiaTheme="minorEastAsia"/>
          <w:color w:val="000000" w:themeColor="text1"/>
          <w:szCs w:val="24"/>
          <w:highlight w:val="none"/>
          <w:u w:val="none"/>
          <w14:textFill>
            <w14:solidFill>
              <w14:schemeClr w14:val="tx1"/>
            </w14:solidFill>
          </w14:textFill>
        </w:rPr>
        <w:t>；在建项目17个，项目在建率70.8%；前期项目1个，项目前期率4.2%，还有5个项目未启动。抚仙湖</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十四五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u w:val="none"/>
          <w14:textFill>
            <w14:solidFill>
              <w14:schemeClr w14:val="tx1"/>
            </w14:solidFill>
          </w14:textFill>
        </w:rPr>
        <w:t>规划执行周期过半，而项目完工率低，</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十四五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u w:val="none"/>
          <w14:textFill>
            <w14:solidFill>
              <w14:schemeClr w14:val="tx1"/>
            </w14:solidFill>
          </w14:textFill>
        </w:rPr>
        <w:t>后期要顺利完成规划任务压力较大。</w:t>
      </w:r>
    </w:p>
    <w:p>
      <w:pPr>
        <w:widowControl/>
        <w:ind w:firstLine="480" w:firstLineChars="200"/>
        <w:jc w:val="left"/>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根据项目组调研，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十四五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14:textFill>
            <w14:solidFill>
              <w14:schemeClr w14:val="tx1"/>
            </w14:solidFill>
          </w14:textFill>
        </w:rPr>
        <w:t>以来，抚仙湖保护治理形势发生变化，为保障抚仙湖良好水质，地方各部门积极争取资金提速部门专项规划实施。在此背景下，一是</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十四五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14:textFill>
            <w14:solidFill>
              <w14:schemeClr w14:val="tx1"/>
            </w14:solidFill>
          </w14:textFill>
        </w:rPr>
        <w:t>规划部分项目已不能适应抚仙湖新形势变化，如抚仙湖环湖生态移民搬迁安置工程、环湖路改造提升工程和三湖流域水环境保护数字化监管系统建设项目由于湖泊保护政策的变化和实施必要性发生变化，故本次评估调整对该项目进行调出。二是部分项目实施地点不再具备实施条件，需要进行动态调整，</w:t>
      </w:r>
      <w:r>
        <w:rPr>
          <w:rFonts w:hint="default" w:ascii="Times New Roman" w:hAnsi="Times New Roman" w:cs="Times New Roman" w:eastAsiaTheme="minorEastAsia"/>
          <w:color w:val="000000" w:themeColor="text1"/>
          <w:highlight w:val="none"/>
          <w14:textFill>
            <w14:solidFill>
              <w14:schemeClr w14:val="tx1"/>
            </w14:solidFill>
          </w14:textFill>
        </w:rPr>
        <w:t>结合《云南省人民政府关于九大高原湖泊“三区”管控的指导意见》（云政发</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2022</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25号）、玉溪市人民政府印发《抚仙湖保护“三区"管控实施细则（试行）》等文件，抚仙湖环湖生态廊道项目的东、南、西岸因“三线三区”划定已不具备项目实施条件，项目实施内容需进行调减。由于没有用地指标，目前大山、小马沟、冷阴箐垃圾填埋场已做临时应急封场，风险隐患暂时得到控制，但完全消除风险隐患，还需要妥善开展渗滤液处置工作。</w:t>
      </w:r>
      <w:r>
        <w:rPr>
          <w:rFonts w:hint="eastAsia" w:cs="Times New Roman" w:eastAsiaTheme="minorEastAsia"/>
          <w:color w:val="000000" w:themeColor="text1"/>
          <w:highlight w:val="none"/>
          <w:lang w:val="en-US" w:eastAsia="zh-CN"/>
          <w14:textFill>
            <w14:solidFill>
              <w14:schemeClr w14:val="tx1"/>
            </w14:solidFill>
          </w14:textFill>
        </w:rPr>
        <w:t>三</w:t>
      </w:r>
      <w:r>
        <w:rPr>
          <w:rFonts w:hint="default" w:ascii="Times New Roman" w:hAnsi="Times New Roman" w:cs="Times New Roman" w:eastAsiaTheme="minorEastAsia"/>
          <w:color w:val="000000" w:themeColor="text1"/>
          <w:szCs w:val="24"/>
          <w:highlight w:val="none"/>
          <w14:textFill>
            <w14:solidFill>
              <w14:schemeClr w14:val="tx1"/>
            </w14:solidFill>
          </w14:textFill>
        </w:rPr>
        <w:t>是由于近年来抚仙湖水位均处于下降趋势，新增取水替代</w:t>
      </w:r>
      <w:r>
        <w:rPr>
          <w:rFonts w:hint="default" w:ascii="Times New Roman" w:hAnsi="Times New Roman" w:cs="Times New Roman" w:eastAsiaTheme="minorEastAsia"/>
          <w:bCs/>
          <w:color w:val="000000" w:themeColor="text1"/>
          <w:highlight w:val="none"/>
          <w14:textFill>
            <w14:solidFill>
              <w14:schemeClr w14:val="tx1"/>
            </w14:solidFill>
          </w14:textFill>
        </w:rPr>
        <w:t>工程项目，通过实施调水管网延伸扩建工程和滇中引水配套工程，通过置换供水工程对增加抚仙湖入湖清水量、向沿湖周边集镇和村庄供水可替代沿湖周边用水，减少对抚仙湖直接取水，可一定程度缓解水位逐年下降的问题，有效缓解抚仙湖流域水资源过度开发状况，从而达到保护高原湖泊水生态和促进抚仙湖保护与周边经济协调发展的目标</w:t>
      </w:r>
      <w:r>
        <w:rPr>
          <w:rFonts w:hint="eastAsia" w:cs="Times New Roman" w:eastAsiaTheme="minorEastAsia"/>
          <w:bCs/>
          <w:color w:val="000000" w:themeColor="text1"/>
          <w:highlight w:val="none"/>
          <w:lang w:eastAsia="zh-CN"/>
          <w14:textFill>
            <w14:solidFill>
              <w14:schemeClr w14:val="tx1"/>
            </w14:solidFill>
          </w14:textFill>
        </w:rPr>
        <w:t>，</w:t>
      </w:r>
      <w:r>
        <w:rPr>
          <w:rFonts w:hint="eastAsia" w:cs="Times New Roman" w:eastAsiaTheme="minorEastAsia"/>
          <w:bCs/>
          <w:color w:val="000000" w:themeColor="text1"/>
          <w:highlight w:val="none"/>
          <w:lang w:val="en-US" w:eastAsia="zh-CN"/>
          <w14:textFill>
            <w14:solidFill>
              <w14:schemeClr w14:val="tx1"/>
            </w14:solidFill>
          </w14:textFill>
        </w:rPr>
        <w:t>实施引调水工程对于抚仙湖的水质影响还应进一步研究</w:t>
      </w:r>
      <w:r>
        <w:rPr>
          <w:rFonts w:hint="default" w:ascii="Times New Roman" w:hAnsi="Times New Roman" w:cs="Times New Roman" w:eastAsiaTheme="minorEastAsia"/>
          <w:bCs/>
          <w:color w:val="000000" w:themeColor="text1"/>
          <w:highlight w:val="none"/>
          <w14:textFill>
            <w14:solidFill>
              <w14:schemeClr w14:val="tx1"/>
            </w14:solidFill>
          </w14:textFill>
        </w:rPr>
        <w:t>。</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此外，部分项目征占地的协调，规划项目推进过程中管理主体、责任主体不清晰，不统一，造成规划项目推进缓慢。未来2年内，如果不切实基于目前抚仙湖保护治理形势变化，加快</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十四五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14:textFill>
            <w14:solidFill>
              <w14:schemeClr w14:val="tx1"/>
            </w14:solidFill>
          </w14:textFill>
        </w:rPr>
        <w:t>规划项目与专项行动规划、部门规划项目的统筹协调，同时加强抚仙湖“十四五”规划项目监管力度和目标责任制的落实，按规划进度要求全面完成则存在难度。</w:t>
      </w: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470" w:name="_Toc373082742"/>
      <w:bookmarkStart w:id="471" w:name="_Toc19748"/>
      <w:bookmarkStart w:id="472" w:name="_Toc25294"/>
      <w:bookmarkStart w:id="473" w:name="_Toc11647"/>
      <w:bookmarkStart w:id="474" w:name="_Toc11849487"/>
      <w:bookmarkStart w:id="475" w:name="_Toc2987"/>
      <w:r>
        <w:rPr>
          <w:rFonts w:hint="default" w:ascii="Times New Roman" w:hAnsi="Times New Roman" w:cs="Times New Roman" w:eastAsiaTheme="minorEastAsia"/>
          <w:color w:val="000000" w:themeColor="text1"/>
          <w:highlight w:val="none"/>
          <w14:textFill>
            <w14:solidFill>
              <w14:schemeClr w14:val="tx1"/>
            </w14:solidFill>
          </w14:textFill>
        </w:rPr>
        <w:t>（2）规划项目资金缺口大，</w:t>
      </w:r>
      <w:bookmarkEnd w:id="470"/>
      <w:r>
        <w:rPr>
          <w:rFonts w:hint="default" w:ascii="Times New Roman" w:hAnsi="Times New Roman" w:cs="Times New Roman" w:eastAsiaTheme="minorEastAsia"/>
          <w:color w:val="000000" w:themeColor="text1"/>
          <w:highlight w:val="none"/>
          <w14:textFill>
            <w14:solidFill>
              <w14:schemeClr w14:val="tx1"/>
            </w14:solidFill>
          </w14:textFill>
        </w:rPr>
        <w:t>资金筹措困难，制约工程建设进度</w:t>
      </w:r>
      <w:bookmarkEnd w:id="471"/>
      <w:bookmarkEnd w:id="472"/>
      <w:bookmarkEnd w:id="473"/>
      <w:bookmarkEnd w:id="474"/>
      <w:bookmarkEnd w:id="475"/>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根据《“十四五”规划》规划总投资749182万元，截至2023年6月，批复投资238681万元，已到位资金181317万元，以批复投资为基数，资金到位率为73.31%；以规划投资为基数，资金到位率为24.2%，其中中央补助资金3733万元，项目资金中央补助率为0.50%，省级补助142758万元，项目资金省级补助率为18.9%，州市配套2981万元，项目资金州市配套率为0.40%，县级配套2403万元，项目资金县级配套率0.32%，自筹资金29441万元，项目资金自筹率3.93%。项目已完成投资135928万元，以批复投资为基数，投资完成率54.96%，以规划投资为基数，投资完成率18.14%。</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资金是保障项目得以顺利推动的主要因素之一，目前抚仙湖</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十四五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14:textFill>
            <w14:solidFill>
              <w14:schemeClr w14:val="tx1"/>
            </w14:solidFill>
          </w14:textFill>
        </w:rPr>
        <w:t>规划资金到位率低的主要原因经分析主要有以下几方面：一是虽抚仙湖初步形成了由多元投资主体和多种渠道及手段组成的投融资格局，但从各投资主体和手段的作用与贡献看，传统模式仍未发生根本性变化。除了有限的政府财政资金、尚不健全的环境相关收费和企业自筹资金等渠道外，其他投资主体和向社会筹集资金的商业融资手段的作用严重不足，尤其是对于纯公益性项目，缺乏现金流支撑，社会融资和企业投资的可能性较小，项目本身而言就难以在当前的金融形势下取得市场性资金支持，仅靠政府投资实施项目难度较大。</w:t>
      </w: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476" w:name="_Toc3015"/>
      <w:bookmarkStart w:id="477" w:name="_Toc11849488"/>
      <w:bookmarkStart w:id="478" w:name="_Toc1305"/>
      <w:bookmarkStart w:id="479" w:name="_Toc8275"/>
      <w:bookmarkStart w:id="480" w:name="_Toc27926"/>
      <w:bookmarkStart w:id="481" w:name="_Toc373082744"/>
      <w:r>
        <w:rPr>
          <w:rFonts w:hint="default" w:ascii="Times New Roman" w:hAnsi="Times New Roman" w:cs="Times New Roman" w:eastAsiaTheme="minorEastAsia"/>
          <w:color w:val="000000" w:themeColor="text1"/>
          <w:highlight w:val="none"/>
          <w14:textFill>
            <w14:solidFill>
              <w14:schemeClr w14:val="tx1"/>
            </w14:solidFill>
          </w14:textFill>
        </w:rPr>
        <w:t>（3）部分入湖河流水质尚未达标</w:t>
      </w:r>
      <w:bookmarkEnd w:id="476"/>
      <w:bookmarkEnd w:id="477"/>
      <w:bookmarkEnd w:id="478"/>
      <w:bookmarkEnd w:id="479"/>
      <w:bookmarkEnd w:id="480"/>
      <w:bookmarkEnd w:id="481"/>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从多年及逐月变化趋势均可看出，抚仙湖21条主要入湖河流仍有部分河流存在超标现象，主要超标因子为TP、NH</w:t>
      </w:r>
      <w:r>
        <w:rPr>
          <w:rFonts w:hint="default" w:ascii="Times New Roman" w:hAnsi="Times New Roman" w:cs="Times New Roman" w:eastAsiaTheme="minorEastAsia"/>
          <w:color w:val="000000" w:themeColor="text1"/>
          <w:szCs w:val="24"/>
          <w:highlight w:val="none"/>
          <w:vertAlign w:val="subscript"/>
          <w14:textFill>
            <w14:solidFill>
              <w14:schemeClr w14:val="tx1"/>
            </w14:solidFill>
          </w14:textFill>
        </w:rPr>
        <w:t>3</w:t>
      </w:r>
      <w:r>
        <w:rPr>
          <w:rFonts w:hint="default" w:ascii="Times New Roman" w:hAnsi="Times New Roman" w:cs="Times New Roman" w:eastAsiaTheme="minorEastAsia"/>
          <w:color w:val="000000" w:themeColor="text1"/>
          <w:szCs w:val="24"/>
          <w:highlight w:val="none"/>
          <w14:textFill>
            <w14:solidFill>
              <w14:schemeClr w14:val="tx1"/>
            </w14:solidFill>
          </w14:textFill>
        </w:rPr>
        <w:t>-N、COD、BOD</w:t>
      </w:r>
      <w:r>
        <w:rPr>
          <w:rFonts w:hint="default" w:ascii="Times New Roman" w:hAnsi="Times New Roman" w:cs="Times New Roman" w:eastAsiaTheme="minorEastAsia"/>
          <w:color w:val="000000" w:themeColor="text1"/>
          <w:szCs w:val="24"/>
          <w:highlight w:val="none"/>
          <w:vertAlign w:val="subscript"/>
          <w14:textFill>
            <w14:solidFill>
              <w14:schemeClr w14:val="tx1"/>
            </w14:solidFill>
          </w14:textFill>
        </w:rPr>
        <w:t>5</w:t>
      </w:r>
      <w:r>
        <w:rPr>
          <w:rFonts w:hint="default" w:ascii="Times New Roman" w:hAnsi="Times New Roman" w:cs="Times New Roman" w:eastAsiaTheme="minorEastAsia"/>
          <w:color w:val="000000" w:themeColor="text1"/>
          <w:szCs w:val="24"/>
          <w:highlight w:val="none"/>
          <w14:textFill>
            <w14:solidFill>
              <w14:schemeClr w14:val="tx1"/>
            </w14:solidFill>
          </w14:textFill>
        </w:rPr>
        <w:t>。评估期内，</w:t>
      </w:r>
      <w:r>
        <w:rPr>
          <w:rFonts w:hint="default" w:ascii="Times New Roman" w:hAnsi="Times New Roman" w:cs="Times New Roman" w:eastAsiaTheme="minorEastAsia"/>
          <w:color w:val="000000" w:themeColor="text1"/>
          <w:highlight w:val="none"/>
          <w14:textFill>
            <w14:solidFill>
              <w14:schemeClr w14:val="tx1"/>
            </w14:solidFill>
          </w14:textFill>
        </w:rPr>
        <w:t>2022年21条主要河流中，路岐河、矣度河、居乐河3条为I类沙亥河、龙溪沟、东大河、玉带河(隔河)、尖山河、山冲河、牛摩河、梁王河8条为II类，路居河(大</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鲫</w:t>
      </w:r>
      <w:r>
        <w:rPr>
          <w:rFonts w:hint="default" w:ascii="Times New Roman" w:hAnsi="Times New Roman" w:cs="Times New Roman" w:eastAsiaTheme="minorEastAsia"/>
          <w:color w:val="000000" w:themeColor="text1"/>
          <w:highlight w:val="none"/>
          <w14:textFill>
            <w14:solidFill>
              <w14:schemeClr w14:val="tx1"/>
            </w14:solidFill>
          </w14:textFill>
        </w:rPr>
        <w:t>鱼河)、抚澄河(马料河)、马房中沟、窑泥沟4条为IV类，代村河为V类，大清沟、独房大沟、马房西沟、地涧沟、矣马谷大河5条无水未监测。监测断面中水质为I类的占14.3%、I类的占38.1%、IV类的占19.0%、V类的占4.8%，无水未监测的占23.8%。以</w:t>
      </w:r>
      <w:r>
        <w:rPr>
          <w:rFonts w:hint="eastAsia" w:cs="Times New Roman" w:eastAsiaTheme="minorEastAsia"/>
          <w:color w:val="000000" w:themeColor="text1"/>
          <w:highlight w:val="none"/>
          <w:lang w:val="en-US" w:eastAsia="zh-CN"/>
          <w14:textFill>
            <w14:solidFill>
              <w14:schemeClr w14:val="tx1"/>
            </w14:solidFill>
          </w14:textFill>
        </w:rPr>
        <w:t>2025年</w:t>
      </w:r>
      <w:r>
        <w:rPr>
          <w:rFonts w:hint="default" w:ascii="Times New Roman" w:hAnsi="Times New Roman" w:cs="Times New Roman" w:eastAsiaTheme="minorEastAsia"/>
          <w:color w:val="000000" w:themeColor="text1"/>
          <w:highlight w:val="none"/>
          <w14:textFill>
            <w14:solidFill>
              <w14:schemeClr w14:val="tx1"/>
            </w14:solidFill>
          </w14:textFill>
        </w:rPr>
        <w:t>河流考核目标主要入湖河流水质优良率（Ⅲ类及以上）</w:t>
      </w:r>
      <w:r>
        <w:rPr>
          <w:rFonts w:hint="eastAsia" w:cs="Times New Roman" w:eastAsiaTheme="minorEastAsia"/>
          <w:color w:val="000000" w:themeColor="text1"/>
          <w:highlight w:val="none"/>
          <w:lang w:val="en-US" w:eastAsia="zh-CN"/>
          <w14:textFill>
            <w14:solidFill>
              <w14:schemeClr w14:val="tx1"/>
            </w14:solidFill>
          </w14:textFill>
        </w:rPr>
        <w:t>100%来看，2021年达40%，2022年水质优良Ⅲ类及以上（不含无水河道）达到52.38%，距离达到100%的目标相差甚远</w:t>
      </w:r>
      <w:r>
        <w:rPr>
          <w:rFonts w:hint="default" w:ascii="Times New Roman" w:hAnsi="Times New Roman" w:cs="Times New Roman" w:eastAsiaTheme="minorEastAsia"/>
          <w:color w:val="000000" w:themeColor="text1"/>
          <w:szCs w:val="24"/>
          <w:highlight w:val="none"/>
          <w14:textFill>
            <w14:solidFill>
              <w14:schemeClr w14:val="tx1"/>
            </w14:solidFill>
          </w14:textFill>
        </w:rPr>
        <w:t>。</w:t>
      </w:r>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由此可见，抚仙湖主要入湖河流离达到规划目标仍有一段距离，且目前“十四五”规划项目中涉及入河道水质提升工程均处于在建阶段，项目总体推进缓慢，大多与资金到位率及前期协调工作困难有关；同时虽部分河流已顺利推进实施，但因项目前期设计合理性问题及当前政策变动的问题，实施过程与原设计存在出入，可能会导致河道整治工程最终无法达到预期效益；另外，目前正在实施的河流环境综合整治工程治理重心有偏移，存在“治标不治本”的现象，现阶段治理更偏重于河道内整治，如河道清淤、边坡河底整治等，而河流作为污染物的主要输移通道，治理重点本应放在陆域污染源控制，包括水土流失治理、沿河截污、生态修复等，才能从根本上改善入湖河流水质。综上分析，</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十四五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14:textFill>
            <w14:solidFill>
              <w14:schemeClr w14:val="tx1"/>
            </w14:solidFill>
          </w14:textFill>
        </w:rPr>
        <w:t>规划末期主要入湖河流水质（达Ⅲ类及以上100%）达标存在一定难度。</w:t>
      </w:r>
    </w:p>
    <w:p>
      <w:pPr>
        <w:pStyle w:val="5"/>
        <w:rPr>
          <w:rFonts w:hint="default" w:ascii="Times New Roman" w:hAnsi="Times New Roman" w:cs="Times New Roman" w:eastAsiaTheme="minorEastAsia"/>
          <w:color w:val="000000" w:themeColor="text1"/>
          <w:highlight w:val="none"/>
          <w14:textFill>
            <w14:solidFill>
              <w14:schemeClr w14:val="tx1"/>
            </w14:solidFill>
          </w14:textFill>
        </w:rPr>
      </w:pPr>
      <w:bookmarkStart w:id="482" w:name="_Toc373082743"/>
      <w:bookmarkStart w:id="483" w:name="_Toc11849489"/>
      <w:bookmarkStart w:id="484" w:name="_Toc269"/>
      <w:bookmarkStart w:id="485" w:name="_Toc29230"/>
      <w:bookmarkStart w:id="486" w:name="_Toc20039"/>
      <w:bookmarkStart w:id="487" w:name="_Toc26131"/>
      <w:r>
        <w:rPr>
          <w:rFonts w:hint="default" w:ascii="Times New Roman" w:hAnsi="Times New Roman" w:cs="Times New Roman" w:eastAsiaTheme="minorEastAsia"/>
          <w:color w:val="000000" w:themeColor="text1"/>
          <w:highlight w:val="none"/>
          <w14:textFill>
            <w14:solidFill>
              <w14:schemeClr w14:val="tx1"/>
            </w14:solidFill>
          </w14:textFill>
        </w:rPr>
        <w:t>（4）抚仙湖湖体稳定保持I类水质目标</w:t>
      </w:r>
      <w:bookmarkEnd w:id="482"/>
      <w:r>
        <w:rPr>
          <w:rFonts w:hint="default" w:ascii="Times New Roman" w:hAnsi="Times New Roman" w:cs="Times New Roman" w:eastAsiaTheme="minorEastAsia"/>
          <w:color w:val="000000" w:themeColor="text1"/>
          <w:highlight w:val="none"/>
          <w14:textFill>
            <w14:solidFill>
              <w14:schemeClr w14:val="tx1"/>
            </w14:solidFill>
          </w14:textFill>
        </w:rPr>
        <w:t>形势严峻</w:t>
      </w:r>
      <w:bookmarkEnd w:id="483"/>
      <w:bookmarkEnd w:id="484"/>
      <w:bookmarkEnd w:id="485"/>
      <w:bookmarkEnd w:id="486"/>
      <w:bookmarkEnd w:id="487"/>
    </w:p>
    <w:p>
      <w:pPr>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bookmarkStart w:id="488" w:name="_Toc373082745"/>
      <w:r>
        <w:rPr>
          <w:rFonts w:hint="default" w:ascii="Times New Roman" w:hAnsi="Times New Roman" w:cs="Times New Roman" w:eastAsiaTheme="minorEastAsia"/>
          <w:color w:val="000000" w:themeColor="text1"/>
          <w:szCs w:val="24"/>
          <w:highlight w:val="none"/>
          <w14:textFill>
            <w14:solidFill>
              <w14:schemeClr w14:val="tx1"/>
            </w14:solidFill>
          </w14:textFill>
        </w:rPr>
        <w:t>2021，抚仙湖全湖平均综合水质类别评价结果虽为I类，但部分指标存在缓慢升趋势，逐渐逼近I类水质标准限值，TN全湖平均值上升趋势较为明显，2022年全湖平均水质类别评价结果已为Ⅱ类水质，稳定保持</w:t>
      </w:r>
      <w:r>
        <w:rPr>
          <w:rFonts w:hint="default" w:ascii="Times New Roman" w:hAnsi="Times New Roman" w:cs="Times New Roman" w:eastAsiaTheme="minorEastAsia"/>
          <w:color w:val="000000" w:themeColor="text1"/>
          <w:highlight w:val="none"/>
          <w14:textFill>
            <w14:solidFill>
              <w14:schemeClr w14:val="tx1"/>
            </w14:solidFill>
          </w14:textFill>
        </w:rPr>
        <w:t>I类水质的目标已迫在眉睫</w:t>
      </w:r>
      <w:r>
        <w:rPr>
          <w:rFonts w:hint="default" w:ascii="Times New Roman" w:hAnsi="Times New Roman" w:cs="Times New Roman" w:eastAsiaTheme="minorEastAsia"/>
          <w:color w:val="000000" w:themeColor="text1"/>
          <w:szCs w:val="24"/>
          <w:highlight w:val="none"/>
          <w14:textFill>
            <w14:solidFill>
              <w14:schemeClr w14:val="tx1"/>
            </w14:solidFill>
          </w14:textFill>
        </w:rPr>
        <w:t>，历史上也存在偶发性超标，如1998年全湖</w:t>
      </w:r>
      <w:r>
        <w:rPr>
          <w:rFonts w:hint="default" w:ascii="Times New Roman" w:hAnsi="Times New Roman" w:cs="Times New Roman" w:eastAsiaTheme="minorEastAsia"/>
          <w:color w:val="000000" w:themeColor="text1"/>
          <w:szCs w:val="24"/>
          <w:highlight w:val="none"/>
          <w:lang w:val="en-US" w:eastAsia="zh-CN"/>
          <w14:textFill>
            <w14:solidFill>
              <w14:schemeClr w14:val="tx1"/>
            </w14:solidFill>
          </w14:textFill>
        </w:rPr>
        <w:t>TP</w:t>
      </w:r>
      <w:r>
        <w:rPr>
          <w:rFonts w:hint="default" w:ascii="Times New Roman" w:hAnsi="Times New Roman" w:cs="Times New Roman" w:eastAsiaTheme="minorEastAsia"/>
          <w:color w:val="000000" w:themeColor="text1"/>
          <w:szCs w:val="24"/>
          <w:highlight w:val="none"/>
          <w14:textFill>
            <w14:solidFill>
              <w14:schemeClr w14:val="tx1"/>
            </w14:solidFill>
          </w14:textFill>
        </w:rPr>
        <w:t>平均值高达0.02mg/L，达到Ⅱ类水平。由此，湖体综合水质类别稳定维持I类风险越来越大，营养状态指数由1980年的6.8上升至2017年21.6，上升了3倍，从空间上分析，目前抚仙湖水污染依然存在自湖岸向湖心推进的趋势。值得注意的是，2018年部分湖湾偶有零星蓝藻现象发生。</w:t>
      </w:r>
      <w:r>
        <w:rPr>
          <w:rFonts w:hint="default" w:ascii="Times New Roman" w:hAnsi="Times New Roman" w:cs="Times New Roman" w:eastAsiaTheme="minorEastAsia"/>
          <w:b w:val="0"/>
          <w:bCs w:val="0"/>
          <w:color w:val="000000" w:themeColor="text1"/>
          <w:szCs w:val="24"/>
          <w:highlight w:val="none"/>
          <w:lang w:eastAsia="zh-CN"/>
          <w14:textFill>
            <w14:solidFill>
              <w14:schemeClr w14:val="tx1"/>
            </w14:solidFill>
          </w14:textFill>
        </w:rPr>
        <w:t>抚仙湖沿岸局部人口较为密集的区域</w:t>
      </w:r>
      <w:r>
        <w:rPr>
          <w:rFonts w:hint="default" w:ascii="Times New Roman" w:hAnsi="Times New Roman" w:cs="Times New Roman" w:eastAsiaTheme="minorEastAsia"/>
          <w:color w:val="000000" w:themeColor="text1"/>
          <w:szCs w:val="24"/>
          <w:highlight w:val="none"/>
          <w14:textFill>
            <w14:solidFill>
              <w14:schemeClr w14:val="tx1"/>
            </w14:solidFill>
          </w14:textFill>
        </w:rPr>
        <w:t>，虽已在逐步推进“四推三还”工程实施，但因部分村落由于资金缺口大，政府财政赤字原因，现阶段仍未全面退出，一些区域受临岸村落生活截污不彻底的影响，TN、TP及有机污染风险仍然较高。另外，湖体水质作为全流域污染治理成效的集中体现，在目前湖体水质逼近I类水质标准限值的局面下，若“十四五”后期项目实施进度得不到保障，将不能完全保障“湖体稳定保持I类”规划目标。</w:t>
      </w:r>
    </w:p>
    <w:p>
      <w:pPr>
        <w:pStyle w:val="5"/>
        <w:rPr>
          <w:rFonts w:hint="default" w:ascii="Times New Roman" w:hAnsi="Times New Roman" w:cs="Times New Roman" w:eastAsiaTheme="minorEastAsia"/>
          <w:color w:val="000000" w:themeColor="text1"/>
          <w:highlight w:val="none"/>
          <w:lang w:val="en-US"/>
          <w14:textFill>
            <w14:solidFill>
              <w14:schemeClr w14:val="tx1"/>
            </w14:solidFill>
          </w14:textFill>
        </w:rPr>
      </w:pPr>
      <w:bookmarkStart w:id="489" w:name="_Toc4427"/>
      <w:bookmarkStart w:id="490" w:name="_Toc12389"/>
      <w:bookmarkStart w:id="491" w:name="_Toc26186"/>
      <w:bookmarkStart w:id="492" w:name="_Toc11849490"/>
      <w:bookmarkStart w:id="493" w:name="_Toc1331"/>
      <w:r>
        <w:rPr>
          <w:rFonts w:hint="default" w:ascii="Times New Roman" w:hAnsi="Times New Roman" w:cs="Times New Roman" w:eastAsiaTheme="minorEastAsia"/>
          <w:color w:val="000000" w:themeColor="text1"/>
          <w:highlight w:val="none"/>
          <w14:textFill>
            <w14:solidFill>
              <w14:schemeClr w14:val="tx1"/>
            </w14:solidFill>
          </w14:textFill>
        </w:rPr>
        <w:t>（5）抚仙湖流域污染物总量控制的目标</w:t>
      </w:r>
      <w:bookmarkEnd w:id="488"/>
      <w:r>
        <w:rPr>
          <w:rFonts w:hint="eastAsia" w:cs="Times New Roman" w:eastAsiaTheme="minorEastAsia"/>
          <w:color w:val="000000" w:themeColor="text1"/>
          <w:highlight w:val="none"/>
          <w:lang w:val="en-US" w:eastAsia="zh-CN"/>
          <w14:textFill>
            <w14:solidFill>
              <w14:schemeClr w14:val="tx1"/>
            </w14:solidFill>
          </w14:textFill>
        </w:rPr>
        <w:t>现阶段无法进行量化</w:t>
      </w:r>
      <w:bookmarkEnd w:id="489"/>
      <w:bookmarkEnd w:id="490"/>
      <w:bookmarkEnd w:id="491"/>
      <w:bookmarkEnd w:id="492"/>
      <w:r>
        <w:rPr>
          <w:rFonts w:hint="eastAsia" w:cs="Times New Roman" w:eastAsiaTheme="minorEastAsia"/>
          <w:color w:val="000000" w:themeColor="text1"/>
          <w:highlight w:val="none"/>
          <w:lang w:val="en-US" w:eastAsia="zh-CN"/>
          <w14:textFill>
            <w14:solidFill>
              <w14:schemeClr w14:val="tx1"/>
            </w14:solidFill>
          </w14:textFill>
        </w:rPr>
        <w:t>评估</w:t>
      </w:r>
      <w:bookmarkEnd w:id="493"/>
    </w:p>
    <w:p>
      <w:pPr>
        <w:ind w:firstLine="48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抚仙湖流域水环境保护治理“十四五”规划》提出2025年末规划期排放量削减目标为TN825.29t/a、TP270.79t/a，根据《澄江市抚仙湖山水林田湖生态保护修复工程及“十三五”规划项目绩效评估报告》，2020年前实施35项工程可削减污染负荷排放量TN640.27t/a、TP346.3t/a；本规划拟实施24项工程，预测可削减污染负荷排放量TN253.33t/a、TP30.6t/a。</w:t>
      </w:r>
      <w:r>
        <w:rPr>
          <w:rFonts w:hint="eastAsia" w:cs="Times New Roman" w:eastAsiaTheme="minorEastAsia"/>
          <w:color w:val="000000" w:themeColor="text1"/>
          <w:szCs w:val="24"/>
          <w:highlight w:val="none"/>
          <w:lang w:eastAsia="zh-CN"/>
          <w14:textFill>
            <w14:solidFill>
              <w14:schemeClr w14:val="tx1"/>
            </w14:solidFill>
          </w14:textFill>
        </w:rPr>
        <w:t>截至</w:t>
      </w:r>
      <w:r>
        <w:rPr>
          <w:rFonts w:hint="default" w:ascii="Times New Roman" w:hAnsi="Times New Roman" w:cs="Times New Roman" w:eastAsiaTheme="minorEastAsia"/>
          <w:color w:val="000000" w:themeColor="text1"/>
          <w:szCs w:val="24"/>
          <w:highlight w:val="none"/>
          <w14:textFill>
            <w14:solidFill>
              <w14:schemeClr w14:val="tx1"/>
            </w14:solidFill>
          </w14:textFill>
        </w:rPr>
        <w:t>2025年末，全部工程可削减污染负荷排放量TN893.6t/a、TP376.9t/a。通过分析发现，按照原规划项目实际进度进行统计，至2023年4月，规划的24项工程中已完工1项，在建项目17项工程，目前主要污染物</w:t>
      </w:r>
      <w:r>
        <w:rPr>
          <w:rFonts w:hint="default" w:ascii="Times New Roman" w:hAnsi="Times New Roman" w:cs="Times New Roman" w:eastAsiaTheme="minorEastAsia"/>
          <w:color w:val="000000" w:themeColor="text1"/>
          <w:highlight w:val="none"/>
          <w14:textFill>
            <w14:solidFill>
              <w14:schemeClr w14:val="tx1"/>
            </w14:solidFill>
          </w14:textFill>
        </w:rPr>
        <w:t>COD、TN、TP、NH</w:t>
      </w:r>
      <w:r>
        <w:rPr>
          <w:rFonts w:hint="default" w:ascii="Times New Roman" w:hAnsi="Times New Roman" w:cs="Times New Roman" w:eastAsiaTheme="minorEastAsia"/>
          <w:color w:val="000000" w:themeColor="text1"/>
          <w:highlight w:val="none"/>
          <w:vertAlign w:val="subscript"/>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-N还无法进行量化估算</w:t>
      </w:r>
      <w:r>
        <w:rPr>
          <w:rFonts w:hint="default" w:ascii="Times New Roman" w:hAnsi="Times New Roman" w:cs="Times New Roman" w:eastAsiaTheme="minorEastAsia"/>
          <w:color w:val="000000" w:themeColor="text1"/>
          <w:szCs w:val="24"/>
          <w:highlight w:val="none"/>
          <w14:textFill>
            <w14:solidFill>
              <w14:schemeClr w14:val="tx1"/>
            </w14:solidFill>
          </w14:textFill>
        </w:rPr>
        <w:t>。</w:t>
      </w:r>
    </w:p>
    <w:p>
      <w:pPr>
        <w:pStyle w:val="5"/>
        <w:widowControl/>
        <w:spacing w:line="240" w:lineRule="auto"/>
        <w:jc w:val="left"/>
        <w:rPr>
          <w:rFonts w:hint="default" w:ascii="Times New Roman" w:hAnsi="Times New Roman" w:cs="Times New Roman" w:eastAsiaTheme="minorEastAsia"/>
          <w:color w:val="000000" w:themeColor="text1"/>
          <w:highlight w:val="none"/>
          <w14:textFill>
            <w14:solidFill>
              <w14:schemeClr w14:val="tx1"/>
            </w14:solidFill>
          </w14:textFill>
        </w:rPr>
      </w:pPr>
      <w:bookmarkStart w:id="494" w:name="_Toc373082746"/>
      <w:bookmarkStart w:id="495" w:name="_Toc11849491"/>
      <w:bookmarkStart w:id="496" w:name="_Toc16761"/>
      <w:bookmarkStart w:id="497" w:name="_Toc13692"/>
      <w:bookmarkStart w:id="498" w:name="_Toc19635"/>
      <w:bookmarkStart w:id="499" w:name="_Toc8272"/>
      <w:r>
        <w:rPr>
          <w:rFonts w:hint="default" w:ascii="Times New Roman" w:hAnsi="Times New Roman" w:cs="Times New Roman" w:eastAsiaTheme="minorEastAsia"/>
          <w:color w:val="000000" w:themeColor="text1"/>
          <w:highlight w:val="none"/>
          <w14:textFill>
            <w14:solidFill>
              <w14:schemeClr w14:val="tx1"/>
            </w14:solidFill>
          </w14:textFill>
        </w:rPr>
        <w:t>（6）部分规划考核指标末期达标</w:t>
      </w:r>
      <w:bookmarkEnd w:id="494"/>
      <w:r>
        <w:rPr>
          <w:rFonts w:hint="default" w:ascii="Times New Roman" w:hAnsi="Times New Roman" w:cs="Times New Roman" w:eastAsiaTheme="minorEastAsia"/>
          <w:color w:val="000000" w:themeColor="text1"/>
          <w:highlight w:val="none"/>
          <w14:textFill>
            <w14:solidFill>
              <w14:schemeClr w14:val="tx1"/>
            </w14:solidFill>
          </w14:textFill>
        </w:rPr>
        <w:t>存在困难</w:t>
      </w:r>
      <w:bookmarkEnd w:id="495"/>
      <w:bookmarkEnd w:id="496"/>
      <w:bookmarkEnd w:id="497"/>
      <w:bookmarkEnd w:id="498"/>
      <w:bookmarkEnd w:id="499"/>
    </w:p>
    <w:p>
      <w:pPr>
        <w:spacing w:before="240" w:beforeLines="100"/>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《抚仙湖流域水环境保护治理“十四五”规划》规划指标，至规划中期评估分析除城市（县城）生活污水处理率、</w:t>
      </w:r>
      <w:r>
        <w:rPr>
          <w:rFonts w:hint="eastAsia" w:cs="Times New Roman" w:eastAsiaTheme="minorEastAsia"/>
          <w:color w:val="000000" w:themeColor="text1"/>
          <w:szCs w:val="24"/>
          <w:highlight w:val="none"/>
          <w:lang w:eastAsia="zh-CN"/>
          <w14:textFill>
            <w14:solidFill>
              <w14:schemeClr w14:val="tx1"/>
            </w14:solidFill>
          </w14:textFill>
        </w:rPr>
        <w:t>农村生活污水收集处理率</w:t>
      </w:r>
      <w:r>
        <w:rPr>
          <w:rFonts w:hint="default" w:ascii="Times New Roman" w:hAnsi="Times New Roman" w:cs="Times New Roman" w:eastAsiaTheme="minorEastAsia"/>
          <w:color w:val="000000" w:themeColor="text1"/>
          <w:szCs w:val="24"/>
          <w:highlight w:val="none"/>
          <w14:textFill>
            <w14:solidFill>
              <w14:schemeClr w14:val="tx1"/>
            </w14:solidFill>
          </w14:textFill>
        </w:rPr>
        <w:t>、城市生活垃圾无害化处理率、化肥施用总量（折纯量）、畜禽粪污综合利用率、湖滨带修复面积、水土保持率、富营养化指数、生态保护红线面积、评定美丽河湖、湖泊保护治理公众满意度</w:t>
      </w:r>
      <w:r>
        <w:rPr>
          <w:rFonts w:hint="eastAsia" w:cs="Times New Roman" w:eastAsiaTheme="minorEastAsia"/>
          <w:color w:val="000000" w:themeColor="text1"/>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14:textFill>
            <w14:solidFill>
              <w14:schemeClr w14:val="tx1"/>
            </w14:solidFill>
          </w14:textFill>
        </w:rPr>
        <w:t>湖体水质类别（国控断面）、水资源开发利用率、万元工业增加值用水量降幅、流域森林覆盖率、建立湖泊智慧管理信息系统能够顺利达标外，主要入湖河流水质优良率（Ⅲ类及以上）、万元地区生产总值用水量降幅</w:t>
      </w:r>
      <w:r>
        <w:rPr>
          <w:rFonts w:hint="eastAsia" w:ascii="Times New Roman" w:hAnsi="Times New Roman" w:cs="Times New Roman" w:eastAsiaTheme="minorEastAsia"/>
          <w:color w:val="000000" w:themeColor="text1"/>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14:textFill>
            <w14:solidFill>
              <w14:schemeClr w14:val="tx1"/>
            </w14:solidFill>
          </w14:textFill>
        </w:rPr>
        <w:t>最低生态水位日保障程度</w:t>
      </w:r>
      <w:r>
        <w:rPr>
          <w:rFonts w:hint="eastAsia" w:cs="Times New Roman" w:eastAsiaTheme="minorEastAsia"/>
          <w:color w:val="000000" w:themeColor="text1"/>
          <w:szCs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Cs w:val="24"/>
          <w:highlight w:val="none"/>
          <w14:textFill>
            <w14:solidFill>
              <w14:schemeClr w14:val="tx1"/>
            </w14:solidFill>
          </w14:textFill>
        </w:rPr>
        <w:t>项规划指标完成将存在一定困难。</w:t>
      </w:r>
    </w:p>
    <w:p>
      <w:pPr>
        <w:pStyle w:val="5"/>
        <w:widowControl/>
        <w:spacing w:line="240" w:lineRule="auto"/>
        <w:jc w:val="left"/>
        <w:rPr>
          <w:rFonts w:hint="default" w:ascii="Times New Roman" w:hAnsi="Times New Roman" w:cs="Times New Roman" w:eastAsiaTheme="minorEastAsia"/>
          <w:color w:val="000000" w:themeColor="text1"/>
          <w:highlight w:val="none"/>
          <w14:textFill>
            <w14:solidFill>
              <w14:schemeClr w14:val="tx1"/>
            </w14:solidFill>
          </w14:textFill>
        </w:rPr>
      </w:pPr>
      <w:bookmarkStart w:id="500" w:name="_Toc29844"/>
      <w:bookmarkStart w:id="501" w:name="_Toc28418"/>
      <w:bookmarkStart w:id="502" w:name="_Toc1110"/>
      <w:bookmarkStart w:id="503" w:name="_Toc11849492"/>
      <w:bookmarkStart w:id="504" w:name="_Toc31998"/>
      <w:r>
        <w:rPr>
          <w:rFonts w:hint="default" w:ascii="Times New Roman" w:hAnsi="Times New Roman" w:cs="Times New Roman" w:eastAsiaTheme="minorEastAsia"/>
          <w:color w:val="000000" w:themeColor="text1"/>
          <w:highlight w:val="none"/>
          <w14:textFill>
            <w14:solidFill>
              <w14:schemeClr w14:val="tx1"/>
            </w14:solidFill>
          </w14:textFill>
        </w:rPr>
        <w:t>（7）规划项目综合统筹管控不足</w:t>
      </w:r>
      <w:bookmarkEnd w:id="500"/>
      <w:bookmarkEnd w:id="501"/>
      <w:bookmarkEnd w:id="502"/>
      <w:bookmarkEnd w:id="503"/>
      <w:bookmarkEnd w:id="504"/>
    </w:p>
    <w:p>
      <w:pPr>
        <w:spacing w:before="240" w:beforeLines="100"/>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抚仙湖“十四五”规划实行期间，仍然存在管理主体和责任主体不明晰，综合监管效率和质量低的问题，多头、分散管理方式影响了整体管理效能的发挥；部门间的协调管理机制不顺畅，流域管理机构往往处于弱势，对其他相关职能部门缺乏权威性和约束力，流域管理机构、环保部门与其他各职能部门之间职能交叉重叠、部门间协调不足直接影响了规划项目的有效推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市、县河（湖）长制办公室统筹协调不到位，流域管理基础数据不够扎实，流域河长制管理信息化平台建设推进滞后，特别是抚仙湖周边泉水补给量作为抚仙湖流域水量的重要来源，仅1982、1992年开展过系统调查外，尚未开展更新摸底调查。近10年来随着枯水年到逐步恢复正常的过程中，沿湖泉水是否基本恢复出露量、开发利用情况并不清楚。抚仙湖流域“立体防控、信息综合、机动联合”的现代化管理体系尚未形成，湖泊监测监管、智能化管理和科学化预防能力弱。目前流域内水质水量预警监测体系还未全面构建，不能实时掌握入湖河流污染物入湖情况，监测体系部门分割，条块分割，河长制信息化平台，流域水环境监管能力与全流域湖长制网格化管理要求不匹配，难以开展水质目标量化考核，执法服务建设和能力有待加强，水域动态管理系统、信息化建设水平有待提升。同时面对</w:t>
      </w:r>
      <w:r>
        <w:rPr>
          <w:rFonts w:hint="default" w:ascii="Times New Roman" w:hAnsi="Times New Roman" w:cs="Times New Roman" w:eastAsiaTheme="minorEastAsia"/>
          <w:color w:val="000000" w:themeColor="text1"/>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14:textFill>
            <w14:solidFill>
              <w14:schemeClr w14:val="tx1"/>
            </w14:solidFill>
          </w14:textFill>
        </w:rPr>
        <w:t>十四五</w:t>
      </w:r>
      <w:r>
        <w:rPr>
          <w:rFonts w:hint="default" w:ascii="Times New Roman" w:hAnsi="Times New Roman" w:cs="Times New Roman" w:eastAsiaTheme="minorEastAsia"/>
          <w:color w:val="000000" w:themeColor="text1"/>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14:textFill>
            <w14:solidFill>
              <w14:schemeClr w14:val="tx1"/>
            </w14:solidFill>
          </w14:textFill>
        </w:rPr>
        <w:t>抚仙湖保护治理形势发生变化的情况下，缺乏对</w:t>
      </w:r>
      <w:r>
        <w:rPr>
          <w:rFonts w:hint="default" w:ascii="Times New Roman" w:hAnsi="Times New Roman" w:cs="Times New Roman" w:eastAsiaTheme="minorEastAsia"/>
          <w:color w:val="000000" w:themeColor="text1"/>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14:textFill>
            <w14:solidFill>
              <w14:schemeClr w14:val="tx1"/>
            </w14:solidFill>
          </w14:textFill>
        </w:rPr>
        <w:t>十四五</w:t>
      </w:r>
      <w:r>
        <w:rPr>
          <w:rFonts w:hint="default" w:ascii="Times New Roman" w:hAnsi="Times New Roman" w:cs="Times New Roman" w:eastAsiaTheme="minorEastAsia"/>
          <w:color w:val="000000" w:themeColor="text1"/>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14:textFill>
            <w14:solidFill>
              <w14:schemeClr w14:val="tx1"/>
            </w14:solidFill>
          </w14:textFill>
        </w:rPr>
        <w:t>规划项目的整体统筹管控机制，从而影响抚仙湖</w:t>
      </w:r>
      <w:r>
        <w:rPr>
          <w:rFonts w:hint="default" w:ascii="Times New Roman" w:hAnsi="Times New Roman" w:cs="Times New Roman" w:eastAsiaTheme="minorEastAsia"/>
          <w:color w:val="000000" w:themeColor="text1"/>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14:textFill>
            <w14:solidFill>
              <w14:schemeClr w14:val="tx1"/>
            </w14:solidFill>
          </w14:textFill>
        </w:rPr>
        <w:t>十四五</w:t>
      </w:r>
      <w:r>
        <w:rPr>
          <w:rFonts w:hint="default" w:ascii="Times New Roman" w:hAnsi="Times New Roman" w:cs="Times New Roman" w:eastAsiaTheme="minorEastAsia"/>
          <w:color w:val="000000" w:themeColor="text1"/>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4"/>
          <w:highlight w:val="none"/>
          <w14:textFill>
            <w14:solidFill>
              <w14:schemeClr w14:val="tx1"/>
            </w14:solidFill>
          </w14:textFill>
        </w:rPr>
        <w:t>规划项目整体推进效率。</w:t>
      </w:r>
    </w:p>
    <w:p>
      <w:pPr>
        <w:pStyle w:val="3"/>
        <w:rPr>
          <w:rFonts w:hint="default" w:ascii="Times New Roman" w:hAnsi="Times New Roman" w:cs="Times New Roman" w:eastAsiaTheme="minorEastAsia"/>
          <w:color w:val="000000" w:themeColor="text1"/>
          <w:highlight w:val="none"/>
          <w14:textFill>
            <w14:solidFill>
              <w14:schemeClr w14:val="tx1"/>
            </w14:solidFill>
          </w14:textFill>
        </w:rPr>
      </w:pPr>
      <w:bookmarkStart w:id="505" w:name="_Toc7331"/>
      <w:r>
        <w:rPr>
          <w:rFonts w:hint="default" w:ascii="Times New Roman" w:hAnsi="Times New Roman" w:cs="Times New Roman" w:eastAsiaTheme="minorEastAsia"/>
          <w:color w:val="000000" w:themeColor="text1"/>
          <w:highlight w:val="none"/>
          <w14:textFill>
            <w14:solidFill>
              <w14:schemeClr w14:val="tx1"/>
            </w14:solidFill>
          </w14:textFill>
        </w:rPr>
        <w:t>6进一步推进规划实施的对策建议</w:t>
      </w:r>
      <w:bookmarkEnd w:id="505"/>
    </w:p>
    <w:p>
      <w:pPr>
        <w:pStyle w:val="4"/>
        <w:spacing w:before="120" w:after="120" w:line="480" w:lineRule="auto"/>
        <w:rPr>
          <w:rFonts w:hint="default" w:ascii="Times New Roman" w:hAnsi="Times New Roman" w:cs="Times New Roman" w:eastAsiaTheme="minorEastAsia"/>
          <w:color w:val="000000" w:themeColor="text1"/>
          <w:highlight w:val="none"/>
          <w14:textFill>
            <w14:solidFill>
              <w14:schemeClr w14:val="tx1"/>
            </w14:solidFill>
          </w14:textFill>
        </w:rPr>
      </w:pPr>
      <w:bookmarkStart w:id="506" w:name="_Toc13540"/>
      <w:r>
        <w:rPr>
          <w:rFonts w:hint="default" w:ascii="Times New Roman" w:hAnsi="Times New Roman" w:cs="Times New Roman" w:eastAsiaTheme="minorEastAsia"/>
          <w:color w:val="000000" w:themeColor="text1"/>
          <w:highlight w:val="none"/>
          <w14:textFill>
            <w14:solidFill>
              <w14:schemeClr w14:val="tx1"/>
            </w14:solidFill>
          </w14:textFill>
        </w:rPr>
        <w:t>6.1推进规划管理及保障建议</w:t>
      </w:r>
      <w:bookmarkEnd w:id="506"/>
    </w:p>
    <w:p>
      <w:pPr>
        <w:ind w:firstLine="48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为推动抚仙湖“十四五”规划项目的实施，提出以下规划管理及保障的建议：</w:t>
      </w:r>
    </w:p>
    <w:p>
      <w:pPr>
        <w:pStyle w:val="6"/>
        <w:spacing w:before="0" w:after="0" w:line="360" w:lineRule="auto"/>
        <w:rPr>
          <w:rFonts w:hint="default" w:ascii="Times New Roman" w:hAnsi="Times New Roman" w:cs="Times New Roman" w:eastAsiaTheme="minorEastAsia"/>
          <w:b w:val="0"/>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b w:val="0"/>
          <w:color w:val="000000" w:themeColor="text1"/>
          <w:highlight w:val="none"/>
          <w:lang w:val="en-US" w:eastAsia="zh-CN"/>
          <w14:textFill>
            <w14:solidFill>
              <w14:schemeClr w14:val="tx1"/>
            </w14:solidFill>
          </w14:textFill>
        </w:rPr>
        <w:t>6.1.1对因政策和土地原因造成不具备实施条件的项目进行删减</w:t>
      </w:r>
    </w:p>
    <w:p>
      <w:pPr>
        <w:ind w:firstLine="48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在进行项目</w:t>
      </w:r>
      <w:r>
        <w:rPr>
          <w:rFonts w:hint="eastAsia"/>
          <w:color w:val="000000" w:themeColor="text1"/>
          <w:highlight w:val="none"/>
          <w:lang w:val="en-US" w:eastAsia="zh-CN"/>
          <w14:textFill>
            <w14:solidFill>
              <w14:schemeClr w14:val="tx1"/>
            </w14:solidFill>
          </w14:textFill>
        </w:rPr>
        <w:t>评估</w:t>
      </w:r>
      <w:r>
        <w:rPr>
          <w:rFonts w:hint="default"/>
          <w:color w:val="000000" w:themeColor="text1"/>
          <w:highlight w:val="none"/>
          <w14:textFill>
            <w14:solidFill>
              <w14:schemeClr w14:val="tx1"/>
            </w14:solidFill>
          </w14:textFill>
        </w:rPr>
        <w:t>的过程中，由于</w:t>
      </w:r>
      <w:r>
        <w:rPr>
          <w:rFonts w:hint="eastAsia"/>
          <w:color w:val="000000" w:themeColor="text1"/>
          <w:highlight w:val="none"/>
          <w:lang w:val="en-US" w:eastAsia="zh-CN"/>
          <w14:textFill>
            <w14:solidFill>
              <w14:schemeClr w14:val="tx1"/>
            </w14:solidFill>
          </w14:textFill>
        </w:rPr>
        <w:t>抚仙湖“两线三区”的划定和国土空间管控</w:t>
      </w:r>
      <w:r>
        <w:rPr>
          <w:rFonts w:hint="default"/>
          <w:color w:val="000000" w:themeColor="text1"/>
          <w:highlight w:val="none"/>
          <w14:textFill>
            <w14:solidFill>
              <w14:schemeClr w14:val="tx1"/>
            </w14:solidFill>
          </w14:textFill>
        </w:rPr>
        <w:t>政策</w:t>
      </w:r>
      <w:r>
        <w:rPr>
          <w:rFonts w:hint="eastAsia"/>
          <w:color w:val="000000" w:themeColor="text1"/>
          <w:highlight w:val="none"/>
          <w:lang w:val="en-US" w:eastAsia="zh-CN"/>
          <w14:textFill>
            <w14:solidFill>
              <w14:schemeClr w14:val="tx1"/>
            </w14:solidFill>
          </w14:textFill>
        </w:rPr>
        <w:t>以及新修订的《云南省抚仙湖管理和保护条例》等政策原因，</w:t>
      </w:r>
      <w:r>
        <w:rPr>
          <w:rFonts w:hint="default"/>
          <w:color w:val="000000" w:themeColor="text1"/>
          <w:highlight w:val="none"/>
          <w14:textFill>
            <w14:solidFill>
              <w14:schemeClr w14:val="tx1"/>
            </w14:solidFill>
          </w14:textFill>
        </w:rPr>
        <w:t>和土地原因导致某些项目不具备实施条件，为了保证整个规划的实施效果和顺利进行，</w:t>
      </w:r>
      <w:r>
        <w:rPr>
          <w:rFonts w:hint="eastAsia"/>
          <w:color w:val="000000" w:themeColor="text1"/>
          <w:highlight w:val="none"/>
          <w:lang w:val="en-US" w:eastAsia="zh-CN"/>
          <w14:textFill>
            <w14:solidFill>
              <w14:schemeClr w14:val="tx1"/>
            </w14:solidFill>
          </w14:textFill>
        </w:rPr>
        <w:t>本评估建议</w:t>
      </w:r>
      <w:r>
        <w:rPr>
          <w:rFonts w:hint="default"/>
          <w:color w:val="000000" w:themeColor="text1"/>
          <w:highlight w:val="none"/>
          <w14:textFill>
            <w14:solidFill>
              <w14:schemeClr w14:val="tx1"/>
            </w14:solidFill>
          </w14:textFill>
        </w:rPr>
        <w:t>考虑对</w:t>
      </w:r>
      <w:r>
        <w:rPr>
          <w:rFonts w:hint="eastAsia"/>
          <w:color w:val="000000" w:themeColor="text1"/>
          <w:highlight w:val="none"/>
          <w:lang w:val="en-US" w:eastAsia="zh-CN"/>
          <w14:textFill>
            <w14:solidFill>
              <w14:schemeClr w14:val="tx1"/>
            </w14:solidFill>
          </w14:textFill>
        </w:rPr>
        <w:t>有关的</w:t>
      </w:r>
      <w:r>
        <w:rPr>
          <w:rFonts w:hint="default"/>
          <w:color w:val="000000" w:themeColor="text1"/>
          <w:highlight w:val="none"/>
          <w14:textFill>
            <w14:solidFill>
              <w14:schemeClr w14:val="tx1"/>
            </w14:solidFill>
          </w14:textFill>
        </w:rPr>
        <w:t>项目进行删减。</w:t>
      </w:r>
    </w:p>
    <w:p>
      <w:pPr>
        <w:ind w:firstLine="48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在进行删减的时候，需要进行精细化的分析和评估。首先，需要对各项项目的实施条件进行全面的梳理和归纳，梳理各项项目所需的人力物力等资源情况，包括政策、土地、资金、技术等方面的要求，以及该区域现有资源的匹配情况。</w:t>
      </w:r>
    </w:p>
    <w:p>
      <w:pPr>
        <w:ind w:firstLine="48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其次，针对某些因政策和土地原因无法满足实施条件的项目，需要进行进一步的分析和评估，确定该项目是否可以通过其他方法或措施达成或实施，或者该项目是否有必要进行，是否对整个规划实施产生积极的推动作用，以及该项目可能产生的影响等。建立完善的水环境管理和监测体系：建立科学、规范、实时的水质监测体系，加强水环境污染治理和管理力度，降低污染物排放，全面提升抚仙湖的水环境质量。</w:t>
      </w:r>
    </w:p>
    <w:p>
      <w:pPr>
        <w:pStyle w:val="6"/>
        <w:spacing w:before="0" w:after="0" w:line="360" w:lineRule="auto"/>
        <w:rPr>
          <w:rFonts w:hint="eastAsia" w:ascii="Times New Roman" w:hAnsi="Times New Roman" w:cs="Times New Roman" w:eastAsiaTheme="minorEastAsia"/>
          <w:b w:val="0"/>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b w:val="0"/>
          <w:color w:val="000000" w:themeColor="text1"/>
          <w:highlight w:val="none"/>
          <w:lang w:val="en-US" w:eastAsia="zh-CN"/>
          <w14:textFill>
            <w14:solidFill>
              <w14:schemeClr w14:val="tx1"/>
            </w14:solidFill>
          </w14:textFill>
        </w:rPr>
        <w:t>6.1.2对抚仙湖水资源量进行系统和摸底调查</w:t>
      </w:r>
    </w:p>
    <w:p>
      <w:pPr>
        <w:ind w:firstLine="480" w:firstLineChars="200"/>
        <w:rPr>
          <w:rFonts w:hint="default" w:eastAsia="宋体"/>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针对抚仙湖</w:t>
      </w:r>
      <w:r>
        <w:rPr>
          <w:rFonts w:hint="eastAsia"/>
          <w:color w:val="000000" w:themeColor="text1"/>
          <w:highlight w:val="none"/>
          <w:lang w:eastAsia="zh-CN"/>
          <w14:textFill>
            <w14:solidFill>
              <w14:schemeClr w14:val="tx1"/>
            </w14:solidFill>
          </w14:textFill>
        </w:rPr>
        <w:t>的</w:t>
      </w:r>
      <w:r>
        <w:rPr>
          <w:rFonts w:hint="eastAsia"/>
          <w:color w:val="000000" w:themeColor="text1"/>
          <w:highlight w:val="none"/>
          <w:lang w:val="en-US" w:eastAsia="zh-CN"/>
          <w14:textFill>
            <w14:solidFill>
              <w14:schemeClr w14:val="tx1"/>
            </w14:solidFill>
          </w14:textFill>
        </w:rPr>
        <w:t>历年水资源量和</w:t>
      </w:r>
      <w:r>
        <w:rPr>
          <w:rFonts w:hint="default"/>
          <w:color w:val="000000" w:themeColor="text1"/>
          <w:highlight w:val="none"/>
          <w14:textFill>
            <w14:solidFill>
              <w14:schemeClr w14:val="tx1"/>
            </w14:solidFill>
          </w14:textFill>
        </w:rPr>
        <w:t>抚仙湖周边泉水补给量</w:t>
      </w:r>
      <w:r>
        <w:rPr>
          <w:rFonts w:hint="eastAsia"/>
          <w:color w:val="000000" w:themeColor="text1"/>
          <w:highlight w:val="none"/>
          <w:lang w:val="en-US" w:eastAsia="zh-CN"/>
          <w14:textFill>
            <w14:solidFill>
              <w14:schemeClr w14:val="tx1"/>
            </w14:solidFill>
          </w14:textFill>
        </w:rPr>
        <w:t>开展系统调查，由于抚仙湖周边泉水补给量</w:t>
      </w:r>
      <w:r>
        <w:rPr>
          <w:rFonts w:hint="default"/>
          <w:color w:val="000000" w:themeColor="text1"/>
          <w:highlight w:val="none"/>
          <w14:textFill>
            <w14:solidFill>
              <w14:schemeClr w14:val="tx1"/>
            </w14:solidFill>
          </w14:textFill>
        </w:rPr>
        <w:t>作为抚仙湖流域水量的重要来源，仅1982、1992年开展过系统调查外，尚未开展更新摸底调查。</w:t>
      </w:r>
      <w:r>
        <w:rPr>
          <w:rFonts w:hint="eastAsia"/>
          <w:color w:val="000000" w:themeColor="text1"/>
          <w:highlight w:val="none"/>
          <w:lang w:val="en-US" w:eastAsia="zh-CN"/>
          <w14:textFill>
            <w14:solidFill>
              <w14:schemeClr w14:val="tx1"/>
            </w14:solidFill>
          </w14:textFill>
        </w:rPr>
        <w:t>因此本次评估建议</w:t>
      </w:r>
      <w:r>
        <w:rPr>
          <w:rFonts w:hint="default"/>
          <w:color w:val="000000" w:themeColor="text1"/>
          <w:highlight w:val="none"/>
          <w14:textFill>
            <w14:solidFill>
              <w14:schemeClr w14:val="tx1"/>
            </w14:solidFill>
          </w14:textFill>
        </w:rPr>
        <w:t>规划解析握抚仙湖水量平衡状况及补排关系动态变化，揭示入湖水量衰减、出湖路径改变等对抚仙湖水位变化的影响，提出抚仙湖水位保障对策措施建议。</w:t>
      </w:r>
      <w:r>
        <w:rPr>
          <w:rFonts w:hint="eastAsia"/>
          <w:color w:val="000000" w:themeColor="text1"/>
          <w:highlight w:val="none"/>
          <w:lang w:val="en-US" w:eastAsia="zh-CN"/>
          <w14:textFill>
            <w14:solidFill>
              <w14:schemeClr w14:val="tx1"/>
            </w14:solidFill>
          </w14:textFill>
        </w:rPr>
        <w:t>并对抚仙湖的引水和调水开展科学研究和论证，提高抚仙湖的水资源量。</w:t>
      </w:r>
    </w:p>
    <w:p>
      <w:pPr>
        <w:pStyle w:val="6"/>
        <w:spacing w:before="0" w:after="0" w:line="360" w:lineRule="auto"/>
        <w:rPr>
          <w:rFonts w:hint="eastAsia" w:ascii="Times New Roman" w:hAnsi="Times New Roman" w:cs="Times New Roman" w:eastAsiaTheme="minorEastAsia"/>
          <w:b w:val="0"/>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b w:val="0"/>
          <w:color w:val="000000" w:themeColor="text1"/>
          <w:highlight w:val="none"/>
          <w:lang w:val="en-US" w:eastAsia="zh-CN"/>
          <w14:textFill>
            <w14:solidFill>
              <w14:schemeClr w14:val="tx1"/>
            </w14:solidFill>
          </w14:textFill>
        </w:rPr>
        <w:t>6.1.3促进抚仙湖保护和治理研究的科技创新和专业人才培养</w:t>
      </w:r>
    </w:p>
    <w:p>
      <w:pPr>
        <w:ind w:firstLine="48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促进抚仙湖保护和治理研究的科技创新和专业人才培养是实现抚仙湖水环境保护目标的重要手段。</w:t>
      </w:r>
    </w:p>
    <w:p>
      <w:pPr>
        <w:ind w:firstLine="48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1.加强科研团队建设，组织专业技术人员进行抚仙湖流域水环境监测、治理和科研工作，并鼓励科研团队开展基础研究和应用研究。政府可以设立科研项目和奖励机制，引导科研人员积极投入到抚仙湖保护和治理的科技创新中来。</w:t>
      </w:r>
    </w:p>
    <w:p>
      <w:pPr>
        <w:ind w:firstLine="48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2.加大科技投入力度，提升技术水平。政府可以加强财政投入，设立相应的科技创新基金和专项资金，鼓励企业、高校和科研机构等加大技术创新和研究开发的投入，提升其工作效率和水平。</w:t>
      </w:r>
    </w:p>
    <w:p>
      <w:pPr>
        <w:ind w:firstLine="48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3.推进专业人才培养，加强人才培养基地的建设。政府可以加大对相关高校的支持力度，增设水环境专业方向，并为高校提供奖学金、助学金等资助，以吸引更多的专业人才投入到抚仙湖保护和治理工作中来。</w:t>
      </w:r>
    </w:p>
    <w:p>
      <w:pPr>
        <w:ind w:firstLine="48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4.建立健全的科技创新和研发体系。政府可以依托国家或省级的科研机构和实验室，建立健全的研究和开发体系，以提升抚仙湖保护和治理技术水平，增强相关技术和装备的竞争力。加大科技创新和人才培养力度，尤其注重环境保护和治理方面的技术研究和创新，不断提高水环境保护和治理的科技含量和技术水平，为推进抚仙湖“十四五”规划提供技术支持。</w:t>
      </w:r>
    </w:p>
    <w:p>
      <w:pPr>
        <w:pStyle w:val="6"/>
        <w:spacing w:before="0" w:after="0" w:line="360" w:lineRule="auto"/>
        <w:rPr>
          <w:rFonts w:hint="eastAsia" w:ascii="Times New Roman" w:hAnsi="Times New Roman" w:cs="Times New Roman" w:eastAsiaTheme="minorEastAsia"/>
          <w:b w:val="0"/>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b w:val="0"/>
          <w:color w:val="000000" w:themeColor="text1"/>
          <w:highlight w:val="none"/>
          <w:lang w:val="en-US" w:eastAsia="zh-CN"/>
          <w14:textFill>
            <w14:solidFill>
              <w14:schemeClr w14:val="tx1"/>
            </w14:solidFill>
          </w14:textFill>
        </w:rPr>
        <w:t>6.1.4提高项目的管理效率，确保项目至目标年的完成率</w:t>
      </w:r>
    </w:p>
    <w:p>
      <w:pPr>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明确项目目标和计划：在项目实施前，要明确项目目标和计划并进行逐步细化，制定出可行的项目计划和预算，确保项目方向和目标的明确性，明确项目任务和责任，以及完成时间节点。同时，要及时跟踪项目执行过程中可能出现的问题，及时调整项目计划和执行过程，确保项目能够按计划执行。</w:t>
      </w:r>
    </w:p>
    <w:p>
      <w:pPr>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2.建立制度化管理流程：制定项目执行的规章制度，建立专门的管理团队负责指导项目进度和质量的监督，明确各项指标的考评标准和流程，确保整个项目实施过程的规范性和科学性。</w:t>
      </w:r>
    </w:p>
    <w:p>
      <w:pPr>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强化项目风险管理：项目实施过程中可能会面临各种不确定因素和风险，管理团队需要根据项目实施情况及时发现、评估和控制各类风险，保证项目实施过程中的安全性和可行性，采取有效措施减少可能出现的风险，防止风险发展成为项目失败的主要原因。</w:t>
      </w:r>
    </w:p>
    <w:p>
      <w:pPr>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4.强化团队合作和沟通：加强团队协作和沟通，建立有效的信息交流机制，提高项目执行效率。通过共同努力，推进项目各项工作的顺利开展，确保项目目标能够按时达成。</w:t>
      </w:r>
    </w:p>
    <w:p>
      <w:pPr>
        <w:ind w:firstLine="480" w:firstLineChars="200"/>
        <w:rPr>
          <w:rFonts w:hint="default"/>
        </w:rPr>
      </w:pPr>
      <w:r>
        <w:rPr>
          <w:rFonts w:hint="eastAsia"/>
          <w:color w:val="000000" w:themeColor="text1"/>
          <w:highlight w:val="none"/>
          <w:lang w:val="en-US" w:eastAsia="zh-CN"/>
          <w14:textFill>
            <w14:solidFill>
              <w14:schemeClr w14:val="tx1"/>
            </w14:solidFill>
          </w14:textFill>
        </w:rPr>
        <w:t>5.加强后期管理和评估：项目实施结束后，要对项目进行后续的评估和跟踪管理，对项目实施和管理过程中的长处和短处进行总结，从经验教训中不断完善和提高项目管理手段和效率，在接下来的项目实施中更好地完成各项任务和目标。</w:t>
      </w:r>
    </w:p>
    <w:p>
      <w:pPr>
        <w:ind w:firstLine="48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总之，提高抚仙湖水环境的保护和治理水平有助于促进抚仙湖“十四五”规划项目的实施和推进，使抚仙湖成为一片优美、清洁、可持续发展的</w:t>
      </w:r>
      <w:r>
        <w:rPr>
          <w:rFonts w:hint="eastAsia"/>
          <w:color w:val="000000" w:themeColor="text1"/>
          <w:highlight w:val="none"/>
          <w:lang w:val="en-US" w:eastAsia="zh-CN"/>
          <w14:textFill>
            <w14:solidFill>
              <w14:schemeClr w14:val="tx1"/>
            </w14:solidFill>
          </w14:textFill>
        </w:rPr>
        <w:t>高原明珠</w:t>
      </w:r>
      <w:r>
        <w:rPr>
          <w:rFonts w:hint="default"/>
          <w:color w:val="000000" w:themeColor="text1"/>
          <w:highlight w:val="none"/>
          <w14:textFill>
            <w14:solidFill>
              <w14:schemeClr w14:val="tx1"/>
            </w14:solidFill>
          </w14:textFill>
        </w:rPr>
        <w:t>。</w:t>
      </w:r>
    </w:p>
    <w:p>
      <w:pPr>
        <w:pStyle w:val="4"/>
        <w:spacing w:before="120" w:after="120" w:line="480" w:lineRule="auto"/>
        <w:rPr>
          <w:rFonts w:hint="default" w:ascii="Times New Roman" w:hAnsi="Times New Roman" w:cs="Times New Roman" w:eastAsiaTheme="minorEastAsia"/>
          <w:color w:val="000000" w:themeColor="text1"/>
          <w:highlight w:val="none"/>
          <w14:textFill>
            <w14:solidFill>
              <w14:schemeClr w14:val="tx1"/>
            </w14:solidFill>
          </w14:textFill>
        </w:rPr>
      </w:pPr>
      <w:bookmarkStart w:id="507" w:name="_Toc14721"/>
      <w:r>
        <w:rPr>
          <w:rFonts w:hint="default" w:ascii="Times New Roman" w:hAnsi="Times New Roman" w:cs="Times New Roman" w:eastAsiaTheme="minorEastAsia"/>
          <w:color w:val="000000" w:themeColor="text1"/>
          <w:highlight w:val="none"/>
          <w14:textFill>
            <w14:solidFill>
              <w14:schemeClr w14:val="tx1"/>
            </w14:solidFill>
          </w14:textFill>
        </w:rPr>
        <w:t>6.2调减项目建议</w:t>
      </w:r>
      <w:bookmarkEnd w:id="507"/>
    </w:p>
    <w:p>
      <w:pPr>
        <w:ind w:firstLine="480" w:firstLineChars="200"/>
        <w:jc w:val="left"/>
        <w:rPr>
          <w:rFonts w:hint="default" w:ascii="Times New Roman" w:hAnsi="Times New Roman" w:cs="Times New Roman" w:eastAsiaTheme="minorEastAsia"/>
          <w:bCs/>
          <w:color w:val="000000" w:themeColor="text1"/>
          <w:highlight w:val="none"/>
          <w:u w:val="none"/>
          <w14:textFill>
            <w14:solidFill>
              <w14:schemeClr w14:val="tx1"/>
            </w14:solidFill>
          </w14:textFill>
        </w:rPr>
      </w:pPr>
      <w:r>
        <w:rPr>
          <w:rFonts w:hint="default" w:ascii="Times New Roman" w:hAnsi="Times New Roman" w:cs="Times New Roman" w:eastAsiaTheme="minorEastAsia"/>
          <w:bCs/>
          <w:color w:val="000000" w:themeColor="text1"/>
          <w:highlight w:val="none"/>
          <w:u w:val="none"/>
          <w14:textFill>
            <w14:solidFill>
              <w14:schemeClr w14:val="tx1"/>
            </w14:solidFill>
          </w14:textFill>
        </w:rPr>
        <w:t>规划时间过半，结合项目运行情况，</w:t>
      </w:r>
      <w:r>
        <w:rPr>
          <w:rFonts w:hint="default" w:ascii="Times New Roman" w:hAnsi="Times New Roman" w:cs="Times New Roman" w:eastAsiaTheme="minorEastAsia"/>
          <w:color w:val="000000" w:themeColor="text1"/>
          <w:highlight w:val="none"/>
          <w:u w:val="none"/>
          <w14:textFill>
            <w14:solidFill>
              <w14:schemeClr w14:val="tx1"/>
            </w14:solidFill>
          </w14:textFill>
        </w:rPr>
        <w:t>从空间管控方面减少2个项目，为抚仙湖环湖生态移民搬迁安置工程和抚仙湖环湖路改造提升工程，调减估算投资</w:t>
      </w:r>
      <w:r>
        <w:rPr>
          <w:rFonts w:hint="default" w:ascii="Times New Roman" w:hAnsi="Times New Roman" w:cs="Times New Roman" w:eastAsiaTheme="minorEastAsia"/>
          <w:bCs/>
          <w:color w:val="000000" w:themeColor="text1"/>
          <w:highlight w:val="none"/>
          <w:u w:val="none"/>
          <w14:textFill>
            <w14:solidFill>
              <w14:schemeClr w14:val="tx1"/>
            </w14:solidFill>
          </w14:textFill>
        </w:rPr>
        <w:t>142700</w:t>
      </w:r>
      <w:r>
        <w:rPr>
          <w:rFonts w:hint="default" w:ascii="Times New Roman" w:hAnsi="Times New Roman" w:cs="Times New Roman" w:eastAsiaTheme="minorEastAsia"/>
          <w:color w:val="000000" w:themeColor="text1"/>
          <w:highlight w:val="none"/>
          <w:u w:val="none"/>
          <w14:textFill>
            <w14:solidFill>
              <w14:schemeClr w14:val="tx1"/>
            </w14:solidFill>
          </w14:textFill>
        </w:rPr>
        <w:t>万元</w:t>
      </w:r>
      <w:r>
        <w:rPr>
          <w:rFonts w:hint="eastAsia" w:cs="Times New Roman" w:eastAsiaTheme="minorEastAsia"/>
          <w:color w:val="000000" w:themeColor="text1"/>
          <w:highlight w:val="none"/>
          <w:u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u w:val="none"/>
          <w14:textFill>
            <w14:solidFill>
              <w14:schemeClr w14:val="tx1"/>
            </w14:solidFill>
          </w14:textFill>
        </w:rPr>
        <w:t>“十四五”期间共计调减</w:t>
      </w:r>
      <w:r>
        <w:rPr>
          <w:rFonts w:hint="eastAsia" w:cs="Times New Roman" w:eastAsiaTheme="minorEastAsia"/>
          <w:bCs/>
          <w:color w:val="000000" w:themeColor="text1"/>
          <w:highlight w:val="none"/>
          <w:u w:val="none"/>
          <w:lang w:val="en-US" w:eastAsia="zh-CN"/>
          <w14:textFill>
            <w14:solidFill>
              <w14:schemeClr w14:val="tx1"/>
            </w14:solidFill>
          </w14:textFill>
        </w:rPr>
        <w:t>2</w:t>
      </w:r>
      <w:r>
        <w:rPr>
          <w:rFonts w:hint="default" w:ascii="Times New Roman" w:hAnsi="Times New Roman" w:cs="Times New Roman" w:eastAsiaTheme="minorEastAsia"/>
          <w:bCs/>
          <w:color w:val="000000" w:themeColor="text1"/>
          <w:highlight w:val="none"/>
          <w:u w:val="none"/>
          <w14:textFill>
            <w14:solidFill>
              <w14:schemeClr w14:val="tx1"/>
            </w14:solidFill>
          </w14:textFill>
        </w:rPr>
        <w:t>个项目，调减估算投资</w:t>
      </w:r>
      <w:r>
        <w:rPr>
          <w:rFonts w:hint="eastAsia" w:cs="Times New Roman" w:eastAsiaTheme="minorEastAsia"/>
          <w:bCs/>
          <w:color w:val="000000" w:themeColor="text1"/>
          <w:highlight w:val="none"/>
          <w:u w:val="none"/>
          <w:lang w:val="en-US" w:eastAsia="zh-CN"/>
          <w14:textFill>
            <w14:solidFill>
              <w14:schemeClr w14:val="tx1"/>
            </w14:solidFill>
          </w14:textFill>
        </w:rPr>
        <w:t>142700</w:t>
      </w:r>
      <w:r>
        <w:rPr>
          <w:rFonts w:hint="default" w:ascii="Times New Roman" w:hAnsi="Times New Roman" w:cs="Times New Roman" w:eastAsiaTheme="minorEastAsia"/>
          <w:bCs/>
          <w:color w:val="000000" w:themeColor="text1"/>
          <w:highlight w:val="none"/>
          <w:u w:val="none"/>
          <w14:textFill>
            <w14:solidFill>
              <w14:schemeClr w14:val="tx1"/>
            </w14:solidFill>
          </w14:textFill>
        </w:rPr>
        <w:t>万元。</w:t>
      </w:r>
    </w:p>
    <w:p>
      <w:pPr>
        <w:jc w:val="center"/>
        <w:rPr>
          <w:rFonts w:hint="default" w:ascii="Times New Roman" w:hAnsi="Times New Roman" w:cs="Times New Roman" w:eastAsiaTheme="minorEastAsia"/>
          <w:b/>
          <w:bCs w:val="0"/>
          <w:color w:val="000000" w:themeColor="text1"/>
          <w:sz w:val="18"/>
          <w:szCs w:val="18"/>
          <w:highlight w:val="none"/>
          <w:u w:val="none"/>
          <w:lang w:val="en-US" w:eastAsia="zh-CN"/>
          <w14:textFill>
            <w14:solidFill>
              <w14:schemeClr w14:val="tx1"/>
            </w14:solidFill>
          </w14:textFill>
        </w:rPr>
      </w:pPr>
      <w:r>
        <w:rPr>
          <w:rFonts w:hint="eastAsia" w:cs="Times New Roman" w:eastAsiaTheme="minorEastAsia"/>
          <w:b/>
          <w:bCs w:val="0"/>
          <w:color w:val="000000" w:themeColor="text1"/>
          <w:sz w:val="18"/>
          <w:szCs w:val="18"/>
          <w:highlight w:val="none"/>
          <w:u w:val="none"/>
          <w:lang w:val="en-US" w:eastAsia="zh-CN"/>
          <w14:textFill>
            <w14:solidFill>
              <w14:schemeClr w14:val="tx1"/>
            </w14:solidFill>
          </w14:textFill>
        </w:rPr>
        <w:t>表6.2-1抚仙湖“十四五”调减项目表</w:t>
      </w:r>
    </w:p>
    <w:tbl>
      <w:tblPr>
        <w:tblStyle w:val="17"/>
        <w:tblW w:w="448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4"/>
        <w:gridCol w:w="70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序号</w:t>
            </w:r>
          </w:p>
        </w:tc>
        <w:tc>
          <w:tcPr>
            <w:tcW w:w="4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抚仙湖环湖生态移民搬迁安置工程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 w:hRule="atLeast"/>
          <w:jc w:val="center"/>
        </w:trPr>
        <w:tc>
          <w:tcPr>
            <w:tcW w:w="5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4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抚仙湖环湖路改造提升工程</w:t>
            </w:r>
          </w:p>
        </w:tc>
      </w:tr>
    </w:tbl>
    <w:p>
      <w:pPr>
        <w:ind w:firstLine="480" w:firstLineChars="200"/>
        <w:jc w:val="left"/>
        <w:rPr>
          <w:rFonts w:hint="default" w:ascii="Times New Roman" w:hAnsi="Times New Roman" w:cs="Times New Roman" w:eastAsiaTheme="minorEastAsia"/>
          <w:bCs/>
          <w:color w:val="000000" w:themeColor="text1"/>
          <w:highlight w:val="none"/>
          <w:u w:val="none"/>
          <w14:textFill>
            <w14:solidFill>
              <w14:schemeClr w14:val="tx1"/>
            </w14:solidFill>
          </w14:textFill>
        </w:rPr>
      </w:pP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08" w:name="_Toc1913"/>
      <w:bookmarkStart w:id="509" w:name="_Toc14578"/>
      <w:r>
        <w:rPr>
          <w:rFonts w:hint="default" w:ascii="Times New Roman" w:hAnsi="Times New Roman" w:cs="Times New Roman" w:eastAsiaTheme="minorEastAsia"/>
          <w:b/>
          <w:bCs w:val="0"/>
          <w:color w:val="000000" w:themeColor="text1"/>
          <w:highlight w:val="none"/>
          <w14:textFill>
            <w14:solidFill>
              <w14:schemeClr w14:val="tx1"/>
            </w14:solidFill>
          </w14:textFill>
        </w:rPr>
        <w:t>6.2.1抚仙湖环湖生态移民搬迁安置工程</w:t>
      </w:r>
      <w:bookmarkEnd w:id="508"/>
      <w:bookmarkEnd w:id="509"/>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left="480" w:left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将抚仙湖生态移民搬迁一级保护区剩余的196户756人进行退出。</w:t>
      </w:r>
    </w:p>
    <w:p>
      <w:pPr>
        <w:ind w:left="480" w:left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规划实施年限：2021—2025年</w:t>
      </w:r>
    </w:p>
    <w:p>
      <w:pPr>
        <w:ind w:left="480" w:left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w:t>
      </w:r>
      <w:r>
        <w:rPr>
          <w:rFonts w:hint="default" w:ascii="Times New Roman" w:hAnsi="Times New Roman" w:cs="Times New Roman" w:eastAsiaTheme="minorEastAsia"/>
          <w:color w:val="000000" w:themeColor="text1"/>
          <w:highlight w:val="none"/>
          <w14:textFill>
            <w14:solidFill>
              <w14:schemeClr w14:val="tx1"/>
            </w14:solidFill>
          </w14:textFill>
        </w:rPr>
        <w:t>单位：澄江市住房和城乡建设局</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（2）项目实施情况</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根据2022年9月9日上报“两违”图斑排查表属于一级保护区“原住民村落”建议暂时保留，其余已列入生态移民搬迁计划，并制定退出方案。该项目尚未启动。</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（3）项目调减原因</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一、土地及资金要素未得到保障。9个安置区规划建设用地总面积1362.7亩，已批复用地841.29亩，未批复用地521.41亩。2019年以来共需资金约217.49亿元，已筹措到位86.14亿元，缺口129.67亿元。</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二、安置房未能如期交付，需筹措资金支付延期交房过渡费。经测算，2022年需支付过渡费3.16亿元，2023年起每年需支付过渡费4.68亿元。现急需支付延期交房过渡费1.68亿元，目前未筹集到所需资金，至今未完成兑付；政府公信力降低，涉迁群众已多批次、多人数频繁到各级各部门进行信访，问题矛盾叠加累积，形成安保维稳巨大隐患风险。</w:t>
      </w: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10" w:name="_Toc29422"/>
      <w:bookmarkStart w:id="511" w:name="_Toc32340"/>
      <w:r>
        <w:rPr>
          <w:rFonts w:hint="default" w:ascii="Times New Roman" w:hAnsi="Times New Roman" w:cs="Times New Roman" w:eastAsiaTheme="minorEastAsia"/>
          <w:b/>
          <w:bCs w:val="0"/>
          <w:color w:val="000000" w:themeColor="text1"/>
          <w:highlight w:val="none"/>
          <w14:textFill>
            <w14:solidFill>
              <w14:schemeClr w14:val="tx1"/>
            </w14:solidFill>
          </w14:textFill>
        </w:rPr>
        <w:t>6.2.2抚仙湖环湖路改造提升工程</w:t>
      </w:r>
      <w:bookmarkEnd w:id="510"/>
      <w:bookmarkEnd w:id="511"/>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将原有环湖路（广龙—太阳山段16.4公里）交通功能退出，建设慢行系统，外移货运交通功能。实施道路路面加罩、景观绿化提升、地下综合管线埋设、雨污管道完善、路灯亮化打造，完善交通监控和公共配套设施等。</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规划实施年限：2024—2026年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项目责任单位：澄江市交运局、市文旅局</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2、项目设计（可研）情况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根据2021年5月29日省人民政府玉溪“三湖”保护治理工作现场会精神，省交通运输厅牵头编制了《玉溪“三湖”保护治理公路领域方案》（以下简称《方案》），于2021年12月4日经第五届玉溪市人民政府第77次常务会议审议通过；并于2021年12月24日报请省人民政府审核同意《方案》</w:t>
      </w:r>
      <w:r>
        <w:rPr>
          <w:rFonts w:hint="eastAsia"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玉政请</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75号</w:t>
      </w:r>
      <w:r>
        <w:rPr>
          <w:rFonts w:hint="eastAsia"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。依据2022年3月24日《云南省交通运输厅关于加快抚仙湖东西两岸和洱海东岸既有普通国省道交通功能外移项目前期工作的通知》</w:t>
      </w:r>
      <w:r>
        <w:rPr>
          <w:rFonts w:hint="eastAsia"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云交规划便</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166号</w:t>
      </w:r>
      <w:r>
        <w:rPr>
          <w:rFonts w:hint="eastAsia"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抚仙湖东西两岸普通国省道交通功能外移项目已纳入《云南省公路“十四五”发展规划》；抚仙湖东岸普通省道S212外移新建起点为澄江市九村镇，止点为路居镇上营村。抚仙湖西岸普通国道G245外移改扩建起点为晋宁晋城镇河西厂，止点为江川区江城镇翠峰山岔口。</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工程建设年限：2024-2026年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项目责任单位：云南省交通运输厅</w:t>
      </w:r>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64700万元，截至2023年6月，已到位资金638万元，资金到位率0.99%，资金全部来源于县级配套638万元；已完成投资0万元，投资完成率0。该项目于2019年3月5日签订了《澄江县环湖路（广龙-太阳山）道路提升改造项目可行性研究报告》合同；4月29日签订《澄江县环湖路（广龙-太阳山）道路提升改造项目建设工程设计合同》；5月7日签订了《澄江县环湖路（广龙-太阳山）道路提升改造项目地质灾害危险性评估》合同、《建设项目环境影响评价合同》、《水土保持方案编制合同》、《压覆矿产资源调查合同书》；5月20日签订了《建设工程造价咨询》合同；5月28日签订《社会稳定风险评估合同书》；6月28日签订《澄江县环湖路（广龙-太阳山）道路提升改造项目建设用地勘测界定项目合同书》。目前已编制完成《澄江县环湖路（广龙—太阳山）道路提升改造工程可行性研究报告》、《水土保持方案》，还未进行专家评审；编制完成《环境影响报告书》，还未进行专家评审；编制完成《压覆矿产调查资源备案表》、《地质灾害危险评估报告》，还未进行备案；编制完成《社会稳定性风险评估报告》，已进行备案。</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（3）项目调减原因</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一、抚仙湖环湖交通功能（G245和S212）外移项目已纳入《云南省公路“十四五”发展规划》；</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二、资金投资体量大，项目建设资金尚未落实。</w:t>
      </w:r>
    </w:p>
    <w:p>
      <w:pPr>
        <w:pStyle w:val="4"/>
        <w:spacing w:before="120" w:after="120" w:line="480" w:lineRule="auto"/>
        <w:rPr>
          <w:rFonts w:hint="default" w:ascii="Times New Roman" w:hAnsi="Times New Roman" w:cs="Times New Roman" w:eastAsiaTheme="minorEastAsia"/>
          <w:bCs/>
          <w:color w:val="000000" w:themeColor="text1"/>
          <w:highlight w:val="none"/>
          <w14:textFill>
            <w14:solidFill>
              <w14:schemeClr w14:val="tx1"/>
            </w14:solidFill>
          </w14:textFill>
        </w:rPr>
      </w:pPr>
      <w:bookmarkStart w:id="512" w:name="_Toc23277"/>
      <w:r>
        <w:rPr>
          <w:rFonts w:hint="default" w:ascii="Times New Roman" w:hAnsi="Times New Roman" w:cs="Times New Roman" w:eastAsiaTheme="minorEastAsia"/>
          <w:color w:val="000000" w:themeColor="text1"/>
          <w:highlight w:val="none"/>
          <w14:textFill>
            <w14:solidFill>
              <w14:schemeClr w14:val="tx1"/>
            </w14:solidFill>
          </w14:textFill>
        </w:rPr>
        <w:t>6.3调整项目建议</w:t>
      </w:r>
      <w:bookmarkEnd w:id="512"/>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规划时间过半，结合项目运行情况，申请有1</w:t>
      </w:r>
      <w:r>
        <w:rPr>
          <w:rFonts w:hint="eastAsia" w:cs="Times New Roman" w:eastAsiaTheme="minorEastAsia"/>
          <w:bCs/>
          <w:color w:val="000000" w:themeColor="text1"/>
          <w:highlight w:val="none"/>
          <w:lang w:val="en-US" w:eastAsia="zh-CN"/>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个项目的建设内容和投资需要有所调整，分别是</w:t>
      </w:r>
      <w:r>
        <w:rPr>
          <w:rFonts w:hint="default" w:ascii="Times New Roman" w:hAnsi="Times New Roman" w:cs="Times New Roman" w:eastAsiaTheme="minorEastAsia"/>
          <w:color w:val="000000" w:themeColor="text1"/>
          <w:highlight w:val="none"/>
          <w14:textFill>
            <w14:solidFill>
              <w14:schemeClr w14:val="tx1"/>
            </w14:solidFill>
          </w14:textFill>
        </w:rPr>
        <w:t>沿湖“违规违建”整治项目、抚仙湖环湖生态廊道建设项目、抚仙湖北岸初期雨水收集循环利用项目、澄江市生活垃圾治理项目、农业绿色转型升级发展工程、澄江市污水处理厂技术改造项目、矿山修复项目、澄江市抚仙湖全流域截污治污</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 w:val="0"/>
          <w:color w:val="000000" w:themeColor="text1"/>
          <w:highlight w:val="none"/>
          <w14:textFill>
            <w14:solidFill>
              <w14:schemeClr w14:val="tx1"/>
            </w14:solidFill>
          </w14:textFill>
        </w:rPr>
        <w:t>抚仙湖水环境保护精准研究项目</w:t>
      </w:r>
      <w:r>
        <w:rPr>
          <w:rFonts w:hint="default" w:ascii="Times New Roman" w:hAnsi="Times New Roman" w:cs="Times New Roman" w:eastAsiaTheme="minorEastAsia"/>
          <w:b w:val="0"/>
          <w:color w:val="000000" w:themeColor="text1"/>
          <w:highlight w:val="none"/>
          <w:lang w:eastAsia="zh-CN"/>
          <w14:textFill>
            <w14:solidFill>
              <w14:schemeClr w14:val="tx1"/>
            </w14:solidFill>
          </w14:textFill>
        </w:rPr>
        <w:t>、澄江市城乡供水一体化工程项目</w:t>
      </w:r>
      <w:r>
        <w:rPr>
          <w:rFonts w:hint="eastAsia"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抚仙湖总磷变化机制和趋势分析研判课题研究项目</w:t>
      </w:r>
      <w:r>
        <w:rPr>
          <w:rFonts w:hint="eastAsia"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u w:val="none"/>
          <w14:textFill>
            <w14:solidFill>
              <w14:schemeClr w14:val="tx1"/>
            </w14:solidFill>
          </w14:textFill>
        </w:rPr>
        <w:t>抚仙湖水文监测中心工程和玉溪市“三湖”流域水环境质量自动监测建设项目</w:t>
      </w:r>
      <w:r>
        <w:rPr>
          <w:rFonts w:hint="eastAsia" w:cs="Times New Roman" w:eastAsiaTheme="minorEastAsia"/>
          <w:color w:val="000000" w:themeColor="text1"/>
          <w:highlight w:val="none"/>
          <w:u w:val="none"/>
          <w:lang w:eastAsia="zh-CN"/>
          <w14:textFill>
            <w14:solidFill>
              <w14:schemeClr w14:val="tx1"/>
            </w14:solidFill>
          </w14:textFill>
        </w:rPr>
        <w:t>，其中</w:t>
      </w:r>
      <w:r>
        <w:rPr>
          <w:rFonts w:hint="default" w:ascii="Times New Roman" w:hAnsi="Times New Roman" w:cs="Times New Roman" w:eastAsiaTheme="minorEastAsia"/>
          <w:color w:val="000000" w:themeColor="text1"/>
          <w:highlight w:val="none"/>
          <w:u w:val="none"/>
          <w14:textFill>
            <w14:solidFill>
              <w14:schemeClr w14:val="tx1"/>
            </w14:solidFill>
          </w14:textFill>
        </w:rPr>
        <w:t>抚仙湖水文监测中心工程和</w:t>
      </w:r>
      <w:r>
        <w:rPr>
          <w:rFonts w:hint="default" w:ascii="Times New Roman" w:hAnsi="Times New Roman" w:cs="Times New Roman" w:eastAsiaTheme="minorEastAsia"/>
          <w:b w:val="0"/>
          <w:color w:val="000000" w:themeColor="text1"/>
          <w:highlight w:val="none"/>
          <w14:textFill>
            <w14:solidFill>
              <w14:schemeClr w14:val="tx1"/>
            </w14:solidFill>
          </w14:textFill>
        </w:rPr>
        <w:t>三湖流域水环境保护数字化监管系统建设</w:t>
      </w:r>
      <w:r>
        <w:rPr>
          <w:rFonts w:hint="default" w:ascii="Times New Roman" w:hAnsi="Times New Roman" w:cs="Times New Roman" w:eastAsiaTheme="minorEastAsia"/>
          <w:color w:val="000000" w:themeColor="text1"/>
          <w:highlight w:val="none"/>
          <w:u w:val="none"/>
          <w14:textFill>
            <w14:solidFill>
              <w14:schemeClr w14:val="tx1"/>
            </w14:solidFill>
          </w14:textFill>
        </w:rPr>
        <w:t>项目</w:t>
      </w:r>
      <w:r>
        <w:rPr>
          <w:rFonts w:hint="eastAsia" w:cs="Times New Roman" w:eastAsiaTheme="minorEastAsia"/>
          <w:bCs/>
          <w:color w:val="000000" w:themeColor="text1"/>
          <w:highlight w:val="none"/>
          <w:lang w:eastAsia="zh-CN"/>
          <w14:textFill>
            <w14:solidFill>
              <w14:schemeClr w14:val="tx1"/>
            </w14:solidFill>
          </w14:textFill>
        </w:rPr>
        <w:t>依据</w:t>
      </w:r>
      <w:r>
        <w:rPr>
          <w:rFonts w:hint="eastAsia"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云南省“十四五”九大高原湖泊保护治理规划中期评估报告</w:t>
      </w:r>
      <w:r>
        <w:rPr>
          <w:rFonts w:hint="eastAsia" w:cs="Times New Roman" w:eastAsiaTheme="minorEastAsia"/>
          <w:bCs/>
          <w:color w:val="000000" w:themeColor="text1"/>
          <w:highlight w:val="none"/>
          <w:lang w:eastAsia="zh-CN"/>
          <w14:textFill>
            <w14:solidFill>
              <w14:schemeClr w14:val="tx1"/>
            </w14:solidFill>
          </w14:textFill>
        </w:rPr>
        <w:t>》（云水发〔2023〕90号）</w:t>
      </w:r>
      <w:r>
        <w:rPr>
          <w:rFonts w:hint="eastAsia" w:cs="Times New Roman" w:eastAsiaTheme="minorEastAsia"/>
          <w:color w:val="000000" w:themeColor="text1"/>
          <w:highlight w:val="none"/>
          <w:lang w:eastAsia="zh-CN"/>
          <w14:textFill>
            <w14:solidFill>
              <w14:schemeClr w14:val="tx1"/>
            </w14:solidFill>
          </w14:textFill>
        </w:rPr>
        <w:t>列为储备项目</w:t>
      </w:r>
      <w:r>
        <w:rPr>
          <w:rFonts w:hint="default" w:ascii="Times New Roman" w:hAnsi="Times New Roman" w:cs="Times New Roman" w:eastAsiaTheme="minorEastAsia"/>
          <w:color w:val="000000" w:themeColor="text1"/>
          <w:highlight w:val="none"/>
          <w14:textFill>
            <w14:solidFill>
              <w14:schemeClr w14:val="tx1"/>
            </w14:solidFill>
          </w14:textFill>
        </w:rPr>
        <w:t>。以下分别介绍需调整项目调整情况。</w:t>
      </w:r>
    </w:p>
    <w:p>
      <w:pPr>
        <w:jc w:val="center"/>
        <w:rPr>
          <w:rFonts w:hint="default" w:ascii="Times New Roman" w:hAnsi="Times New Roman" w:cs="Times New Roman" w:eastAsiaTheme="minorEastAsia"/>
          <w:b/>
          <w:bCs w:val="0"/>
          <w:color w:val="000000" w:themeColor="text1"/>
          <w:sz w:val="18"/>
          <w:szCs w:val="18"/>
          <w:highlight w:val="none"/>
          <w:u w:val="none"/>
          <w:lang w:val="en-US" w:eastAsia="zh-CN"/>
          <w14:textFill>
            <w14:solidFill>
              <w14:schemeClr w14:val="tx1"/>
            </w14:solidFill>
          </w14:textFill>
        </w:rPr>
      </w:pPr>
      <w:r>
        <w:rPr>
          <w:rFonts w:hint="eastAsia" w:cs="Times New Roman" w:eastAsiaTheme="minorEastAsia"/>
          <w:b/>
          <w:bCs w:val="0"/>
          <w:color w:val="000000" w:themeColor="text1"/>
          <w:sz w:val="18"/>
          <w:szCs w:val="18"/>
          <w:highlight w:val="none"/>
          <w:u w:val="none"/>
          <w:lang w:val="en-US" w:eastAsia="zh-CN"/>
          <w14:textFill>
            <w14:solidFill>
              <w14:schemeClr w14:val="tx1"/>
            </w14:solidFill>
          </w14:textFill>
        </w:rPr>
        <w:t>表6.3-1抚仙湖“十四五”调整项目表</w:t>
      </w:r>
    </w:p>
    <w:tbl>
      <w:tblPr>
        <w:tblStyle w:val="17"/>
        <w:tblW w:w="76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0"/>
        <w:gridCol w:w="68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序号</w:t>
            </w:r>
          </w:p>
        </w:tc>
        <w:tc>
          <w:tcPr>
            <w:tcW w:w="6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6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沿湖“违规违建”整治及生态恢复项目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6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抚仙湖环湖生态廊道项目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6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抚仙湖北岸初期雨水收集循环利用项目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6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澄江市生活垃圾治理项目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6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农业绿色转型升级发展工程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6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澄江市污水处理厂技术改造项目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w:t>
            </w:r>
          </w:p>
        </w:tc>
        <w:tc>
          <w:tcPr>
            <w:tcW w:w="6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矿山修复项目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w:t>
            </w:r>
          </w:p>
        </w:tc>
        <w:tc>
          <w:tcPr>
            <w:tcW w:w="6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澄江市抚仙湖全流域截污治污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w:t>
            </w:r>
          </w:p>
        </w:tc>
        <w:tc>
          <w:tcPr>
            <w:tcW w:w="6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抚仙湖总磷变化机制和趋势分析研判课题研究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6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澄江市城乡供水一体化工程项目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w:t>
            </w:r>
          </w:p>
        </w:tc>
        <w:tc>
          <w:tcPr>
            <w:tcW w:w="6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抚仙湖水环境保护精准研究项目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抚仙湖水文监测中心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w:t>
            </w:r>
          </w:p>
        </w:tc>
        <w:tc>
          <w:tcPr>
            <w:tcW w:w="6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三湖流域水环境保护数字化监管系统建设</w:t>
            </w:r>
          </w:p>
        </w:tc>
      </w:tr>
    </w:tbl>
    <w:p>
      <w:pPr>
        <w:rPr>
          <w:rFonts w:hint="default" w:ascii="Times New Roman" w:hAnsi="Times New Roman" w:cs="Times New Roman" w:eastAsiaTheme="minorEastAsia"/>
          <w:color w:val="000000" w:themeColor="text1"/>
          <w:highlight w:val="none"/>
          <w14:textFill>
            <w14:solidFill>
              <w14:schemeClr w14:val="tx1"/>
            </w14:solidFill>
          </w14:textFill>
        </w:rPr>
      </w:pP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13" w:name="_Toc6936"/>
      <w:bookmarkStart w:id="514" w:name="_Toc5974"/>
      <w:r>
        <w:rPr>
          <w:rFonts w:hint="default" w:ascii="Times New Roman" w:hAnsi="Times New Roman" w:cs="Times New Roman" w:eastAsiaTheme="minorEastAsia"/>
          <w:b/>
          <w:bCs w:val="0"/>
          <w:color w:val="000000" w:themeColor="text1"/>
          <w:highlight w:val="none"/>
          <w14:textFill>
            <w14:solidFill>
              <w14:schemeClr w14:val="tx1"/>
            </w14:solidFill>
          </w14:textFill>
        </w:rPr>
        <w:t>6.3.1</w:t>
      </w:r>
      <w:bookmarkEnd w:id="513"/>
      <w:r>
        <w:rPr>
          <w:rFonts w:hint="default" w:ascii="Times New Roman" w:hAnsi="Times New Roman" w:cs="Times New Roman" w:eastAsiaTheme="minorEastAsia"/>
          <w:b/>
          <w:bCs w:val="0"/>
          <w:color w:val="000000" w:themeColor="text1"/>
          <w:highlight w:val="none"/>
          <w14:textFill>
            <w14:solidFill>
              <w14:schemeClr w14:val="tx1"/>
            </w14:solidFill>
          </w14:textFill>
        </w:rPr>
        <w:t>沿湖“违规违建”整治及生态恢复项目</w:t>
      </w:r>
      <w:bookmarkEnd w:id="514"/>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按照抚仙湖沿岸“两违”排查甄别意见，对355个图斑进行拆除（拆除图斑228个，限期拆除127个），拆除总建筑面积161946.42平方米，同步对拆除地块实施生态修复。</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规划实施年限：2021—2023年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2、项目设计（可研）情况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依据2022年12月17日澄江市人民政府文件：按照《云南省人民政府关于九大高原湖泊“三区”管控的指导意见》、《抚仙湖保护“三区”管控实施细则（试行）》对图斑进行重新甄别，共需拆除163个图斑，其中至（</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十四五</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期间）2025年前需拆除87个，拆除建筑面积31052.88平方米。</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工程建设年限：2021-2030年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项目责任单位：澄江市自然资源局、澄江市林业和草原局、澄江市路居镇</w:t>
      </w:r>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该项目规划投资92100万元，截至2023年6月，已到位资金955万元，资金到位率1.04%，其中州市配套资金438万元，县级配套517万元；已完成投资228万元，投资完成率0.25%。</w:t>
      </w:r>
      <w:r>
        <w:rPr>
          <w:rFonts w:hint="eastAsia" w:cs="Times New Roman" w:eastAsiaTheme="minorEastAsia"/>
          <w:bCs/>
          <w:color w:val="000000" w:themeColor="text1"/>
          <w:highlight w:val="none"/>
          <w:lang w:eastAsia="zh-CN"/>
          <w14:textFill>
            <w14:solidFill>
              <w14:schemeClr w14:val="tx1"/>
            </w14:solidFill>
          </w14:textFill>
        </w:rPr>
        <w:t>截至</w:t>
      </w:r>
      <w:r>
        <w:rPr>
          <w:rFonts w:hint="default" w:ascii="Times New Roman" w:hAnsi="Times New Roman" w:cs="Times New Roman" w:eastAsiaTheme="minorEastAsia"/>
          <w:bCs/>
          <w:color w:val="000000" w:themeColor="text1"/>
          <w:highlight w:val="none"/>
          <w14:textFill>
            <w14:solidFill>
              <w14:schemeClr w14:val="tx1"/>
            </w14:solidFill>
          </w14:textFill>
        </w:rPr>
        <w:t>2023年6月，共完成①</w:t>
      </w:r>
      <w:r>
        <w:rPr>
          <w:rFonts w:hint="default" w:ascii="Times New Roman" w:hAnsi="Times New Roman" w:cs="Times New Roman" w:eastAsiaTheme="minorEastAsia"/>
          <w:color w:val="000000" w:themeColor="text1"/>
          <w:highlight w:val="none"/>
          <w14:textFill>
            <w14:solidFill>
              <w14:schemeClr w14:val="tx1"/>
            </w14:solidFill>
          </w14:textFill>
        </w:rPr>
        <w:t>根据澄江市初步甄别意见，目前已完成119个建（构）筑物图斑拆除整改工作，其中：一级保护区内98个，一级保护区外21个，拆除建筑面积3.150276万平方米。②是结合《云南省人民政府关于九大高原湖泊“三区”管控的指导意见》（云政发</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2022</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25号）、玉溪市人民政府印发《抚仙湖保护“三区"管控实施细则（试行）》文件精神，开展重新甄别工作，经玉溪市湖泊革命“两违图斑排查甄别组与澄江市人民政府现场踏勘核实，形成甄别意见。</w:t>
      </w:r>
      <w:r>
        <w:rPr>
          <w:rFonts w:hint="default" w:ascii="Times New Roman" w:hAnsi="Times New Roman" w:cs="Times New Roman" w:eastAsiaTheme="minorEastAsia"/>
          <w:bCs/>
          <w:color w:val="000000" w:themeColor="text1"/>
          <w:highlight w:val="none"/>
          <w14:textFill>
            <w14:solidFill>
              <w14:schemeClr w14:val="tx1"/>
            </w14:solidFill>
          </w14:textFill>
        </w:rPr>
        <w:t>该项目处于在建工作阶段，项目进展符合规划进度要求，但投资滞后。</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（3）项目调整情况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一、按照重新排查甄别意见，沿湖“违规违建”整治建设年限为2021-2030年，2023年至2025年拆除资金需8340万元。</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二、调整后项目总投资6554</w:t>
      </w:r>
      <w:r>
        <w:rPr>
          <w:rFonts w:hint="eastAsia" w:cs="Times New Roman" w:eastAsiaTheme="minorEastAsia"/>
          <w:bCs/>
          <w:color w:val="000000" w:themeColor="text1"/>
          <w:highlight w:val="none"/>
          <w:lang w:val="en-US" w:eastAsia="zh-CN"/>
          <w14:textFill>
            <w14:solidFill>
              <w14:schemeClr w14:val="tx1"/>
            </w14:solidFill>
          </w14:textFill>
        </w:rPr>
        <w:t>8</w:t>
      </w:r>
      <w:r>
        <w:rPr>
          <w:rFonts w:hint="default" w:ascii="Times New Roman" w:hAnsi="Times New Roman" w:cs="Times New Roman" w:eastAsiaTheme="minorEastAsia"/>
          <w:bCs/>
          <w:color w:val="000000" w:themeColor="text1"/>
          <w:highlight w:val="none"/>
          <w14:textFill>
            <w14:solidFill>
              <w14:schemeClr w14:val="tx1"/>
            </w14:solidFill>
          </w14:textFill>
        </w:rPr>
        <w:t>万元，减少投资</w:t>
      </w:r>
      <w:r>
        <w:rPr>
          <w:rFonts w:hint="eastAsia" w:cs="Times New Roman" w:eastAsiaTheme="minorEastAsia"/>
          <w:bCs/>
          <w:color w:val="000000" w:themeColor="text1"/>
          <w:highlight w:val="none"/>
          <w:lang w:val="en-US" w:eastAsia="zh-CN"/>
          <w14:textFill>
            <w14:solidFill>
              <w14:schemeClr w14:val="tx1"/>
            </w14:solidFill>
          </w14:textFill>
        </w:rPr>
        <w:t>26552</w:t>
      </w:r>
      <w:r>
        <w:rPr>
          <w:rFonts w:hint="default" w:ascii="Times New Roman" w:hAnsi="Times New Roman" w:cs="Times New Roman" w:eastAsiaTheme="minorEastAsia"/>
          <w:bCs/>
          <w:color w:val="000000" w:themeColor="text1"/>
          <w:highlight w:val="none"/>
          <w14:textFill>
            <w14:solidFill>
              <w14:schemeClr w14:val="tx1"/>
            </w14:solidFill>
          </w14:textFill>
        </w:rPr>
        <w:t>万元。</w:t>
      </w: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15" w:name="_Toc9873"/>
      <w:bookmarkStart w:id="516" w:name="_Toc27249"/>
      <w:r>
        <w:rPr>
          <w:rFonts w:hint="default" w:ascii="Times New Roman" w:hAnsi="Times New Roman" w:cs="Times New Roman" w:eastAsiaTheme="minorEastAsia"/>
          <w:b/>
          <w:bCs w:val="0"/>
          <w:color w:val="000000" w:themeColor="text1"/>
          <w:highlight w:val="none"/>
          <w14:textFill>
            <w14:solidFill>
              <w14:schemeClr w14:val="tx1"/>
            </w14:solidFill>
          </w14:textFill>
        </w:rPr>
        <w:t>6.3.2</w:t>
      </w:r>
      <w:bookmarkEnd w:id="515"/>
      <w:r>
        <w:rPr>
          <w:rFonts w:hint="default" w:ascii="Times New Roman" w:hAnsi="Times New Roman" w:cs="Times New Roman" w:eastAsiaTheme="minorEastAsia"/>
          <w:b/>
          <w:bCs w:val="0"/>
          <w:color w:val="000000" w:themeColor="text1"/>
          <w:highlight w:val="none"/>
          <w14:textFill>
            <w14:solidFill>
              <w14:schemeClr w14:val="tx1"/>
            </w14:solidFill>
          </w14:textFill>
        </w:rPr>
        <w:t>抚仙湖</w:t>
      </w:r>
      <w:r>
        <w:rPr>
          <w:rFonts w:hint="default" w:ascii="Times New Roman" w:hAnsi="Times New Roman" w:cs="Times New Roman" w:eastAsiaTheme="minorEastAsia"/>
          <w:b/>
          <w:bCs w:val="0"/>
          <w:color w:val="000000" w:themeColor="text1"/>
          <w:highlight w:val="none"/>
          <w:lang w:eastAsia="zh-CN"/>
          <w14:textFill>
            <w14:solidFill>
              <w14:schemeClr w14:val="tx1"/>
            </w14:solidFill>
          </w14:textFill>
        </w:rPr>
        <w:t>环湖</w:t>
      </w:r>
      <w:r>
        <w:rPr>
          <w:rFonts w:hint="default" w:ascii="Times New Roman" w:hAnsi="Times New Roman" w:cs="Times New Roman" w:eastAsiaTheme="minorEastAsia"/>
          <w:b/>
          <w:bCs w:val="0"/>
          <w:color w:val="000000" w:themeColor="text1"/>
          <w:highlight w:val="none"/>
          <w14:textFill>
            <w14:solidFill>
              <w14:schemeClr w14:val="tx1"/>
            </w14:solidFill>
          </w14:textFill>
        </w:rPr>
        <w:t>生态廊道项目</w:t>
      </w:r>
      <w:bookmarkEnd w:id="516"/>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按照“统一规划、分步实施”的原则，先期实施北岸生态廊道，总长约16.8公里；结合“两线”划定以及抚仙湖老环湖路提升改造项目，对东岸、西岸、南岸进行物理隔离，实现生态廊道闭合。</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w:t>
      </w:r>
      <w:r>
        <w:rPr>
          <w:rFonts w:hint="default" w:ascii="Times New Roman" w:hAnsi="Times New Roman" w:cs="Times New Roman" w:eastAsiaTheme="minorEastAsia"/>
          <w:bCs/>
          <w:color w:val="000000" w:themeColor="text1"/>
          <w:highlight w:val="none"/>
          <w14:textFill>
            <w14:solidFill>
              <w14:schemeClr w14:val="tx1"/>
            </w14:solidFill>
          </w14:textFill>
        </w:rPr>
        <w:t>限：2021—2025年</w:t>
      </w:r>
    </w:p>
    <w:p>
      <w:pPr>
        <w:numPr>
          <w:ilvl w:val="0"/>
          <w:numId w:val="4"/>
        </w:num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项目设计（可研）情况</w:t>
      </w:r>
      <w:r>
        <w:rPr>
          <w:rFonts w:hint="default" w:ascii="Times New Roman" w:hAnsi="Times New Roman" w:cs="Times New Roman" w:eastAsiaTheme="minorEastAsia"/>
          <w:color w:val="000000" w:themeColor="text1"/>
          <w:highlight w:val="none"/>
          <w14:textFill>
            <w14:solidFill>
              <w14:schemeClr w14:val="tx1"/>
            </w14:solidFill>
          </w14:textFill>
        </w:rPr>
        <w:t>(备注：该项内容来自可研批复玉发改资环复〔2022</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7</w:t>
      </w:r>
      <w:r>
        <w:rPr>
          <w:rFonts w:hint="eastAsia" w:cs="Times New Roman" w:eastAsiaTheme="minorEastAsia"/>
          <w:color w:val="000000" w:themeColor="text1"/>
          <w:highlight w:val="none"/>
          <w:lang w:eastAsia="zh-CN"/>
          <w14:textFill>
            <w14:solidFill>
              <w14:schemeClr w14:val="tx1"/>
            </w14:solidFill>
          </w14:textFill>
        </w:rPr>
        <w:t>号</w:t>
      </w:r>
      <w:r>
        <w:rPr>
          <w:rFonts w:hint="default" w:ascii="Times New Roman" w:hAnsi="Times New Roman" w:cs="Times New Roman" w:eastAsiaTheme="minorEastAsia"/>
          <w:color w:val="000000" w:themeColor="text1"/>
          <w:highlight w:val="none"/>
          <w14:textFill>
            <w14:solidFill>
              <w14:schemeClr w14:val="tx1"/>
            </w14:solidFill>
          </w14:textFill>
        </w:rPr>
        <w:t>)</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项目名称：抚仙湖北岸生态廊道项目。</w:t>
      </w:r>
    </w:p>
    <w:p>
      <w:pPr>
        <w:ind w:firstLine="480" w:firstLineChars="200"/>
        <w:rPr>
          <w:rFonts w:hint="default" w:ascii="Times New Roman" w:hAnsi="Times New Roman" w:cs="Times New Roman" w:eastAsiaTheme="minorEastAsia"/>
          <w:color w:val="000000" w:themeColor="text1"/>
          <w:kern w:val="0"/>
          <w:sz w:val="18"/>
          <w:szCs w:val="18"/>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项目内容：</w:t>
      </w:r>
      <w:r>
        <w:rPr>
          <w:rFonts w:hint="default" w:ascii="Times New Roman" w:hAnsi="Times New Roman" w:cs="Times New Roman" w:eastAsiaTheme="minorEastAsia"/>
          <w:color w:val="000000" w:themeColor="text1"/>
          <w:highlight w:val="none"/>
          <w14:textFill>
            <w14:solidFill>
              <w14:schemeClr w14:val="tx1"/>
            </w14:solidFill>
          </w14:textFill>
        </w:rPr>
        <w:t>主要建设规模及内容项目主要由抚仙湖广场、东大河至月亮湾湿地、寒武纪矣旧区块湿地三个主要节点，以及以老环湖路为基础串联三个节点的慢行道共同组成。</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项目责任单位：澄江市抚仙湖管理局</w:t>
      </w:r>
    </w:p>
    <w:p>
      <w:pPr>
        <w:numPr>
          <w:ilvl w:val="0"/>
          <w:numId w:val="5"/>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该项目规划投资80000万元，一期工程可研批复投资30429万元，截至2023年6月，已到位资金14900万元，资金到位率48.97%，其中省级补助资金14850万元，州市配套资金50万元；已完成投资</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12408</w:t>
      </w:r>
      <w:r>
        <w:rPr>
          <w:rFonts w:hint="default" w:ascii="Times New Roman" w:hAnsi="Times New Roman" w:cs="Times New Roman" w:eastAsiaTheme="minorEastAsia"/>
          <w:bCs/>
          <w:color w:val="000000" w:themeColor="text1"/>
          <w:highlight w:val="none"/>
          <w14:textFill>
            <w14:solidFill>
              <w14:schemeClr w14:val="tx1"/>
            </w14:solidFill>
          </w14:textFill>
        </w:rPr>
        <w:t>万元，投资完成率</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40.78</w:t>
      </w:r>
      <w:r>
        <w:rPr>
          <w:rFonts w:hint="default" w:ascii="Times New Roman" w:hAnsi="Times New Roman" w:cs="Times New Roman" w:eastAsiaTheme="minorEastAsia"/>
          <w:bCs/>
          <w:color w:val="000000" w:themeColor="text1"/>
          <w:highlight w:val="none"/>
          <w14:textFill>
            <w14:solidFill>
              <w14:schemeClr w14:val="tx1"/>
            </w14:solidFill>
          </w14:textFill>
        </w:rPr>
        <w:t>%。</w:t>
      </w:r>
      <w:r>
        <w:rPr>
          <w:rFonts w:hint="eastAsia" w:cs="Times New Roman" w:eastAsiaTheme="minorEastAsia"/>
          <w:bCs/>
          <w:color w:val="000000" w:themeColor="text1"/>
          <w:highlight w:val="none"/>
          <w:lang w:eastAsia="zh-CN"/>
          <w14:textFill>
            <w14:solidFill>
              <w14:schemeClr w14:val="tx1"/>
            </w14:solidFill>
          </w14:textFill>
        </w:rPr>
        <w:t>截至</w:t>
      </w:r>
      <w:r>
        <w:rPr>
          <w:rFonts w:hint="default" w:ascii="Times New Roman" w:hAnsi="Times New Roman" w:cs="Times New Roman" w:eastAsiaTheme="minorEastAsia"/>
          <w:bCs/>
          <w:color w:val="000000" w:themeColor="text1"/>
          <w:highlight w:val="none"/>
          <w14:textFill>
            <w14:solidFill>
              <w14:schemeClr w14:val="tx1"/>
            </w14:solidFill>
          </w14:textFill>
        </w:rPr>
        <w:t>2023年6月，该项目一期工程可研已编制完成，并已获得批复（澄发改发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12号），一期工程初步设计已编制完成，并已获得批复（澄发改发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20号），已获得澄江市自然资源局一期项目用地规划情况说明（便笺</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39号），2021年4月1日获得开工令。在项目实施过程中，一是由于当前基本农田、耕地及生态环境保护等方面政策变化，需重新调整项目规划，剔除原项目区域内基本农田、耕地。二是由于抚仙湖广场规划调整，需结合实际用地情况，对该项工程进行调整。三是项目区域内建设用地与自然资源部门增减挂项目重叠，需对项目建设内容进行调整。因此在2022年3月18日上报玉溪市</w:t>
      </w:r>
      <w:r>
        <w:rPr>
          <w:rFonts w:hint="eastAsia" w:cs="Times New Roman" w:eastAsiaTheme="minorEastAsia"/>
          <w:bCs/>
          <w:color w:val="000000" w:themeColor="text1"/>
          <w:highlight w:val="none"/>
          <w:lang w:eastAsia="zh-CN"/>
          <w14:textFill>
            <w14:solidFill>
              <w14:schemeClr w14:val="tx1"/>
            </w14:solidFill>
          </w14:textFill>
        </w:rPr>
        <w:t>发展和改革委员会</w:t>
      </w:r>
      <w:r>
        <w:rPr>
          <w:rFonts w:hint="default" w:ascii="Times New Roman" w:hAnsi="Times New Roman" w:cs="Times New Roman" w:eastAsiaTheme="minorEastAsia"/>
          <w:bCs/>
          <w:color w:val="000000" w:themeColor="text1"/>
          <w:highlight w:val="none"/>
          <w14:textFill>
            <w14:solidFill>
              <w14:schemeClr w14:val="tx1"/>
            </w14:solidFill>
          </w14:textFill>
        </w:rPr>
        <w:t>，并获得工程可行性研究调整报告的批复（玉发改资环复</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7号）。目前完成约</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40.78</w:t>
      </w:r>
      <w:r>
        <w:rPr>
          <w:rFonts w:hint="default" w:ascii="Times New Roman" w:hAnsi="Times New Roman" w:cs="Times New Roman" w:eastAsiaTheme="minorEastAsia"/>
          <w:bCs/>
          <w:color w:val="000000" w:themeColor="text1"/>
          <w:highlight w:val="none"/>
          <w14:textFill>
            <w14:solidFill>
              <w14:schemeClr w14:val="tx1"/>
            </w14:solidFill>
          </w14:textFill>
        </w:rPr>
        <w:t>%工程进度。该项目处于在建工作阶段。</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（3）项目调整情况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一、抚仙湖北岸生态廊道项目一期工程项目建设地点为澄江市抚仙湖北岸，环湖生态廊道项目的东、南、西岸因“三线三区”划定已不具备项目实施条件，项目实施内容需进行调减。</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二、抚仙湖北岸生态廊道项目一期工程项目名称申请变更为“抚仙湖北岸生态廊道项目”。</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3、调整后项目总投资30429.1万元，减少投资49571万元。</w:t>
      </w: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17" w:name="_Toc6986"/>
      <w:bookmarkStart w:id="518" w:name="_Toc11096"/>
      <w:r>
        <w:rPr>
          <w:rFonts w:hint="default" w:ascii="Times New Roman" w:hAnsi="Times New Roman" w:cs="Times New Roman" w:eastAsiaTheme="minorEastAsia"/>
          <w:b/>
          <w:bCs w:val="0"/>
          <w:color w:val="000000" w:themeColor="text1"/>
          <w:highlight w:val="none"/>
          <w14:textFill>
            <w14:solidFill>
              <w14:schemeClr w14:val="tx1"/>
            </w14:solidFill>
          </w14:textFill>
        </w:rPr>
        <w:t>6.3.3抚仙湖北岸初期雨水收集循环利用项目</w:t>
      </w:r>
      <w:bookmarkEnd w:id="517"/>
      <w:bookmarkEnd w:id="518"/>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改造提升原有泵站、新建管道，将调蓄带低污染水抽提灌溉回用。东线工程提至浑水塘水库，设计年总提水量541.77万m³，覆盖浑水塘2.07万亩灌面；西线工程提至山冲河水库北灌沟，设计年总提水量54.41万m³，覆盖山冲河水库约0.6万亩灌面。在调蓄带马房村段新增日处理1.5万立方米/天的水质提升设备，对调蓄带不达标水体进行水质提升后回用。</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2、项目设计（可研）情况</w:t>
      </w:r>
      <w:r>
        <w:rPr>
          <w:rFonts w:hint="default" w:ascii="Times New Roman" w:hAnsi="Times New Roman" w:cs="Times New Roman" w:eastAsiaTheme="minorEastAsia"/>
          <w:color w:val="000000" w:themeColor="text1"/>
          <w:highlight w:val="none"/>
          <w14:textFill>
            <w14:solidFill>
              <w14:schemeClr w14:val="tx1"/>
            </w14:solidFill>
          </w14:textFill>
        </w:rPr>
        <w:t>(备注：该项内容来自初设批复澄水字</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100</w:t>
      </w:r>
      <w:r>
        <w:rPr>
          <w:rFonts w:hint="eastAsia" w:cs="Times New Roman" w:eastAsiaTheme="minorEastAsia"/>
          <w:color w:val="000000" w:themeColor="text1"/>
          <w:highlight w:val="none"/>
          <w:lang w:eastAsia="zh-CN"/>
          <w14:textFill>
            <w14:solidFill>
              <w14:schemeClr w14:val="tx1"/>
            </w14:solidFill>
          </w14:textFill>
        </w:rPr>
        <w:t>号</w:t>
      </w:r>
      <w:r>
        <w:rPr>
          <w:rFonts w:hint="default" w:ascii="Times New Roman" w:hAnsi="Times New Roman" w:cs="Times New Roman" w:eastAsiaTheme="minorEastAsia"/>
          <w:color w:val="000000" w:themeColor="text1"/>
          <w:highlight w:val="none"/>
          <w14:textFill>
            <w14:solidFill>
              <w14:schemeClr w14:val="tx1"/>
            </w14:solidFill>
          </w14:textFill>
        </w:rPr>
        <w:t>)</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工程名称：抚仙湖北岸生态调蓄带提蓄水循环利用工程</w:t>
      </w:r>
    </w:p>
    <w:p>
      <w:pPr>
        <w:ind w:firstLine="480" w:firstLineChars="200"/>
        <w:rPr>
          <w:rFonts w:hint="eastAsia" w:ascii="Times New Roman" w:hAnsi="Times New Roman" w:cs="Times New Roman" w:eastAsiaTheme="minorEastAsia"/>
          <w:bCs/>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工程内容：本工程主要由提水泵站、输水管道及高位水池等组成，根据灌溉区域分布位置，分为东线工程和西线工程两部分。</w:t>
      </w:r>
    </w:p>
    <w:p>
      <w:pPr>
        <w:ind w:firstLine="480" w:firstLineChars="200"/>
        <w:rPr>
          <w:rFonts w:hint="eastAsia" w:ascii="Times New Roman" w:hAnsi="Times New Roman" w:cs="Times New Roman" w:eastAsiaTheme="minorEastAsia"/>
          <w:bCs/>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西线工程提取生态调蓄带二期水至山冲河北灌沟，增加现有生态调蓄带1#泵站控灌灌面。西线工程主要由生态调蓄带1#泵站改造工程、提水管道工程及北大沟修复工程组成。</w:t>
      </w:r>
    </w:p>
    <w:p>
      <w:pPr>
        <w:ind w:firstLine="480" w:firstLineChars="200"/>
        <w:rPr>
          <w:rFonts w:hint="eastAsia" w:ascii="Times New Roman" w:hAnsi="Times New Roman" w:cs="Times New Roman" w:eastAsiaTheme="minorEastAsia"/>
          <w:bCs/>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东线工程从调蓄带中直接取水，通过新建泵站提水至浑水塘水库，并灌溉沿途2.07万亩灌面。东线工程包括引水工程和水库整治工程，其中引水工程包括提水泵站工程、提水管道工程、高位水池工程、输水管道工程、灌溉干管工程。为保障灌溉供水的实施效果，对浑水塘水库进行了库区防渗工作等。</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工程建设年限：2022年，计划工期：120天</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项目责任单位：澄江市水利局</w:t>
      </w:r>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10000万元，可研批复投资6862万元，截至2023年6月，已到位资金4000万元，资金到位率58.29%，其中省级补助资金4000万元；已完成投资3850万元，投资完成率56.11%。截至2023年6月，已编制完成工程项目初步设计，并获得澄江市水利局批复（</w:t>
      </w:r>
      <w:r>
        <w:rPr>
          <w:rFonts w:hint="default" w:ascii="Times New Roman" w:hAnsi="Times New Roman" w:cs="Times New Roman" w:eastAsiaTheme="minorEastAsia"/>
          <w:color w:val="000000" w:themeColor="text1"/>
          <w:highlight w:val="none"/>
          <w14:textFill>
            <w14:solidFill>
              <w14:schemeClr w14:val="tx1"/>
            </w14:solidFill>
          </w14:textFill>
        </w:rPr>
        <w:t>澄水字</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100号</w:t>
      </w:r>
      <w:r>
        <w:rPr>
          <w:rFonts w:hint="default" w:ascii="Times New Roman" w:hAnsi="Times New Roman" w:cs="Times New Roman" w:eastAsiaTheme="minorEastAsia"/>
          <w:bCs/>
          <w:color w:val="000000" w:themeColor="text1"/>
          <w:highlight w:val="none"/>
          <w14:textFill>
            <w14:solidFill>
              <w14:schemeClr w14:val="tx1"/>
            </w14:solidFill>
          </w14:textFill>
        </w:rPr>
        <w:t>），2022年2月签订抚仙湖北岸生态调蓄带提蓄水循环利用工程项目施工合同，于2022年2月9日取得开工令。项目目前完成①抚仙湖北岸生态调蓄带提蓄水循环利用工程西线已全部完工并投入使用。东线完成引水管道安装1456m，中水管安装200m，泵房建设及机电设备安装；提水管道安装7200m，2000m³高位水池建设。②湖外农业循环用水一期项目正在有序推进，开展测量放线工作，泵站开工6座，蓄水池开工3座。③湖外农业循环用水二期项目左所华光片区实现供水，牛市河片区安装管道6987米，萝卜村片区清表外运及消纳800m³、沟槽开挖266m³，东片区中水回用提水管、输水管片区清表外运消纳1681.14m³。该项目处于在建工作阶段，项目进展符合可研批复进度要求。</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（3）项目调整情况</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一、已启动实施澄江市抚仙湖流域农业水资源循环利用工程，该工程依托调蓄带拦蓄水功能，使调蓄带蓄水实现回用，目前调蓄带水质满足农业灌溉用水。为不重复建设，因此调减原建设内容“在调蓄带马房村段新增日处理1.5万立方米/天的水质提升设备，对调蓄带不达标水体进行水质提升后回用”。</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二、为认真贯彻落实2023年2月24日省委省政府玉溪市“三湖”保护治理专题会议精神实施抚仙湖湖外农业用水循环工程，因此新增农业灌溉用水相关工程，工程内容：新建湖外农业循环用水一期，通过新建、改建泵站；新建输水管、调蓄池、闸阀井等，改善东部山区3.79万亩土地灌溉用水。新建湖外农业循环用水二期，通过新建、改建泵站；新建输水管、调蓄池、闸阀井等，改善坝区2.58万亩土地灌溉用水。</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三、</w:t>
      </w:r>
      <w:r>
        <w:rPr>
          <w:rFonts w:hint="default" w:ascii="Times New Roman" w:hAnsi="Times New Roman" w:cs="Times New Roman" w:eastAsiaTheme="minorEastAsia"/>
          <w:bCs/>
          <w:color w:val="000000" w:themeColor="text1"/>
          <w:highlight w:val="none"/>
          <w14:textFill>
            <w14:solidFill>
              <w14:schemeClr w14:val="tx1"/>
            </w14:solidFill>
          </w14:textFill>
        </w:rPr>
        <w:t>调整后项目总投资24173.41万元，</w:t>
      </w:r>
      <w:r>
        <w:rPr>
          <w:rFonts w:hint="default" w:ascii="Times New Roman" w:hAnsi="Times New Roman" w:cs="Times New Roman" w:eastAsiaTheme="minorEastAsia"/>
          <w:color w:val="000000" w:themeColor="text1"/>
          <w:highlight w:val="none"/>
          <w14:textFill>
            <w14:solidFill>
              <w14:schemeClr w14:val="tx1"/>
            </w14:solidFill>
          </w14:textFill>
        </w:rPr>
        <w:t>新增投资17311万元。</w:t>
      </w: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19" w:name="_Toc13150"/>
      <w:bookmarkStart w:id="520" w:name="_Toc176"/>
      <w:r>
        <w:rPr>
          <w:rFonts w:hint="default" w:ascii="Times New Roman" w:hAnsi="Times New Roman" w:cs="Times New Roman" w:eastAsiaTheme="minorEastAsia"/>
          <w:b/>
          <w:bCs w:val="0"/>
          <w:color w:val="000000" w:themeColor="text1"/>
          <w:highlight w:val="none"/>
          <w14:textFill>
            <w14:solidFill>
              <w14:schemeClr w14:val="tx1"/>
            </w14:solidFill>
          </w14:textFill>
        </w:rPr>
        <w:t>6.3.4澄江市生活垃圾治理项目</w:t>
      </w:r>
      <w:bookmarkEnd w:id="519"/>
      <w:bookmarkEnd w:id="520"/>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①持续推进全域垃圾分级分类分拣。②分期完成大山、小马沟、冷阴箐三座垃圾填埋场封厂。③对餐厨潲水、泔水进行收集，同步配套建设厨余垃圾处理设施。</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2022—2025年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2、项目设计（可研）情况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①澄江市50吨/日餐厨垃圾资源化综合利用项目</w:t>
      </w:r>
      <w:r>
        <w:rPr>
          <w:rFonts w:hint="default" w:ascii="Times New Roman" w:hAnsi="Times New Roman" w:cs="Times New Roman" w:eastAsiaTheme="minorEastAsia"/>
          <w:color w:val="000000" w:themeColor="text1"/>
          <w:highlight w:val="none"/>
          <w14:textFill>
            <w14:solidFill>
              <w14:schemeClr w14:val="tx1"/>
            </w14:solidFill>
          </w14:textFill>
        </w:rPr>
        <w:t>(备注：该项内容来自项目</w:t>
      </w:r>
      <w:r>
        <w:rPr>
          <w:rFonts w:hint="default" w:ascii="Times New Roman" w:hAnsi="Times New Roman" w:cs="Times New Roman" w:eastAsiaTheme="minorEastAsia"/>
          <w:bCs/>
          <w:color w:val="000000" w:themeColor="text1"/>
          <w:highlight w:val="none"/>
          <w14:textFill>
            <w14:solidFill>
              <w14:schemeClr w14:val="tx1"/>
            </w14:solidFill>
          </w14:textFill>
        </w:rPr>
        <w:t>环境影响报告书批复澄环审</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10</w:t>
      </w:r>
      <w:r>
        <w:rPr>
          <w:rFonts w:hint="eastAsia" w:cs="Times New Roman" w:eastAsiaTheme="minorEastAsia"/>
          <w:color w:val="000000" w:themeColor="text1"/>
          <w:highlight w:val="none"/>
          <w:lang w:eastAsia="zh-CN"/>
          <w14:textFill>
            <w14:solidFill>
              <w14:schemeClr w14:val="tx1"/>
            </w14:solidFill>
          </w14:textFill>
        </w:rPr>
        <w:t>号</w:t>
      </w:r>
      <w:r>
        <w:rPr>
          <w:rFonts w:hint="default" w:ascii="Times New Roman" w:hAnsi="Times New Roman" w:cs="Times New Roman" w:eastAsiaTheme="minorEastAsia"/>
          <w:color w:val="000000" w:themeColor="text1"/>
          <w:highlight w:val="none"/>
          <w14:textFill>
            <w14:solidFill>
              <w14:schemeClr w14:val="tx1"/>
            </w14:solidFill>
          </w14:textFill>
        </w:rPr>
        <w:t>)</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主要依托澄江县生活垃圾焚烧发电项目主厂房预留车间建设餐厨垃圾处理车间，建设1条餐厨垃圾处理生产线，分区设置有卸料区、预处理区、出渣区，配套设置有破搅一体机、粗分机、挤压机、三相离心机、液压站等生产设备，项目建成后餐厨垃圾处理量约为50t/d。</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工程建设年限：2022年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②大山、小马沟、路居冷阴菁三座垃圾填埋场封场项目：包括澄江市大山填埋场老场封场暨扩容改造项目、路居上坝冷阴箐垃圾填埋场整治工程、小马沟垃圾填埋场整治工程。</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项目责任单位：澄江市住房和城乡建设局</w:t>
      </w:r>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21350万元，截至2023年6月，已到位资金1074万元，资金到位率5.03%，其中州市配套资金44万元，县级配套资金45万元，自筹资金985万元；已完成投资1074万元，投资完成率5.03%。该项目分2个子项目，子项目一为澄江市50吨/日餐厨垃圾资源化综合利用项目，该子项目截至2023年6月，已完成环境影响报告书、可行性研究报告及节能评估报告的编制，该项目按照特许经营方式实施，于2021年11月19日与澄江伟明环保科技有限公司签订投资建设运营协议及特许经营协议，项目合作期限29年（其中建设期1年，运营期28年），估算总投资为1771.18万元，资金来源于澄江伟明环保科技有限公司出资和通过银行等金融机构融资，全部投资由该公司自筹解决，政府不承担融资及融资担保责任。该子项目于2022年1月29日获得澄江市发展和改革局项目备案证（项目代码:2201-530422-04-01-973164），于2022年7月20日获得玉溪市生态环境局澄江分局对该项目的环境影响报告书的批复（澄环审</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10</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目前设备已完成安装，该子项目目前基本完工。子项目二为大山、小马沟、路居冷阴菁三座垃圾填埋场封场项目，截至2023年6月，三座垃圾填埋场已分别编制完成可研报告，并且于2021年7月9日获得澄江市大山填埋场老场封场暨扩容改造项目的社会稳定风险评估备案证书（编号：</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4</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），于2022年4月26日获得小马沟垃圾填埋场整治工程的社会稳定风险评估备案证书（编号：</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4</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于2022年6月2日获得路居上坝冷阴箐垃圾填埋场整治工程的社会稳定风险评估备案证书（编号：</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8</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），该子项目目前处于前期工作阶段。结合2个子项目，该项目处于在建工作阶段，项目进展符合可研批复进度要求。</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（3）项目调整情况</w:t>
      </w:r>
    </w:p>
    <w:p>
      <w:pPr>
        <w:ind w:firstLine="480" w:firstLineChars="200"/>
        <w:rPr>
          <w:rFonts w:hint="eastAsia" w:ascii="Times New Roman" w:hAnsi="Times New Roman" w:cs="Times New Roman" w:eastAsiaTheme="minorEastAsia"/>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一、由于没有用地指标，项目无资金来源，冷阴箐垃圾填埋场主管单位为路居镇政府，目前大山、小马沟、冷阴箐垃圾填埋场已做临时应急封场，风险隐患暂时得到控制，但填埋场产生的渗滤液需进行妥善处置，需继续开展渗滤液全量化处置工作，申请大山、小马沟、冷阴箐垃圾填埋场封场处置调减，新建一座日处理50吨/天的渗滤液全量化处理站及其他附属配套设施调增</w:t>
      </w:r>
      <w:r>
        <w:rPr>
          <w:rFonts w:hint="eastAsia" w:cs="Times New Roman" w:eastAsiaTheme="minorEastAsia"/>
          <w:color w:val="000000" w:themeColor="text1"/>
          <w:highlight w:val="none"/>
          <w:lang w:eastAsia="zh-CN"/>
          <w14:textFill>
            <w14:solidFill>
              <w14:schemeClr w14:val="tx1"/>
            </w14:solidFill>
          </w14:textFill>
        </w:rPr>
        <w:t>。</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二、大山垃圾应急填埋场现库容已满，为确保澄江市生活垃圾达到无害化处置，消除环境隐患，需将应急填埋场陈腐垃圾转运至澄江市垃圾焚烧发电厂处置，最终实现生活垃圾“无害化、减量化、资源化”目标。申请调增澄江市陈腐垃圾转运处置工程，处置期为3年。</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三、调整后项目总投资4708万元，减少投资16642万元。</w:t>
      </w: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21" w:name="_Toc29807"/>
      <w:bookmarkStart w:id="522" w:name="_Toc17760"/>
      <w:r>
        <w:rPr>
          <w:rFonts w:hint="default" w:ascii="Times New Roman" w:hAnsi="Times New Roman" w:cs="Times New Roman" w:eastAsiaTheme="minorEastAsia"/>
          <w:b/>
          <w:bCs w:val="0"/>
          <w:color w:val="000000" w:themeColor="text1"/>
          <w:highlight w:val="none"/>
          <w14:textFill>
            <w14:solidFill>
              <w14:schemeClr w14:val="tx1"/>
            </w14:solidFill>
          </w14:textFill>
        </w:rPr>
        <w:t>6.3.5农业绿色转型升级发展工程</w:t>
      </w:r>
      <w:bookmarkEnd w:id="521"/>
      <w:bookmarkEnd w:id="522"/>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巩固坝区5.8万亩土地流转休耕轮作，推进抚仙湖流域农业种植结构调整，强化化肥、农药销售使用及农业灌溉用水管理，实施有机肥替代工程，建设“三化”农业产业园，实施抚仙湖流域畜禽水产养殖全面退出。</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widowControl/>
        <w:ind w:firstLine="480" w:firstLineChars="200"/>
        <w:jc w:val="left"/>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项目责任单位：澄江市农业农村局</w:t>
      </w:r>
    </w:p>
    <w:p>
      <w:pPr>
        <w:numPr>
          <w:ilvl w:val="0"/>
          <w:numId w:val="16"/>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169180万元，截至2023年6月，已到位资金52123万元，资金到位率31.12%，其中中央补助资金525万元，省级补助资金4000万元；已完成投资25177万元，投资完成率14.88%。截至2023年6月，该项目已编制完成《抚仙湖流域“十四五”化肥减量方案》、《抚仙湖流域“十四五”种植结构调整方案》、《抚仙湖流域“十四五”化学农药减量方案》，并于2022年3月由澄江市人民政府下发各镇人民政府、街道办事处、市直有关机关实施（澄证办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17号</w:t>
      </w:r>
      <w:r>
        <w:rPr>
          <w:rFonts w:hint="default" w:ascii="Times New Roman" w:hAnsi="Times New Roman" w:cs="Times New Roman" w:eastAsiaTheme="minorEastAsia"/>
          <w:bCs/>
          <w:color w:val="000000" w:themeColor="text1"/>
          <w:highlight w:val="none"/>
          <w14:textFill>
            <w14:solidFill>
              <w14:schemeClr w14:val="tx1"/>
            </w14:solidFill>
          </w14:textFill>
        </w:rPr>
        <w:t>）、（澄证办发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18号</w:t>
      </w:r>
      <w:r>
        <w:rPr>
          <w:rFonts w:hint="default" w:ascii="Times New Roman" w:hAnsi="Times New Roman" w:cs="Times New Roman" w:eastAsiaTheme="minorEastAsia"/>
          <w:bCs/>
          <w:color w:val="000000" w:themeColor="text1"/>
          <w:highlight w:val="none"/>
          <w14:textFill>
            <w14:solidFill>
              <w14:schemeClr w14:val="tx1"/>
            </w14:solidFill>
          </w14:textFill>
        </w:rPr>
        <w:t>）、（澄证办发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19号</w:t>
      </w:r>
      <w:r>
        <w:rPr>
          <w:rFonts w:hint="default" w:ascii="Times New Roman" w:hAnsi="Times New Roman" w:cs="Times New Roman" w:eastAsiaTheme="minorEastAsia"/>
          <w:bCs/>
          <w:color w:val="000000" w:themeColor="text1"/>
          <w:highlight w:val="none"/>
          <w14:textFill>
            <w14:solidFill>
              <w14:schemeClr w14:val="tx1"/>
            </w14:solidFill>
          </w14:textFill>
        </w:rPr>
        <w:t>）；编制完成《2022年澄江市抚仙湖径流区农业产业种植规划图》和《2022年澄江市抚仙湖径流区小春种植规划布局图》。目前已完成烤烟移栽1.65万亩、荷藕0.2万亩、玉米0.4万亩。该项目处于在建工作阶段，项目进展符合可研批复进度要求。</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（3）项目调整情况</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一、“三化”农业产业园，受耕地“非农化”“非粮化”耕地保护政策影响无法实施，因此规划内容中“</w:t>
      </w:r>
      <w:r>
        <w:rPr>
          <w:rFonts w:hint="default" w:ascii="Times New Roman" w:hAnsi="Times New Roman" w:cs="Times New Roman" w:eastAsiaTheme="minorEastAsia"/>
          <w:bCs/>
          <w:color w:val="000000" w:themeColor="text1"/>
          <w:highlight w:val="none"/>
          <w14:textFill>
            <w14:solidFill>
              <w14:schemeClr w14:val="tx1"/>
            </w14:solidFill>
          </w14:textFill>
        </w:rPr>
        <w:t>建设“三化”农业产业园</w:t>
      </w:r>
      <w:r>
        <w:rPr>
          <w:rFonts w:hint="default" w:ascii="Times New Roman" w:hAnsi="Times New Roman" w:cs="Times New Roman" w:eastAsiaTheme="minorEastAsia"/>
          <w:color w:val="000000" w:themeColor="text1"/>
          <w:highlight w:val="none"/>
          <w14:textFill>
            <w14:solidFill>
              <w14:schemeClr w14:val="tx1"/>
            </w14:solidFill>
          </w14:textFill>
        </w:rPr>
        <w:t>”调整为：建设农业标准化示范基地建设，推广农业大棚、水肥一体化等设施农业。</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二、抚仙湖流域畜禽水产养殖退出工作于2022年已全面完成，后期工作重点有所变化，因此规划内容应增加：强化流域畜禽养殖、水产养殖退后常态化监管，防止反弹回潮，巩固全面禁养成果。</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三、</w:t>
      </w:r>
      <w:r>
        <w:rPr>
          <w:rFonts w:hint="default" w:ascii="Times New Roman" w:hAnsi="Times New Roman" w:cs="Times New Roman" w:eastAsiaTheme="minorEastAsia"/>
          <w:bCs/>
          <w:color w:val="000000" w:themeColor="text1"/>
          <w:highlight w:val="none"/>
          <w14:textFill>
            <w14:solidFill>
              <w14:schemeClr w14:val="tx1"/>
            </w14:solidFill>
          </w14:textFill>
        </w:rPr>
        <w:t>调整后项目总投资125000万元，</w:t>
      </w:r>
      <w:r>
        <w:rPr>
          <w:rFonts w:hint="default" w:ascii="Times New Roman" w:hAnsi="Times New Roman" w:cs="Times New Roman" w:eastAsiaTheme="minorEastAsia"/>
          <w:color w:val="000000" w:themeColor="text1"/>
          <w:highlight w:val="none"/>
          <w14:textFill>
            <w14:solidFill>
              <w14:schemeClr w14:val="tx1"/>
            </w14:solidFill>
          </w14:textFill>
        </w:rPr>
        <w:t>减少投资44180万元。</w:t>
      </w: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23" w:name="_Toc4416"/>
      <w:bookmarkStart w:id="524" w:name="_Toc17051"/>
      <w:r>
        <w:rPr>
          <w:rFonts w:hint="default" w:ascii="Times New Roman" w:hAnsi="Times New Roman" w:cs="Times New Roman" w:eastAsiaTheme="minorEastAsia"/>
          <w:b/>
          <w:bCs w:val="0"/>
          <w:color w:val="000000" w:themeColor="text1"/>
          <w:highlight w:val="none"/>
          <w14:textFill>
            <w14:solidFill>
              <w14:schemeClr w14:val="tx1"/>
            </w14:solidFill>
          </w14:textFill>
        </w:rPr>
        <w:t>6.3.6澄江市污水处理厂技术改造项目</w:t>
      </w:r>
      <w:bookmarkEnd w:id="523"/>
      <w:bookmarkEnd w:id="524"/>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对澄江市第一污水处理厂技术改造，更换运行不良和达到使用年限的老旧设备，将现有的ICEAS工艺改造成A2/O工艺，改扩建污水处理车间，重新设置自控系统；对路居污水处理厂进行扩容，将目前1500m³/天处理量提升至3000m³/天处理量，并将出水标准提升至准Ⅲ类。</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2022—2023年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2、项目设计（可研）情况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①澄江市路居镇污水处理厂扩建二期工程</w:t>
      </w:r>
      <w:r>
        <w:rPr>
          <w:rFonts w:hint="default" w:ascii="Times New Roman" w:hAnsi="Times New Roman" w:cs="Times New Roman" w:eastAsiaTheme="minorEastAsia"/>
          <w:color w:val="000000" w:themeColor="text1"/>
          <w:highlight w:val="none"/>
          <w14:textFill>
            <w14:solidFill>
              <w14:schemeClr w14:val="tx1"/>
            </w14:solidFill>
          </w14:textFill>
        </w:rPr>
        <w:t>(备注：该项内容来自可研批复</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45</w:t>
      </w:r>
      <w:r>
        <w:rPr>
          <w:rFonts w:hint="eastAsia" w:cs="Times New Roman" w:eastAsiaTheme="minorEastAsia"/>
          <w:color w:val="000000" w:themeColor="text1"/>
          <w:highlight w:val="none"/>
          <w:lang w:eastAsia="zh-CN"/>
          <w14:textFill>
            <w14:solidFill>
              <w14:schemeClr w14:val="tx1"/>
            </w14:solidFill>
          </w14:textFill>
        </w:rPr>
        <w:t>号</w:t>
      </w:r>
      <w:r>
        <w:rPr>
          <w:rFonts w:hint="default" w:ascii="Times New Roman" w:hAnsi="Times New Roman" w:cs="Times New Roman" w:eastAsiaTheme="minorEastAsia"/>
          <w:color w:val="000000" w:themeColor="text1"/>
          <w:highlight w:val="none"/>
          <w14:textFill>
            <w14:solidFill>
              <w14:schemeClr w14:val="tx1"/>
            </w14:solidFill>
          </w14:textFill>
        </w:rPr>
        <w:t>)</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项目建设单位：澄江市住房和城乡建设局</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建设地点：澄江市路居镇</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建设周期：2022年3~5月</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建设内容及规模：在原有1500m</w:t>
      </w:r>
      <w:r>
        <w:rPr>
          <w:rFonts w:hint="default" w:ascii="Times New Roman" w:hAnsi="Times New Roman" w:cs="Times New Roman" w:eastAsiaTheme="minorEastAsia"/>
          <w:bCs/>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/d污水处理规模基础上，扩建至3000m</w:t>
      </w:r>
      <w:r>
        <w:rPr>
          <w:rFonts w:hint="default" w:ascii="Times New Roman" w:hAnsi="Times New Roman" w:cs="Times New Roman" w:eastAsiaTheme="minorEastAsia"/>
          <w:bCs/>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/d处理规模。同意本项目新增污水处理规模为1500m</w:t>
      </w:r>
      <w:r>
        <w:rPr>
          <w:rFonts w:hint="default" w:ascii="Times New Roman" w:hAnsi="Times New Roman" w:cs="Times New Roman" w:eastAsiaTheme="minorEastAsia"/>
          <w:bCs/>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/d的污水处理设备。</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②澄江市污水处理厂技术改造项目</w:t>
      </w:r>
      <w:r>
        <w:rPr>
          <w:rFonts w:hint="default" w:ascii="Times New Roman" w:hAnsi="Times New Roman" w:cs="Times New Roman" w:eastAsiaTheme="minorEastAsia"/>
          <w:color w:val="000000" w:themeColor="text1"/>
          <w:highlight w:val="none"/>
          <w14:textFill>
            <w14:solidFill>
              <w14:schemeClr w14:val="tx1"/>
            </w14:solidFill>
          </w14:textFill>
        </w:rPr>
        <w:t>(备注：该项内容来自初设批复澄建复字</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2022</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8号)</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项目建设单位：澄江市住房和城乡建设局</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建设地点：澄江市凤鸣村西侧，郭家村公路南侧，处于城区与抚仙湖之间</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建设内容及规模：</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澄江市污水处理厂现状处理规模1.5万m</w:t>
      </w:r>
      <w:r>
        <w:rPr>
          <w:rFonts w:hint="default" w:ascii="Times New Roman" w:hAnsi="Times New Roman" w:cs="Times New Roman" w:eastAsiaTheme="minorEastAsia"/>
          <w:bCs/>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d，本工程主要对现污水处理厂进行技术改造，优化生化处理系统、深度处理系统、污泥处理系统，同时增加厂区电气自控系统，并改造原有雨水调蓄池。技改后使出水水质稳定达到《城镇污水处理厂污染物排放标准》（GB18918-200</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2</w:t>
      </w:r>
      <w:r>
        <w:rPr>
          <w:rFonts w:hint="default" w:ascii="Times New Roman" w:hAnsi="Times New Roman" w:cs="Times New Roman" w:eastAsiaTheme="minorEastAsia"/>
          <w:bCs/>
          <w:color w:val="000000" w:themeColor="text1"/>
          <w:highlight w:val="none"/>
          <w14:textFill>
            <w14:solidFill>
              <w14:schemeClr w14:val="tx1"/>
            </w14:solidFill>
          </w14:textFill>
        </w:rPr>
        <w:t>）一级A标准，增加污水处理厂的进水调节能力，提高污水处理厂运营的自动化程度等。</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技术改造内容包括：</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（一）</w:t>
      </w:r>
      <w:r>
        <w:rPr>
          <w:rFonts w:hint="default" w:ascii="Times New Roman" w:hAnsi="Times New Roman" w:cs="Times New Roman" w:eastAsiaTheme="minorEastAsia"/>
          <w:bCs/>
          <w:color w:val="000000" w:themeColor="text1"/>
          <w:highlight w:val="none"/>
          <w14:textFill>
            <w14:solidFill>
              <w14:schemeClr w14:val="tx1"/>
            </w14:solidFill>
          </w14:textFill>
        </w:rPr>
        <w:tab/>
      </w:r>
      <w:r>
        <w:rPr>
          <w:rFonts w:hint="default" w:ascii="Times New Roman" w:hAnsi="Times New Roman" w:cs="Times New Roman" w:eastAsiaTheme="minorEastAsia"/>
          <w:bCs/>
          <w:color w:val="000000" w:themeColor="text1"/>
          <w:highlight w:val="none"/>
          <w14:textFill>
            <w14:solidFill>
              <w14:schemeClr w14:val="tx1"/>
            </w14:solidFill>
          </w14:textFill>
        </w:rPr>
        <w:t>现状处理单元改造</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预处理单元：集水井-粗格栅改造、调蓄池改造、栅渣输送机更换、沉砂池排砂阀更换等；</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生化系统：将原ICEAS反应池改为AAO工艺，提高反应池TN、NH</w:t>
      </w:r>
      <w:r>
        <w:rPr>
          <w:rFonts w:hint="default" w:ascii="Times New Roman" w:hAnsi="Times New Roman" w:cs="Times New Roman" w:eastAsiaTheme="minorEastAsia"/>
          <w:bCs/>
          <w:color w:val="000000" w:themeColor="text1"/>
          <w:highlight w:val="none"/>
          <w:vertAlign w:val="subscript"/>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-N、TP等污染物的去除率，更换鼓风机房风机等。</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深度处理系统：对中间调节池-加药间进行设备优化，废除现状DJW混凝罐，更换纤维转盘滤布等。</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消毒系统：紫外</w:t>
      </w:r>
      <w:r>
        <w:rPr>
          <w:rFonts w:hint="eastAsia" w:cs="Times New Roman" w:eastAsiaTheme="minorEastAsia"/>
          <w:bCs/>
          <w:color w:val="000000" w:themeColor="text1"/>
          <w:highlight w:val="none"/>
          <w:lang w:eastAsia="zh-CN"/>
          <w14:textFill>
            <w14:solidFill>
              <w14:schemeClr w14:val="tx1"/>
            </w14:solidFill>
          </w14:textFill>
        </w:rPr>
        <w:t>线</w:t>
      </w:r>
      <w:r>
        <w:rPr>
          <w:rFonts w:hint="default" w:ascii="Times New Roman" w:hAnsi="Times New Roman" w:cs="Times New Roman" w:eastAsiaTheme="minorEastAsia"/>
          <w:bCs/>
          <w:color w:val="000000" w:themeColor="text1"/>
          <w:highlight w:val="none"/>
          <w14:textFill>
            <w14:solidFill>
              <w14:schemeClr w14:val="tx1"/>
            </w14:solidFill>
          </w14:textFill>
        </w:rPr>
        <w:t>消毒设备更换部分组件及新增控制系统，同时增设次氯酸钠辅助消毒设备。</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污泥系统：对污泥浓缩池进行改造，增加浓缩机；增设污泥调理池；更换脱水车间成套脱泥设备。</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（二）</w:t>
      </w:r>
      <w:r>
        <w:rPr>
          <w:rFonts w:hint="default" w:ascii="Times New Roman" w:hAnsi="Times New Roman" w:cs="Times New Roman" w:eastAsiaTheme="minorEastAsia"/>
          <w:bCs/>
          <w:color w:val="000000" w:themeColor="text1"/>
          <w:highlight w:val="none"/>
          <w14:textFill>
            <w14:solidFill>
              <w14:schemeClr w14:val="tx1"/>
            </w14:solidFill>
          </w14:textFill>
        </w:rPr>
        <w:tab/>
      </w:r>
      <w:r>
        <w:rPr>
          <w:rFonts w:hint="default" w:ascii="Times New Roman" w:hAnsi="Times New Roman" w:cs="Times New Roman" w:eastAsiaTheme="minorEastAsia"/>
          <w:bCs/>
          <w:color w:val="000000" w:themeColor="text1"/>
          <w:highlight w:val="none"/>
          <w14:textFill>
            <w14:solidFill>
              <w14:schemeClr w14:val="tx1"/>
            </w14:solidFill>
          </w14:textFill>
        </w:rPr>
        <w:t>电气自控系统技改</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对厂区内老化电缆电线等辅助设施进行整改；增加厂区控制系统，调整运行参数，达到自动控制功能；</w:t>
      </w:r>
    </w:p>
    <w:p>
      <w:pPr>
        <w:numPr>
          <w:ilvl w:val="0"/>
          <w:numId w:val="10"/>
        </w:num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新建处理单元</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二沉池</w:t>
      </w:r>
      <w:r>
        <w:rPr>
          <w:rFonts w:hint="default" w:ascii="Times New Roman" w:hAnsi="Times New Roman" w:cs="Times New Roman" w:eastAsiaTheme="minorEastAsia"/>
          <w:bCs/>
          <w:color w:val="000000" w:themeColor="text1"/>
          <w:highlight w:val="none"/>
          <w:lang w:val="zh-CN"/>
          <w14:textFill>
            <w14:solidFill>
              <w14:schemeClr w14:val="tx1"/>
            </w14:solidFill>
          </w14:textFill>
        </w:rPr>
        <w:t>2</w:t>
      </w:r>
      <w:r>
        <w:rPr>
          <w:rFonts w:hint="default" w:ascii="Times New Roman" w:hAnsi="Times New Roman" w:cs="Times New Roman" w:eastAsiaTheme="minorEastAsia"/>
          <w:bCs/>
          <w:color w:val="000000" w:themeColor="text1"/>
          <w:highlight w:val="none"/>
          <w14:textFill>
            <w14:solidFill>
              <w14:schemeClr w14:val="tx1"/>
            </w14:solidFill>
          </w14:textFill>
        </w:rPr>
        <w:t>座、高效沉淀池1座、剩余污泥泵房1座、配电间及柴油发电机房1座、在线监测房2座、除臭系统1套。</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项目责任单位：澄江市住房和城乡建设局</w:t>
      </w:r>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4800万元，批复投资4192.85万元，截至2023年6月，已到位资金1000万元（全部为省级补助资金），资金到位率23.85%；已完成投资743万元，投资完成率17.72%。截至2023年6月，该项目分为2个子项目，均已编制完成可研报告，并分别于2022年3月10日、2022年6月17日获得可研批复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45</w:t>
      </w:r>
      <w:r>
        <w:rPr>
          <w:rFonts w:hint="default" w:ascii="Times New Roman" w:hAnsi="Times New Roman" w:cs="Times New Roman" w:eastAsiaTheme="minorEastAsia"/>
          <w:color w:val="000000" w:themeColor="text1"/>
          <w:highlight w:val="none"/>
          <w14:textFill>
            <w14:solidFill>
              <w14:schemeClr w14:val="tx1"/>
            </w14:solidFill>
          </w14:textFill>
        </w:rPr>
        <w:t>号和</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84</w:t>
      </w:r>
      <w:r>
        <w:rPr>
          <w:rFonts w:hint="eastAsia" w:cs="Times New Roman" w:eastAsiaTheme="minorEastAsia"/>
          <w:color w:val="000000" w:themeColor="text1"/>
          <w:highlight w:val="none"/>
          <w:lang w:eastAsia="zh-CN"/>
          <w14:textFill>
            <w14:solidFill>
              <w14:schemeClr w14:val="tx1"/>
            </w14:solidFill>
          </w14:textFill>
        </w:rPr>
        <w:t>号</w:t>
      </w:r>
      <w:r>
        <w:rPr>
          <w:rFonts w:hint="default" w:ascii="Times New Roman" w:hAnsi="Times New Roman" w:cs="Times New Roman" w:eastAsiaTheme="minorEastAsia"/>
          <w:color w:val="000000" w:themeColor="text1"/>
          <w:highlight w:val="none"/>
          <w14:textFill>
            <w14:solidFill>
              <w14:schemeClr w14:val="tx1"/>
            </w14:solidFill>
          </w14:textFill>
        </w:rPr>
        <w:t>；于2022年5月26日签订</w:t>
      </w:r>
      <w:r>
        <w:rPr>
          <w:rFonts w:hint="default" w:ascii="Times New Roman" w:hAnsi="Times New Roman" w:cs="Times New Roman" w:eastAsiaTheme="minorEastAsia"/>
          <w:bCs/>
          <w:color w:val="000000" w:themeColor="text1"/>
          <w:highlight w:val="none"/>
          <w14:textFill>
            <w14:solidFill>
              <w14:schemeClr w14:val="tx1"/>
            </w14:solidFill>
          </w14:textFill>
        </w:rPr>
        <w:t>澄江市路居镇污水处理厂扩建二期工程</w:t>
      </w:r>
      <w:r>
        <w:rPr>
          <w:rFonts w:hint="default" w:ascii="Times New Roman" w:hAnsi="Times New Roman" w:cs="Times New Roman" w:eastAsiaTheme="minorEastAsia"/>
          <w:color w:val="000000" w:themeColor="text1"/>
          <w:highlight w:val="none"/>
          <w14:textFill>
            <w14:solidFill>
              <w14:schemeClr w14:val="tx1"/>
            </w14:solidFill>
          </w14:textFill>
        </w:rPr>
        <w:t>合同。</w:t>
      </w:r>
      <w:r>
        <w:rPr>
          <w:rFonts w:hint="default" w:ascii="Times New Roman" w:hAnsi="Times New Roman" w:cs="Times New Roman" w:eastAsiaTheme="minorEastAsia"/>
          <w:bCs/>
          <w:color w:val="000000" w:themeColor="text1"/>
          <w:highlight w:val="none"/>
          <w14:textFill>
            <w14:solidFill>
              <w14:schemeClr w14:val="tx1"/>
            </w14:solidFill>
          </w14:textFill>
        </w:rPr>
        <w:t>澄江市污水处理厂技术改造项目于2022年12月19日取得初设批复</w:t>
      </w:r>
      <w:r>
        <w:rPr>
          <w:rFonts w:hint="default" w:ascii="Times New Roman" w:hAnsi="Times New Roman" w:cs="Times New Roman" w:eastAsiaTheme="minorEastAsia"/>
          <w:color w:val="000000" w:themeColor="text1"/>
          <w:highlight w:val="none"/>
          <w14:textFill>
            <w14:solidFill>
              <w14:schemeClr w14:val="tx1"/>
            </w14:solidFill>
          </w14:textFill>
        </w:rPr>
        <w:t>澄建复字</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2022</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8号</w:t>
      </w:r>
      <w:r>
        <w:rPr>
          <w:rFonts w:hint="default" w:ascii="Times New Roman" w:hAnsi="Times New Roman" w:cs="Times New Roman" w:eastAsiaTheme="minorEastAsia"/>
          <w:bCs/>
          <w:color w:val="000000" w:themeColor="text1"/>
          <w:highlight w:val="none"/>
          <w14:textFill>
            <w14:solidFill>
              <w14:schemeClr w14:val="tx1"/>
            </w14:solidFill>
          </w14:textFill>
        </w:rPr>
        <w:t>，2023年1月11日在澄江市公共资源交易中心进行了开标和评标工作，1月18日发布中标通知书，2月完成厂区土建工程施工，3月完成设备安装及单机调试、人员培训，4月完成系统调试、试运转、验收运行；路居污水处理厂扩容项目于2022年5月17日完成招标工作，2022年5月26日签订施工合同，2022年6月28日进场施工，</w:t>
      </w:r>
      <w:r>
        <w:rPr>
          <w:rFonts w:hint="eastAsia" w:cs="Times New Roman" w:eastAsiaTheme="minorEastAsia"/>
          <w:bCs/>
          <w:color w:val="000000" w:themeColor="text1"/>
          <w:highlight w:val="none"/>
          <w:lang w:eastAsia="zh-CN"/>
          <w14:textFill>
            <w14:solidFill>
              <w14:schemeClr w14:val="tx1"/>
            </w14:solidFill>
          </w14:textFill>
        </w:rPr>
        <w:t>截至2022年</w:t>
      </w:r>
      <w:r>
        <w:rPr>
          <w:rFonts w:hint="default" w:ascii="Times New Roman" w:hAnsi="Times New Roman" w:cs="Times New Roman" w:eastAsiaTheme="minorEastAsia"/>
          <w:bCs/>
          <w:color w:val="000000" w:themeColor="text1"/>
          <w:highlight w:val="none"/>
          <w14:textFill>
            <w14:solidFill>
              <w14:schemeClr w14:val="tx1"/>
            </w14:solidFill>
          </w14:textFill>
        </w:rPr>
        <w:t>10月底已完工，目前正在推进调试工作。该项目处于在建工作阶段，项目进展符合规划进度要求，但投资滞后。</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（3）项目调整情况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一、原规划要求对路居污水处理厂出水标准提升至准Ⅲ类，目前路居污水处理厂工艺发生变更，出水标准</w:t>
      </w:r>
      <w:r>
        <w:rPr>
          <w:rFonts w:hint="eastAsia" w:cs="Times New Roman" w:eastAsiaTheme="minorEastAsia"/>
          <w:bCs/>
          <w:color w:val="000000" w:themeColor="text1"/>
          <w:highlight w:val="none"/>
          <w:lang w:val="en-US" w:eastAsia="zh-CN"/>
          <w14:textFill>
            <w14:solidFill>
              <w14:schemeClr w14:val="tx1"/>
            </w14:solidFill>
          </w14:textFill>
        </w:rPr>
        <w:t>不做要求</w:t>
      </w:r>
      <w:r>
        <w:rPr>
          <w:rFonts w:hint="default" w:ascii="Times New Roman" w:hAnsi="Times New Roman" w:cs="Times New Roman" w:eastAsiaTheme="minorEastAsia"/>
          <w:bCs/>
          <w:color w:val="000000" w:themeColor="text1"/>
          <w:highlight w:val="none"/>
          <w14:textFill>
            <w14:solidFill>
              <w14:schemeClr w14:val="tx1"/>
            </w14:solidFill>
          </w14:textFill>
        </w:rPr>
        <w:t>。</w:t>
      </w:r>
    </w:p>
    <w:p>
      <w:pPr>
        <w:pStyle w:val="2"/>
        <w:rPr>
          <w:rFonts w:hint="default" w:ascii="Times New Roman" w:hAnsi="Times New Roman" w:cs="Times New Roman" w:eastAsiaTheme="minorEastAsia"/>
          <w:bCs/>
          <w:color w:val="000000" w:themeColor="text1"/>
          <w:kern w:val="2"/>
          <w:highlight w:val="none"/>
          <w14:textFill>
            <w14:solidFill>
              <w14:schemeClr w14:val="tx1"/>
            </w14:solidFill>
          </w14:textFill>
        </w:rPr>
      </w:pPr>
      <w:r>
        <w:rPr>
          <w:rFonts w:hint="default" w:ascii="Times New Roman" w:hAnsi="Times New Roman" w:cs="Times New Roman" w:eastAsiaTheme="minorEastAsia"/>
          <w:bCs/>
          <w:color w:val="000000" w:themeColor="text1"/>
          <w:kern w:val="2"/>
          <w:highlight w:val="none"/>
          <w14:textFill>
            <w14:solidFill>
              <w14:schemeClr w14:val="tx1"/>
            </w14:solidFill>
          </w14:textFill>
        </w:rPr>
        <w:t>二、调</w:t>
      </w:r>
      <w:r>
        <w:rPr>
          <w:rFonts w:hint="default" w:ascii="Times New Roman" w:hAnsi="Times New Roman" w:cs="Times New Roman" w:eastAsiaTheme="minorEastAsia"/>
          <w:bCs/>
          <w:color w:val="000000" w:themeColor="text1"/>
          <w:highlight w:val="none"/>
          <w14:textFill>
            <w14:solidFill>
              <w14:schemeClr w14:val="tx1"/>
            </w14:solidFill>
          </w14:textFill>
        </w:rPr>
        <w:t>整后项目</w:t>
      </w:r>
      <w:r>
        <w:rPr>
          <w:rFonts w:hint="default" w:ascii="Times New Roman" w:hAnsi="Times New Roman" w:cs="Times New Roman" w:eastAsiaTheme="minorEastAsia"/>
          <w:bCs/>
          <w:color w:val="000000" w:themeColor="text1"/>
          <w:kern w:val="2"/>
          <w:highlight w:val="none"/>
          <w14:textFill>
            <w14:solidFill>
              <w14:schemeClr w14:val="tx1"/>
            </w14:solidFill>
          </w14:textFill>
        </w:rPr>
        <w:t>总投资4200万元，减少投资600万元。</w:t>
      </w: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25" w:name="_Toc11065"/>
      <w:bookmarkStart w:id="526" w:name="_Toc6258"/>
      <w:r>
        <w:rPr>
          <w:rFonts w:hint="default" w:ascii="Times New Roman" w:hAnsi="Times New Roman" w:cs="Times New Roman" w:eastAsiaTheme="minorEastAsia"/>
          <w:b/>
          <w:bCs w:val="0"/>
          <w:color w:val="000000" w:themeColor="text1"/>
          <w:highlight w:val="none"/>
          <w14:textFill>
            <w14:solidFill>
              <w14:schemeClr w14:val="tx1"/>
            </w14:solidFill>
          </w14:textFill>
        </w:rPr>
        <w:t>6.3.7矿山修复项目</w:t>
      </w:r>
      <w:bookmarkEnd w:id="525"/>
      <w:bookmarkEnd w:id="526"/>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对辖区及托管区内大山采石场、双水塘采石场、郭帅洗沙场等13个历史遗留矿山进行生态修复，总面积约为147.98hm²。</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2、项目设计（可研）情况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云南省澄江市（片区：路居镇甸头新村等三个点）历史遗留矿山生态修复工程包括：路居镇甸头新村建筑用白云岩（新村正西方向1800米处）、江川区路居镇上坝村民委员会建筑用白云岩废弃矿山（白沙地村正南方向200米处）、澄江市海口镇新村村委会白云岩矿废弃矿山（小田东方向500米处）三个点的矿山生态修复工程。</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②云南省澄江市（片区：二家村等四个点）历史遗留矿山生态修复工程包括：海口羊洞箐砂场、二家村东南方向100米处、郭帅洗沙场、双树黑码头绍坤石场四个点的矿山生态修复工程。</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③云南省澄江市长坡片区历史遗留矿山生态修复治理工程</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④磨盘山磷矿采区、海口镇海关社区龙母村西南方向351米处、云南省江川县水泥厂北矿区、澄江县大山采石场、澄江县通吉石料场五个点的矿山生态修复工程。</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项目责任单位：澄江市自然资源局</w:t>
      </w:r>
    </w:p>
    <w:p>
      <w:pPr>
        <w:numPr>
          <w:ilvl w:val="0"/>
          <w:numId w:val="13"/>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4000万元，实施方案批复投资8999万元，截至2023年6月，已到位资金809万元，资金到位率8.99%，其中中央补助资金40万元，省级补助资金199万元，县级配套资金570万元；已完成投资2907万元，投资完成率32.30%。该项目已编制完成项目实施方案，并于2021年9月2日获得玉溪市自然资源和规划局的相关批复（玉自然资函</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39</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），编制完成环境影响报告，并获得批复（澄环审</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16号）；通过公开招标于2022年2月18日与山东正元地质资源勘查有限责任公司签订云南省澄江市（片区：路居镇甸头新村等三个点）历史遗留矿山生态修复工程勘察设计施工合同总承包合同（EPC），编制完成该项目的勘察设计，并于2022年6月14日获得批复（玉自然资修复耕保</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42</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于2022年5月18日开始施工；通过公开招标于2022年2月18日与西南能矿建设工程有限公司签订云南省澄江市（片区：二家村等四个点）历史遗留矿山生态修复工程勘察设计施工合同总承包合同（EPC），编制完成该项目的勘察设计，并于2022年6月14日获得批复（玉自然资修复耕保</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41</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于2022年2月24日开始施工；通过公开招标于2021年10月12日与云南地质工程勘察设计研究院签订云南省澄江市长坡片区历史遗留矿山生态修复治理工程勘察设计合同，编制完成该项目的勘察设计，并于2021年12月10日获得批复（自然资修复耕保</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147</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于2022年1月26日与西南有色昆明勘测设计(院)股份有限公司签订建设工程施工合同，于2022年10月10日开始施工；通过公开招标于2021年9月30日与西南有色昆明勘测设计(院)股份有限公司签订云南省澄江市磨盘山磷矿采区历史遗留矿山生态修复治理工程勘查设计合同。目前该项目①云南省澄江市（片区：路居镇甸头新村等三个点）历史遗留矿山生态修复工程和云南省澄江市（片区：二家村等四个点）历史遗留矿山生态修复工程包括的7座矿山已经完工，计划2023年8月初验；②剩余的6座矿山，其中：长坡片区历史遗留矿山生态修复项目已进场施工，按合同于2025年竣工验收；海口镇海关社区龙母村矿点计划2023年8月完工并完成初验；剩余的4座矿山将加快前期工作，力争2023年年内启动项目实施。该项目处于在建工作阶段，项目进展符合可研批复进度要求。</w:t>
      </w:r>
    </w:p>
    <w:p>
      <w:pPr>
        <w:numPr>
          <w:ilvl w:val="0"/>
          <w:numId w:val="16"/>
        </w:num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项目调整情况</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按照《云南省澄江市历史遗留矿山生态修复实施方案》批复，总投资约8999万元，但按“一矿一策”要求，实际工程投资需按照每个矿山修复工程项目的批复投资计算。</w:t>
      </w: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27" w:name="_Toc18912"/>
      <w:bookmarkStart w:id="528" w:name="_Toc12508"/>
      <w:r>
        <w:rPr>
          <w:rFonts w:hint="default" w:ascii="Times New Roman" w:hAnsi="Times New Roman" w:cs="Times New Roman" w:eastAsiaTheme="minorEastAsia"/>
          <w:b/>
          <w:bCs w:val="0"/>
          <w:color w:val="000000" w:themeColor="text1"/>
          <w:highlight w:val="none"/>
          <w14:textFill>
            <w14:solidFill>
              <w14:schemeClr w14:val="tx1"/>
            </w14:solidFill>
          </w14:textFill>
        </w:rPr>
        <w:t>6.3.8澄江市抚仙湖全流域截污治污</w:t>
      </w:r>
      <w:bookmarkEnd w:id="527"/>
      <w:bookmarkEnd w:id="528"/>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对全域6个镇（街道）、47个行政村（社区）、414个村（居）民小组污水收集管网系统进行完善提升，实现污水全收集、全处理。</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2、项目设计（可研）情况（具体内容见4.2.3.3节）</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①澄江市抚仙湖全流域截污治污及健康水循环建设项目—凤麓片区可行性研究报告的批复</w:t>
      </w:r>
      <w:r>
        <w:rPr>
          <w:rFonts w:hint="default" w:ascii="Times New Roman" w:hAnsi="Times New Roman" w:cs="Times New Roman" w:eastAsiaTheme="minorEastAsia"/>
          <w:color w:val="000000" w:themeColor="text1"/>
          <w:highlight w:val="none"/>
          <w14:textFill>
            <w14:solidFill>
              <w14:schemeClr w14:val="tx1"/>
            </w14:solidFill>
          </w14:textFill>
        </w:rPr>
        <w:t>（可研批复</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108</w:t>
      </w:r>
      <w:r>
        <w:rPr>
          <w:rFonts w:hint="eastAsia" w:cs="Times New Roman" w:eastAsiaTheme="minorEastAsia"/>
          <w:color w:val="000000" w:themeColor="text1"/>
          <w:highlight w:val="none"/>
          <w:lang w:eastAsia="zh-CN"/>
          <w14:textFill>
            <w14:solidFill>
              <w14:schemeClr w14:val="tx1"/>
            </w14:solidFill>
          </w14:textFill>
        </w:rPr>
        <w:t>号</w:t>
      </w:r>
      <w:r>
        <w:rPr>
          <w:rFonts w:hint="default" w:ascii="Times New Roman" w:hAnsi="Times New Roman" w:cs="Times New Roman" w:eastAsiaTheme="minorEastAsia"/>
          <w:color w:val="000000" w:themeColor="text1"/>
          <w:highlight w:val="none"/>
          <w14:textFill>
            <w14:solidFill>
              <w14:schemeClr w14:val="tx1"/>
            </w14:solidFill>
          </w14:textFill>
        </w:rPr>
        <w:t>）</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②澄江市抚仙湖全流域截污治污及健康水循环建设项目—海口片区可行性研究报告的批复</w:t>
      </w:r>
      <w:r>
        <w:rPr>
          <w:rFonts w:hint="default" w:ascii="Times New Roman" w:hAnsi="Times New Roman" w:cs="Times New Roman" w:eastAsiaTheme="minorEastAsia"/>
          <w:color w:val="000000" w:themeColor="text1"/>
          <w:highlight w:val="none"/>
          <w14:textFill>
            <w14:solidFill>
              <w14:schemeClr w14:val="tx1"/>
            </w14:solidFill>
          </w14:textFill>
        </w:rPr>
        <w:t>（可研批复</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119</w:t>
      </w:r>
      <w:r>
        <w:rPr>
          <w:rFonts w:hint="eastAsia" w:cs="Times New Roman" w:eastAsiaTheme="minorEastAsia"/>
          <w:color w:val="000000" w:themeColor="text1"/>
          <w:highlight w:val="none"/>
          <w:lang w:eastAsia="zh-CN"/>
          <w14:textFill>
            <w14:solidFill>
              <w14:schemeClr w14:val="tx1"/>
            </w14:solidFill>
          </w14:textFill>
        </w:rPr>
        <w:t>号</w:t>
      </w:r>
      <w:r>
        <w:rPr>
          <w:rFonts w:hint="default" w:ascii="Times New Roman" w:hAnsi="Times New Roman" w:cs="Times New Roman" w:eastAsiaTheme="minorEastAsia"/>
          <w:color w:val="000000" w:themeColor="text1"/>
          <w:highlight w:val="none"/>
          <w14:textFill>
            <w14:solidFill>
              <w14:schemeClr w14:val="tx1"/>
            </w14:solidFill>
          </w14:textFill>
        </w:rPr>
        <w:t>）</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③澄江市抚仙湖全流域截污治污及健康水循环建设项目—九村区可行性研究报告的批复</w:t>
      </w:r>
      <w:r>
        <w:rPr>
          <w:rFonts w:hint="default" w:ascii="Times New Roman" w:hAnsi="Times New Roman" w:cs="Times New Roman" w:eastAsiaTheme="minorEastAsia"/>
          <w:color w:val="000000" w:themeColor="text1"/>
          <w:highlight w:val="none"/>
          <w14:textFill>
            <w14:solidFill>
              <w14:schemeClr w14:val="tx1"/>
            </w14:solidFill>
          </w14:textFill>
        </w:rPr>
        <w:t>（可研批复</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120</w:t>
      </w:r>
      <w:r>
        <w:rPr>
          <w:rFonts w:hint="eastAsia" w:cs="Times New Roman" w:eastAsiaTheme="minorEastAsia"/>
          <w:color w:val="000000" w:themeColor="text1"/>
          <w:highlight w:val="none"/>
          <w:lang w:eastAsia="zh-CN"/>
          <w14:textFill>
            <w14:solidFill>
              <w14:schemeClr w14:val="tx1"/>
            </w14:solidFill>
          </w14:textFill>
        </w:rPr>
        <w:t>号</w:t>
      </w:r>
      <w:r>
        <w:rPr>
          <w:rFonts w:hint="default" w:ascii="Times New Roman" w:hAnsi="Times New Roman" w:cs="Times New Roman" w:eastAsiaTheme="minorEastAsia"/>
          <w:color w:val="000000" w:themeColor="text1"/>
          <w:highlight w:val="none"/>
          <w14:textFill>
            <w14:solidFill>
              <w14:schemeClr w14:val="tx1"/>
            </w14:solidFill>
          </w14:textFill>
        </w:rPr>
        <w:t>）</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④澄江市抚仙湖全流域截污治污及健康水循环建设项目—路居片区可行性研究报告的批复</w:t>
      </w:r>
      <w:r>
        <w:rPr>
          <w:rFonts w:hint="default" w:ascii="Times New Roman" w:hAnsi="Times New Roman" w:cs="Times New Roman" w:eastAsiaTheme="minorEastAsia"/>
          <w:color w:val="000000" w:themeColor="text1"/>
          <w:highlight w:val="none"/>
          <w14:textFill>
            <w14:solidFill>
              <w14:schemeClr w14:val="tx1"/>
            </w14:solidFill>
          </w14:textFill>
        </w:rPr>
        <w:t>（可研批复</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121</w:t>
      </w:r>
      <w:r>
        <w:rPr>
          <w:rFonts w:hint="eastAsia" w:cs="Times New Roman" w:eastAsiaTheme="minorEastAsia"/>
          <w:color w:val="000000" w:themeColor="text1"/>
          <w:highlight w:val="none"/>
          <w:lang w:eastAsia="zh-CN"/>
          <w14:textFill>
            <w14:solidFill>
              <w14:schemeClr w14:val="tx1"/>
            </w14:solidFill>
          </w14:textFill>
        </w:rPr>
        <w:t>号</w:t>
      </w:r>
      <w:r>
        <w:rPr>
          <w:rFonts w:hint="default" w:ascii="Times New Roman" w:hAnsi="Times New Roman" w:cs="Times New Roman" w:eastAsiaTheme="minorEastAsia"/>
          <w:color w:val="000000" w:themeColor="text1"/>
          <w:highlight w:val="none"/>
          <w14:textFill>
            <w14:solidFill>
              <w14:schemeClr w14:val="tx1"/>
            </w14:solidFill>
          </w14:textFill>
        </w:rPr>
        <w:t>）</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⑤澄江市抚仙湖全流域截污治污及健康水循环建设项目—右所片区可行性研究报告的批复</w:t>
      </w:r>
      <w:r>
        <w:rPr>
          <w:rFonts w:hint="default" w:ascii="Times New Roman" w:hAnsi="Times New Roman" w:cs="Times New Roman" w:eastAsiaTheme="minorEastAsia"/>
          <w:color w:val="000000" w:themeColor="text1"/>
          <w:highlight w:val="none"/>
          <w14:textFill>
            <w14:solidFill>
              <w14:schemeClr w14:val="tx1"/>
            </w14:solidFill>
          </w14:textFill>
        </w:rPr>
        <w:t>（可研批复</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122</w:t>
      </w:r>
      <w:r>
        <w:rPr>
          <w:rFonts w:hint="eastAsia" w:cs="Times New Roman" w:eastAsiaTheme="minorEastAsia"/>
          <w:color w:val="000000" w:themeColor="text1"/>
          <w:highlight w:val="none"/>
          <w:lang w:eastAsia="zh-CN"/>
          <w14:textFill>
            <w14:solidFill>
              <w14:schemeClr w14:val="tx1"/>
            </w14:solidFill>
          </w14:textFill>
        </w:rPr>
        <w:t>号</w:t>
      </w:r>
      <w:r>
        <w:rPr>
          <w:rFonts w:hint="default" w:ascii="Times New Roman" w:hAnsi="Times New Roman" w:cs="Times New Roman" w:eastAsiaTheme="minorEastAsia"/>
          <w:color w:val="000000" w:themeColor="text1"/>
          <w:highlight w:val="none"/>
          <w14:textFill>
            <w14:solidFill>
              <w14:schemeClr w14:val="tx1"/>
            </w14:solidFill>
          </w14:textFill>
        </w:rPr>
        <w:t>）</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⑥澄江市抚仙湖全流域截污治污及健康水循环建设项目—龙街片区可行性研究报告的批复</w:t>
      </w:r>
      <w:r>
        <w:rPr>
          <w:rFonts w:hint="default" w:ascii="Times New Roman" w:hAnsi="Times New Roman" w:cs="Times New Roman" w:eastAsiaTheme="minorEastAsia"/>
          <w:color w:val="000000" w:themeColor="text1"/>
          <w:highlight w:val="none"/>
          <w14:textFill>
            <w14:solidFill>
              <w14:schemeClr w14:val="tx1"/>
            </w14:solidFill>
          </w14:textFill>
        </w:rPr>
        <w:t>（备注：该项内容来自可研批复</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123</w:t>
      </w:r>
      <w:r>
        <w:rPr>
          <w:rFonts w:hint="eastAsia" w:cs="Times New Roman" w:eastAsiaTheme="minorEastAsia"/>
          <w:color w:val="000000" w:themeColor="text1"/>
          <w:highlight w:val="none"/>
          <w:lang w:eastAsia="zh-CN"/>
          <w14:textFill>
            <w14:solidFill>
              <w14:schemeClr w14:val="tx1"/>
            </w14:solidFill>
          </w14:textFill>
        </w:rPr>
        <w:t>号</w:t>
      </w:r>
      <w:r>
        <w:rPr>
          <w:rFonts w:hint="default" w:ascii="Times New Roman" w:hAnsi="Times New Roman" w:cs="Times New Roman" w:eastAsiaTheme="minorEastAsia"/>
          <w:color w:val="000000" w:themeColor="text1"/>
          <w:highlight w:val="none"/>
          <w14:textFill>
            <w14:solidFill>
              <w14:schemeClr w14:val="tx1"/>
            </w14:solidFill>
          </w14:textFill>
        </w:rPr>
        <w:t>）</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项目责任单位：澄江市住房和城乡建设局</w:t>
      </w:r>
    </w:p>
    <w:p>
      <w:pPr>
        <w:numPr>
          <w:ilvl w:val="0"/>
          <w:numId w:val="0"/>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eastAsia" w:cs="Times New Roman" w:eastAsiaTheme="minorEastAsia"/>
          <w:bCs/>
          <w:color w:val="000000" w:themeColor="text1"/>
          <w:highlight w:val="none"/>
          <w:lang w:eastAsia="zh-CN"/>
          <w14:textFill>
            <w14:solidFill>
              <w14:schemeClr w14:val="tx1"/>
            </w14:solidFill>
          </w14:textFill>
        </w:rPr>
        <w:t>（</w:t>
      </w:r>
      <w:r>
        <w:rPr>
          <w:rFonts w:hint="eastAsia" w:cs="Times New Roman" w:eastAsiaTheme="minorEastAsia"/>
          <w:bCs/>
          <w:color w:val="000000" w:themeColor="text1"/>
          <w:highlight w:val="none"/>
          <w:lang w:val="en-US" w:eastAsia="zh-CN"/>
          <w14:textFill>
            <w14:solidFill>
              <w14:schemeClr w14:val="tx1"/>
            </w14:solidFill>
          </w14:textFill>
        </w:rPr>
        <w:t>2</w:t>
      </w:r>
      <w:r>
        <w:rPr>
          <w:rFonts w:hint="eastAsia"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38000万元，可研批复投资43487.33万元，截至2023年6月，已到位资金37440万元，资金到位率86.09%，其中省级补助资金37240万元，州市配套资金200万元；已完成投资31000万元，投资完成率71.29%。该项目已分别完成6个镇的可研报告，并分别获得澄江市发展和改革局批复文件，文件号为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108</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119</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120</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121</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122</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123</w:t>
      </w:r>
      <w:r>
        <w:rPr>
          <w:rFonts w:hint="default" w:ascii="Times New Roman" w:hAnsi="Times New Roman" w:cs="Times New Roman" w:eastAsiaTheme="minorEastAsia"/>
          <w:color w:val="000000" w:themeColor="text1"/>
          <w:highlight w:val="none"/>
          <w14:textFill>
            <w14:solidFill>
              <w14:schemeClr w14:val="tx1"/>
            </w14:solidFill>
          </w14:textFill>
        </w:rPr>
        <w:t>号；于2022年1月分别签订各片区各标段建设合同，于2022年2月取得各片区各标段开工令；于2022年6月5日申请</w:t>
      </w:r>
      <w:r>
        <w:rPr>
          <w:rFonts w:hint="default" w:ascii="Times New Roman" w:hAnsi="Times New Roman" w:cs="Times New Roman" w:eastAsiaTheme="minorEastAsia"/>
          <w:bCs/>
          <w:color w:val="000000" w:themeColor="text1"/>
          <w:highlight w:val="none"/>
          <w14:textFill>
            <w14:solidFill>
              <w14:schemeClr w14:val="tx1"/>
            </w14:solidFill>
          </w14:textFill>
        </w:rPr>
        <w:t>九村片区</w:t>
      </w:r>
      <w:r>
        <w:rPr>
          <w:rFonts w:hint="default" w:ascii="Times New Roman" w:hAnsi="Times New Roman" w:cs="Times New Roman" w:eastAsiaTheme="minorEastAsia"/>
          <w:color w:val="000000" w:themeColor="text1"/>
          <w:highlight w:val="none"/>
          <w14:textFill>
            <w14:solidFill>
              <w14:schemeClr w14:val="tx1"/>
            </w14:solidFill>
          </w14:textFill>
        </w:rPr>
        <w:t>建设项目效果验收，于2022年8月4日申请</w:t>
      </w:r>
      <w:r>
        <w:rPr>
          <w:rFonts w:hint="default" w:ascii="Times New Roman" w:hAnsi="Times New Roman" w:cs="Times New Roman" w:eastAsiaTheme="minorEastAsia"/>
          <w:bCs/>
          <w:color w:val="000000" w:themeColor="text1"/>
          <w:highlight w:val="none"/>
          <w14:textFill>
            <w14:solidFill>
              <w14:schemeClr w14:val="tx1"/>
            </w14:solidFill>
          </w14:textFill>
        </w:rPr>
        <w:t>龙街片区</w:t>
      </w:r>
      <w:r>
        <w:rPr>
          <w:rFonts w:hint="default" w:ascii="Times New Roman" w:hAnsi="Times New Roman" w:cs="Times New Roman" w:eastAsiaTheme="minorEastAsia"/>
          <w:color w:val="000000" w:themeColor="text1"/>
          <w:highlight w:val="none"/>
          <w14:textFill>
            <w14:solidFill>
              <w14:schemeClr w14:val="tx1"/>
            </w14:solidFill>
          </w14:textFill>
        </w:rPr>
        <w:t>建设项目效果验收，于2022年8月10日申请</w:t>
      </w:r>
      <w:r>
        <w:rPr>
          <w:rFonts w:hint="default" w:ascii="Times New Roman" w:hAnsi="Times New Roman" w:cs="Times New Roman" w:eastAsiaTheme="minorEastAsia"/>
          <w:bCs/>
          <w:color w:val="000000" w:themeColor="text1"/>
          <w:highlight w:val="none"/>
          <w14:textFill>
            <w14:solidFill>
              <w14:schemeClr w14:val="tx1"/>
            </w14:solidFill>
          </w14:textFill>
        </w:rPr>
        <w:t>右所片区</w:t>
      </w:r>
      <w:r>
        <w:rPr>
          <w:rFonts w:hint="default" w:ascii="Times New Roman" w:hAnsi="Times New Roman" w:cs="Times New Roman" w:eastAsiaTheme="minorEastAsia"/>
          <w:color w:val="000000" w:themeColor="text1"/>
          <w:highlight w:val="none"/>
          <w14:textFill>
            <w14:solidFill>
              <w14:schemeClr w14:val="tx1"/>
            </w14:solidFill>
          </w14:textFill>
        </w:rPr>
        <w:t>建设项目效果验收，于2022年8月23日申请</w:t>
      </w:r>
      <w:r>
        <w:rPr>
          <w:rFonts w:hint="default" w:ascii="Times New Roman" w:hAnsi="Times New Roman" w:cs="Times New Roman" w:eastAsiaTheme="minorEastAsia"/>
          <w:bCs/>
          <w:color w:val="000000" w:themeColor="text1"/>
          <w:highlight w:val="none"/>
          <w14:textFill>
            <w14:solidFill>
              <w14:schemeClr w14:val="tx1"/>
            </w14:solidFill>
          </w14:textFill>
        </w:rPr>
        <w:t>海口片区</w:t>
      </w:r>
      <w:r>
        <w:rPr>
          <w:rFonts w:hint="default" w:ascii="Times New Roman" w:hAnsi="Times New Roman" w:cs="Times New Roman" w:eastAsiaTheme="minorEastAsia"/>
          <w:color w:val="000000" w:themeColor="text1"/>
          <w:highlight w:val="none"/>
          <w14:textFill>
            <w14:solidFill>
              <w14:schemeClr w14:val="tx1"/>
            </w14:solidFill>
          </w14:textFill>
        </w:rPr>
        <w:t>建设项目效果验收，于2022年8月29日申请</w:t>
      </w:r>
      <w:r>
        <w:rPr>
          <w:rFonts w:hint="default" w:ascii="Times New Roman" w:hAnsi="Times New Roman" w:cs="Times New Roman" w:eastAsiaTheme="minorEastAsia"/>
          <w:bCs/>
          <w:color w:val="000000" w:themeColor="text1"/>
          <w:highlight w:val="none"/>
          <w14:textFill>
            <w14:solidFill>
              <w14:schemeClr w14:val="tx1"/>
            </w14:solidFill>
          </w14:textFill>
        </w:rPr>
        <w:t>路居片区</w:t>
      </w:r>
      <w:r>
        <w:rPr>
          <w:rFonts w:hint="default" w:ascii="Times New Roman" w:hAnsi="Times New Roman" w:cs="Times New Roman" w:eastAsiaTheme="minorEastAsia"/>
          <w:color w:val="000000" w:themeColor="text1"/>
          <w:highlight w:val="none"/>
          <w14:textFill>
            <w14:solidFill>
              <w14:schemeClr w14:val="tx1"/>
            </w14:solidFill>
          </w14:textFill>
        </w:rPr>
        <w:t>建设项目效果验收，于2022年9月6日申请</w:t>
      </w:r>
      <w:r>
        <w:rPr>
          <w:rFonts w:hint="default" w:ascii="Times New Roman" w:hAnsi="Times New Roman" w:cs="Times New Roman" w:eastAsiaTheme="minorEastAsia"/>
          <w:bCs/>
          <w:color w:val="000000" w:themeColor="text1"/>
          <w:highlight w:val="none"/>
          <w14:textFill>
            <w14:solidFill>
              <w14:schemeClr w14:val="tx1"/>
            </w14:solidFill>
          </w14:textFill>
        </w:rPr>
        <w:t>凤麓片区</w:t>
      </w:r>
      <w:r>
        <w:rPr>
          <w:rFonts w:hint="default" w:ascii="Times New Roman" w:hAnsi="Times New Roman" w:cs="Times New Roman" w:eastAsiaTheme="minorEastAsia"/>
          <w:color w:val="000000" w:themeColor="text1"/>
          <w:highlight w:val="none"/>
          <w14:textFill>
            <w14:solidFill>
              <w14:schemeClr w14:val="tx1"/>
            </w14:solidFill>
          </w14:textFill>
        </w:rPr>
        <w:t>建设项目效果验收。</w:t>
      </w:r>
      <w:r>
        <w:rPr>
          <w:rFonts w:hint="default" w:ascii="Times New Roman" w:hAnsi="Times New Roman" w:cs="Times New Roman" w:eastAsiaTheme="minorEastAsia"/>
          <w:bCs/>
          <w:color w:val="000000" w:themeColor="text1"/>
          <w:highlight w:val="none"/>
          <w14:textFill>
            <w14:solidFill>
              <w14:schemeClr w14:val="tx1"/>
            </w14:solidFill>
          </w14:textFill>
        </w:rPr>
        <w:t>该项目处于在建工作阶段，项目进展符合可研批复进度要求。</w:t>
      </w:r>
    </w:p>
    <w:p>
      <w:pPr>
        <w:rPr>
          <w:rFonts w:hint="default" w:ascii="Times New Roman" w:hAnsi="Times New Roman" w:cs="Times New Roman" w:eastAsiaTheme="minorEastAsia"/>
          <w:color w:val="000000" w:themeColor="text1"/>
          <w:highlight w:val="none"/>
          <w14:textFill>
            <w14:solidFill>
              <w14:schemeClr w14:val="tx1"/>
            </w14:solidFill>
          </w14:textFill>
        </w:rPr>
      </w:pP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（3）项目调整情况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一、原规划是对</w:t>
      </w:r>
      <w:r>
        <w:rPr>
          <w:rFonts w:hint="default" w:ascii="Times New Roman" w:hAnsi="Times New Roman" w:cs="Times New Roman" w:eastAsiaTheme="minorEastAsia"/>
          <w:bCs/>
          <w:color w:val="000000" w:themeColor="text1"/>
          <w:highlight w:val="none"/>
          <w14:textFill>
            <w14:solidFill>
              <w14:schemeClr w14:val="tx1"/>
            </w14:solidFill>
          </w14:textFill>
        </w:rPr>
        <w:t>全域</w:t>
      </w:r>
      <w:r>
        <w:rPr>
          <w:rFonts w:hint="default" w:ascii="Times New Roman" w:hAnsi="Times New Roman" w:cs="Times New Roman" w:eastAsiaTheme="minorEastAsia"/>
          <w:color w:val="000000" w:themeColor="text1"/>
          <w:highlight w:val="none"/>
          <w14:textFill>
            <w14:solidFill>
              <w14:schemeClr w14:val="tx1"/>
            </w14:solidFill>
          </w14:textFill>
        </w:rPr>
        <w:t>414个村</w:t>
      </w:r>
      <w:r>
        <w:rPr>
          <w:rFonts w:hint="default" w:ascii="Times New Roman" w:hAnsi="Times New Roman" w:cs="Times New Roman" w:eastAsiaTheme="minorEastAsia"/>
          <w:bCs/>
          <w:color w:val="000000" w:themeColor="text1"/>
          <w:highlight w:val="none"/>
          <w14:textFill>
            <w14:solidFill>
              <w14:schemeClr w14:val="tx1"/>
            </w14:solidFill>
          </w14:textFill>
        </w:rPr>
        <w:t>（居）民小组污水收集管网系统进行完善提升，在经过移民搬迁后，抚仙湖全域6个镇（街道）只剩余339个</w:t>
      </w:r>
      <w:r>
        <w:rPr>
          <w:rFonts w:hint="default" w:ascii="Times New Roman" w:hAnsi="Times New Roman" w:cs="Times New Roman" w:eastAsiaTheme="minorEastAsia"/>
          <w:color w:val="000000" w:themeColor="text1"/>
          <w:highlight w:val="none"/>
          <w14:textFill>
            <w14:solidFill>
              <w14:schemeClr w14:val="tx1"/>
            </w14:solidFill>
          </w14:textFill>
        </w:rPr>
        <w:t>村</w:t>
      </w:r>
      <w:r>
        <w:rPr>
          <w:rFonts w:hint="default" w:ascii="Times New Roman" w:hAnsi="Times New Roman" w:cs="Times New Roman" w:eastAsiaTheme="minorEastAsia"/>
          <w:bCs/>
          <w:color w:val="000000" w:themeColor="text1"/>
          <w:highlight w:val="none"/>
          <w14:textFill>
            <w14:solidFill>
              <w14:schemeClr w14:val="tx1"/>
            </w14:solidFill>
          </w14:textFill>
        </w:rPr>
        <w:t>（居）民小组，因此可减少75个</w:t>
      </w:r>
      <w:r>
        <w:rPr>
          <w:rFonts w:hint="default" w:ascii="Times New Roman" w:hAnsi="Times New Roman" w:cs="Times New Roman" w:eastAsiaTheme="minorEastAsia"/>
          <w:color w:val="000000" w:themeColor="text1"/>
          <w:highlight w:val="none"/>
          <w14:textFill>
            <w14:solidFill>
              <w14:schemeClr w14:val="tx1"/>
            </w14:solidFill>
          </w14:textFill>
        </w:rPr>
        <w:t>村</w:t>
      </w:r>
      <w:r>
        <w:rPr>
          <w:rFonts w:hint="default" w:ascii="Times New Roman" w:hAnsi="Times New Roman" w:cs="Times New Roman" w:eastAsiaTheme="minorEastAsia"/>
          <w:bCs/>
          <w:color w:val="000000" w:themeColor="text1"/>
          <w:highlight w:val="none"/>
          <w14:textFill>
            <w14:solidFill>
              <w14:schemeClr w14:val="tx1"/>
            </w14:solidFill>
          </w14:textFill>
        </w:rPr>
        <w:t>（居）民小组的污水收集管网系统提升工程。</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二、为实现污水全收集、全处理，还需要在流域内实施以下4个新增工程，项目增加投资共计65875.23万元，目前该4个工程主体已基本完工。</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①澄江市海口镇管道修复及新建工程，</w:t>
      </w:r>
      <w:r>
        <w:rPr>
          <w:rFonts w:hint="default" w:ascii="Times New Roman" w:hAnsi="Times New Roman" w:cs="Times New Roman" w:eastAsiaTheme="minorEastAsia"/>
          <w:color w:val="000000" w:themeColor="text1"/>
          <w:highlight w:val="none"/>
          <w14:textFill>
            <w14:solidFill>
              <w14:schemeClr w14:val="tx1"/>
            </w14:solidFill>
          </w14:textFill>
        </w:rPr>
        <w:t>项目投资659.7万元，</w:t>
      </w:r>
      <w:r>
        <w:rPr>
          <w:rFonts w:hint="default" w:ascii="Times New Roman" w:hAnsi="Times New Roman" w:cs="Times New Roman" w:eastAsiaTheme="minorEastAsia"/>
          <w:bCs/>
          <w:color w:val="000000" w:themeColor="text1"/>
          <w:highlight w:val="none"/>
          <w14:textFill>
            <w14:solidFill>
              <w14:schemeClr w14:val="tx1"/>
            </w14:solidFill>
          </w14:textFill>
        </w:rPr>
        <w:t>新建海口污水处理厂1453m，DN600污水主管及配套附属设施；②澄江市仙湖大道管网改造工程，</w:t>
      </w:r>
      <w:r>
        <w:rPr>
          <w:rFonts w:hint="default" w:ascii="Times New Roman" w:hAnsi="Times New Roman" w:cs="Times New Roman" w:eastAsiaTheme="minorEastAsia"/>
          <w:color w:val="000000" w:themeColor="text1"/>
          <w:highlight w:val="none"/>
          <w14:textFill>
            <w14:solidFill>
              <w14:schemeClr w14:val="tx1"/>
            </w14:solidFill>
          </w14:textFill>
        </w:rPr>
        <w:t>项目投资514.3万元，</w:t>
      </w:r>
      <w:r>
        <w:rPr>
          <w:rFonts w:hint="default" w:ascii="Times New Roman" w:hAnsi="Times New Roman" w:cs="Times New Roman" w:eastAsiaTheme="minorEastAsia"/>
          <w:bCs/>
          <w:color w:val="000000" w:themeColor="text1"/>
          <w:highlight w:val="none"/>
          <w14:textFill>
            <w14:solidFill>
              <w14:schemeClr w14:val="tx1"/>
            </w14:solidFill>
          </w14:textFill>
        </w:rPr>
        <w:t>整改龙溪路、凤翔路、仙湖路存在雨污混接等47个问题点；③澄江市污水管网完善工程，</w:t>
      </w:r>
      <w:r>
        <w:rPr>
          <w:rFonts w:hint="default" w:ascii="Times New Roman" w:hAnsi="Times New Roman" w:cs="Times New Roman" w:eastAsiaTheme="minorEastAsia"/>
          <w:color w:val="000000" w:themeColor="text1"/>
          <w:highlight w:val="none"/>
          <w14:textFill>
            <w14:solidFill>
              <w14:schemeClr w14:val="tx1"/>
            </w14:solidFill>
          </w14:textFill>
        </w:rPr>
        <w:t>投资5201.23万元，</w:t>
      </w:r>
      <w:r>
        <w:rPr>
          <w:rFonts w:hint="default" w:ascii="Times New Roman" w:hAnsi="Times New Roman" w:cs="Times New Roman" w:eastAsiaTheme="minorEastAsia"/>
          <w:bCs/>
          <w:color w:val="000000" w:themeColor="text1"/>
          <w:highlight w:val="none"/>
          <w14:textFill>
            <w14:solidFill>
              <w14:schemeClr w14:val="tx1"/>
            </w14:solidFill>
          </w14:textFill>
        </w:rPr>
        <w:t>修复北岸片区989个管道结构性及功能性缺陷；④完善澄江县农村生活污水处理及人居环境工程</w:t>
      </w:r>
      <w:r>
        <w:rPr>
          <w:rFonts w:hint="default" w:ascii="Times New Roman" w:hAnsi="Times New Roman" w:cs="Times New Roman" w:eastAsiaTheme="minorEastAsia"/>
          <w:color w:val="000000" w:themeColor="text1"/>
          <w:highlight w:val="none"/>
          <w14:textFill>
            <w14:solidFill>
              <w14:schemeClr w14:val="tx1"/>
            </w14:solidFill>
          </w14:textFill>
        </w:rPr>
        <w:t>，投资约59500万元</w:t>
      </w:r>
      <w:r>
        <w:rPr>
          <w:rFonts w:hint="default" w:ascii="Times New Roman" w:hAnsi="Times New Roman" w:cs="Times New Roman" w:eastAsiaTheme="minorEastAsia"/>
          <w:bCs/>
          <w:color w:val="000000" w:themeColor="text1"/>
          <w:highlight w:val="none"/>
          <w14:textFill>
            <w14:solidFill>
              <w14:schemeClr w14:val="tx1"/>
            </w14:solidFill>
          </w14:textFill>
        </w:rPr>
        <w:t>。</w:t>
      </w:r>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三、项目名称申请变更为</w:t>
      </w:r>
      <w:r>
        <w:rPr>
          <w:rFonts w:hint="default" w:ascii="Times New Roman" w:hAnsi="Times New Roman" w:cs="Times New Roman" w:eastAsiaTheme="minorEastAsia"/>
          <w:color w:val="000000" w:themeColor="text1"/>
          <w:highlight w:val="none"/>
          <w14:textFill>
            <w14:solidFill>
              <w14:schemeClr w14:val="tx1"/>
            </w14:solidFill>
          </w14:textFill>
        </w:rPr>
        <w:t>“澄江市抚仙湖全流域截污治污及健康水循环工程项目”。</w:t>
      </w:r>
    </w:p>
    <w:p>
      <w:pPr>
        <w:ind w:left="480" w:left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四、调整后项目总投资为107373万元，增加投资69373万元。</w:t>
      </w: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29" w:name="_Toc14359"/>
      <w:bookmarkStart w:id="530" w:name="_Toc18637"/>
      <w:r>
        <w:rPr>
          <w:rFonts w:hint="default" w:ascii="Times New Roman" w:hAnsi="Times New Roman" w:cs="Times New Roman" w:eastAsiaTheme="minorEastAsia"/>
          <w:b/>
          <w:bCs w:val="0"/>
          <w:color w:val="000000" w:themeColor="text1"/>
          <w:highlight w:val="none"/>
          <w14:textFill>
            <w14:solidFill>
              <w14:schemeClr w14:val="tx1"/>
            </w14:solidFill>
          </w14:textFill>
        </w:rPr>
        <w:t>6.3.9抚仙湖总磷变化机制和趋势分析研判课题研究</w:t>
      </w:r>
      <w:bookmarkEnd w:id="529"/>
      <w:bookmarkEnd w:id="530"/>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揭示抚仙湖总磷变化机制，进行抚仙湖总磷变化趋势分析研判，为提升抚仙湖保护治理措施的精准性和有效性提供科学支撑。</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项目责任单位：玉溪市湖泊管理局</w:t>
      </w:r>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该项目规划投资200万元，截至2023年6月，已到位资金0万元；已完成投资0万元。该项目还未启动。</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（3）项目调整原因</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按照实际情况对课题内容及投资申请进行优化调整。</w:t>
      </w:r>
    </w:p>
    <w:p>
      <w:pPr>
        <w:numPr>
          <w:ilvl w:val="0"/>
          <w:numId w:val="17"/>
        </w:num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研究内容：研究近年来抚仙湖总磷波动变化特征，明确造成总磷波动变化的主导因素和关联因子，结合气象条件、藻类群落演替特征，运用分子生物学方法从变化机制上进行探索，提出抚仙湖水生态环境保护对策建议。</w:t>
      </w:r>
    </w:p>
    <w:p>
      <w:pPr>
        <w:numPr>
          <w:ilvl w:val="0"/>
          <w:numId w:val="17"/>
        </w:num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eastAsia" w:cs="Times New Roman" w:eastAsiaTheme="minorEastAsia"/>
          <w:color w:val="000000" w:themeColor="text1"/>
          <w:highlight w:val="none"/>
          <w:lang w:val="en-US" w:eastAsia="zh-CN"/>
          <w14:textFill>
            <w14:solidFill>
              <w14:schemeClr w14:val="tx1"/>
            </w14:solidFill>
          </w14:textFill>
        </w:rPr>
        <w:t>项目名称变更为“抚仙湖总磷波动特征及变化机制研究”。</w:t>
      </w:r>
    </w:p>
    <w:p>
      <w:pPr>
        <w:numPr>
          <w:ilvl w:val="0"/>
          <w:numId w:val="17"/>
        </w:num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调整后项目总投资120万元，减少投资80万元。</w:t>
      </w: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31" w:name="_Toc21469"/>
      <w:r>
        <w:rPr>
          <w:rFonts w:hint="default" w:ascii="Times New Roman" w:hAnsi="Times New Roman" w:cs="Times New Roman" w:eastAsiaTheme="minorEastAsia"/>
          <w:b/>
          <w:bCs w:val="0"/>
          <w:color w:val="000000" w:themeColor="text1"/>
          <w:highlight w:val="none"/>
          <w14:textFill>
            <w14:solidFill>
              <w14:schemeClr w14:val="tx1"/>
            </w14:solidFill>
          </w14:textFill>
        </w:rPr>
        <w:t>6.3.10澄江市城乡供水一体化工程项目</w:t>
      </w:r>
      <w:bookmarkEnd w:id="531"/>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①对大湾至立昌线以北片区供水系统完善提升，实现抚仙湖北岸坝区供水一体化。②实施农村供水保障专项行动。完善供水主管网至各村落之间的支管网建设，并对水源不稳定村组实现正常供水。</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ind w:left="480" w:left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2、项目设计（可研）情况</w:t>
      </w:r>
    </w:p>
    <w:p>
      <w:pPr>
        <w:ind w:left="480" w:leftChars="200"/>
        <w:rPr>
          <w:rFonts w:hint="eastAsia" w:ascii="Times New Roman" w:hAnsi="Times New Roman" w:cs="Times New Roman" w:eastAsiaTheme="minorEastAsia"/>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w:t>
      </w:r>
      <w:r>
        <w:rPr>
          <w:rFonts w:hint="default" w:ascii="Times New Roman" w:hAnsi="Times New Roman" w:cs="Times New Roman" w:eastAsiaTheme="minorEastAsia"/>
          <w:color w:val="000000" w:themeColor="text1"/>
          <w:highlight w:val="none"/>
          <w14:textFill>
            <w14:solidFill>
              <w14:schemeClr w14:val="tx1"/>
            </w14:solidFill>
          </w14:textFill>
        </w:rPr>
        <w:t>该项内容来自可研批复</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5</w:t>
      </w:r>
      <w:r>
        <w:rPr>
          <w:rFonts w:hint="eastAsia" w:cs="Times New Roman" w:eastAsiaTheme="minorEastAsia"/>
          <w:color w:val="000000" w:themeColor="text1"/>
          <w:highlight w:val="none"/>
          <w:lang w:eastAsia="zh-CN"/>
          <w14:textFill>
            <w14:solidFill>
              <w14:schemeClr w14:val="tx1"/>
            </w14:solidFill>
          </w14:textFill>
        </w:rPr>
        <w:t>号</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工程名称：澄江市城乡供水一体化建设项目</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工程内容：在抚仙湖北片区新、改建DN150-DN600给水主管长度总长82.36km，其中，新建给水管道61.3km，改造给水管道21.03km；扩建二水厂，新增10000m</w:t>
      </w:r>
      <w:r>
        <w:rPr>
          <w:rFonts w:hint="default" w:ascii="Times New Roman" w:hAnsi="Times New Roman" w:cs="Times New Roman" w:eastAsiaTheme="minorEastAsia"/>
          <w:bCs/>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/d处理能力，在二水厂内部新建絮凝沉淀池一座、滤池一座及配套设备。</w:t>
      </w:r>
    </w:p>
    <w:p>
      <w:pPr>
        <w:ind w:left="480" w:leftChars="200"/>
        <w:rPr>
          <w:rFonts w:hint="eastAsia" w:ascii="Times New Roman" w:hAnsi="Times New Roman" w:cs="Times New Roman" w:eastAsiaTheme="minorEastAsia"/>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②</w:t>
      </w:r>
      <w:r>
        <w:rPr>
          <w:rFonts w:hint="default" w:ascii="Times New Roman" w:hAnsi="Times New Roman" w:cs="Times New Roman" w:eastAsiaTheme="minorEastAsia"/>
          <w:color w:val="000000" w:themeColor="text1"/>
          <w:highlight w:val="none"/>
          <w14:textFill>
            <w14:solidFill>
              <w14:schemeClr w14:val="tx1"/>
            </w14:solidFill>
          </w14:textFill>
        </w:rPr>
        <w:t>该项内容来自可研批复</w:t>
      </w:r>
      <w:r>
        <w:rPr>
          <w:rFonts w:hint="default" w:ascii="Times New Roman" w:hAnsi="Times New Roman" w:cs="Times New Roman" w:eastAsiaTheme="minorEastAsia"/>
          <w:bCs/>
          <w:color w:val="000000" w:themeColor="text1"/>
          <w:highlight w:val="none"/>
          <w14:textFill>
            <w14:solidFill>
              <w14:schemeClr w14:val="tx1"/>
            </w14:solidFill>
          </w14:textFill>
        </w:rPr>
        <w:t>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83</w:t>
      </w:r>
      <w:r>
        <w:rPr>
          <w:rFonts w:hint="eastAsia" w:cs="Times New Roman" w:eastAsiaTheme="minorEastAsia"/>
          <w:color w:val="000000" w:themeColor="text1"/>
          <w:highlight w:val="none"/>
          <w:lang w:eastAsia="zh-CN"/>
          <w14:textFill>
            <w14:solidFill>
              <w14:schemeClr w14:val="tx1"/>
            </w14:solidFill>
          </w14:textFill>
        </w:rPr>
        <w:t>号</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工程名称：玉溪市澄江市农村供水保障专项行动项目</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工程内容：项目占地面积1061.72亩，新建提水泵站7座，水池17个，智能化终端计量表36730套。铺设供水管网1279km及其附属建筑物。</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项目责任单位：澄江市住房和城乡建设局、澄江市水利局</w:t>
      </w:r>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33300万元，批复投资33291万元，截至2023年6月，已到位资金6649万元，资金到位率19.59%，其中省级补助资金125万元，州市配套资金110万元，自筹资金6414万元，已完成投资3533万元，投资完成率10.61%。该项目分2个部分，其中项目</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①</w:t>
      </w:r>
      <w:r>
        <w:rPr>
          <w:rFonts w:hint="default" w:ascii="Times New Roman" w:hAnsi="Times New Roman" w:cs="Times New Roman" w:eastAsiaTheme="minorEastAsia"/>
          <w:color w:val="000000" w:themeColor="text1"/>
          <w:highlight w:val="none"/>
          <w14:textFill>
            <w14:solidFill>
              <w14:schemeClr w14:val="tx1"/>
            </w14:solidFill>
          </w14:textFill>
        </w:rPr>
        <w:t>可研批复投资</w:t>
      </w:r>
      <w:r>
        <w:rPr>
          <w:rFonts w:hint="default" w:ascii="Times New Roman" w:hAnsi="Times New Roman" w:cs="Times New Roman" w:eastAsiaTheme="minorEastAsia"/>
          <w:bCs/>
          <w:color w:val="000000" w:themeColor="text1"/>
          <w:highlight w:val="none"/>
          <w14:textFill>
            <w14:solidFill>
              <w14:schemeClr w14:val="tx1"/>
            </w14:solidFill>
          </w14:textFill>
        </w:rPr>
        <w:t>25000万元，截至2023年6月，已到位资金235万元，资金到位率0.94%，其中省级补助资金125万元，州市配套资金110万元，完成投资0万元；项目②可研批复投资8291万元，截至2023年6月，已到位资金6414万元（全部为自筹资金），资金到位率77.36%，已完成投资3533万元，投资完成率42.61%。</w:t>
      </w:r>
      <w:r>
        <w:rPr>
          <w:rFonts w:hint="eastAsia" w:cs="Times New Roman" w:eastAsiaTheme="minorEastAsia"/>
          <w:bCs/>
          <w:color w:val="000000" w:themeColor="text1"/>
          <w:highlight w:val="none"/>
          <w:lang w:eastAsia="zh-CN"/>
          <w14:textFill>
            <w14:solidFill>
              <w14:schemeClr w14:val="tx1"/>
            </w14:solidFill>
          </w14:textFill>
        </w:rPr>
        <w:t>截至</w:t>
      </w:r>
      <w:r>
        <w:rPr>
          <w:rFonts w:hint="default" w:ascii="Times New Roman" w:hAnsi="Times New Roman" w:cs="Times New Roman" w:eastAsiaTheme="minorEastAsia"/>
          <w:bCs/>
          <w:color w:val="000000" w:themeColor="text1"/>
          <w:highlight w:val="none"/>
          <w14:textFill>
            <w14:solidFill>
              <w14:schemeClr w14:val="tx1"/>
            </w14:solidFill>
          </w14:textFill>
        </w:rPr>
        <w:t>2023年6月，项目①已编制完成《澄江市城镇供水专项规划及城乡供水一体化实施方案》、《澄江市城镇排水专项规划》，已获得澄江市自然资源局项目用地及规划回复以及玉溪市生态环境局澄江分局无需办理环评手续的回复，已经编制完成《澄江市城乡供水一体化建设项目可行性研究报告》，并获得批复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5</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。该子项目目前配合国投开展项目融资资料准备阶段。项目②已编制完成可行性研究报告，并获得批复（澄发改发</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83</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），于2021年12月签订施工总承包合同，并于2021年12月取得开工令；已获得澄江市水利局关于该项目的2021年度实施方案的批复（澄水字</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2021</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83</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）和2022年度实施方案的批复（澄水字</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74</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该子项目共涉及129个村管网改造（2021年度60个，2022年度69个），目前已完成72个村（2021年度54个，2022年度18个），14个村正在施工。该项目处于在建工作阶段，项目进展符合规划进度要求，但项目①进展滞后。</w:t>
      </w:r>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（3）项目调整情况</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一、按照实际情况对课题内容及投资申请进行优化调整。</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项目①的内容调减为：对梁王大道以西、中山大道以东区域供水系统完善提升。投资估算</w:t>
      </w:r>
      <w:r>
        <w:rPr>
          <w:rFonts w:hint="default" w:ascii="Times New Roman" w:hAnsi="Times New Roman" w:cs="Times New Roman" w:eastAsiaTheme="minorEastAsia"/>
          <w:color w:val="000000" w:themeColor="text1"/>
          <w:kern w:val="0"/>
          <w:highlight w:val="none"/>
          <w:lang w:bidi="ar"/>
          <w14:textFill>
            <w14:solidFill>
              <w14:schemeClr w14:val="tx1"/>
            </w14:solidFill>
          </w14:textFill>
        </w:rPr>
        <w:t>16528.83</w:t>
      </w:r>
      <w:r>
        <w:rPr>
          <w:rFonts w:hint="default" w:ascii="Times New Roman" w:hAnsi="Times New Roman" w:cs="Times New Roman" w:eastAsiaTheme="minorEastAsia"/>
          <w:color w:val="000000" w:themeColor="text1"/>
          <w:highlight w:val="none"/>
          <w14:textFill>
            <w14:solidFill>
              <w14:schemeClr w14:val="tx1"/>
            </w14:solidFill>
          </w14:textFill>
        </w:rPr>
        <w:t>万元。工程内容：①原水输水工程：更换提升泵4台，3用1备；②配水管道新建及老旧管道更新改造工程：项目近期新建及改造配水管线工程DN150~DN800配水管道约59.185km；</w:t>
      </w:r>
      <w:r>
        <w:rPr>
          <w:rFonts w:hint="default" w:ascii="Times New Roman" w:hAnsi="Times New Roman" w:cs="Times New Roman" w:eastAsiaTheme="minorEastAsia"/>
          <w:bCs/>
          <w:color w:val="000000" w:themeColor="text1"/>
          <w:highlight w:val="none"/>
          <w14:textFill>
            <w14:solidFill>
              <w14:schemeClr w14:val="tx1"/>
            </w14:solidFill>
          </w14:textFill>
        </w:rPr>
        <w:t>③供水管网分区计量工程：建设完成零级-三级分区监测点共173个，规格为DN150-DN800；④市政、绿化、消防、环卫用水计量体系：改造及新建远传水表井，共计586座；⑤智能化建设工程：在现有智慧平台基础上，新建安保系统、软件平台、网络及服务器、智慧化智能系统；⑥供水管网压力调控工程：建设完成压力监测点共55个，减压阀1个；⑦一户一表改造工程：用水户水表改造为带流量远传功能，共计44428户。</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二、调整后项目总投资为24819.83万元，减少投资8471.17万元。</w:t>
      </w: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32" w:name="_Toc15994"/>
      <w:r>
        <w:rPr>
          <w:rFonts w:hint="default" w:ascii="Times New Roman" w:hAnsi="Times New Roman" w:cs="Times New Roman" w:eastAsiaTheme="minorEastAsia"/>
          <w:b/>
          <w:bCs w:val="0"/>
          <w:color w:val="000000" w:themeColor="text1"/>
          <w:highlight w:val="none"/>
          <w14:textFill>
            <w14:solidFill>
              <w14:schemeClr w14:val="tx1"/>
            </w14:solidFill>
          </w14:textFill>
        </w:rPr>
        <w:t>6.3.11抚仙湖水环境保护精准研究项目</w:t>
      </w:r>
      <w:bookmarkEnd w:id="532"/>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①抚仙湖水质波动原因解析。②抚仙湖藻类异常增殖机制研究。③抚仙湖水量及物质平衡研究。④抚仙湖水生态环境保护对策建议。</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项目责任单位：玉溪市湖泊管理局</w:t>
      </w:r>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该项目规划投资820万元，截至2023年6月，已到位资金0万元；已完成投资0万元。目前已组建上海交大-玉溪市湖泊联合研究中心，对抚仙湖开展常规监测分析，未开展专项研究。该项目还未启动。</w:t>
      </w:r>
    </w:p>
    <w:p>
      <w:pPr>
        <w:numPr>
          <w:ilvl w:val="0"/>
          <w:numId w:val="0"/>
        </w:numPr>
        <w:ind w:leftChars="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eastAsia" w:cs="Times New Roman" w:eastAsiaTheme="minorEastAsia"/>
          <w:bCs/>
          <w:color w:val="000000" w:themeColor="text1"/>
          <w:highlight w:val="none"/>
          <w:lang w:eastAsia="zh-CN"/>
          <w14:textFill>
            <w14:solidFill>
              <w14:schemeClr w14:val="tx1"/>
            </w14:solidFill>
          </w14:textFill>
        </w:rPr>
        <w:t>（</w:t>
      </w:r>
      <w:r>
        <w:rPr>
          <w:rFonts w:hint="eastAsia" w:cs="Times New Roman" w:eastAsiaTheme="minorEastAsia"/>
          <w:bCs/>
          <w:color w:val="000000" w:themeColor="text1"/>
          <w:highlight w:val="none"/>
          <w:lang w:val="en-US" w:eastAsia="zh-CN"/>
          <w14:textFill>
            <w14:solidFill>
              <w14:schemeClr w14:val="tx1"/>
            </w14:solidFill>
          </w14:textFill>
        </w:rPr>
        <w:t>3</w:t>
      </w:r>
      <w:r>
        <w:rPr>
          <w:rFonts w:hint="eastAsia"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项目调整情况</w:t>
      </w:r>
    </w:p>
    <w:p>
      <w:pPr>
        <w:ind w:firstLine="48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一、因围绕抚仙湖需开展长时间系列的定期基础研究和问题研判分析工作，全面系统掌握抚仙湖流域水环境动态变化，科学精准开展湖泊水环境问题诊断和保护治理提供数据支撑，</w:t>
      </w:r>
      <w:r>
        <w:rPr>
          <w:rFonts w:hint="eastAsia" w:cs="Times New Roman" w:eastAsiaTheme="minorEastAsia"/>
          <w:bCs/>
          <w:color w:val="000000" w:themeColor="text1"/>
          <w:highlight w:val="none"/>
          <w:lang w:val="en-US" w:eastAsia="zh-CN"/>
          <w14:textFill>
            <w14:solidFill>
              <w14:schemeClr w14:val="tx1"/>
            </w14:solidFill>
          </w14:textFill>
        </w:rPr>
        <w:t>因此首先</w:t>
      </w:r>
      <w:r>
        <w:rPr>
          <w:rFonts w:hint="default" w:ascii="Times New Roman" w:hAnsi="Times New Roman" w:cs="Times New Roman" w:eastAsiaTheme="minorEastAsia"/>
          <w:bCs/>
          <w:color w:val="000000" w:themeColor="text1"/>
          <w:highlight w:val="none"/>
          <w14:textFill>
            <w14:solidFill>
              <w14:schemeClr w14:val="tx1"/>
            </w14:solidFill>
          </w14:textFill>
        </w:rPr>
        <w:t>与上海交通大学开展院校合作。</w:t>
      </w:r>
    </w:p>
    <w:p>
      <w:pPr>
        <w:ind w:firstLine="48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eastAsia" w:cs="Times New Roman" w:eastAsiaTheme="minorEastAsia"/>
          <w:bCs/>
          <w:color w:val="000000" w:themeColor="text1"/>
          <w:highlight w:val="none"/>
          <w:lang w:val="en-US" w:eastAsia="zh-CN"/>
          <w14:textFill>
            <w14:solidFill>
              <w14:schemeClr w14:val="tx1"/>
            </w14:solidFill>
          </w14:textFill>
        </w:rPr>
        <w:t>二</w:t>
      </w:r>
      <w:r>
        <w:rPr>
          <w:rFonts w:hint="default" w:ascii="Times New Roman" w:hAnsi="Times New Roman" w:cs="Times New Roman" w:eastAsiaTheme="minorEastAsia"/>
          <w:bCs/>
          <w:color w:val="000000" w:themeColor="text1"/>
          <w:highlight w:val="none"/>
          <w14:textFill>
            <w14:solidFill>
              <w14:schemeClr w14:val="tx1"/>
            </w14:solidFill>
          </w14:textFill>
        </w:rPr>
        <w:t>、调整内容：开展院校合作，组建上海交通大学—玉溪市湖泊联合研究中心，包含租赁办公场地、购买相关仪器设备。中心按月对湖体及主要入湖河道开展跟踪监测，按月提交分析报告，分析水质、入湖污染负荷、藻类变化情况；每半年提交1份问题诊断及治理建议报告。</w:t>
      </w:r>
    </w:p>
    <w:p>
      <w:pPr>
        <w:ind w:firstLine="480"/>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pPr>
      <w:r>
        <w:rPr>
          <w:rFonts w:hint="eastAsia" w:cs="Times New Roman" w:eastAsiaTheme="minorEastAsia"/>
          <w:bCs/>
          <w:color w:val="000000" w:themeColor="text1"/>
          <w:highlight w:val="none"/>
          <w:lang w:val="en-US" w:eastAsia="zh-CN"/>
          <w14:textFill>
            <w14:solidFill>
              <w14:schemeClr w14:val="tx1"/>
            </w14:solidFill>
          </w14:textFill>
        </w:rPr>
        <w:t>三</w:t>
      </w:r>
      <w:r>
        <w:rPr>
          <w:rFonts w:hint="default" w:ascii="Times New Roman" w:hAnsi="Times New Roman" w:cs="Times New Roman" w:eastAsiaTheme="minorEastAsia"/>
          <w:bCs/>
          <w:color w:val="000000" w:themeColor="text1"/>
          <w:highlight w:val="none"/>
          <w14:textFill>
            <w14:solidFill>
              <w14:schemeClr w14:val="tx1"/>
            </w14:solidFill>
          </w14:textFill>
        </w:rPr>
        <w:t>、项目名称申请变更为</w:t>
      </w:r>
      <w:r>
        <w:rPr>
          <w:rFonts w:hint="default" w:ascii="Times New Roman" w:hAnsi="Times New Roman" w:cs="Times New Roman" w:eastAsiaTheme="minorEastAsia"/>
          <w:color w:val="000000" w:themeColor="text1"/>
          <w:highlight w:val="none"/>
          <w14:textFill>
            <w14:solidFill>
              <w14:schemeClr w14:val="tx1"/>
            </w14:solidFill>
          </w14:textFill>
        </w:rPr>
        <w:t>“抚仙湖水环境保护基础调查研究项目”</w:t>
      </w:r>
      <w:r>
        <w:rPr>
          <w:rFonts w:hint="eastAsia" w:cs="Times New Roman" w:eastAsiaTheme="minorEastAsia"/>
          <w:color w:val="000000" w:themeColor="text1"/>
          <w:highlight w:val="none"/>
          <w:lang w:eastAsia="zh-CN"/>
          <w14:textFill>
            <w14:solidFill>
              <w14:schemeClr w14:val="tx1"/>
            </w14:solidFill>
          </w14:textFill>
        </w:rPr>
        <w:t>，</w:t>
      </w:r>
      <w:r>
        <w:rPr>
          <w:rFonts w:hint="eastAsia" w:cs="Times New Roman" w:eastAsiaTheme="minorEastAsia"/>
          <w:color w:val="000000" w:themeColor="text1"/>
          <w:highlight w:val="none"/>
          <w:lang w:val="en-US" w:eastAsia="zh-CN"/>
          <w14:textFill>
            <w14:solidFill>
              <w14:schemeClr w14:val="tx1"/>
            </w14:solidFill>
          </w14:textFill>
        </w:rPr>
        <w:t>项目实施年限改为2023—2025年。</w:t>
      </w:r>
    </w:p>
    <w:p>
      <w:pPr>
        <w:ind w:firstLine="480"/>
        <w:rPr>
          <w:rFonts w:hint="default" w:ascii="Times New Roman" w:hAnsi="Times New Roman" w:cs="Times New Roman" w:eastAsiaTheme="minorEastAsia"/>
          <w:color w:val="000000" w:themeColor="text1"/>
          <w:highlight w:val="none"/>
          <w14:textFill>
            <w14:solidFill>
              <w14:schemeClr w14:val="tx1"/>
            </w14:solidFill>
          </w14:textFill>
        </w:rPr>
      </w:pPr>
      <w:r>
        <w:rPr>
          <w:rFonts w:hint="eastAsia" w:cs="Times New Roman" w:eastAsiaTheme="minorEastAsia"/>
          <w:bCs/>
          <w:color w:val="000000" w:themeColor="text1"/>
          <w:highlight w:val="none"/>
          <w:lang w:val="en-US" w:eastAsia="zh-CN"/>
          <w14:textFill>
            <w14:solidFill>
              <w14:schemeClr w14:val="tx1"/>
            </w14:solidFill>
          </w14:textFill>
        </w:rPr>
        <w:t>四</w:t>
      </w:r>
      <w:r>
        <w:rPr>
          <w:rFonts w:hint="default" w:ascii="Times New Roman" w:hAnsi="Times New Roman" w:cs="Times New Roman" w:eastAsiaTheme="minorEastAsia"/>
          <w:bCs/>
          <w:color w:val="000000" w:themeColor="text1"/>
          <w:highlight w:val="none"/>
          <w14:textFill>
            <w14:solidFill>
              <w14:schemeClr w14:val="tx1"/>
            </w14:solidFill>
          </w14:textFill>
        </w:rPr>
        <w:t>、调整</w:t>
      </w:r>
      <w:r>
        <w:rPr>
          <w:rFonts w:hint="default" w:ascii="Times New Roman" w:hAnsi="Times New Roman" w:cs="Times New Roman" w:eastAsiaTheme="minorEastAsia"/>
          <w:color w:val="000000" w:themeColor="text1"/>
          <w:highlight w:val="none"/>
          <w14:textFill>
            <w14:solidFill>
              <w14:schemeClr w14:val="tx1"/>
            </w14:solidFill>
          </w14:textFill>
        </w:rPr>
        <w:t>项目总投资为738万元，减少投资82万元。</w:t>
      </w: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33" w:name="_Toc26518"/>
      <w:bookmarkStart w:id="534" w:name="_Toc12612"/>
      <w:r>
        <w:rPr>
          <w:rFonts w:hint="default" w:ascii="Times New Roman" w:hAnsi="Times New Roman" w:cs="Times New Roman" w:eastAsiaTheme="minorEastAsia"/>
          <w:b/>
          <w:bCs w:val="0"/>
          <w:color w:val="000000" w:themeColor="text1"/>
          <w:highlight w:val="none"/>
          <w14:textFill>
            <w14:solidFill>
              <w14:schemeClr w14:val="tx1"/>
            </w14:solidFill>
          </w14:textFill>
        </w:rPr>
        <w:t>6.</w:t>
      </w:r>
      <w:r>
        <w:rPr>
          <w:rFonts w:hint="eastAsia" w:ascii="Times New Roman" w:hAnsi="Times New Roman" w:cs="Times New Roman" w:eastAsiaTheme="minorEastAsia"/>
          <w:b/>
          <w:bCs w:val="0"/>
          <w:color w:val="000000" w:themeColor="text1"/>
          <w:highlight w:val="none"/>
          <w:lang w:val="en-US" w:eastAsia="zh-CN"/>
          <w14:textFill>
            <w14:solidFill>
              <w14:schemeClr w14:val="tx1"/>
            </w14:solidFill>
          </w14:textFill>
        </w:rPr>
        <w:t>3</w:t>
      </w:r>
      <w:r>
        <w:rPr>
          <w:rFonts w:hint="default" w:ascii="Times New Roman" w:hAnsi="Times New Roman" w:cs="Times New Roman" w:eastAsiaTheme="minorEastAsia"/>
          <w:b/>
          <w:bCs w:val="0"/>
          <w:color w:val="000000" w:themeColor="text1"/>
          <w:highlight w:val="none"/>
          <w14:textFill>
            <w14:solidFill>
              <w14:schemeClr w14:val="tx1"/>
            </w14:solidFill>
          </w14:textFill>
        </w:rPr>
        <w:t>.</w:t>
      </w:r>
      <w:r>
        <w:rPr>
          <w:rFonts w:hint="eastAsia" w:ascii="Times New Roman" w:hAnsi="Times New Roman" w:cs="Times New Roman" w:eastAsiaTheme="minorEastAsia"/>
          <w:b/>
          <w:bCs w:val="0"/>
          <w:color w:val="000000" w:themeColor="text1"/>
          <w:highlight w:val="none"/>
          <w:lang w:val="en-US" w:eastAsia="zh-CN"/>
          <w14:textFill>
            <w14:solidFill>
              <w14:schemeClr w14:val="tx1"/>
            </w14:solidFill>
          </w14:textFill>
        </w:rPr>
        <w:t>12</w:t>
      </w:r>
      <w:r>
        <w:rPr>
          <w:rFonts w:hint="default" w:ascii="Times New Roman" w:hAnsi="Times New Roman" w:cs="Times New Roman" w:eastAsiaTheme="minorEastAsia"/>
          <w:b/>
          <w:bCs w:val="0"/>
          <w:color w:val="000000" w:themeColor="text1"/>
          <w:highlight w:val="none"/>
          <w14:textFill>
            <w14:solidFill>
              <w14:schemeClr w14:val="tx1"/>
            </w14:solidFill>
          </w14:textFill>
        </w:rPr>
        <w:t>抚仙湖水文监测中心</w:t>
      </w:r>
      <w:bookmarkEnd w:id="533"/>
      <w:bookmarkEnd w:id="534"/>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规划建设地点澄江海口水文中心站。①中心能力建设。②水文站网建设。</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项目责任单位：云南省水文水资源局玉溪分局</w:t>
      </w:r>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该项目规划投资1238万元，截至2023年6月，已到位资金0万元；已完成投资0万元。2022年4月18日湖泊指挥部科技支撑和水质监测监控组和玉溪水文局共同研究三湖水量监测方案。该项目还未启动。</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（3）项目调</w:t>
      </w:r>
      <w:r>
        <w:rPr>
          <w:rFonts w:hint="eastAsia" w:cs="Times New Roman" w:eastAsiaTheme="minorEastAsia"/>
          <w:bCs/>
          <w:color w:val="000000" w:themeColor="text1"/>
          <w:highlight w:val="none"/>
          <w:lang w:eastAsia="zh-CN"/>
          <w14:textFill>
            <w14:solidFill>
              <w14:schemeClr w14:val="tx1"/>
            </w14:solidFill>
          </w14:textFill>
        </w:rPr>
        <w:t>整</w:t>
      </w:r>
      <w:r>
        <w:rPr>
          <w:rFonts w:hint="default" w:ascii="Times New Roman" w:hAnsi="Times New Roman" w:cs="Times New Roman" w:eastAsiaTheme="minorEastAsia"/>
          <w:bCs/>
          <w:color w:val="000000" w:themeColor="text1"/>
          <w:highlight w:val="none"/>
          <w14:textFill>
            <w14:solidFill>
              <w14:schemeClr w14:val="tx1"/>
            </w14:solidFill>
          </w14:textFill>
        </w:rPr>
        <w:t>原因</w:t>
      </w:r>
    </w:p>
    <w:p>
      <w:pPr>
        <w:keepNext w:val="0"/>
        <w:keepLines w:val="0"/>
        <w:widowControl/>
        <w:suppressLineNumbers w:val="0"/>
        <w:ind w:firstLine="480" w:firstLineChars="200"/>
        <w:jc w:val="left"/>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因无资金支持，</w:t>
      </w:r>
      <w:r>
        <w:rPr>
          <w:rFonts w:hint="eastAsia" w:cs="Times New Roman" w:eastAsiaTheme="minorEastAsia"/>
          <w:color w:val="000000" w:themeColor="text1"/>
          <w:highlight w:val="none"/>
          <w:lang w:eastAsia="zh-CN"/>
          <w14:textFill>
            <w14:solidFill>
              <w14:schemeClr w14:val="tx1"/>
            </w14:solidFill>
          </w14:textFill>
        </w:rPr>
        <w:t>项目</w:t>
      </w:r>
      <w:r>
        <w:rPr>
          <w:rFonts w:hint="default" w:ascii="Times New Roman" w:hAnsi="Times New Roman" w:cs="Times New Roman" w:eastAsiaTheme="minorEastAsia"/>
          <w:color w:val="000000" w:themeColor="text1"/>
          <w:highlight w:val="none"/>
          <w14:textFill>
            <w14:solidFill>
              <w14:schemeClr w14:val="tx1"/>
            </w14:solidFill>
          </w14:textFill>
        </w:rPr>
        <w:t>长期无实</w:t>
      </w:r>
      <w:r>
        <w:rPr>
          <w:rFonts w:hint="default" w:ascii="Times New Roman" w:hAnsi="Times New Roman" w:cs="Times New Roman" w:eastAsiaTheme="minorEastAsia"/>
          <w:bCs/>
          <w:color w:val="000000" w:themeColor="text1"/>
          <w:highlight w:val="none"/>
          <w14:textFill>
            <w14:solidFill>
              <w14:schemeClr w14:val="tx1"/>
            </w14:solidFill>
          </w14:textFill>
        </w:rPr>
        <w:t>质性进展</w:t>
      </w:r>
      <w:r>
        <w:rPr>
          <w:rFonts w:hint="eastAsia" w:ascii="Times New Roman" w:hAnsi="Times New Roman" w:cs="Times New Roman" w:eastAsiaTheme="minorEastAsia"/>
          <w:bCs/>
          <w:color w:val="000000" w:themeColor="text1"/>
          <w:highlight w:val="none"/>
          <w:lang w:eastAsia="zh-CN"/>
          <w14:textFill>
            <w14:solidFill>
              <w14:schemeClr w14:val="tx1"/>
            </w14:solidFill>
          </w14:textFill>
        </w:rPr>
        <w:t>。</w:t>
      </w:r>
      <w:r>
        <w:rPr>
          <w:rFonts w:hint="eastAsia" w:cs="Times New Roman" w:eastAsiaTheme="minorEastAsia"/>
          <w:bCs/>
          <w:color w:val="000000" w:themeColor="text1"/>
          <w:highlight w:val="none"/>
          <w:lang w:eastAsia="zh-CN"/>
          <w14:textFill>
            <w14:solidFill>
              <w14:schemeClr w14:val="tx1"/>
            </w14:solidFill>
          </w14:textFill>
        </w:rPr>
        <w:t>依据</w:t>
      </w:r>
      <w:r>
        <w:rPr>
          <w:rFonts w:hint="eastAsia"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云南省“十四五”九大高原湖泊保护治理规划中期评估报告</w:t>
      </w:r>
      <w:r>
        <w:rPr>
          <w:rFonts w:hint="eastAsia" w:cs="Times New Roman" w:eastAsiaTheme="minorEastAsia"/>
          <w:bCs/>
          <w:color w:val="000000" w:themeColor="text1"/>
          <w:highlight w:val="none"/>
          <w:lang w:eastAsia="zh-CN"/>
          <w14:textFill>
            <w14:solidFill>
              <w14:schemeClr w14:val="tx1"/>
            </w14:solidFill>
          </w14:textFill>
        </w:rPr>
        <w:t>》（云水发〔2023〕90号）</w:t>
      </w:r>
      <w:r>
        <w:rPr>
          <w:rFonts w:hint="eastAsia" w:cs="Times New Roman" w:eastAsiaTheme="minorEastAsia"/>
          <w:color w:val="000000" w:themeColor="text1"/>
          <w:highlight w:val="none"/>
          <w:lang w:eastAsia="zh-CN"/>
          <w14:textFill>
            <w14:solidFill>
              <w14:schemeClr w14:val="tx1"/>
            </w14:solidFill>
          </w14:textFill>
        </w:rPr>
        <w:t>列为储备项目。</w:t>
      </w:r>
      <w:r>
        <w:rPr>
          <w:rFonts w:hint="eastAsia" w:cs="Times New Roman" w:eastAsiaTheme="minorEastAsia"/>
          <w:color w:val="000000" w:themeColor="text1"/>
          <w:highlight w:val="none"/>
          <w:lang w:val="en-US" w:eastAsia="zh-CN"/>
          <w14:textFill>
            <w14:solidFill>
              <w14:schemeClr w14:val="tx1"/>
            </w14:solidFill>
          </w14:textFill>
        </w:rPr>
        <w:t>实施年限改为2026—2030年。</w:t>
      </w: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35" w:name="_Toc15290"/>
      <w:r>
        <w:rPr>
          <w:rFonts w:hint="default" w:ascii="Times New Roman" w:hAnsi="Times New Roman" w:cs="Times New Roman" w:eastAsiaTheme="minorEastAsia"/>
          <w:b/>
          <w:bCs w:val="0"/>
          <w:color w:val="000000" w:themeColor="text1"/>
          <w:highlight w:val="none"/>
          <w14:textFill>
            <w14:solidFill>
              <w14:schemeClr w14:val="tx1"/>
            </w14:solidFill>
          </w14:textFill>
        </w:rPr>
        <w:t>6.</w:t>
      </w:r>
      <w:r>
        <w:rPr>
          <w:rFonts w:hint="eastAsia" w:ascii="Times New Roman" w:hAnsi="Times New Roman" w:cs="Times New Roman" w:eastAsiaTheme="minorEastAsia"/>
          <w:b/>
          <w:bCs w:val="0"/>
          <w:color w:val="000000" w:themeColor="text1"/>
          <w:highlight w:val="none"/>
          <w:lang w:val="en-US" w:eastAsia="zh-CN"/>
          <w14:textFill>
            <w14:solidFill>
              <w14:schemeClr w14:val="tx1"/>
            </w14:solidFill>
          </w14:textFill>
        </w:rPr>
        <w:t>3</w:t>
      </w:r>
      <w:r>
        <w:rPr>
          <w:rFonts w:hint="default" w:ascii="Times New Roman" w:hAnsi="Times New Roman" w:cs="Times New Roman" w:eastAsiaTheme="minorEastAsia"/>
          <w:b/>
          <w:bCs w:val="0"/>
          <w:color w:val="000000" w:themeColor="text1"/>
          <w:highlight w:val="none"/>
          <w14:textFill>
            <w14:solidFill>
              <w14:schemeClr w14:val="tx1"/>
            </w14:solidFill>
          </w14:textFill>
        </w:rPr>
        <w:t>.</w:t>
      </w:r>
      <w:r>
        <w:rPr>
          <w:rFonts w:hint="eastAsia" w:ascii="Times New Roman" w:hAnsi="Times New Roman" w:cs="Times New Roman" w:eastAsiaTheme="minorEastAsia"/>
          <w:b/>
          <w:bCs w:val="0"/>
          <w:color w:val="000000" w:themeColor="text1"/>
          <w:highlight w:val="none"/>
          <w:lang w:val="en-US" w:eastAsia="zh-CN"/>
          <w14:textFill>
            <w14:solidFill>
              <w14:schemeClr w14:val="tx1"/>
            </w14:solidFill>
          </w14:textFill>
        </w:rPr>
        <w:t>13</w:t>
      </w:r>
      <w:r>
        <w:rPr>
          <w:rFonts w:hint="default" w:ascii="Times New Roman" w:hAnsi="Times New Roman" w:cs="Times New Roman" w:eastAsiaTheme="minorEastAsia"/>
          <w:b/>
          <w:bCs w:val="0"/>
          <w:color w:val="000000" w:themeColor="text1"/>
          <w:highlight w:val="none"/>
          <w14:textFill>
            <w14:solidFill>
              <w14:schemeClr w14:val="tx1"/>
            </w14:solidFill>
          </w14:textFill>
        </w:rPr>
        <w:t>三湖流域水环境保护数字化监管系统建设</w:t>
      </w:r>
      <w:bookmarkEnd w:id="535"/>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搭建数据采集、支撑服务及应用平台；建设基础数据库、时空数据库、监测数据库等7类数据库，同时布设视频监控、气象水文等感知设备；新建澄江、江川、通海湖泊指挥调度中心。</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2021—2025年</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项目责任单位：玉溪市委网信办</w:t>
      </w:r>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该项目规划投资5000万元，截至2023年6月，已到位资金0万元；已完成投资0万元。目前该项目还未启动</w:t>
      </w:r>
      <w:r>
        <w:rPr>
          <w:rFonts w:hint="default" w:ascii="Times New Roman" w:hAnsi="Times New Roman" w:cs="Times New Roman" w:eastAsiaTheme="minorEastAsia"/>
          <w:color w:val="000000" w:themeColor="text1"/>
          <w:highlight w:val="none"/>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项目进展不符合规划进度要求，严重滞后。</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（3）项目调</w:t>
      </w:r>
      <w:r>
        <w:rPr>
          <w:rFonts w:hint="eastAsia" w:cs="Times New Roman" w:eastAsiaTheme="minorEastAsia"/>
          <w:bCs/>
          <w:color w:val="000000" w:themeColor="text1"/>
          <w:highlight w:val="none"/>
          <w:lang w:val="en-US" w:eastAsia="zh-CN"/>
          <w14:textFill>
            <w14:solidFill>
              <w14:schemeClr w14:val="tx1"/>
            </w14:solidFill>
          </w14:textFill>
        </w:rPr>
        <w:t>整</w:t>
      </w:r>
      <w:r>
        <w:rPr>
          <w:rFonts w:hint="default" w:ascii="Times New Roman" w:hAnsi="Times New Roman" w:cs="Times New Roman" w:eastAsiaTheme="minorEastAsia"/>
          <w:bCs/>
          <w:color w:val="000000" w:themeColor="text1"/>
          <w:highlight w:val="none"/>
          <w14:textFill>
            <w14:solidFill>
              <w14:schemeClr w14:val="tx1"/>
            </w14:solidFill>
          </w14:textFill>
        </w:rPr>
        <w:t>原因</w:t>
      </w:r>
    </w:p>
    <w:p>
      <w:pPr>
        <w:keepNext w:val="0"/>
        <w:keepLines w:val="0"/>
        <w:widowControl/>
        <w:suppressLineNumbers w:val="0"/>
        <w:ind w:firstLine="480" w:firstLineChars="200"/>
        <w:jc w:val="left"/>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因无资金支持，</w:t>
      </w:r>
      <w:r>
        <w:rPr>
          <w:rFonts w:hint="eastAsia" w:cs="Times New Roman" w:eastAsiaTheme="minorEastAsia"/>
          <w:color w:val="000000" w:themeColor="text1"/>
          <w:highlight w:val="none"/>
          <w:lang w:eastAsia="zh-CN"/>
          <w14:textFill>
            <w14:solidFill>
              <w14:schemeClr w14:val="tx1"/>
            </w14:solidFill>
          </w14:textFill>
        </w:rPr>
        <w:t>项目</w:t>
      </w:r>
      <w:r>
        <w:rPr>
          <w:rFonts w:hint="default" w:ascii="Times New Roman" w:hAnsi="Times New Roman" w:cs="Times New Roman" w:eastAsiaTheme="minorEastAsia"/>
          <w:color w:val="000000" w:themeColor="text1"/>
          <w:highlight w:val="none"/>
          <w14:textFill>
            <w14:solidFill>
              <w14:schemeClr w14:val="tx1"/>
            </w14:solidFill>
          </w14:textFill>
        </w:rPr>
        <w:t>长期无实</w:t>
      </w:r>
      <w:r>
        <w:rPr>
          <w:rFonts w:hint="default" w:ascii="Times New Roman" w:hAnsi="Times New Roman" w:cs="Times New Roman" w:eastAsiaTheme="minorEastAsia"/>
          <w:bCs/>
          <w:color w:val="000000" w:themeColor="text1"/>
          <w:highlight w:val="none"/>
          <w14:textFill>
            <w14:solidFill>
              <w14:schemeClr w14:val="tx1"/>
            </w14:solidFill>
          </w14:textFill>
        </w:rPr>
        <w:t>质性进展</w:t>
      </w:r>
      <w:r>
        <w:rPr>
          <w:rFonts w:hint="eastAsia" w:ascii="Times New Roman" w:hAnsi="Times New Roman" w:cs="Times New Roman" w:eastAsiaTheme="minorEastAsia"/>
          <w:bCs/>
          <w:color w:val="000000" w:themeColor="text1"/>
          <w:highlight w:val="none"/>
          <w:lang w:eastAsia="zh-CN"/>
          <w14:textFill>
            <w14:solidFill>
              <w14:schemeClr w14:val="tx1"/>
            </w14:solidFill>
          </w14:textFill>
        </w:rPr>
        <w:t>。</w:t>
      </w:r>
      <w:r>
        <w:rPr>
          <w:rFonts w:hint="eastAsia" w:cs="Times New Roman" w:eastAsiaTheme="minorEastAsia"/>
          <w:bCs/>
          <w:color w:val="000000" w:themeColor="text1"/>
          <w:highlight w:val="none"/>
          <w:lang w:eastAsia="zh-CN"/>
          <w14:textFill>
            <w14:solidFill>
              <w14:schemeClr w14:val="tx1"/>
            </w14:solidFill>
          </w14:textFill>
        </w:rPr>
        <w:t>依据</w:t>
      </w:r>
      <w:r>
        <w:rPr>
          <w:rFonts w:hint="eastAsia"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云南省“十四五”九大高原湖泊保护治理规划中期评估报告</w:t>
      </w:r>
      <w:r>
        <w:rPr>
          <w:rFonts w:hint="eastAsia" w:cs="Times New Roman" w:eastAsiaTheme="minorEastAsia"/>
          <w:bCs/>
          <w:color w:val="000000" w:themeColor="text1"/>
          <w:highlight w:val="none"/>
          <w:lang w:eastAsia="zh-CN"/>
          <w14:textFill>
            <w14:solidFill>
              <w14:schemeClr w14:val="tx1"/>
            </w14:solidFill>
          </w14:textFill>
        </w:rPr>
        <w:t>》（云水发〔2023〕90号）</w:t>
      </w:r>
      <w:r>
        <w:rPr>
          <w:rFonts w:hint="eastAsia" w:cs="Times New Roman" w:eastAsiaTheme="minorEastAsia"/>
          <w:color w:val="000000" w:themeColor="text1"/>
          <w:highlight w:val="none"/>
          <w:lang w:eastAsia="zh-CN"/>
          <w14:textFill>
            <w14:solidFill>
              <w14:schemeClr w14:val="tx1"/>
            </w14:solidFill>
          </w14:textFill>
        </w:rPr>
        <w:t>列为储备项目。</w:t>
      </w:r>
      <w:r>
        <w:rPr>
          <w:rFonts w:hint="eastAsia" w:cs="Times New Roman" w:eastAsiaTheme="minorEastAsia"/>
          <w:color w:val="000000" w:themeColor="text1"/>
          <w:highlight w:val="none"/>
          <w:lang w:val="en-US" w:eastAsia="zh-CN"/>
          <w14:textFill>
            <w14:solidFill>
              <w14:schemeClr w14:val="tx1"/>
            </w14:solidFill>
          </w14:textFill>
        </w:rPr>
        <w:t>实施年限改为2026—2030年。</w:t>
      </w:r>
    </w:p>
    <w:p>
      <w:pPr>
        <w:pStyle w:val="4"/>
        <w:spacing w:before="120" w:after="120" w:line="480" w:lineRule="auto"/>
        <w:ind w:firstLine="321" w:firstLineChars="100"/>
        <w:rPr>
          <w:rFonts w:hint="default" w:ascii="Times New Roman" w:hAnsi="Times New Roman" w:cs="Times New Roman" w:eastAsiaTheme="minorEastAsia"/>
          <w:color w:val="000000" w:themeColor="text1"/>
          <w:highlight w:val="none"/>
          <w14:textFill>
            <w14:solidFill>
              <w14:schemeClr w14:val="tx1"/>
            </w14:solidFill>
          </w14:textFill>
        </w:rPr>
      </w:pPr>
      <w:bookmarkStart w:id="536" w:name="_Toc17358"/>
      <w:r>
        <w:rPr>
          <w:rFonts w:hint="default" w:ascii="Times New Roman" w:hAnsi="Times New Roman" w:cs="Times New Roman" w:eastAsiaTheme="minorEastAsia"/>
          <w:color w:val="000000" w:themeColor="text1"/>
          <w:highlight w:val="none"/>
          <w14:textFill>
            <w14:solidFill>
              <w14:schemeClr w14:val="tx1"/>
            </w14:solidFill>
          </w14:textFill>
        </w:rPr>
        <w:t>6.4调增项目建议</w:t>
      </w:r>
      <w:bookmarkEnd w:id="536"/>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“十四五”期间，为了更好的补充规划项目的不足，有9个项目也在进行中，因此申请增加如下项目：</w:t>
      </w:r>
      <w:r>
        <w:rPr>
          <w:rFonts w:hint="default" w:ascii="Times New Roman" w:hAnsi="Times New Roman" w:cs="Times New Roman" w:eastAsiaTheme="minorEastAsia"/>
          <w:color w:val="000000" w:themeColor="text1"/>
          <w:highlight w:val="none"/>
          <w14:textFill>
            <w14:solidFill>
              <w14:schemeClr w14:val="tx1"/>
            </w14:solidFill>
          </w14:textFill>
        </w:rPr>
        <w:t>澄江市梁王河沙坝生态清洁小流域综合治理工程、澄江市龙街街道禄充片区农村生活污水治理提升工程、澄江市化肥、农药减量增效项目、澄江市2023年地膜科学使用试点整县推进项目、抚仙湖流域生态产品价值核算和探索实践项目、滇中引水二期配套工程-澄江干线、抚仙湖取水替代工程、抚仙湖九龙晟景搬迁安置工程、抚仙湖流域水资源量变化成因与对策研究</w:t>
      </w:r>
      <w:r>
        <w:rPr>
          <w:rFonts w:hint="eastAsia" w:cs="Times New Roman" w:eastAsiaTheme="minorEastAsia"/>
          <w:color w:val="000000" w:themeColor="text1"/>
          <w:highlight w:val="none"/>
          <w:lang w:eastAsia="zh-CN"/>
          <w14:textFill>
            <w14:solidFill>
              <w14:schemeClr w14:val="tx1"/>
            </w14:solidFill>
          </w14:textFill>
        </w:rPr>
        <w:t>。</w:t>
      </w:r>
      <w:r>
        <w:rPr>
          <w:rFonts w:hint="eastAsia" w:cs="Times New Roman" w:eastAsiaTheme="minorEastAsia"/>
          <w:bCs/>
          <w:color w:val="000000" w:themeColor="text1"/>
          <w:highlight w:val="none"/>
          <w:lang w:eastAsia="zh-CN"/>
          <w14:textFill>
            <w14:solidFill>
              <w14:schemeClr w14:val="tx1"/>
            </w14:solidFill>
          </w14:textFill>
        </w:rPr>
        <w:t>依据</w:t>
      </w:r>
      <w:r>
        <w:rPr>
          <w:rFonts w:hint="eastAsia"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云南省“十四五”九大高原湖泊保护治理规划中期评估报告</w:t>
      </w:r>
      <w:r>
        <w:rPr>
          <w:rFonts w:hint="eastAsia" w:cs="Times New Roman" w:eastAsiaTheme="minorEastAsia"/>
          <w:bCs/>
          <w:color w:val="000000" w:themeColor="text1"/>
          <w:highlight w:val="none"/>
          <w:lang w:eastAsia="zh-CN"/>
          <w14:textFill>
            <w14:solidFill>
              <w14:schemeClr w14:val="tx1"/>
            </w14:solidFill>
          </w14:textFill>
        </w:rPr>
        <w:t>》（云水发〔2023〕90号）</w:t>
      </w:r>
      <w:r>
        <w:rPr>
          <w:rFonts w:hint="eastAsia" w:cs="Times New Roman" w:eastAsiaTheme="minorEastAsia"/>
          <w:color w:val="000000" w:themeColor="text1"/>
          <w:highlight w:val="none"/>
          <w:lang w:eastAsia="zh-CN"/>
          <w14:textFill>
            <w14:solidFill>
              <w14:schemeClr w14:val="tx1"/>
            </w14:solidFill>
          </w14:textFill>
        </w:rPr>
        <w:t>有</w:t>
      </w:r>
      <w:r>
        <w:rPr>
          <w:rFonts w:hint="eastAsia" w:cs="Times New Roman" w:eastAsiaTheme="minorEastAsia"/>
          <w:color w:val="000000" w:themeColor="text1"/>
          <w:highlight w:val="none"/>
          <w:lang w:val="en-US" w:eastAsia="zh-CN"/>
          <w14:textFill>
            <w14:solidFill>
              <w14:schemeClr w14:val="tx1"/>
            </w14:solidFill>
          </w14:textFill>
        </w:rPr>
        <w:t>2个项目需要增加，分别是</w:t>
      </w:r>
      <w:r>
        <w:rPr>
          <w:rFonts w:hint="default" w:ascii="Times New Roman" w:hAnsi="Times New Roman" w:cs="Times New Roman" w:eastAsiaTheme="minorEastAsia"/>
          <w:b w:val="0"/>
          <w:color w:val="000000" w:themeColor="text1"/>
          <w:highlight w:val="none"/>
          <w14:textFill>
            <w14:solidFill>
              <w14:schemeClr w14:val="tx1"/>
            </w14:solidFill>
          </w14:textFill>
        </w:rPr>
        <w:t>澄江市大箐沟山洪沟治理工程</w:t>
      </w:r>
      <w:r>
        <w:rPr>
          <w:rFonts w:hint="eastAsia" w:cs="Times New Roman" w:eastAsiaTheme="minorEastAsia"/>
          <w:b w:val="0"/>
          <w:color w:val="000000" w:themeColor="text1"/>
          <w:highlight w:val="none"/>
          <w:lang w:eastAsia="zh-CN"/>
          <w14:textFill>
            <w14:solidFill>
              <w14:schemeClr w14:val="tx1"/>
            </w14:solidFill>
          </w14:textFill>
        </w:rPr>
        <w:t>和</w:t>
      </w:r>
      <w:r>
        <w:rPr>
          <w:rFonts w:hint="default" w:ascii="Times New Roman" w:hAnsi="Times New Roman" w:cs="Times New Roman" w:eastAsiaTheme="minorEastAsia"/>
          <w:b w:val="0"/>
          <w:color w:val="000000" w:themeColor="text1"/>
          <w:highlight w:val="none"/>
          <w14:textFill>
            <w14:solidFill>
              <w14:schemeClr w14:val="tx1"/>
            </w14:solidFill>
          </w14:textFill>
        </w:rPr>
        <w:t>玉溪市滇中山地石漠化项目（澄江）</w:t>
      </w:r>
      <w:r>
        <w:rPr>
          <w:rFonts w:hint="eastAsia" w:cs="Times New Roman" w:eastAsiaTheme="minorEastAsia"/>
          <w:b w:val="0"/>
          <w:color w:val="000000" w:themeColor="text1"/>
          <w:highlight w:val="none"/>
          <w:lang w:eastAsia="zh-CN"/>
          <w14:textFill>
            <w14:solidFill>
              <w14:schemeClr w14:val="tx1"/>
            </w14:solidFill>
          </w14:textFill>
        </w:rPr>
        <w:t>。</w:t>
      </w:r>
      <w:r>
        <w:rPr>
          <w:rFonts w:hint="eastAsia" w:cs="Times New Roman" w:eastAsiaTheme="minorEastAsia"/>
          <w:color w:val="000000" w:themeColor="text1"/>
          <w:highlight w:val="none"/>
          <w:lang w:eastAsia="zh-CN"/>
          <w14:textFill>
            <w14:solidFill>
              <w14:schemeClr w14:val="tx1"/>
            </w14:solidFill>
          </w14:textFill>
        </w:rPr>
        <w:t>新增的项目共计</w:t>
      </w:r>
      <w:r>
        <w:rPr>
          <w:rFonts w:hint="eastAsia" w:cs="Times New Roman" w:eastAsiaTheme="minorEastAsia"/>
          <w:color w:val="000000" w:themeColor="text1"/>
          <w:highlight w:val="none"/>
          <w:lang w:val="en-US" w:eastAsia="zh-CN"/>
          <w14:textFill>
            <w14:solidFill>
              <w14:schemeClr w14:val="tx1"/>
            </w14:solidFill>
          </w14:textFill>
        </w:rPr>
        <w:t>11个，</w:t>
      </w:r>
      <w:r>
        <w:rPr>
          <w:rFonts w:hint="default" w:ascii="Times New Roman" w:hAnsi="Times New Roman" w:cs="Times New Roman" w:eastAsiaTheme="minorEastAsia"/>
          <w:color w:val="000000" w:themeColor="text1"/>
          <w:highlight w:val="none"/>
          <w14:textFill>
            <w14:solidFill>
              <w14:schemeClr w14:val="tx1"/>
            </w14:solidFill>
          </w14:textFill>
        </w:rPr>
        <w:t>规划投资</w:t>
      </w:r>
      <w:r>
        <w:rPr>
          <w:rFonts w:hint="eastAsia" w:cs="Times New Roman" w:eastAsiaTheme="minorEastAsia"/>
          <w:bCs/>
          <w:color w:val="000000" w:themeColor="text1"/>
          <w:highlight w:val="none"/>
          <w:lang w:val="en-US" w:eastAsia="zh-CN"/>
          <w14:textFill>
            <w14:solidFill>
              <w14:schemeClr w14:val="tx1"/>
            </w14:solidFill>
          </w14:textFill>
        </w:rPr>
        <w:t>120876.88</w:t>
      </w:r>
      <w:r>
        <w:rPr>
          <w:rFonts w:hint="default" w:ascii="Times New Roman" w:hAnsi="Times New Roman" w:cs="Times New Roman" w:eastAsiaTheme="minorEastAsia"/>
          <w:bCs/>
          <w:color w:val="000000" w:themeColor="text1"/>
          <w:highlight w:val="none"/>
          <w14:textFill>
            <w14:solidFill>
              <w14:schemeClr w14:val="tx1"/>
            </w14:solidFill>
          </w14:textFill>
        </w:rPr>
        <w:t>万元。</w:t>
      </w:r>
    </w:p>
    <w:p>
      <w:pPr>
        <w:jc w:val="center"/>
        <w:rPr>
          <w:rFonts w:hint="default" w:ascii="Times New Roman" w:hAnsi="Times New Roman" w:cs="Times New Roman" w:eastAsiaTheme="minorEastAsia"/>
          <w:b/>
          <w:bCs w:val="0"/>
          <w:color w:val="000000" w:themeColor="text1"/>
          <w:sz w:val="18"/>
          <w:szCs w:val="18"/>
          <w:highlight w:val="none"/>
          <w:u w:val="none"/>
          <w:lang w:val="en-US" w:eastAsia="zh-CN"/>
          <w14:textFill>
            <w14:solidFill>
              <w14:schemeClr w14:val="tx1"/>
            </w14:solidFill>
          </w14:textFill>
        </w:rPr>
      </w:pPr>
      <w:r>
        <w:rPr>
          <w:rFonts w:hint="eastAsia" w:cs="Times New Roman" w:eastAsiaTheme="minorEastAsia"/>
          <w:b/>
          <w:bCs w:val="0"/>
          <w:color w:val="000000" w:themeColor="text1"/>
          <w:sz w:val="18"/>
          <w:szCs w:val="18"/>
          <w:highlight w:val="none"/>
          <w:u w:val="none"/>
          <w:lang w:val="en-US" w:eastAsia="zh-CN"/>
          <w14:textFill>
            <w14:solidFill>
              <w14:schemeClr w14:val="tx1"/>
            </w14:solidFill>
          </w14:textFill>
        </w:rPr>
        <w:t>表6.4-1抚仙湖“十四五”调增项目表</w:t>
      </w:r>
    </w:p>
    <w:tbl>
      <w:tblPr>
        <w:tblStyle w:val="17"/>
        <w:tblW w:w="76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7"/>
        <w:gridCol w:w="69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序号</w:t>
            </w:r>
          </w:p>
        </w:tc>
        <w:tc>
          <w:tcPr>
            <w:tcW w:w="6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6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澄江市梁王河沙坝生态清洁小流域综合治理工程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6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澄江市禄充片区农村生活污水治理提升工程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6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澄江市化肥、农药减量增效项目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6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澄江市2023年地膜科学使用试点整县推进项目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6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抚仙湖流域生态产品价值核算和探索实践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6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抚仙湖取水替代工程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w:t>
            </w:r>
          </w:p>
        </w:tc>
        <w:tc>
          <w:tcPr>
            <w:tcW w:w="6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滇中引水二期配套工程-澄江干线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w:t>
            </w:r>
          </w:p>
        </w:tc>
        <w:tc>
          <w:tcPr>
            <w:tcW w:w="6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抚仙湖九龙晟景搬迁安置工程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w:t>
            </w:r>
          </w:p>
        </w:tc>
        <w:tc>
          <w:tcPr>
            <w:tcW w:w="6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抚仙湖流域水资源量变化成因与对策研究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6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澄江市大箐沟山洪沟治理工程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w:t>
            </w:r>
          </w:p>
        </w:tc>
        <w:tc>
          <w:tcPr>
            <w:tcW w:w="6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玉溪市滇中山地石漠化项目（澄江）</w:t>
            </w:r>
          </w:p>
        </w:tc>
      </w:tr>
    </w:tbl>
    <w:p>
      <w:pP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pP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37" w:name="_Toc1374"/>
      <w:bookmarkStart w:id="538" w:name="_Toc22163"/>
      <w:r>
        <w:rPr>
          <w:rFonts w:hint="default" w:ascii="Times New Roman" w:hAnsi="Times New Roman" w:cs="Times New Roman" w:eastAsiaTheme="minorEastAsia"/>
          <w:b/>
          <w:bCs w:val="0"/>
          <w:color w:val="000000" w:themeColor="text1"/>
          <w:highlight w:val="none"/>
          <w14:textFill>
            <w14:solidFill>
              <w14:schemeClr w14:val="tx1"/>
            </w14:solidFill>
          </w14:textFill>
        </w:rPr>
        <w:t>6.4.1澄江市梁王河沙坝生态清洁小流域综合治理工程</w:t>
      </w:r>
      <w:bookmarkEnd w:id="537"/>
      <w:bookmarkEnd w:id="538"/>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治理约30.5～33平方公里的水土流失面积。主要实施种植水土保持林和栽植经果林、田间道路工程、谷坊及拦沙坝建设、封禁治理，补植补种、保护性耕作、村落卫生环境整治、沿线建设水土保持科普长廊等内容。</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2023—2025年</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项目责任单位：澄江市水利局</w:t>
      </w:r>
    </w:p>
    <w:p>
      <w:pPr>
        <w:numPr>
          <w:ilvl w:val="0"/>
          <w:numId w:val="18"/>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该项目规划投资1750万元，批复投资1750万元。</w:t>
      </w:r>
      <w:r>
        <w:rPr>
          <w:rFonts w:hint="default" w:ascii="Times New Roman" w:hAnsi="Times New Roman" w:cs="Times New Roman" w:eastAsiaTheme="minorEastAsia"/>
          <w:color w:val="000000" w:themeColor="text1"/>
          <w:highlight w:val="none"/>
          <w14:textFill>
            <w14:solidFill>
              <w14:schemeClr w14:val="tx1"/>
            </w14:solidFill>
          </w14:textFill>
        </w:rPr>
        <w:t>目前该项目正在开展前期工作，预计在“十四五”期间可以完成。</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（3）项目调增原因</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该项目已向水利部水保司备案，争取中央水利专项资金，作为生态清洁小流域试点，争取申报2024年全国生态清洁小流域示范项目。云南省2023年重点推进小流域综合治理提质增效项目。</w:t>
      </w: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39" w:name="_Toc695"/>
      <w:bookmarkStart w:id="540" w:name="_Toc15512"/>
      <w:r>
        <w:rPr>
          <w:rFonts w:hint="default" w:ascii="Times New Roman" w:hAnsi="Times New Roman" w:cs="Times New Roman" w:eastAsiaTheme="minorEastAsia"/>
          <w:b/>
          <w:bCs w:val="0"/>
          <w:color w:val="000000" w:themeColor="text1"/>
          <w:highlight w:val="none"/>
          <w14:textFill>
            <w14:solidFill>
              <w14:schemeClr w14:val="tx1"/>
            </w14:solidFill>
          </w14:textFill>
        </w:rPr>
        <w:t>6.4.2澄江市禄充片区农村生活污水治理提升工程</w:t>
      </w:r>
      <w:bookmarkEnd w:id="539"/>
      <w:bookmarkEnd w:id="540"/>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规划实施禄充片区农村生活污水和用水管网改造：主要改造污水主管网10406米，检查井578座，雨水主管网12564米，检查井698座；改建给水主管网11122米，检查井300座。</w:t>
      </w:r>
    </w:p>
    <w:p>
      <w:pPr>
        <w:ind w:left="480" w:leftChars="200"/>
        <w:rPr>
          <w:rFonts w:hint="eastAsia" w:ascii="Times New Roman" w:hAnsi="Times New Roman" w:cs="Times New Roman" w:eastAsiaTheme="minorEastAsia"/>
          <w:bCs/>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w:t>
      </w:r>
      <w:r>
        <w:rPr>
          <w:rFonts w:hint="eastAsia" w:cs="Times New Roman" w:eastAsiaTheme="minorEastAsia"/>
          <w:bCs/>
          <w:color w:val="000000" w:themeColor="text1"/>
          <w:highlight w:val="none"/>
          <w:lang w:val="en-US" w:eastAsia="zh-CN"/>
          <w14:textFill>
            <w14:solidFill>
              <w14:schemeClr w14:val="tx1"/>
            </w14:solidFill>
          </w14:textFill>
        </w:rPr>
        <w:t>4—2025</w:t>
      </w:r>
      <w:r>
        <w:rPr>
          <w:rFonts w:hint="default" w:ascii="Times New Roman" w:hAnsi="Times New Roman" w:cs="Times New Roman" w:eastAsiaTheme="minorEastAsia"/>
          <w:bCs/>
          <w:color w:val="000000" w:themeColor="text1"/>
          <w:highlight w:val="none"/>
          <w14:textFill>
            <w14:solidFill>
              <w14:schemeClr w14:val="tx1"/>
            </w14:solidFill>
          </w14:textFill>
        </w:rPr>
        <w:t>年</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项目责任单位：澄江市龙街街道</w:t>
      </w:r>
    </w:p>
    <w:p>
      <w:pPr>
        <w:numPr>
          <w:ilvl w:val="0"/>
          <w:numId w:val="19"/>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该项目规划投资4850.88万元。</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（3）项目调增原因</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澄江市禄充片区基础设施尚未健全，片区内居民的生活污水存在雨污合流的情况，雨季部分时段产生溢流，给抚仙湖水体环境质量带来了一定的负面影响；随着禄充片区的建设和旅游也的不断发展，早期建设的给水管网已不能满足供水需求，及管网老旧严重。因此，澄江市禄充片区污水治理提升工程，解决片区污水排放对环境造成污染、水资源的合理利用成为镇党委、政府关注的焦点，同时也成为水资源保护的重大举措之一。</w:t>
      </w: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41" w:name="_Toc29307"/>
      <w:bookmarkStart w:id="542" w:name="_Toc5697"/>
      <w:r>
        <w:rPr>
          <w:rFonts w:hint="default" w:ascii="Times New Roman" w:hAnsi="Times New Roman" w:cs="Times New Roman" w:eastAsiaTheme="minorEastAsia"/>
          <w:b/>
          <w:bCs w:val="0"/>
          <w:color w:val="000000" w:themeColor="text1"/>
          <w:highlight w:val="none"/>
          <w14:textFill>
            <w14:solidFill>
              <w14:schemeClr w14:val="tx1"/>
            </w14:solidFill>
          </w14:textFill>
        </w:rPr>
        <w:t>6.4.3澄江市化肥、农药减量增效项目</w:t>
      </w:r>
      <w:bookmarkEnd w:id="541"/>
      <w:bookmarkEnd w:id="542"/>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规划在抚仙湖流域内建设集成实施种植结构调整、“三新”集成技术、有机肥替代部分化肥、病虫害绿色防控示范和稻谷绿色高质高效等绿色农业技术措施的示范区。</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2023—2024年</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项目责任单位：澄江市农业农村局</w:t>
      </w:r>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该项目规划投资530万元。</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（3）项目调增原因</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《玉溪市财政局玉溪市农业农村局关于下达2023年省级农业发展专项资金的通知》玉财农</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2023</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24号，2023年已下达澄江市化肥农药减量资金530万元。</w:t>
      </w: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43" w:name="_Toc6764"/>
      <w:bookmarkStart w:id="544" w:name="_Toc979"/>
      <w:r>
        <w:rPr>
          <w:rFonts w:hint="default" w:ascii="Times New Roman" w:hAnsi="Times New Roman" w:cs="Times New Roman" w:eastAsiaTheme="minorEastAsia"/>
          <w:b/>
          <w:bCs w:val="0"/>
          <w:color w:val="000000" w:themeColor="text1"/>
          <w:highlight w:val="none"/>
          <w14:textFill>
            <w14:solidFill>
              <w14:schemeClr w14:val="tx1"/>
            </w14:solidFill>
          </w14:textFill>
        </w:rPr>
        <w:t>6.4.4澄江市2023年地膜科学使用试点整县推进项目</w:t>
      </w:r>
      <w:bookmarkEnd w:id="543"/>
      <w:bookmarkEnd w:id="544"/>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规划推广加厚高强度地膜5万亩；推广全生物降解地膜1万亩；建立农膜回收体系。</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2023—2024年</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项目责任单位：澄江市农业农村局</w:t>
      </w:r>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该项目规划投资156万元。</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（3）项目调增原因</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该项目为玉溪市农业农村局统一上报项目，省农业农村厅已支持。</w:t>
      </w: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45" w:name="_Toc8642"/>
      <w:bookmarkStart w:id="546" w:name="_Toc376"/>
      <w:r>
        <w:rPr>
          <w:rFonts w:hint="default" w:ascii="Times New Roman" w:hAnsi="Times New Roman" w:cs="Times New Roman" w:eastAsiaTheme="minorEastAsia"/>
          <w:b/>
          <w:bCs w:val="0"/>
          <w:color w:val="000000" w:themeColor="text1"/>
          <w:highlight w:val="none"/>
          <w14:textFill>
            <w14:solidFill>
              <w14:schemeClr w14:val="tx1"/>
            </w14:solidFill>
          </w14:textFill>
        </w:rPr>
        <w:t>6.4.5抚仙湖流域生态产品价值核算和探索实践</w:t>
      </w:r>
      <w:bookmarkEnd w:id="545"/>
      <w:bookmarkEnd w:id="546"/>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为落实《云南省九大高原湖泊流域生态产品价值核算工作方案》的目标任务要求。基于省级构建的九大高原湖泊生态产品价值核算体系，紧密结合抚仙湖流域的自然条件、社会经济发展的特点，按流域的生态系统类型对生态产品进行分类和调查，摸清流域各类生态产品数量、质量、功能等底数，形成流域生态产品目录清单。开展重要数据的现场监测与调查，按照核算体系，进行实物量和价值量核算，汇总得到流域生态产品价值，形成流域生态产品价值核算成果报告。结合抚仙湖流域的特点，有针对性地提出流域生态产品价值核算结果应用建议方案，为下一步在抚仙湖流域推广应用生态产品价值核算结果奠定基础，为抚仙湖流域进一步开展生态产品价值实现和转化提供指导。</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2022—2023年</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项目责任单位：玉溪市湖泊管理局</w:t>
      </w:r>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（2）项目实施情况</w:t>
      </w:r>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该项目规划投资250万元，批复投资250万元。</w:t>
      </w:r>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（3）项目调增原因</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按照国家、省关于《关于建立健全生态产品价值实现机制的意见》等文件要求，推进九湖流域生态产品价值实现机制试点和生态产品价值（GEP）核算工作。在《2022年云南省环保专项资金（省对下）项目申报指南》中，明确将九大高原湖泊流域GEP核算研究与探索实践作为项目编报重点内容，支持范围包括：（1）九湖流域GEP核算。支持开展九湖所在地的昆明市、玉溪市、丽江市、红河州、大理州开展九湖流域GEP核算，调查九湖流域生态产品基础信息，形成生态产品目录清单，支持九湖流域开展生态产品实物量调查评估和价值量核算研究。（2）GEP核算业务化和成果运用实践。支持上述地区，进一步结合GEP核算专业化和业务化需求，建设与国民经济核算相协调GEP核算统计报表体系，实施GEP业务化核算，建设业务化核算系统与管理平台，并开展GEP算结果与生态环境综合政策衔接的探索实践。</w:t>
      </w: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47" w:name="_Toc13940"/>
      <w:r>
        <w:rPr>
          <w:rFonts w:hint="default" w:ascii="Times New Roman" w:hAnsi="Times New Roman" w:cs="Times New Roman" w:eastAsiaTheme="minorEastAsia"/>
          <w:b/>
          <w:bCs w:val="0"/>
          <w:color w:val="000000" w:themeColor="text1"/>
          <w:highlight w:val="none"/>
          <w14:textFill>
            <w14:solidFill>
              <w14:schemeClr w14:val="tx1"/>
            </w14:solidFill>
          </w14:textFill>
        </w:rPr>
        <w:t>6.4.6抚仙湖取水替代工程</w:t>
      </w:r>
      <w:bookmarkEnd w:id="547"/>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子项目①抚仙湖东南、西岸配水管网工程：本项目主要将路居水厂管网延伸至隔河村、海门村、孤山村委会、江城镇区域、李家营、牛摩村、翠峰村、明星村，实现抚仙湖东南、西岸供水替代。</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子项目②甸垛水厂及配水管网工程：供水规模2.0万立方米/天。供水范围涉及澄江市太阳山片区，澄江市小湾、吉花、海口、新村、松园、永和、海镜以及海关社区共计8个行政村48个村小组的生产生活用水替代。工程由提水工程部分和水厂及配水管网部分组成，主要工程内容为由挡水坝、引水管道、提水泵站及管理用房、提水管道、一座7500m</w:t>
      </w:r>
      <w:r>
        <w:rPr>
          <w:rFonts w:hint="default" w:ascii="Times New Roman" w:hAnsi="Times New Roman" w:cs="Times New Roman" w:eastAsiaTheme="minorEastAsia"/>
          <w:bCs/>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高位水池、两座5000m</w:t>
      </w:r>
      <w:r>
        <w:rPr>
          <w:rFonts w:hint="default" w:ascii="Times New Roman" w:hAnsi="Times New Roman" w:cs="Times New Roman" w:eastAsiaTheme="minorEastAsia"/>
          <w:bCs/>
          <w:color w:val="000000" w:themeColor="text1"/>
          <w:highlight w:val="none"/>
          <w:vertAlign w:val="superscript"/>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清水池、输水管线、办公生活用房、20.798km配水管网等。</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2022-2025年</w:t>
      </w:r>
    </w:p>
    <w:p>
      <w:pPr>
        <w:ind w:left="480" w:left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项目责任单位：玉溪市抚仙湖保护开发投资有限责任公司、玉溪市水利局</w:t>
      </w:r>
    </w:p>
    <w:p>
      <w:pPr>
        <w:numPr>
          <w:ilvl w:val="0"/>
          <w:numId w:val="20"/>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该项目规划投资8100万元，批复投资8105.91万元。</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eastAsia" w:cs="Times New Roman" w:eastAsiaTheme="minorEastAsia"/>
          <w:bCs/>
          <w:color w:val="000000" w:themeColor="text1"/>
          <w:highlight w:val="none"/>
          <w:lang w:eastAsia="zh-CN"/>
          <w14:textFill>
            <w14:solidFill>
              <w14:schemeClr w14:val="tx1"/>
            </w14:solidFill>
          </w14:textFill>
        </w:rPr>
        <w:t>截至</w:t>
      </w:r>
      <w:r>
        <w:rPr>
          <w:rFonts w:hint="default" w:ascii="Times New Roman" w:hAnsi="Times New Roman" w:cs="Times New Roman" w:eastAsiaTheme="minorEastAsia"/>
          <w:bCs/>
          <w:color w:val="000000" w:themeColor="text1"/>
          <w:highlight w:val="none"/>
          <w14:textFill>
            <w14:solidFill>
              <w14:schemeClr w14:val="tx1"/>
            </w14:solidFill>
          </w14:textFill>
        </w:rPr>
        <w:t>2023年6月，该项目①已编制完成可行性研究报告，并于2022年8月15日获得批复（玉发改农经复〔2022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37号），与贵州建工集团第五建筑工程有限责任公司签订EPC总承包合同，于2022年11月10日取得开工令；项目②已编制完成可行性研究报告，并于2022年7月14日获得批复（玉发改农经复〔2022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31号），已编制完成初步设计，并于2022年11月25日获得批复（玉水规财〔2022</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33号），于2022年11月3日取得开工令。</w:t>
      </w:r>
    </w:p>
    <w:p>
      <w:pPr>
        <w:numPr>
          <w:ilvl w:val="0"/>
          <w:numId w:val="20"/>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项目调增原因</w:t>
      </w:r>
    </w:p>
    <w:p>
      <w:pPr>
        <w:widowControl/>
        <w:ind w:firstLine="480" w:firstLineChars="200"/>
        <w:jc w:val="left"/>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工程项目①建成后能够极大的提高抚仙湖东南、西岸的供水基础文件设施水平，改善现有的系统运行状态，满足片区的用水需求，最大程度的支持地区经济的可持续发展，是实现市政府提出的确保从2023年起不再从抚仙湖取水目标的重要组成部分。项目②通过实施调水管网延伸扩建工程，向沿湖周边集镇和村庄供水可替代沿湖周边用水，减少对抚仙湖直接取水，可一定程度缓解水位逐年下降的问题，从而达到保护高原湖泊水生态和促进抚仙湖保护与周边经济协调发展的目标。</w:t>
      </w: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48" w:name="_Toc1427"/>
      <w:r>
        <w:rPr>
          <w:rFonts w:hint="default" w:ascii="Times New Roman" w:hAnsi="Times New Roman" w:cs="Times New Roman" w:eastAsiaTheme="minorEastAsia"/>
          <w:b/>
          <w:bCs w:val="0"/>
          <w:color w:val="000000" w:themeColor="text1"/>
          <w:highlight w:val="none"/>
          <w14:textFill>
            <w14:solidFill>
              <w14:schemeClr w14:val="tx1"/>
            </w14:solidFill>
          </w14:textFill>
        </w:rPr>
        <w:t>6.4.7滇中引水二期配套工程-澄江干线</w:t>
      </w:r>
      <w:bookmarkEnd w:id="548"/>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widowControl/>
        <w:ind w:firstLine="480" w:firstLineChars="200"/>
        <w:jc w:val="left"/>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规划滇中引水二期配套工程澄江干线段投资5.2亿，总工期58个月，干线包含澄江隧洞，山冲河支线，梁王河支线管网支线，华宁支线至路居，澄江受水区干线及其下级分干线、支线总长28.39km，共计18个输水建筑物，其中：输水管17条，长21.95km，占线路总长的77.32%；隧洞1条，长6.44km，占线路总长的22.68%。</w:t>
      </w:r>
    </w:p>
    <w:p>
      <w:pPr>
        <w:widowControl/>
        <w:ind w:firstLine="480" w:firstLineChars="200"/>
        <w:jc w:val="left"/>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规划实施年限：2022—2026年</w:t>
      </w:r>
    </w:p>
    <w:p>
      <w:pPr>
        <w:ind w:left="480" w:left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项目责任单位：云南省滇中引水工程建设管理局玉溪分局</w:t>
      </w:r>
    </w:p>
    <w:p>
      <w:pPr>
        <w:numPr>
          <w:ilvl w:val="0"/>
          <w:numId w:val="21"/>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该项目规划投资52000万元，“十四五”期间投资46000万元。</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（3）项目调增原因</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该置换供水工程对增加抚仙湖入湖清水量、有效缓解抚仙湖流域水资源过度开发状况、提高抚仙湖流域水资源和水环境承载能力具有重要作用。</w:t>
      </w: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49" w:name="_Toc9864"/>
      <w:r>
        <w:rPr>
          <w:rFonts w:hint="default" w:ascii="Times New Roman" w:hAnsi="Times New Roman" w:cs="Times New Roman" w:eastAsiaTheme="minorEastAsia"/>
          <w:b/>
          <w:bCs w:val="0"/>
          <w:color w:val="000000" w:themeColor="text1"/>
          <w:highlight w:val="none"/>
          <w14:textFill>
            <w14:solidFill>
              <w14:schemeClr w14:val="tx1"/>
            </w14:solidFill>
          </w14:textFill>
        </w:rPr>
        <w:t>6.4.8抚仙湖九龙晟景搬迁安置工程</w:t>
      </w:r>
      <w:bookmarkEnd w:id="549"/>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widowControl/>
        <w:ind w:firstLine="480" w:firstLineChars="200"/>
        <w:jc w:val="left"/>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安置九龙晟景项目已拆除房产，涉及964套房屋置换、赔偿及搬迁。</w:t>
      </w:r>
    </w:p>
    <w:p>
      <w:pPr>
        <w:widowControl/>
        <w:ind w:firstLine="480" w:firstLineChars="200"/>
        <w:jc w:val="left"/>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规划实施年限：2022—2025年</w:t>
      </w:r>
    </w:p>
    <w:p>
      <w:pPr>
        <w:ind w:left="480" w:left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项目责任单位：澄江市路居镇人民政府</w:t>
      </w:r>
    </w:p>
    <w:p>
      <w:pPr>
        <w:numPr>
          <w:ilvl w:val="0"/>
          <w:numId w:val="22"/>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pStyle w:val="2"/>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该项目规划投资46100万元。</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（3）项目调增原因</w:t>
      </w:r>
    </w:p>
    <w:p>
      <w:pPr>
        <w:pStyle w:val="2"/>
        <w:rPr>
          <w:rFonts w:hint="default" w:ascii="Times New Roman" w:hAnsi="Times New Roman" w:cs="Times New Roman" w:eastAsiaTheme="minorEastAsia"/>
          <w:bCs/>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按照中央生态环境保护督察组、全国专项办和省委、省政府先后对九龙晟景项目提出整改工作要求，</w:t>
      </w:r>
      <w:r>
        <w:rPr>
          <w:rFonts w:hint="default" w:ascii="Times New Roman" w:hAnsi="Times New Roman" w:cs="Times New Roman" w:eastAsiaTheme="minorEastAsia"/>
          <w:bCs/>
          <w:color w:val="000000" w:themeColor="text1"/>
          <w:highlight w:val="none"/>
          <w14:textFill>
            <w14:solidFill>
              <w14:schemeClr w14:val="tx1"/>
            </w14:solidFill>
          </w14:textFill>
        </w:rPr>
        <w:t>为落实中央环保督察整改事项，</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妥善安置</w:t>
      </w:r>
      <w:r>
        <w:rPr>
          <w:rFonts w:hint="default" w:ascii="Times New Roman" w:hAnsi="Times New Roman" w:cs="Times New Roman" w:eastAsiaTheme="minorEastAsia"/>
          <w:bCs/>
          <w:color w:val="000000" w:themeColor="text1"/>
          <w:highlight w:val="none"/>
          <w14:textFill>
            <w14:solidFill>
              <w14:schemeClr w14:val="tx1"/>
            </w14:solidFill>
          </w14:textFill>
        </w:rPr>
        <w:t>九龙晟景项目</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已拆房产住户的问题，化解社会风险。</w:t>
      </w: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50" w:name="_Toc14051"/>
      <w:r>
        <w:rPr>
          <w:rFonts w:hint="default" w:ascii="Times New Roman" w:hAnsi="Times New Roman" w:cs="Times New Roman" w:eastAsiaTheme="minorEastAsia"/>
          <w:b/>
          <w:bCs w:val="0"/>
          <w:color w:val="000000" w:themeColor="text1"/>
          <w:highlight w:val="none"/>
          <w14:textFill>
            <w14:solidFill>
              <w14:schemeClr w14:val="tx1"/>
            </w14:solidFill>
          </w14:textFill>
        </w:rPr>
        <w:t>6.4.9抚仙湖流域水资源量变化成因与对策研究</w:t>
      </w:r>
      <w:bookmarkEnd w:id="550"/>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1、项目规划情况</w:t>
      </w:r>
    </w:p>
    <w:p>
      <w:pPr>
        <w:widowControl/>
        <w:ind w:firstLine="480" w:firstLineChars="200"/>
        <w:jc w:val="left"/>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针对抚仙湖水位保障需求，规划解析隔河改造前后流域来水、供水、用水、排水状况及演变特点，掌握抚仙湖水量平衡状况及补排关系动态变化，揭示入湖水量衰减、出湖路径改变等对抚仙湖水位变化的影响，提出抚仙湖水位保障对策措施建议。主要内容包括抚仙湖流域水循环要素监测及其开发利用调查、抚仙湖流域水资源演变规律及趋势分析、抚仙湖入湖水量变化分析、抚仙湖出湖水量变化分析、抚仙湖水量平衡及水量变化成因分析、抚仙湖水量保障对策研究。</w:t>
      </w:r>
    </w:p>
    <w:p>
      <w:pPr>
        <w:widowControl/>
        <w:ind w:firstLine="480" w:firstLineChars="200"/>
        <w:jc w:val="left"/>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规划实施年限：2023—2025年</w:t>
      </w:r>
    </w:p>
    <w:p>
      <w:pPr>
        <w:ind w:left="480" w:left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项目责任单位：玉溪市湖泊管理局</w:t>
      </w:r>
    </w:p>
    <w:p>
      <w:pPr>
        <w:numPr>
          <w:ilvl w:val="0"/>
          <w:numId w:val="23"/>
        </w:num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项目实施情况</w:t>
      </w:r>
    </w:p>
    <w:p>
      <w:pPr>
        <w:pStyle w:val="2"/>
        <w:rPr>
          <w:rFonts w:hint="default" w:ascii="Times New Roman" w:hAnsi="Times New Roman" w:cs="Times New Roman" w:eastAsiaTheme="minorEastAsia"/>
          <w:bCs/>
          <w:color w:val="000000" w:themeColor="text1"/>
          <w:kern w:val="2"/>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w:t>
      </w:r>
      <w:r>
        <w:rPr>
          <w:rFonts w:hint="default" w:ascii="Times New Roman" w:hAnsi="Times New Roman" w:cs="Times New Roman" w:eastAsiaTheme="minorEastAsia"/>
          <w:bCs/>
          <w:color w:val="000000" w:themeColor="text1"/>
          <w:kern w:val="2"/>
          <w:highlight w:val="none"/>
          <w14:textFill>
            <w14:solidFill>
              <w14:schemeClr w14:val="tx1"/>
            </w14:solidFill>
          </w14:textFill>
        </w:rPr>
        <w:t>规划投资200万元。</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（3）项目调增原因</w:t>
      </w:r>
    </w:p>
    <w:p>
      <w:pPr>
        <w:pStyle w:val="2"/>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为揭示入湖水量衰减、出湖路径改变等对抚仙湖水位变化的影响，得到抚仙湖水位保障对策措施建议。</w:t>
      </w: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51" w:name="_Toc4496"/>
      <w:r>
        <w:rPr>
          <w:rFonts w:hint="default" w:ascii="Times New Roman" w:hAnsi="Times New Roman" w:cs="Times New Roman" w:eastAsiaTheme="minorEastAsia"/>
          <w:b/>
          <w:bCs w:val="0"/>
          <w:color w:val="000000" w:themeColor="text1"/>
          <w:highlight w:val="none"/>
          <w14:textFill>
            <w14:solidFill>
              <w14:schemeClr w14:val="tx1"/>
            </w14:solidFill>
          </w14:textFill>
        </w:rPr>
        <w:t>6.</w:t>
      </w:r>
      <w:r>
        <w:rPr>
          <w:rFonts w:hint="eastAsia" w:ascii="Times New Roman" w:hAnsi="Times New Roman" w:cs="Times New Roman" w:eastAsiaTheme="minorEastAsia"/>
          <w:b/>
          <w:bCs w:val="0"/>
          <w:color w:val="000000" w:themeColor="text1"/>
          <w:highlight w:val="none"/>
          <w:lang w:val="en-US" w:eastAsia="zh-CN"/>
          <w14:textFill>
            <w14:solidFill>
              <w14:schemeClr w14:val="tx1"/>
            </w14:solidFill>
          </w14:textFill>
        </w:rPr>
        <w:t>4</w:t>
      </w:r>
      <w:r>
        <w:rPr>
          <w:rFonts w:hint="default" w:ascii="Times New Roman" w:hAnsi="Times New Roman" w:cs="Times New Roman" w:eastAsiaTheme="minorEastAsia"/>
          <w:b/>
          <w:bCs w:val="0"/>
          <w:color w:val="000000" w:themeColor="text1"/>
          <w:highlight w:val="none"/>
          <w14:textFill>
            <w14:solidFill>
              <w14:schemeClr w14:val="tx1"/>
            </w14:solidFill>
          </w14:textFill>
        </w:rPr>
        <w:t>.</w:t>
      </w:r>
      <w:r>
        <w:rPr>
          <w:rFonts w:hint="eastAsia" w:ascii="Times New Roman" w:hAnsi="Times New Roman" w:cs="Times New Roman" w:eastAsiaTheme="minorEastAsia"/>
          <w:b/>
          <w:bCs w:val="0"/>
          <w:color w:val="000000" w:themeColor="text1"/>
          <w:highlight w:val="none"/>
          <w:lang w:val="en-US" w:eastAsia="zh-CN"/>
          <w14:textFill>
            <w14:solidFill>
              <w14:schemeClr w14:val="tx1"/>
            </w14:solidFill>
          </w14:textFill>
        </w:rPr>
        <w:t>10</w:t>
      </w:r>
      <w:r>
        <w:rPr>
          <w:rFonts w:hint="default" w:ascii="Times New Roman" w:hAnsi="Times New Roman" w:cs="Times New Roman" w:eastAsiaTheme="minorEastAsia"/>
          <w:b/>
          <w:bCs w:val="0"/>
          <w:color w:val="000000" w:themeColor="text1"/>
          <w:highlight w:val="none"/>
          <w14:textFill>
            <w14:solidFill>
              <w14:schemeClr w14:val="tx1"/>
            </w14:solidFill>
          </w14:textFill>
        </w:rPr>
        <w:t>澄江市大箐沟山洪沟治理工程</w:t>
      </w:r>
      <w:bookmarkEnd w:id="551"/>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eastAsia" w:ascii="Times New Roman" w:hAnsi="Times New Roman" w:cs="Times New Roman" w:eastAsiaTheme="minorEastAsia"/>
          <w:bCs/>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w:t>
      </w:r>
      <w:r>
        <w:rPr>
          <w:rFonts w:hint="eastAsia" w:cs="Times New Roman" w:eastAsiaTheme="minorEastAsia"/>
          <w:bCs/>
          <w:color w:val="000000" w:themeColor="text1"/>
          <w:highlight w:val="none"/>
          <w:lang w:eastAsia="zh-CN"/>
          <w14:textFill>
            <w14:solidFill>
              <w14:schemeClr w14:val="tx1"/>
            </w14:solidFill>
          </w14:textFill>
        </w:rPr>
        <w:t>内容</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治理长度为1.96km，治理措施主要为建设防洪堤以及布置拦砂坝和固床坝</w:t>
      </w:r>
      <w:r>
        <w:rPr>
          <w:rFonts w:hint="eastAsia"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完善排洪渠，保障村内行洪安全。</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w:t>
      </w:r>
      <w:r>
        <w:rPr>
          <w:rFonts w:hint="eastAsia" w:cs="Times New Roman" w:eastAsiaTheme="minorEastAsia"/>
          <w:bCs/>
          <w:color w:val="000000" w:themeColor="text1"/>
          <w:highlight w:val="none"/>
          <w:lang w:val="en-US" w:eastAsia="zh-CN"/>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—2025年</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项目责任单位：澄江市水利局</w:t>
      </w:r>
    </w:p>
    <w:p>
      <w:pPr>
        <w:numPr>
          <w:ilvl w:val="0"/>
          <w:numId w:val="12"/>
        </w:numPr>
        <w:ind w:left="480" w:leftChars="200" w:firstLine="0" w:firstLineChars="0"/>
        <w:rPr>
          <w:rFonts w:hint="eastAsia" w:cs="Times New Roman" w:eastAsiaTheme="minorEastAsia"/>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项目设计情况</w:t>
      </w:r>
      <w:r>
        <w:rPr>
          <w:rFonts w:hint="default" w:ascii="Times New Roman" w:hAnsi="Times New Roman" w:cs="Times New Roman" w:eastAsiaTheme="minorEastAsia"/>
          <w:color w:val="000000" w:themeColor="text1"/>
          <w:highlight w:val="none"/>
          <w14:textFill>
            <w14:solidFill>
              <w14:schemeClr w14:val="tx1"/>
            </w14:solidFill>
          </w14:textFill>
        </w:rPr>
        <w:t>(注</w:t>
      </w:r>
      <w:r>
        <w:rPr>
          <w:rFonts w:hint="eastAsia"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该项内容来自初设批复</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玉水防御〔2023</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40</w:t>
      </w:r>
      <w:r>
        <w:rPr>
          <w:rFonts w:hint="eastAsia" w:cs="Times New Roman" w:eastAsiaTheme="minorEastAsia"/>
          <w:color w:val="000000" w:themeColor="text1"/>
          <w:highlight w:val="none"/>
          <w:lang w:val="en-US" w:eastAsia="zh-CN"/>
          <w14:textFill>
            <w14:solidFill>
              <w14:schemeClr w14:val="tx1"/>
            </w14:solidFill>
          </w14:textFill>
        </w:rPr>
        <w:t>号</w:t>
      </w:r>
      <w:r>
        <w:rPr>
          <w:rFonts w:hint="eastAsia" w:cs="Times New Roman" w:eastAsiaTheme="minorEastAsia"/>
          <w:color w:val="000000" w:themeColor="text1"/>
          <w:highlight w:val="none"/>
          <w:lang w:eastAsia="zh-CN"/>
          <w14:textFill>
            <w14:solidFill>
              <w14:schemeClr w14:val="tx1"/>
            </w14:solidFill>
          </w14:textFill>
        </w:rPr>
        <w:t>）</w:t>
      </w:r>
    </w:p>
    <w:p>
      <w:pPr>
        <w:keepNext w:val="0"/>
        <w:keepLines w:val="0"/>
        <w:widowControl/>
        <w:suppressLineNumbers w:val="0"/>
        <w:ind w:firstLine="480" w:firstLineChars="200"/>
        <w:jc w:val="left"/>
        <w:rPr>
          <w:rFonts w:hint="eastAsia" w:cs="Times New Roman" w:eastAsiaTheme="minorEastAsia"/>
          <w:color w:val="000000" w:themeColor="text1"/>
          <w:highlight w:val="none"/>
          <w:lang w:val="en-US" w:eastAsia="zh-CN"/>
          <w14:textFill>
            <w14:solidFill>
              <w14:schemeClr w14:val="tx1"/>
            </w14:solidFill>
          </w14:textFill>
        </w:rPr>
      </w:pPr>
      <w:r>
        <w:rPr>
          <w:rFonts w:hint="eastAsia" w:cs="Times New Roman" w:eastAsiaTheme="minorEastAsia"/>
          <w:color w:val="000000" w:themeColor="text1"/>
          <w:highlight w:val="none"/>
          <w:lang w:val="en-US" w:eastAsia="zh-CN"/>
          <w14:textFill>
            <w14:solidFill>
              <w14:schemeClr w14:val="tx1"/>
            </w14:solidFill>
          </w14:textFill>
        </w:rPr>
        <w:t>工程任务及规模：</w:t>
      </w:r>
      <w:r>
        <w:rPr>
          <w:rFonts w:hint="default" w:ascii="Calibri" w:hAnsi="Calibri" w:cs="Calibri" w:eastAsiaTheme="minorEastAsia"/>
          <w:color w:val="000000" w:themeColor="text1"/>
          <w:highlight w:val="none"/>
          <w:lang w:val="en-US" w:eastAsia="zh-CN"/>
          <w14:textFill>
            <w14:solidFill>
              <w14:schemeClr w14:val="tx1"/>
            </w14:solidFill>
          </w14:textFill>
        </w:rPr>
        <w:t>①</w:t>
      </w:r>
      <w:r>
        <w:rPr>
          <w:rFonts w:hint="eastAsia" w:cs="Times New Roman" w:eastAsiaTheme="minorEastAsia"/>
          <w:color w:val="000000" w:themeColor="text1"/>
          <w:highlight w:val="none"/>
          <w:lang w:val="en-US" w:eastAsia="zh-CN"/>
          <w14:textFill>
            <w14:solidFill>
              <w14:schemeClr w14:val="tx1"/>
            </w14:solidFill>
          </w14:textFill>
        </w:rPr>
        <w:t>对大箐沟共计</w:t>
      </w:r>
      <w:r>
        <w:rPr>
          <w:rFonts w:hint="default" w:cs="Times New Roman" w:eastAsiaTheme="minorEastAsia"/>
          <w:color w:val="000000" w:themeColor="text1"/>
          <w:highlight w:val="none"/>
          <w:lang w:val="en-US" w:eastAsia="zh-CN"/>
          <w14:textFill>
            <w14:solidFill>
              <w14:schemeClr w14:val="tx1"/>
            </w14:solidFill>
          </w14:textFill>
        </w:rPr>
        <w:t>0.68</w:t>
      </w:r>
      <w:r>
        <w:rPr>
          <w:rFonts w:hint="eastAsia" w:cs="Times New Roman" w:eastAsiaTheme="minorEastAsia"/>
          <w:color w:val="000000" w:themeColor="text1"/>
          <w:highlight w:val="none"/>
          <w:lang w:val="en-US" w:eastAsia="zh-CN"/>
          <w14:textFill>
            <w14:solidFill>
              <w14:schemeClr w14:val="tx1"/>
            </w14:solidFill>
          </w14:textFill>
        </w:rPr>
        <w:t>公里河道进行综合治理，提高防洪能力，使其达到10年一遇防洪要求，保护沿河两岸</w:t>
      </w:r>
      <w:r>
        <w:rPr>
          <w:rFonts w:hint="default" w:cs="Times New Roman" w:eastAsiaTheme="minorEastAsia"/>
          <w:color w:val="000000" w:themeColor="text1"/>
          <w:highlight w:val="none"/>
          <w:lang w:val="en-US" w:eastAsia="zh-CN"/>
          <w14:textFill>
            <w14:solidFill>
              <w14:schemeClr w14:val="tx1"/>
            </w14:solidFill>
          </w14:textFill>
        </w:rPr>
        <w:t>0.2</w:t>
      </w:r>
      <w:r>
        <w:rPr>
          <w:rFonts w:hint="eastAsia" w:cs="Times New Roman" w:eastAsiaTheme="minorEastAsia"/>
          <w:color w:val="000000" w:themeColor="text1"/>
          <w:highlight w:val="none"/>
          <w:lang w:val="en-US" w:eastAsia="zh-CN"/>
          <w14:textFill>
            <w14:solidFill>
              <w14:schemeClr w14:val="tx1"/>
            </w14:solidFill>
          </w14:textFill>
        </w:rPr>
        <w:t>万人及</w:t>
      </w:r>
      <w:r>
        <w:rPr>
          <w:rFonts w:hint="default" w:cs="Times New Roman" w:eastAsiaTheme="minorEastAsia"/>
          <w:color w:val="000000" w:themeColor="text1"/>
          <w:highlight w:val="none"/>
          <w:lang w:val="en-US" w:eastAsia="zh-CN"/>
          <w14:textFill>
            <w14:solidFill>
              <w14:schemeClr w14:val="tx1"/>
            </w14:solidFill>
          </w14:textFill>
        </w:rPr>
        <w:t>130</w:t>
      </w:r>
      <w:r>
        <w:rPr>
          <w:rFonts w:hint="eastAsia" w:cs="Times New Roman" w:eastAsiaTheme="minorEastAsia"/>
          <w:color w:val="000000" w:themeColor="text1"/>
          <w:highlight w:val="none"/>
          <w:lang w:val="en-US" w:eastAsia="zh-CN"/>
          <w14:textFill>
            <w14:solidFill>
              <w14:schemeClr w14:val="tx1"/>
            </w14:solidFill>
          </w14:textFill>
        </w:rPr>
        <w:t>亩耕地安全。</w:t>
      </w:r>
      <w:r>
        <w:rPr>
          <w:rFonts w:hint="default" w:ascii="Calibri" w:hAnsi="Calibri" w:cs="Calibri" w:eastAsiaTheme="minorEastAsia"/>
          <w:color w:val="000000" w:themeColor="text1"/>
          <w:highlight w:val="none"/>
          <w:lang w:val="en-US" w:eastAsia="zh-CN"/>
          <w14:textFill>
            <w14:solidFill>
              <w14:schemeClr w14:val="tx1"/>
            </w14:solidFill>
          </w14:textFill>
        </w:rPr>
        <w:t>②</w:t>
      </w:r>
      <w:r>
        <w:rPr>
          <w:rFonts w:hint="eastAsia" w:cs="Times New Roman" w:eastAsiaTheme="minorEastAsia"/>
          <w:color w:val="000000" w:themeColor="text1"/>
          <w:highlight w:val="none"/>
          <w:lang w:val="en-US" w:eastAsia="zh-CN"/>
          <w14:textFill>
            <w14:solidFill>
              <w14:schemeClr w14:val="tx1"/>
            </w14:solidFill>
          </w14:textFill>
        </w:rPr>
        <w:t>工程治理段长度为</w:t>
      </w:r>
      <w:r>
        <w:rPr>
          <w:rFonts w:hint="default" w:cs="Times New Roman" w:eastAsiaTheme="minorEastAsia"/>
          <w:color w:val="000000" w:themeColor="text1"/>
          <w:highlight w:val="none"/>
          <w:lang w:val="en-US" w:eastAsia="zh-CN"/>
          <w14:textFill>
            <w14:solidFill>
              <w14:schemeClr w14:val="tx1"/>
            </w14:solidFill>
          </w14:textFill>
        </w:rPr>
        <w:t>0.68</w:t>
      </w:r>
      <w:r>
        <w:rPr>
          <w:rFonts w:hint="eastAsia" w:cs="Times New Roman" w:eastAsiaTheme="minorEastAsia"/>
          <w:color w:val="000000" w:themeColor="text1"/>
          <w:highlight w:val="none"/>
          <w:lang w:val="en-US" w:eastAsia="zh-CN"/>
          <w14:textFill>
            <w14:solidFill>
              <w14:schemeClr w14:val="tx1"/>
            </w14:solidFill>
          </w14:textFill>
        </w:rPr>
        <w:t>公里，起点为环湖路西南侧</w:t>
      </w:r>
      <w:r>
        <w:rPr>
          <w:rFonts w:hint="default" w:cs="Times New Roman" w:eastAsiaTheme="minorEastAsia"/>
          <w:color w:val="000000" w:themeColor="text1"/>
          <w:highlight w:val="none"/>
          <w:lang w:val="en-US" w:eastAsia="zh-CN"/>
          <w14:textFill>
            <w14:solidFill>
              <w14:schemeClr w14:val="tx1"/>
            </w14:solidFill>
          </w14:textFill>
        </w:rPr>
        <w:t>0.23</w:t>
      </w:r>
      <w:r>
        <w:rPr>
          <w:rFonts w:hint="eastAsia" w:cs="Times New Roman" w:eastAsiaTheme="minorEastAsia"/>
          <w:color w:val="000000" w:themeColor="text1"/>
          <w:highlight w:val="none"/>
          <w:lang w:val="en-US" w:eastAsia="zh-CN"/>
          <w14:textFill>
            <w14:solidFill>
              <w14:schemeClr w14:val="tx1"/>
            </w14:solidFill>
          </w14:textFill>
        </w:rPr>
        <w:t>公里，终点为大箐沟入湖箱涵起点。</w:t>
      </w:r>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该项目规划投资</w:t>
      </w:r>
      <w:r>
        <w:rPr>
          <w:rFonts w:hint="eastAsia" w:cs="Times New Roman" w:eastAsiaTheme="minorEastAsia"/>
          <w:bCs/>
          <w:color w:val="000000" w:themeColor="text1"/>
          <w:highlight w:val="none"/>
          <w:lang w:val="en-US" w:eastAsia="zh-CN"/>
          <w14:textFill>
            <w14:solidFill>
              <w14:schemeClr w14:val="tx1"/>
            </w14:solidFill>
          </w14:textFill>
        </w:rPr>
        <w:t>650</w:t>
      </w:r>
      <w:r>
        <w:rPr>
          <w:rFonts w:hint="default" w:ascii="Times New Roman" w:hAnsi="Times New Roman" w:cs="Times New Roman" w:eastAsiaTheme="minorEastAsia"/>
          <w:bCs/>
          <w:color w:val="000000" w:themeColor="text1"/>
          <w:highlight w:val="none"/>
          <w14:textFill>
            <w14:solidFill>
              <w14:schemeClr w14:val="tx1"/>
            </w14:solidFill>
          </w14:textFill>
        </w:rPr>
        <w:t>万元，初设批复投资</w:t>
      </w:r>
      <w:r>
        <w:rPr>
          <w:rFonts w:hint="eastAsia" w:cs="Times New Roman" w:eastAsiaTheme="minorEastAsia"/>
          <w:bCs/>
          <w:color w:val="000000" w:themeColor="text1"/>
          <w:highlight w:val="none"/>
          <w:lang w:val="en-US" w:eastAsia="zh-CN"/>
          <w14:textFill>
            <w14:solidFill>
              <w14:schemeClr w14:val="tx1"/>
            </w14:solidFill>
          </w14:textFill>
        </w:rPr>
        <w:t>547.51</w:t>
      </w:r>
      <w:r>
        <w:rPr>
          <w:rFonts w:hint="default" w:ascii="Times New Roman" w:hAnsi="Times New Roman" w:cs="Times New Roman" w:eastAsiaTheme="minorEastAsia"/>
          <w:bCs/>
          <w:color w:val="000000" w:themeColor="text1"/>
          <w:highlight w:val="none"/>
          <w14:textFill>
            <w14:solidFill>
              <w14:schemeClr w14:val="tx1"/>
            </w14:solidFill>
          </w14:textFill>
        </w:rPr>
        <w:t>万元，截至2023年</w:t>
      </w:r>
      <w:r>
        <w:rPr>
          <w:rFonts w:hint="eastAsia" w:cs="Times New Roman" w:eastAsiaTheme="minorEastAsia"/>
          <w:bCs/>
          <w:color w:val="000000" w:themeColor="text1"/>
          <w:highlight w:val="none"/>
          <w:lang w:val="en-US" w:eastAsia="zh-CN"/>
          <w14:textFill>
            <w14:solidFill>
              <w14:schemeClr w14:val="tx1"/>
            </w14:solidFill>
          </w14:textFill>
        </w:rPr>
        <w:t>12</w:t>
      </w:r>
      <w:r>
        <w:rPr>
          <w:rFonts w:hint="default" w:ascii="Times New Roman" w:hAnsi="Times New Roman" w:cs="Times New Roman" w:eastAsiaTheme="minorEastAsia"/>
          <w:bCs/>
          <w:color w:val="000000" w:themeColor="text1"/>
          <w:highlight w:val="none"/>
          <w14:textFill>
            <w14:solidFill>
              <w14:schemeClr w14:val="tx1"/>
            </w14:solidFill>
          </w14:textFill>
        </w:rPr>
        <w:t>月</w:t>
      </w:r>
      <w:r>
        <w:rPr>
          <w:rFonts w:hint="eastAsia"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该项目已编制完成项目初步设计，并于202</w:t>
      </w:r>
      <w:r>
        <w:rPr>
          <w:rFonts w:hint="eastAsia" w:cs="Times New Roman" w:eastAsiaTheme="minorEastAsia"/>
          <w:bCs/>
          <w:color w:val="000000" w:themeColor="text1"/>
          <w:highlight w:val="none"/>
          <w:lang w:val="en-US" w:eastAsia="zh-CN"/>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年</w:t>
      </w:r>
      <w:r>
        <w:rPr>
          <w:rFonts w:hint="eastAsia" w:cs="Times New Roman" w:eastAsiaTheme="minorEastAsia"/>
          <w:bCs/>
          <w:color w:val="000000" w:themeColor="text1"/>
          <w:highlight w:val="none"/>
          <w:lang w:val="en-US" w:eastAsia="zh-CN"/>
          <w14:textFill>
            <w14:solidFill>
              <w14:schemeClr w14:val="tx1"/>
            </w14:solidFill>
          </w14:textFill>
        </w:rPr>
        <w:t>10</w:t>
      </w:r>
      <w:r>
        <w:rPr>
          <w:rFonts w:hint="default" w:ascii="Times New Roman" w:hAnsi="Times New Roman" w:cs="Times New Roman" w:eastAsiaTheme="minorEastAsia"/>
          <w:bCs/>
          <w:color w:val="000000" w:themeColor="text1"/>
          <w:highlight w:val="none"/>
          <w14:textFill>
            <w14:solidFill>
              <w14:schemeClr w14:val="tx1"/>
            </w14:solidFill>
          </w14:textFill>
        </w:rPr>
        <w:t>月</w:t>
      </w:r>
      <w:r>
        <w:rPr>
          <w:rFonts w:hint="eastAsia" w:cs="Times New Roman" w:eastAsiaTheme="minorEastAsia"/>
          <w:bCs/>
          <w:color w:val="000000" w:themeColor="text1"/>
          <w:highlight w:val="none"/>
          <w:lang w:val="en-US" w:eastAsia="zh-CN"/>
          <w14:textFill>
            <w14:solidFill>
              <w14:schemeClr w14:val="tx1"/>
            </w14:solidFill>
          </w14:textFill>
        </w:rPr>
        <w:t>28</w:t>
      </w:r>
      <w:r>
        <w:rPr>
          <w:rFonts w:hint="default" w:ascii="Times New Roman" w:hAnsi="Times New Roman" w:cs="Times New Roman" w:eastAsiaTheme="minorEastAsia"/>
          <w:bCs/>
          <w:color w:val="000000" w:themeColor="text1"/>
          <w:highlight w:val="none"/>
          <w14:textFill>
            <w14:solidFill>
              <w14:schemeClr w14:val="tx1"/>
            </w14:solidFill>
          </w14:textFill>
        </w:rPr>
        <w:t>日获得初设批复（</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玉水防御〔2023</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40</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号</w:t>
      </w:r>
      <w:r>
        <w:rPr>
          <w:rFonts w:hint="default" w:ascii="Times New Roman" w:hAnsi="Times New Roman" w:cs="Times New Roman" w:eastAsiaTheme="minorEastAsia"/>
          <w:bCs/>
          <w:color w:val="000000" w:themeColor="text1"/>
          <w:highlight w:val="none"/>
          <w14:textFill>
            <w14:solidFill>
              <w14:schemeClr w14:val="tx1"/>
            </w14:solidFill>
          </w14:textFill>
        </w:rPr>
        <w:t>）</w:t>
      </w:r>
      <w:r>
        <w:rPr>
          <w:rFonts w:hint="eastAsia" w:cs="Times New Roman" w:eastAsiaTheme="minorEastAsia"/>
          <w:bCs/>
          <w:color w:val="000000" w:themeColor="text1"/>
          <w:highlight w:val="none"/>
          <w:lang w:eastAsia="zh-CN"/>
          <w14:textFill>
            <w14:solidFill>
              <w14:schemeClr w14:val="tx1"/>
            </w14:solidFill>
          </w14:textFill>
        </w:rPr>
        <w:t>；通过公开招标，于</w:t>
      </w:r>
      <w:r>
        <w:rPr>
          <w:rFonts w:hint="eastAsia" w:cs="Times New Roman" w:eastAsiaTheme="minorEastAsia"/>
          <w:bCs/>
          <w:color w:val="000000" w:themeColor="text1"/>
          <w:highlight w:val="none"/>
          <w:lang w:val="en-US" w:eastAsia="zh-CN"/>
          <w14:textFill>
            <w14:solidFill>
              <w14:schemeClr w14:val="tx1"/>
            </w14:solidFill>
          </w14:textFill>
        </w:rPr>
        <w:t>11月24日与云南正滇建筑工程有限公司签订工程施工合同</w:t>
      </w:r>
      <w:r>
        <w:rPr>
          <w:rFonts w:hint="default" w:ascii="Times New Roman" w:hAnsi="Times New Roman" w:cs="Times New Roman" w:eastAsiaTheme="minorEastAsia"/>
          <w:bCs/>
          <w:color w:val="000000" w:themeColor="text1"/>
          <w:highlight w:val="none"/>
          <w14:textFill>
            <w14:solidFill>
              <w14:schemeClr w14:val="tx1"/>
            </w14:solidFill>
          </w14:textFill>
        </w:rPr>
        <w:t>。该项目</w:t>
      </w:r>
      <w:r>
        <w:rPr>
          <w:rFonts w:hint="eastAsia" w:cs="Times New Roman" w:eastAsiaTheme="minorEastAsia"/>
          <w:bCs/>
          <w:color w:val="000000" w:themeColor="text1"/>
          <w:highlight w:val="none"/>
          <w:lang w:eastAsia="zh-CN"/>
          <w14:textFill>
            <w14:solidFill>
              <w14:schemeClr w14:val="tx1"/>
            </w14:solidFill>
          </w14:textFill>
        </w:rPr>
        <w:t>目前</w:t>
      </w:r>
      <w:r>
        <w:rPr>
          <w:rFonts w:hint="default" w:ascii="Times New Roman" w:hAnsi="Times New Roman" w:cs="Times New Roman" w:eastAsiaTheme="minorEastAsia"/>
          <w:bCs/>
          <w:color w:val="000000" w:themeColor="text1"/>
          <w:highlight w:val="none"/>
          <w14:textFill>
            <w14:solidFill>
              <w14:schemeClr w14:val="tx1"/>
            </w14:solidFill>
          </w14:textFill>
        </w:rPr>
        <w:t>处于</w:t>
      </w:r>
      <w:r>
        <w:rPr>
          <w:rFonts w:hint="eastAsia" w:cs="Times New Roman" w:eastAsiaTheme="minorEastAsia"/>
          <w:bCs/>
          <w:color w:val="000000" w:themeColor="text1"/>
          <w:highlight w:val="none"/>
          <w:lang w:val="en-US" w:eastAsia="zh-CN"/>
          <w14:textFill>
            <w14:solidFill>
              <w14:schemeClr w14:val="tx1"/>
            </w14:solidFill>
          </w14:textFill>
        </w:rPr>
        <w:t>在建</w:t>
      </w:r>
      <w:r>
        <w:rPr>
          <w:rFonts w:hint="default" w:ascii="Times New Roman" w:hAnsi="Times New Roman" w:cs="Times New Roman" w:eastAsiaTheme="minorEastAsia"/>
          <w:bCs/>
          <w:color w:val="000000" w:themeColor="text1"/>
          <w:highlight w:val="none"/>
          <w14:textFill>
            <w14:solidFill>
              <w14:schemeClr w14:val="tx1"/>
            </w14:solidFill>
          </w14:textFill>
        </w:rPr>
        <w:t>工作阶段。</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（3）项目调</w:t>
      </w:r>
      <w:r>
        <w:rPr>
          <w:rFonts w:hint="eastAsia" w:cs="Times New Roman" w:eastAsiaTheme="minorEastAsia"/>
          <w:bCs/>
          <w:color w:val="000000" w:themeColor="text1"/>
          <w:highlight w:val="none"/>
          <w:lang w:eastAsia="zh-CN"/>
          <w14:textFill>
            <w14:solidFill>
              <w14:schemeClr w14:val="tx1"/>
            </w14:solidFill>
          </w14:textFill>
        </w:rPr>
        <w:t>增</w:t>
      </w:r>
      <w:r>
        <w:rPr>
          <w:rFonts w:hint="default" w:ascii="Times New Roman" w:hAnsi="Times New Roman" w:cs="Times New Roman" w:eastAsiaTheme="minorEastAsia"/>
          <w:bCs/>
          <w:color w:val="000000" w:themeColor="text1"/>
          <w:highlight w:val="none"/>
          <w14:textFill>
            <w14:solidFill>
              <w14:schemeClr w14:val="tx1"/>
            </w14:solidFill>
          </w14:textFill>
        </w:rPr>
        <w:t>原因</w:t>
      </w:r>
    </w:p>
    <w:p>
      <w:pPr>
        <w:keepNext w:val="0"/>
        <w:keepLines w:val="0"/>
        <w:widowControl/>
        <w:suppressLineNumbers w:val="0"/>
        <w:ind w:firstLine="480" w:firstLineChars="200"/>
        <w:jc w:val="left"/>
        <w:rPr>
          <w:rFonts w:hint="default"/>
          <w:color w:val="000000" w:themeColor="text1"/>
          <w:highlight w:val="none"/>
          <w14:textFill>
            <w14:solidFill>
              <w14:schemeClr w14:val="tx1"/>
            </w14:solidFill>
          </w14:textFill>
        </w:rPr>
      </w:pPr>
      <w:r>
        <w:rPr>
          <w:rFonts w:hint="eastAsia" w:cs="Times New Roman" w:eastAsiaTheme="minorEastAsia"/>
          <w:bCs/>
          <w:color w:val="000000" w:themeColor="text1"/>
          <w:highlight w:val="none"/>
          <w:lang w:eastAsia="zh-CN"/>
          <w14:textFill>
            <w14:solidFill>
              <w14:schemeClr w14:val="tx1"/>
            </w14:solidFill>
          </w14:textFill>
        </w:rPr>
        <w:t>依据</w:t>
      </w:r>
      <w:r>
        <w:rPr>
          <w:rFonts w:hint="eastAsia"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云南省“十四五”九大高原湖泊保护治理规划中期评估报告</w:t>
      </w:r>
      <w:r>
        <w:rPr>
          <w:rFonts w:hint="eastAsia" w:cs="Times New Roman" w:eastAsiaTheme="minorEastAsia"/>
          <w:bCs/>
          <w:color w:val="000000" w:themeColor="text1"/>
          <w:highlight w:val="none"/>
          <w:lang w:eastAsia="zh-CN"/>
          <w14:textFill>
            <w14:solidFill>
              <w14:schemeClr w14:val="tx1"/>
            </w14:solidFill>
          </w14:textFill>
        </w:rPr>
        <w:t>》</w:t>
      </w:r>
      <w:r>
        <w:rPr>
          <w:rFonts w:hint="eastAsia" w:cs="Times New Roman" w:eastAsiaTheme="minorEastAsia"/>
          <w:bCs/>
          <w:color w:val="000000" w:themeColor="text1"/>
          <w:highlight w:val="none"/>
          <w:lang w:val="en-US" w:eastAsia="zh-CN"/>
          <w14:textFill>
            <w14:solidFill>
              <w14:schemeClr w14:val="tx1"/>
            </w14:solidFill>
          </w14:textFill>
        </w:rPr>
        <w:t>（云水发〔2023〕90号）</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w:t>
      </w:r>
      <w:r>
        <w:rPr>
          <w:rFonts w:hint="eastAsia" w:cs="Times New Roman" w:eastAsiaTheme="minorEastAsia"/>
          <w:bCs/>
          <w:color w:val="000000" w:themeColor="text1"/>
          <w:highlight w:val="none"/>
          <w:lang w:val="en-US" w:eastAsia="zh-CN"/>
          <w14:textFill>
            <w14:solidFill>
              <w14:schemeClr w14:val="tx1"/>
            </w14:solidFill>
          </w14:textFill>
        </w:rPr>
        <w:t>将该项目</w:t>
      </w:r>
      <w:r>
        <w:rPr>
          <w:rFonts w:hint="eastAsia" w:cs="Times New Roman" w:eastAsiaTheme="minorEastAsia"/>
          <w:color w:val="000000" w:themeColor="text1"/>
          <w:highlight w:val="none"/>
          <w:lang w:eastAsia="zh-CN"/>
          <w14:textFill>
            <w14:solidFill>
              <w14:schemeClr w14:val="tx1"/>
            </w14:solidFill>
          </w14:textFill>
        </w:rPr>
        <w:t>列为新增项目。</w:t>
      </w:r>
    </w:p>
    <w:p>
      <w:pPr>
        <w:pStyle w:val="6"/>
        <w:spacing w:before="0" w:after="0" w:line="360" w:lineRule="auto"/>
        <w:rPr>
          <w:rFonts w:hint="default" w:ascii="Times New Roman" w:hAnsi="Times New Roman" w:cs="Times New Roman" w:eastAsiaTheme="minorEastAsia"/>
          <w:b/>
          <w:bCs w:val="0"/>
          <w:color w:val="000000" w:themeColor="text1"/>
          <w:highlight w:val="none"/>
          <w14:textFill>
            <w14:solidFill>
              <w14:schemeClr w14:val="tx1"/>
            </w14:solidFill>
          </w14:textFill>
        </w:rPr>
      </w:pPr>
      <w:bookmarkStart w:id="552" w:name="_Toc28153"/>
      <w:r>
        <w:rPr>
          <w:rFonts w:hint="default" w:ascii="Times New Roman" w:hAnsi="Times New Roman" w:cs="Times New Roman" w:eastAsiaTheme="minorEastAsia"/>
          <w:b/>
          <w:bCs w:val="0"/>
          <w:color w:val="000000" w:themeColor="text1"/>
          <w:highlight w:val="none"/>
          <w14:textFill>
            <w14:solidFill>
              <w14:schemeClr w14:val="tx1"/>
            </w14:solidFill>
          </w14:textFill>
        </w:rPr>
        <w:t>6.</w:t>
      </w:r>
      <w:r>
        <w:rPr>
          <w:rFonts w:hint="eastAsia" w:ascii="Times New Roman" w:hAnsi="Times New Roman" w:cs="Times New Roman" w:eastAsiaTheme="minorEastAsia"/>
          <w:b/>
          <w:bCs w:val="0"/>
          <w:color w:val="000000" w:themeColor="text1"/>
          <w:highlight w:val="none"/>
          <w:lang w:val="en-US" w:eastAsia="zh-CN"/>
          <w14:textFill>
            <w14:solidFill>
              <w14:schemeClr w14:val="tx1"/>
            </w14:solidFill>
          </w14:textFill>
        </w:rPr>
        <w:t>4</w:t>
      </w:r>
      <w:r>
        <w:rPr>
          <w:rFonts w:hint="default" w:ascii="Times New Roman" w:hAnsi="Times New Roman" w:cs="Times New Roman" w:eastAsiaTheme="minorEastAsia"/>
          <w:b/>
          <w:bCs w:val="0"/>
          <w:color w:val="000000" w:themeColor="text1"/>
          <w:highlight w:val="none"/>
          <w14:textFill>
            <w14:solidFill>
              <w14:schemeClr w14:val="tx1"/>
            </w14:solidFill>
          </w14:textFill>
        </w:rPr>
        <w:t>.</w:t>
      </w:r>
      <w:r>
        <w:rPr>
          <w:rFonts w:hint="eastAsia" w:ascii="Times New Roman" w:hAnsi="Times New Roman" w:cs="Times New Roman" w:eastAsiaTheme="minorEastAsia"/>
          <w:b/>
          <w:bCs w:val="0"/>
          <w:color w:val="000000" w:themeColor="text1"/>
          <w:highlight w:val="none"/>
          <w:lang w:val="en-US" w:eastAsia="zh-CN"/>
          <w14:textFill>
            <w14:solidFill>
              <w14:schemeClr w14:val="tx1"/>
            </w14:solidFill>
          </w14:textFill>
        </w:rPr>
        <w:t>11</w:t>
      </w:r>
      <w:r>
        <w:rPr>
          <w:rFonts w:hint="default" w:ascii="Times New Roman" w:hAnsi="Times New Roman" w:cs="Times New Roman" w:eastAsiaTheme="minorEastAsia"/>
          <w:b/>
          <w:bCs w:val="0"/>
          <w:color w:val="000000" w:themeColor="text1"/>
          <w:highlight w:val="none"/>
          <w14:textFill>
            <w14:solidFill>
              <w14:schemeClr w14:val="tx1"/>
            </w14:solidFill>
          </w14:textFill>
        </w:rPr>
        <w:t>玉溪市滇中山地石漠化项目（澄江）</w:t>
      </w:r>
      <w:bookmarkEnd w:id="552"/>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（1）项目基本情况</w:t>
      </w:r>
    </w:p>
    <w:p>
      <w:pPr>
        <w:ind w:left="480" w:leftChars="200"/>
        <w:rPr>
          <w:rFonts w:hint="eastAsia" w:ascii="Times New Roman" w:hAnsi="Times New Roman" w:cs="Times New Roman" w:eastAsiaTheme="minorEastAsia"/>
          <w:bCs/>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1、项目规划</w:t>
      </w:r>
      <w:r>
        <w:rPr>
          <w:rFonts w:hint="eastAsia" w:cs="Times New Roman" w:eastAsiaTheme="minorEastAsia"/>
          <w:bCs/>
          <w:color w:val="000000" w:themeColor="text1"/>
          <w:highlight w:val="none"/>
          <w:lang w:eastAsia="zh-CN"/>
          <w14:textFill>
            <w14:solidFill>
              <w14:schemeClr w14:val="tx1"/>
            </w14:solidFill>
          </w14:textFill>
        </w:rPr>
        <w:t>内容</w:t>
      </w:r>
    </w:p>
    <w:p>
      <w:pPr>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项目</w:t>
      </w:r>
      <w:r>
        <w:rPr>
          <w:rFonts w:hint="eastAsia" w:cs="Times New Roman" w:eastAsiaTheme="minorEastAsia"/>
          <w:color w:val="000000" w:themeColor="text1"/>
          <w:highlight w:val="none"/>
          <w:lang w:eastAsia="zh-CN"/>
          <w14:textFill>
            <w14:solidFill>
              <w14:schemeClr w14:val="tx1"/>
            </w14:solidFill>
          </w14:textFill>
        </w:rPr>
        <w:t>规划</w:t>
      </w:r>
      <w:r>
        <w:rPr>
          <w:rFonts w:hint="default" w:ascii="Times New Roman" w:hAnsi="Times New Roman" w:cs="Times New Roman" w:eastAsiaTheme="minorEastAsia"/>
          <w:color w:val="000000" w:themeColor="text1"/>
          <w:highlight w:val="none"/>
          <w14:textFill>
            <w14:solidFill>
              <w14:schemeClr w14:val="tx1"/>
            </w14:solidFill>
          </w14:textFill>
        </w:rPr>
        <w:t>建设规模9.27万亩，其中：封山育林面积3.82万亩，退化林修复面积5.45万亩；荒漠生态系统综合治理工程为新建水利水保设施水窖（水池、谷坊等）99处。项目概算总投资为6208.46万元。</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规划实施年限：</w:t>
      </w:r>
      <w:r>
        <w:rPr>
          <w:rFonts w:hint="default" w:ascii="Times New Roman" w:hAnsi="Times New Roman" w:cs="Times New Roman" w:eastAsiaTheme="minorEastAsia"/>
          <w:bCs/>
          <w:color w:val="000000" w:themeColor="text1"/>
          <w:highlight w:val="none"/>
          <w14:textFill>
            <w14:solidFill>
              <w14:schemeClr w14:val="tx1"/>
            </w14:solidFill>
          </w14:textFill>
        </w:rPr>
        <w:t>202</w:t>
      </w:r>
      <w:r>
        <w:rPr>
          <w:rFonts w:hint="eastAsia" w:cs="Times New Roman" w:eastAsiaTheme="minorEastAsia"/>
          <w:bCs/>
          <w:color w:val="000000" w:themeColor="text1"/>
          <w:highlight w:val="none"/>
          <w:lang w:val="en-US" w:eastAsia="zh-CN"/>
          <w14:textFill>
            <w14:solidFill>
              <w14:schemeClr w14:val="tx1"/>
            </w14:solidFill>
          </w14:textFill>
        </w:rPr>
        <w:t>2</w:t>
      </w:r>
      <w:r>
        <w:rPr>
          <w:rFonts w:hint="default" w:ascii="Times New Roman" w:hAnsi="Times New Roman" w:cs="Times New Roman" w:eastAsiaTheme="minorEastAsia"/>
          <w:bCs/>
          <w:color w:val="000000" w:themeColor="text1"/>
          <w:highlight w:val="none"/>
          <w14:textFill>
            <w14:solidFill>
              <w14:schemeClr w14:val="tx1"/>
            </w14:solidFill>
          </w14:textFill>
        </w:rPr>
        <w:t>—2025年</w:t>
      </w:r>
    </w:p>
    <w:p>
      <w:pPr>
        <w:ind w:left="480" w:left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项目责任单位：玉溪市林业</w:t>
      </w:r>
      <w:r>
        <w:rPr>
          <w:rFonts w:hint="eastAsia" w:cs="Times New Roman" w:eastAsiaTheme="minorEastAsia"/>
          <w:bCs/>
          <w:color w:val="000000" w:themeColor="text1"/>
          <w:highlight w:val="none"/>
          <w:lang w:val="en-US" w:eastAsia="zh-CN"/>
          <w14:textFill>
            <w14:solidFill>
              <w14:schemeClr w14:val="tx1"/>
            </w14:solidFill>
          </w14:textFill>
        </w:rPr>
        <w:t>和</w:t>
      </w:r>
      <w:r>
        <w:rPr>
          <w:rFonts w:hint="default" w:ascii="Times New Roman" w:hAnsi="Times New Roman" w:cs="Times New Roman" w:eastAsiaTheme="minorEastAsia"/>
          <w:bCs/>
          <w:color w:val="000000" w:themeColor="text1"/>
          <w:highlight w:val="none"/>
          <w14:textFill>
            <w14:solidFill>
              <w14:schemeClr w14:val="tx1"/>
            </w14:solidFill>
          </w14:textFill>
        </w:rPr>
        <w:t>草原局</w:t>
      </w:r>
    </w:p>
    <w:p>
      <w:pPr>
        <w:numPr>
          <w:ilvl w:val="0"/>
          <w:numId w:val="0"/>
        </w:numPr>
        <w:ind w:leftChars="200"/>
        <w:rPr>
          <w:rFonts w:hint="eastAsia" w:cs="Times New Roman" w:eastAsiaTheme="minorEastAsia"/>
          <w:color w:val="000000" w:themeColor="text1"/>
          <w:highlight w:val="none"/>
          <w:lang w:eastAsia="zh-CN"/>
          <w14:textFill>
            <w14:solidFill>
              <w14:schemeClr w14:val="tx1"/>
            </w14:solidFill>
          </w14:textFill>
        </w:rPr>
      </w:pPr>
      <w:r>
        <w:rPr>
          <w:rFonts w:hint="eastAsia" w:cs="Times New Roman" w:eastAsiaTheme="minorEastAsia"/>
          <w:bCs/>
          <w:color w:val="000000" w:themeColor="text1"/>
          <w:highlight w:val="none"/>
          <w:lang w:val="en-US" w:eastAsia="zh-CN"/>
          <w14:textFill>
            <w14:solidFill>
              <w14:schemeClr w14:val="tx1"/>
            </w14:solidFill>
          </w14:textFill>
        </w:rPr>
        <w:t>2、</w:t>
      </w:r>
      <w:r>
        <w:rPr>
          <w:rFonts w:hint="default" w:ascii="Times New Roman" w:hAnsi="Times New Roman" w:cs="Times New Roman" w:eastAsiaTheme="minorEastAsia"/>
          <w:bCs/>
          <w:color w:val="000000" w:themeColor="text1"/>
          <w:highlight w:val="none"/>
          <w14:textFill>
            <w14:solidFill>
              <w14:schemeClr w14:val="tx1"/>
            </w14:solidFill>
          </w14:textFill>
        </w:rPr>
        <w:t>项目设计情况</w:t>
      </w:r>
      <w:r>
        <w:rPr>
          <w:rFonts w:hint="default" w:ascii="Times New Roman" w:hAnsi="Times New Roman" w:cs="Times New Roman" w:eastAsiaTheme="minorEastAsia"/>
          <w:color w:val="000000" w:themeColor="text1"/>
          <w:highlight w:val="none"/>
          <w14:textFill>
            <w14:solidFill>
              <w14:schemeClr w14:val="tx1"/>
            </w14:solidFill>
          </w14:textFill>
        </w:rPr>
        <w:t>(注</w:t>
      </w:r>
      <w:r>
        <w:rPr>
          <w:rFonts w:hint="eastAsia"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该项内容来自初设批复</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玉</w:t>
      </w:r>
      <w:r>
        <w:rPr>
          <w:rFonts w:hint="eastAsia" w:cs="Times New Roman" w:eastAsiaTheme="minorEastAsia"/>
          <w:color w:val="000000" w:themeColor="text1"/>
          <w:highlight w:val="none"/>
          <w:lang w:val="en-US" w:eastAsia="zh-CN"/>
          <w14:textFill>
            <w14:solidFill>
              <w14:schemeClr w14:val="tx1"/>
            </w14:solidFill>
          </w14:textFill>
        </w:rPr>
        <w:t>发改农经复</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〔202</w:t>
      </w:r>
      <w:r>
        <w:rPr>
          <w:rFonts w:hint="eastAsia" w:cs="Times New Roman" w:eastAsiaTheme="minorEastAsia"/>
          <w:color w:val="000000" w:themeColor="text1"/>
          <w:highlight w:val="none"/>
          <w:lang w:val="en-US" w:eastAsia="zh-CN"/>
          <w14:textFill>
            <w14:solidFill>
              <w14:schemeClr w14:val="tx1"/>
            </w14:solidFill>
          </w14:textFill>
        </w:rPr>
        <w:t>2</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w:t>
      </w:r>
      <w:r>
        <w:rPr>
          <w:rFonts w:hint="eastAsia" w:cs="Times New Roman" w:eastAsiaTheme="minorEastAsia"/>
          <w:color w:val="000000" w:themeColor="text1"/>
          <w:highlight w:val="none"/>
          <w:lang w:val="en-US" w:eastAsia="zh-CN"/>
          <w14:textFill>
            <w14:solidFill>
              <w14:schemeClr w14:val="tx1"/>
            </w14:solidFill>
          </w14:textFill>
        </w:rPr>
        <w:t>6号</w:t>
      </w:r>
      <w:r>
        <w:rPr>
          <w:rFonts w:hint="eastAsia" w:cs="Times New Roman" w:eastAsiaTheme="minorEastAsia"/>
          <w:color w:val="000000" w:themeColor="text1"/>
          <w:highlight w:val="none"/>
          <w:lang w:eastAsia="zh-CN"/>
          <w14:textFill>
            <w14:solidFill>
              <w14:schemeClr w14:val="tx1"/>
            </w14:solidFill>
          </w14:textFill>
        </w:rPr>
        <w:t>）</w:t>
      </w:r>
    </w:p>
    <w:p>
      <w:pPr>
        <w:keepNext w:val="0"/>
        <w:keepLines w:val="0"/>
        <w:widowControl/>
        <w:suppressLineNumbers w:val="0"/>
        <w:ind w:firstLine="480" w:firstLineChars="200"/>
        <w:jc w:val="left"/>
        <w:rPr>
          <w:rFonts w:hint="eastAsia"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w:t>
      </w:r>
      <w:r>
        <w:rPr>
          <w:rFonts w:hint="eastAsia" w:cs="Times New Roman" w:eastAsiaTheme="minorEastAsia"/>
          <w:bCs/>
          <w:color w:val="000000" w:themeColor="text1"/>
          <w:highlight w:val="none"/>
          <w:lang w:val="en-US" w:eastAsia="zh-CN"/>
          <w14:textFill>
            <w14:solidFill>
              <w14:schemeClr w14:val="tx1"/>
            </w14:solidFill>
          </w14:textFill>
        </w:rPr>
        <w:t>为</w:t>
      </w:r>
      <w:r>
        <w:rPr>
          <w:rFonts w:hint="default" w:ascii="Times New Roman" w:hAnsi="Times New Roman" w:cs="Times New Roman" w:eastAsiaTheme="minorEastAsia"/>
          <w:b w:val="0"/>
          <w:color w:val="000000" w:themeColor="text1"/>
          <w:highlight w:val="none"/>
          <w14:textFill>
            <w14:solidFill>
              <w14:schemeClr w14:val="tx1"/>
            </w14:solidFill>
          </w14:textFill>
        </w:rPr>
        <w:t>玉溪市滇中山地石漠化项目</w:t>
      </w:r>
      <w:r>
        <w:rPr>
          <w:rFonts w:hint="eastAsia" w:cs="Times New Roman" w:eastAsiaTheme="minorEastAsia"/>
          <w:b w:val="0"/>
          <w:color w:val="000000" w:themeColor="text1"/>
          <w:highlight w:val="none"/>
          <w:lang w:val="en-US" w:eastAsia="zh-CN"/>
          <w14:textFill>
            <w14:solidFill>
              <w14:schemeClr w14:val="tx1"/>
            </w14:solidFill>
          </w14:textFill>
        </w:rPr>
        <w:t>子项目，涉及</w:t>
      </w:r>
      <w:r>
        <w:rPr>
          <w:rFonts w:hint="default" w:ascii="Times New Roman" w:hAnsi="Times New Roman" w:cs="Times New Roman" w:eastAsiaTheme="minorEastAsia"/>
          <w:b w:val="0"/>
          <w:color w:val="000000" w:themeColor="text1"/>
          <w:highlight w:val="none"/>
          <w14:textFill>
            <w14:solidFill>
              <w14:schemeClr w14:val="tx1"/>
            </w14:solidFill>
          </w14:textFill>
        </w:rPr>
        <w:t>澄江</w:t>
      </w:r>
      <w:r>
        <w:rPr>
          <w:rFonts w:hint="eastAsia" w:cs="Times New Roman" w:eastAsiaTheme="minorEastAsia"/>
          <w:b w:val="0"/>
          <w:color w:val="000000" w:themeColor="text1"/>
          <w:highlight w:val="none"/>
          <w:lang w:val="en-US" w:eastAsia="zh-CN"/>
          <w14:textFill>
            <w14:solidFill>
              <w14:schemeClr w14:val="tx1"/>
            </w14:solidFill>
          </w14:textFill>
        </w:rPr>
        <w:t>市和华宁县，其中</w:t>
      </w:r>
      <w:r>
        <w:rPr>
          <w:rFonts w:hint="default" w:ascii="Times New Roman" w:hAnsi="Times New Roman" w:cs="Times New Roman" w:eastAsiaTheme="minorEastAsia"/>
          <w:b w:val="0"/>
          <w:color w:val="000000" w:themeColor="text1"/>
          <w:highlight w:val="none"/>
          <w14:textFill>
            <w14:solidFill>
              <w14:schemeClr w14:val="tx1"/>
            </w14:solidFill>
          </w14:textFill>
        </w:rPr>
        <w:t>澄江</w:t>
      </w:r>
      <w:r>
        <w:rPr>
          <w:rFonts w:hint="eastAsia" w:cs="Times New Roman" w:eastAsiaTheme="minorEastAsia"/>
          <w:b w:val="0"/>
          <w:color w:val="000000" w:themeColor="text1"/>
          <w:highlight w:val="none"/>
          <w:lang w:val="en-US" w:eastAsia="zh-CN"/>
          <w14:textFill>
            <w14:solidFill>
              <w14:schemeClr w14:val="tx1"/>
            </w14:solidFill>
          </w14:textFill>
        </w:rPr>
        <w:t>市的</w:t>
      </w:r>
      <w:r>
        <w:rPr>
          <w:rFonts w:hint="eastAsia" w:cs="Times New Roman" w:eastAsiaTheme="minorEastAsia"/>
          <w:color w:val="000000" w:themeColor="text1"/>
          <w:highlight w:val="none"/>
          <w:lang w:val="en-US" w:eastAsia="zh-CN"/>
          <w14:textFill>
            <w14:solidFill>
              <w14:schemeClr w14:val="tx1"/>
            </w14:solidFill>
          </w14:textFill>
        </w:rPr>
        <w:t>工程内容：</w:t>
      </w:r>
    </w:p>
    <w:p>
      <w:pPr>
        <w:keepNext w:val="0"/>
        <w:keepLines w:val="0"/>
        <w:widowControl/>
        <w:suppressLineNumbers w:val="0"/>
        <w:ind w:firstLine="480" w:firstLineChars="200"/>
        <w:jc w:val="left"/>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eastAsia" w:cs="Times New Roman" w:eastAsiaTheme="minorEastAsia"/>
          <w:color w:val="000000" w:themeColor="text1"/>
          <w:highlight w:val="none"/>
          <w:lang w:val="en-US" w:eastAsia="zh-CN"/>
          <w14:textFill>
            <w14:solidFill>
              <w14:schemeClr w14:val="tx1"/>
            </w14:solidFill>
          </w14:textFill>
        </w:rPr>
        <w:t>澄江市项目综合治理面积9.27万亩，均为森林生态系统综合治理工程。其中:封山育林面积3.82万亩、退化林修复面积5.45万亩。封山育林含乔木型封育面积1.34万亩、乔灌型封育面积0.94万亩、灌木型封育面积1.53万亩、灌草型封育面积0.01万亩;退化林修复含抚育修复面积0.05万亩、更替修复面积2.25万亩、综合修复面积3.15万亩。荒漠生态系统综合治理工程为新建水利水保设施水窖(水池、谷坊等)99处。</w:t>
      </w:r>
    </w:p>
    <w:p>
      <w:pPr>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（2）项目实施情况</w:t>
      </w:r>
    </w:p>
    <w:p>
      <w:pPr>
        <w:ind w:firstLine="480" w:firstLineChars="200"/>
        <w:rPr>
          <w:rFonts w:hint="default" w:ascii="Times New Roman" w:hAnsi="Times New Roman" w:cs="Times New Roman" w:eastAsiaTheme="minorEastAsia"/>
          <w:bCs/>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该项目</w:t>
      </w:r>
      <w:r>
        <w:rPr>
          <w:rFonts w:hint="eastAsia" w:cs="Times New Roman" w:eastAsiaTheme="minorEastAsia"/>
          <w:bCs/>
          <w:color w:val="000000" w:themeColor="text1"/>
          <w:highlight w:val="none"/>
          <w:lang w:val="en-US" w:eastAsia="zh-CN"/>
          <w14:textFill>
            <w14:solidFill>
              <w14:schemeClr w14:val="tx1"/>
            </w14:solidFill>
          </w14:textFill>
        </w:rPr>
        <w:t>为</w:t>
      </w:r>
      <w:r>
        <w:rPr>
          <w:rFonts w:hint="default" w:ascii="Times New Roman" w:hAnsi="Times New Roman" w:cs="Times New Roman" w:eastAsiaTheme="minorEastAsia"/>
          <w:b w:val="0"/>
          <w:color w:val="000000" w:themeColor="text1"/>
          <w:highlight w:val="none"/>
          <w14:textFill>
            <w14:solidFill>
              <w14:schemeClr w14:val="tx1"/>
            </w14:solidFill>
          </w14:textFill>
        </w:rPr>
        <w:t>玉溪市滇中山地石漠化项目</w:t>
      </w:r>
      <w:r>
        <w:rPr>
          <w:rFonts w:hint="eastAsia" w:cs="Times New Roman" w:eastAsiaTheme="minorEastAsia"/>
          <w:b w:val="0"/>
          <w:color w:val="000000" w:themeColor="text1"/>
          <w:highlight w:val="none"/>
          <w:lang w:val="en-US" w:eastAsia="zh-CN"/>
          <w14:textFill>
            <w14:solidFill>
              <w14:schemeClr w14:val="tx1"/>
            </w14:solidFill>
          </w14:textFill>
        </w:rPr>
        <w:t>子项目，</w:t>
      </w:r>
      <w:r>
        <w:rPr>
          <w:rFonts w:hint="default" w:ascii="Times New Roman" w:hAnsi="Times New Roman" w:cs="Times New Roman" w:eastAsiaTheme="minorEastAsia"/>
          <w:b w:val="0"/>
          <w:color w:val="000000" w:themeColor="text1"/>
          <w:highlight w:val="none"/>
          <w14:textFill>
            <w14:solidFill>
              <w14:schemeClr w14:val="tx1"/>
            </w14:solidFill>
          </w14:textFill>
        </w:rPr>
        <w:t>澄江</w:t>
      </w:r>
      <w:r>
        <w:rPr>
          <w:rFonts w:hint="eastAsia" w:cs="Times New Roman" w:eastAsiaTheme="minorEastAsia"/>
          <w:b w:val="0"/>
          <w:color w:val="000000" w:themeColor="text1"/>
          <w:highlight w:val="none"/>
          <w:lang w:val="en-US" w:eastAsia="zh-CN"/>
          <w14:textFill>
            <w14:solidFill>
              <w14:schemeClr w14:val="tx1"/>
            </w14:solidFill>
          </w14:textFill>
        </w:rPr>
        <w:t>市</w:t>
      </w:r>
      <w:r>
        <w:rPr>
          <w:rFonts w:hint="default" w:ascii="Times New Roman" w:hAnsi="Times New Roman" w:cs="Times New Roman" w:eastAsiaTheme="minorEastAsia"/>
          <w:bCs/>
          <w:color w:val="000000" w:themeColor="text1"/>
          <w:highlight w:val="none"/>
          <w14:textFill>
            <w14:solidFill>
              <w14:schemeClr w14:val="tx1"/>
            </w14:solidFill>
          </w14:textFill>
        </w:rPr>
        <w:t>规划投资</w:t>
      </w:r>
      <w:r>
        <w:rPr>
          <w:rFonts w:hint="eastAsia" w:cs="Times New Roman" w:eastAsiaTheme="minorEastAsia"/>
          <w:bCs/>
          <w:color w:val="000000" w:themeColor="text1"/>
          <w:highlight w:val="none"/>
          <w:lang w:val="en-US" w:eastAsia="zh-CN"/>
          <w14:textFill>
            <w14:solidFill>
              <w14:schemeClr w14:val="tx1"/>
            </w14:solidFill>
          </w14:textFill>
        </w:rPr>
        <w:t>6200</w:t>
      </w:r>
      <w:r>
        <w:rPr>
          <w:rFonts w:hint="default" w:ascii="Times New Roman" w:hAnsi="Times New Roman" w:cs="Times New Roman" w:eastAsiaTheme="minorEastAsia"/>
          <w:bCs/>
          <w:color w:val="000000" w:themeColor="text1"/>
          <w:highlight w:val="none"/>
          <w14:textFill>
            <w14:solidFill>
              <w14:schemeClr w14:val="tx1"/>
            </w14:solidFill>
          </w14:textFill>
        </w:rPr>
        <w:t>万元</w:t>
      </w:r>
      <w:r>
        <w:rPr>
          <w:rFonts w:hint="eastAsia"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2022年度</w:t>
      </w:r>
      <w:r>
        <w:rPr>
          <w:rFonts w:hint="eastAsia" w:cs="Times New Roman" w:eastAsiaTheme="minorEastAsia"/>
          <w:bCs/>
          <w:color w:val="000000" w:themeColor="text1"/>
          <w:highlight w:val="none"/>
          <w:lang w:val="en-US" w:eastAsia="zh-CN"/>
          <w14:textFill>
            <w14:solidFill>
              <w14:schemeClr w14:val="tx1"/>
            </w14:solidFill>
          </w14:textFill>
        </w:rPr>
        <w:t>总项目</w:t>
      </w:r>
      <w:r>
        <w:rPr>
          <w:rFonts w:hint="default" w:ascii="Times New Roman" w:hAnsi="Times New Roman" w:cs="Times New Roman" w:eastAsiaTheme="minorEastAsia"/>
          <w:bCs/>
          <w:color w:val="000000" w:themeColor="text1"/>
          <w:highlight w:val="none"/>
          <w14:textFill>
            <w14:solidFill>
              <w14:schemeClr w14:val="tx1"/>
            </w14:solidFill>
          </w14:textFill>
        </w:rPr>
        <w:t>总投资4293万元（其中中央预算内投资2817万元，其他投资1476万元）。目前已完成建设及项目初验工作。2023年度</w:t>
      </w:r>
      <w:r>
        <w:rPr>
          <w:rFonts w:hint="eastAsia" w:cs="Times New Roman" w:eastAsiaTheme="minorEastAsia"/>
          <w:bCs/>
          <w:color w:val="000000" w:themeColor="text1"/>
          <w:highlight w:val="none"/>
          <w:lang w:val="en-US" w:eastAsia="zh-CN"/>
          <w14:textFill>
            <w14:solidFill>
              <w14:schemeClr w14:val="tx1"/>
            </w14:solidFill>
          </w14:textFill>
        </w:rPr>
        <w:t>总项目</w:t>
      </w:r>
      <w:r>
        <w:rPr>
          <w:rFonts w:hint="default" w:ascii="Times New Roman" w:hAnsi="Times New Roman" w:cs="Times New Roman" w:eastAsiaTheme="minorEastAsia"/>
          <w:bCs/>
          <w:color w:val="000000" w:themeColor="text1"/>
          <w:highlight w:val="none"/>
          <w14:textFill>
            <w14:solidFill>
              <w14:schemeClr w14:val="tx1"/>
            </w14:solidFill>
          </w14:textFill>
        </w:rPr>
        <w:t>下达玉溪市实施营造林9.1567万亩（其中封山育林5.72万亩，退化林修复2.9667万亩，人工造乔木林0.47万亩），草原改良0.08万亩，围栏封育0.96万米，年度总投资2949万元（中央投资），目前已完成项目建设。该项目</w:t>
      </w:r>
      <w:r>
        <w:rPr>
          <w:rFonts w:hint="eastAsia" w:cs="Times New Roman" w:eastAsiaTheme="minorEastAsia"/>
          <w:bCs/>
          <w:color w:val="000000" w:themeColor="text1"/>
          <w:highlight w:val="none"/>
          <w:lang w:eastAsia="zh-CN"/>
          <w14:textFill>
            <w14:solidFill>
              <w14:schemeClr w14:val="tx1"/>
            </w14:solidFill>
          </w14:textFill>
        </w:rPr>
        <w:t>目前</w:t>
      </w:r>
      <w:r>
        <w:rPr>
          <w:rFonts w:hint="default" w:ascii="Times New Roman" w:hAnsi="Times New Roman" w:cs="Times New Roman" w:eastAsiaTheme="minorEastAsia"/>
          <w:bCs/>
          <w:color w:val="000000" w:themeColor="text1"/>
          <w:highlight w:val="none"/>
          <w14:textFill>
            <w14:solidFill>
              <w14:schemeClr w14:val="tx1"/>
            </w14:solidFill>
          </w14:textFill>
        </w:rPr>
        <w:t>处于</w:t>
      </w:r>
      <w:r>
        <w:rPr>
          <w:rFonts w:hint="eastAsia" w:cs="Times New Roman" w:eastAsiaTheme="minorEastAsia"/>
          <w:bCs/>
          <w:color w:val="000000" w:themeColor="text1"/>
          <w:highlight w:val="none"/>
          <w:lang w:val="en-US" w:eastAsia="zh-CN"/>
          <w14:textFill>
            <w14:solidFill>
              <w14:schemeClr w14:val="tx1"/>
            </w14:solidFill>
          </w14:textFill>
        </w:rPr>
        <w:t>在建</w:t>
      </w:r>
      <w:r>
        <w:rPr>
          <w:rFonts w:hint="default" w:ascii="Times New Roman" w:hAnsi="Times New Roman" w:cs="Times New Roman" w:eastAsiaTheme="minorEastAsia"/>
          <w:bCs/>
          <w:color w:val="000000" w:themeColor="text1"/>
          <w:highlight w:val="none"/>
          <w14:textFill>
            <w14:solidFill>
              <w14:schemeClr w14:val="tx1"/>
            </w14:solidFill>
          </w14:textFill>
        </w:rPr>
        <w:t>工作阶段。</w:t>
      </w:r>
    </w:p>
    <w:p>
      <w:pP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（3）项目调</w:t>
      </w:r>
      <w:r>
        <w:rPr>
          <w:rFonts w:hint="eastAsia" w:cs="Times New Roman" w:eastAsiaTheme="minorEastAsia"/>
          <w:bCs/>
          <w:color w:val="000000" w:themeColor="text1"/>
          <w:highlight w:val="none"/>
          <w:lang w:eastAsia="zh-CN"/>
          <w14:textFill>
            <w14:solidFill>
              <w14:schemeClr w14:val="tx1"/>
            </w14:solidFill>
          </w14:textFill>
        </w:rPr>
        <w:t>整</w:t>
      </w:r>
      <w:r>
        <w:rPr>
          <w:rFonts w:hint="default" w:ascii="Times New Roman" w:hAnsi="Times New Roman" w:cs="Times New Roman" w:eastAsiaTheme="minorEastAsia"/>
          <w:bCs/>
          <w:color w:val="000000" w:themeColor="text1"/>
          <w:highlight w:val="none"/>
          <w14:textFill>
            <w14:solidFill>
              <w14:schemeClr w14:val="tx1"/>
            </w14:solidFill>
          </w14:textFill>
        </w:rPr>
        <w:t>原因</w:t>
      </w:r>
    </w:p>
    <w:p>
      <w:pPr>
        <w:keepNext w:val="0"/>
        <w:keepLines w:val="0"/>
        <w:widowControl/>
        <w:suppressLineNumbers w:val="0"/>
        <w:ind w:firstLine="480" w:firstLineChars="200"/>
        <w:jc w:val="left"/>
        <w:rPr>
          <w:rFonts w:hint="default"/>
          <w:color w:val="000000" w:themeColor="text1"/>
          <w:highlight w:val="none"/>
          <w14:textFill>
            <w14:solidFill>
              <w14:schemeClr w14:val="tx1"/>
            </w14:solidFill>
          </w14:textFill>
        </w:rPr>
      </w:pPr>
      <w:r>
        <w:rPr>
          <w:rFonts w:hint="eastAsia" w:cs="Times New Roman" w:eastAsiaTheme="minorEastAsia"/>
          <w:bCs/>
          <w:color w:val="000000" w:themeColor="text1"/>
          <w:highlight w:val="none"/>
          <w:lang w:eastAsia="zh-CN"/>
          <w14:textFill>
            <w14:solidFill>
              <w14:schemeClr w14:val="tx1"/>
            </w14:solidFill>
          </w14:textFill>
        </w:rPr>
        <w:t>依据</w:t>
      </w:r>
      <w:r>
        <w:rPr>
          <w:rFonts w:hint="eastAsia"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云南省“十四五”九大高原湖泊保护治理规划中期评估报告</w:t>
      </w:r>
      <w:r>
        <w:rPr>
          <w:rFonts w:hint="eastAsia" w:cs="Times New Roman" w:eastAsiaTheme="minorEastAsia"/>
          <w:bCs/>
          <w:color w:val="000000" w:themeColor="text1"/>
          <w:highlight w:val="none"/>
          <w:lang w:eastAsia="zh-CN"/>
          <w14:textFill>
            <w14:solidFill>
              <w14:schemeClr w14:val="tx1"/>
            </w14:solidFill>
          </w14:textFill>
        </w:rPr>
        <w:t>》</w:t>
      </w:r>
      <w:r>
        <w:rPr>
          <w:rFonts w:hint="eastAsia" w:cs="Times New Roman" w:eastAsiaTheme="minorEastAsia"/>
          <w:bCs/>
          <w:color w:val="000000" w:themeColor="text1"/>
          <w:highlight w:val="none"/>
          <w:lang w:val="en-US" w:eastAsia="zh-CN"/>
          <w14:textFill>
            <w14:solidFill>
              <w14:schemeClr w14:val="tx1"/>
            </w14:solidFill>
          </w14:textFill>
        </w:rPr>
        <w:t>（云水发〔2023〕90号）</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w:t>
      </w:r>
      <w:r>
        <w:rPr>
          <w:rFonts w:hint="eastAsia" w:cs="Times New Roman" w:eastAsiaTheme="minorEastAsia"/>
          <w:bCs/>
          <w:color w:val="000000" w:themeColor="text1"/>
          <w:highlight w:val="none"/>
          <w:lang w:val="en-US" w:eastAsia="zh-CN"/>
          <w14:textFill>
            <w14:solidFill>
              <w14:schemeClr w14:val="tx1"/>
            </w14:solidFill>
          </w14:textFill>
        </w:rPr>
        <w:t>将该项目</w:t>
      </w:r>
      <w:r>
        <w:rPr>
          <w:rFonts w:hint="eastAsia" w:cs="Times New Roman" w:eastAsiaTheme="minorEastAsia"/>
          <w:color w:val="000000" w:themeColor="text1"/>
          <w:highlight w:val="none"/>
          <w:lang w:eastAsia="zh-CN"/>
          <w14:textFill>
            <w14:solidFill>
              <w14:schemeClr w14:val="tx1"/>
            </w14:solidFill>
          </w14:textFill>
        </w:rPr>
        <w:t>列为新增项目。</w:t>
      </w:r>
    </w:p>
    <w:p>
      <w:pPr>
        <w:pStyle w:val="4"/>
        <w:spacing w:before="120" w:after="120" w:line="480" w:lineRule="auto"/>
        <w:rPr>
          <w:rFonts w:hint="default" w:ascii="Times New Roman" w:hAnsi="Times New Roman" w:cs="Times New Roman" w:eastAsiaTheme="minorEastAsia"/>
          <w:bCs/>
          <w:color w:val="000000" w:themeColor="text1"/>
          <w:highlight w:val="none"/>
          <w14:textFill>
            <w14:solidFill>
              <w14:schemeClr w14:val="tx1"/>
            </w14:solidFill>
          </w14:textFill>
        </w:rPr>
      </w:pPr>
      <w:bookmarkStart w:id="553" w:name="_Toc9313"/>
      <w:r>
        <w:rPr>
          <w:rFonts w:hint="default" w:ascii="Times New Roman" w:hAnsi="Times New Roman" w:cs="Times New Roman" w:eastAsiaTheme="minorEastAsia"/>
          <w:color w:val="000000" w:themeColor="text1"/>
          <w:highlight w:val="none"/>
          <w14:textFill>
            <w14:solidFill>
              <w14:schemeClr w14:val="tx1"/>
            </w14:solidFill>
          </w14:textFill>
        </w:rPr>
        <w:t>6.</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6</w:t>
      </w:r>
      <w:r>
        <w:rPr>
          <w:rFonts w:hint="default" w:ascii="Times New Roman" w:hAnsi="Times New Roman" w:cs="Times New Roman" w:eastAsiaTheme="minorEastAsia"/>
          <w:color w:val="000000" w:themeColor="text1"/>
          <w:highlight w:val="none"/>
          <w14:textFill>
            <w14:solidFill>
              <w14:schemeClr w14:val="tx1"/>
            </w14:solidFill>
          </w14:textFill>
        </w:rPr>
        <w:t>调整后“十四五”规划项目总体情况</w:t>
      </w:r>
      <w:bookmarkEnd w:id="553"/>
    </w:p>
    <w:p>
      <w:pPr>
        <w:widowControl/>
        <w:ind w:firstLine="480" w:firstLineChars="200"/>
        <w:jc w:val="left"/>
        <w:rPr>
          <w:rFonts w:hint="eastAsia" w:cs="Times New Roman" w:eastAsiaTheme="minorEastAsia"/>
          <w:bCs/>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highlight w:val="none"/>
          <w14:textFill>
            <w14:solidFill>
              <w14:schemeClr w14:val="tx1"/>
            </w14:solidFill>
          </w14:textFill>
        </w:rPr>
        <w:t>规划调整后，规划项目共计</w:t>
      </w:r>
      <w:r>
        <w:rPr>
          <w:rFonts w:hint="eastAsia" w:cs="Times New Roman" w:eastAsiaTheme="minorEastAsia"/>
          <w:bCs/>
          <w:color w:val="000000" w:themeColor="text1"/>
          <w:highlight w:val="none"/>
          <w:lang w:val="en-US" w:eastAsia="zh-CN"/>
          <w14:textFill>
            <w14:solidFill>
              <w14:schemeClr w14:val="tx1"/>
            </w14:solidFill>
          </w14:textFill>
        </w:rPr>
        <w:t>33</w:t>
      </w:r>
      <w:r>
        <w:rPr>
          <w:rFonts w:hint="default" w:ascii="Times New Roman" w:hAnsi="Times New Roman" w:cs="Times New Roman" w:eastAsiaTheme="minorEastAsia"/>
          <w:bCs/>
          <w:color w:val="000000" w:themeColor="text1"/>
          <w:highlight w:val="none"/>
          <w14:textFill>
            <w14:solidFill>
              <w14:schemeClr w14:val="tx1"/>
            </w14:solidFill>
          </w14:textFill>
        </w:rPr>
        <w:t>个</w:t>
      </w:r>
      <w:r>
        <w:rPr>
          <w:rFonts w:hint="eastAsia" w:cs="Times New Roman" w:eastAsiaTheme="minorEastAsia"/>
          <w:bCs/>
          <w:color w:val="000000" w:themeColor="text1"/>
          <w:highlight w:val="none"/>
          <w:lang w:eastAsia="zh-CN"/>
          <w14:textFill>
            <w14:solidFill>
              <w14:schemeClr w14:val="tx1"/>
            </w14:solidFill>
          </w14:textFill>
        </w:rPr>
        <w:t>，</w:t>
      </w:r>
      <w:r>
        <w:rPr>
          <w:rFonts w:hint="eastAsia" w:cs="Times New Roman" w:eastAsiaTheme="minorEastAsia"/>
          <w:bCs/>
          <w:color w:val="000000" w:themeColor="text1"/>
          <w:highlight w:val="none"/>
          <w:lang w:val="en-US" w:eastAsia="zh-CN"/>
          <w14:textFill>
            <w14:solidFill>
              <w14:schemeClr w14:val="tx1"/>
            </w14:solidFill>
          </w14:textFill>
        </w:rPr>
        <w:t>其中2个储备项目，</w:t>
      </w:r>
      <w:r>
        <w:rPr>
          <w:rFonts w:hint="default" w:ascii="Times New Roman" w:hAnsi="Times New Roman" w:cs="Times New Roman" w:eastAsiaTheme="minorEastAsia"/>
          <w:bCs/>
          <w:color w:val="000000" w:themeColor="text1"/>
          <w:highlight w:val="none"/>
          <w14:textFill>
            <w14:solidFill>
              <w14:schemeClr w14:val="tx1"/>
            </w14:solidFill>
          </w14:textFill>
        </w:rPr>
        <w:t>规划总投资</w:t>
      </w:r>
      <w:r>
        <w:rPr>
          <w:rFonts w:hint="eastAsia" w:cs="Times New Roman" w:eastAsiaTheme="minorEastAsia"/>
          <w:bCs/>
          <w:color w:val="000000" w:themeColor="text1"/>
          <w:highlight w:val="none"/>
          <w:lang w:val="en-US" w:eastAsia="zh-CN"/>
          <w14:textFill>
            <w14:solidFill>
              <w14:schemeClr w14:val="tx1"/>
            </w14:solidFill>
          </w14:textFill>
        </w:rPr>
        <w:t>677670.09</w:t>
      </w:r>
      <w:r>
        <w:rPr>
          <w:rFonts w:hint="default" w:ascii="Times New Roman" w:hAnsi="Times New Roman" w:cs="Times New Roman" w:eastAsiaTheme="minorEastAsia"/>
          <w:bCs/>
          <w:color w:val="000000" w:themeColor="text1"/>
          <w:highlight w:val="none"/>
          <w14:textFill>
            <w14:solidFill>
              <w14:schemeClr w14:val="tx1"/>
            </w14:solidFill>
          </w14:textFill>
        </w:rPr>
        <w:t>万元（</w:t>
      </w:r>
      <w:r>
        <w:rPr>
          <w:rFonts w:hint="default" w:ascii="Times New Roman" w:hAnsi="Times New Roman" w:cs="Times New Roman" w:eastAsiaTheme="minorEastAsia"/>
          <w:bCs/>
          <w:color w:val="000000" w:themeColor="text1"/>
          <w:highlight w:val="none"/>
          <w:lang w:eastAsia="zh-CN"/>
          <w14:textFill>
            <w14:solidFill>
              <w14:schemeClr w14:val="tx1"/>
            </w14:solidFill>
          </w14:textFill>
        </w:rPr>
        <w:t>不</w:t>
      </w:r>
      <w:r>
        <w:rPr>
          <w:rFonts w:hint="default" w:ascii="Times New Roman" w:hAnsi="Times New Roman" w:cs="Times New Roman" w:eastAsiaTheme="minorEastAsia"/>
          <w:bCs/>
          <w:color w:val="000000" w:themeColor="text1"/>
          <w:highlight w:val="none"/>
          <w14:textFill>
            <w14:solidFill>
              <w14:schemeClr w14:val="tx1"/>
            </w14:solidFill>
          </w14:textFill>
        </w:rPr>
        <w:t>包括滇中引水二期配套工程-澄江干线项目2026年投资金额6000万元），共计减少投资</w:t>
      </w:r>
      <w:r>
        <w:rPr>
          <w:rFonts w:hint="eastAsia" w:cs="Times New Roman" w:eastAsiaTheme="minorEastAsia"/>
          <w:bCs/>
          <w:color w:val="000000" w:themeColor="text1"/>
          <w:highlight w:val="none"/>
          <w:lang w:val="en-US" w:eastAsia="zh-CN"/>
          <w14:textFill>
            <w14:solidFill>
              <w14:schemeClr w14:val="tx1"/>
            </w14:solidFill>
          </w14:textFill>
        </w:rPr>
        <w:t>71512.21</w:t>
      </w:r>
      <w:r>
        <w:rPr>
          <w:rFonts w:hint="default" w:ascii="Times New Roman" w:hAnsi="Times New Roman" w:cs="Times New Roman" w:eastAsiaTheme="minorEastAsia"/>
          <w:bCs/>
          <w:color w:val="000000" w:themeColor="text1"/>
          <w:highlight w:val="none"/>
          <w14:textFill>
            <w14:solidFill>
              <w14:schemeClr w14:val="tx1"/>
            </w14:solidFill>
          </w14:textFill>
        </w:rPr>
        <w:t>万元</w:t>
      </w:r>
      <w:r>
        <w:rPr>
          <w:rFonts w:hint="eastAsia" w:cs="Times New Roman" w:eastAsiaTheme="minorEastAsia"/>
          <w:bCs/>
          <w:color w:val="000000" w:themeColor="text1"/>
          <w:highlight w:val="none"/>
          <w:lang w:eastAsia="zh-CN"/>
          <w14:textFill>
            <w14:solidFill>
              <w14:schemeClr w14:val="tx1"/>
            </w14:solidFill>
          </w14:textFill>
        </w:rPr>
        <w:t>。</w:t>
      </w:r>
    </w:p>
    <w:p>
      <w:pPr>
        <w:widowControl/>
        <w:ind w:firstLine="480" w:firstLineChars="200"/>
        <w:jc w:val="left"/>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pPr>
      <w:r>
        <w:rPr>
          <w:rFonts w:hint="eastAsia" w:cs="Times New Roman" w:eastAsiaTheme="minorEastAsia"/>
          <w:bCs/>
          <w:color w:val="000000" w:themeColor="text1"/>
          <w:highlight w:val="none"/>
          <w:lang w:eastAsia="zh-CN"/>
          <w14:textFill>
            <w14:solidFill>
              <w14:schemeClr w14:val="tx1"/>
            </w14:solidFill>
          </w14:textFill>
        </w:rPr>
        <w:t>依据</w:t>
      </w:r>
      <w:r>
        <w:rPr>
          <w:rFonts w:hint="eastAsia" w:ascii="Times New Roman" w:hAnsi="Times New Roman"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lang w:val="en-US" w:eastAsia="zh-CN"/>
          <w14:textFill>
            <w14:solidFill>
              <w14:schemeClr w14:val="tx1"/>
            </w14:solidFill>
          </w14:textFill>
        </w:rPr>
        <w:t>云南省“十四五”九大高原湖泊保护治理规划中期评估报告</w:t>
      </w:r>
      <w:r>
        <w:rPr>
          <w:rFonts w:hint="eastAsia" w:cs="Times New Roman" w:eastAsiaTheme="minorEastAsia"/>
          <w:bCs/>
          <w:color w:val="000000" w:themeColor="text1"/>
          <w:highlight w:val="none"/>
          <w:lang w:eastAsia="zh-CN"/>
          <w14:textFill>
            <w14:solidFill>
              <w14:schemeClr w14:val="tx1"/>
            </w14:solidFill>
          </w14:textFill>
        </w:rPr>
        <w:t>》（云水发〔2023〕90号）</w:t>
      </w:r>
      <w:r>
        <w:rPr>
          <w:rFonts w:hint="eastAsia" w:cs="Times New Roman" w:eastAsiaTheme="minorEastAsia"/>
          <w:bCs/>
          <w:color w:val="000000" w:themeColor="text1"/>
          <w:highlight w:val="none"/>
          <w:lang w:val="en-US" w:eastAsia="zh-CN"/>
          <w14:textFill>
            <w14:solidFill>
              <w14:schemeClr w14:val="tx1"/>
            </w14:solidFill>
          </w14:textFill>
        </w:rPr>
        <w:t>，规划项目类别改为“污水”工程类、“活水”工程类、“净水”工程类、“源水”工程类、空间管控类、河湖监测调度及监管类、基础研究类。</w:t>
      </w:r>
      <w:r>
        <w:rPr>
          <w:rFonts w:hint="default" w:ascii="Times New Roman" w:hAnsi="Times New Roman" w:cs="Times New Roman" w:eastAsiaTheme="minorEastAsia"/>
          <w:bCs/>
          <w:color w:val="000000" w:themeColor="text1"/>
          <w:highlight w:val="none"/>
          <w14:textFill>
            <w14:solidFill>
              <w14:schemeClr w14:val="tx1"/>
            </w14:solidFill>
          </w14:textFill>
        </w:rPr>
        <w:t>其中</w:t>
      </w:r>
      <w:r>
        <w:rPr>
          <w:rFonts w:hint="eastAsia" w:cs="Times New Roman" w:eastAsiaTheme="minorEastAsia"/>
          <w:bCs/>
          <w:color w:val="000000" w:themeColor="text1"/>
          <w:highlight w:val="none"/>
          <w:lang w:val="en-US" w:eastAsia="zh-CN"/>
          <w14:textFill>
            <w14:solidFill>
              <w14:schemeClr w14:val="tx1"/>
            </w14:solidFill>
          </w14:textFill>
        </w:rPr>
        <w:t>“污水”工程类</w:t>
      </w:r>
      <w:r>
        <w:rPr>
          <w:rFonts w:hint="default" w:ascii="Times New Roman" w:hAnsi="Times New Roman" w:cs="Times New Roman" w:eastAsiaTheme="minorEastAsia"/>
          <w:bCs/>
          <w:color w:val="000000" w:themeColor="text1"/>
          <w:highlight w:val="none"/>
          <w14:textFill>
            <w14:solidFill>
              <w14:schemeClr w14:val="tx1"/>
            </w14:solidFill>
          </w14:textFill>
        </w:rPr>
        <w:t>项目</w:t>
      </w:r>
      <w:r>
        <w:rPr>
          <w:rFonts w:hint="eastAsia" w:cs="Times New Roman" w:eastAsiaTheme="minorEastAsia"/>
          <w:bCs/>
          <w:color w:val="000000" w:themeColor="text1"/>
          <w:highlight w:val="none"/>
          <w:lang w:val="en-US" w:eastAsia="zh-CN"/>
          <w14:textFill>
            <w14:solidFill>
              <w14:schemeClr w14:val="tx1"/>
            </w14:solidFill>
          </w14:textFill>
        </w:rPr>
        <w:t>4</w:t>
      </w:r>
      <w:r>
        <w:rPr>
          <w:rFonts w:hint="default" w:ascii="Times New Roman" w:hAnsi="Times New Roman" w:cs="Times New Roman" w:eastAsiaTheme="minorEastAsia"/>
          <w:bCs/>
          <w:color w:val="000000" w:themeColor="text1"/>
          <w:highlight w:val="none"/>
          <w14:textFill>
            <w14:solidFill>
              <w14:schemeClr w14:val="tx1"/>
            </w14:solidFill>
          </w14:textFill>
        </w:rPr>
        <w:t>个，规划投资</w:t>
      </w:r>
      <w:r>
        <w:rPr>
          <w:rFonts w:hint="eastAsia" w:cs="Times New Roman" w:eastAsiaTheme="minorEastAsia"/>
          <w:bCs/>
          <w:color w:val="000000" w:themeColor="text1"/>
          <w:highlight w:val="none"/>
          <w:lang w:val="en-US" w:eastAsia="zh-CN"/>
          <w14:textFill>
            <w14:solidFill>
              <w14:schemeClr w14:val="tx1"/>
            </w14:solidFill>
          </w14:textFill>
        </w:rPr>
        <w:t>121132</w:t>
      </w:r>
      <w:r>
        <w:rPr>
          <w:rFonts w:hint="default" w:ascii="Times New Roman" w:hAnsi="Times New Roman" w:cs="Times New Roman" w:eastAsiaTheme="minorEastAsia"/>
          <w:bCs/>
          <w:color w:val="000000" w:themeColor="text1"/>
          <w:highlight w:val="none"/>
          <w14:textFill>
            <w14:solidFill>
              <w14:schemeClr w14:val="tx1"/>
            </w14:solidFill>
          </w14:textFill>
        </w:rPr>
        <w:t>万元</w:t>
      </w:r>
      <w:r>
        <w:rPr>
          <w:rFonts w:hint="eastAsia" w:cs="Times New Roman" w:eastAsiaTheme="minorEastAsia"/>
          <w:bCs/>
          <w:color w:val="000000" w:themeColor="text1"/>
          <w:highlight w:val="none"/>
          <w:lang w:eastAsia="zh-CN"/>
          <w14:textFill>
            <w14:solidFill>
              <w14:schemeClr w14:val="tx1"/>
            </w14:solidFill>
          </w14:textFill>
        </w:rPr>
        <w:t>，</w:t>
      </w:r>
      <w:r>
        <w:rPr>
          <w:rFonts w:hint="eastAsia" w:cs="Times New Roman" w:eastAsiaTheme="minorEastAsia"/>
          <w:bCs/>
          <w:color w:val="000000" w:themeColor="text1"/>
          <w:highlight w:val="none"/>
          <w:lang w:val="en-US" w:eastAsia="zh-CN"/>
          <w14:textFill>
            <w14:solidFill>
              <w14:schemeClr w14:val="tx1"/>
            </w14:solidFill>
          </w14:textFill>
        </w:rPr>
        <w:t>“活水”工程类</w:t>
      </w:r>
      <w:r>
        <w:rPr>
          <w:rFonts w:hint="default" w:ascii="Times New Roman" w:hAnsi="Times New Roman" w:cs="Times New Roman" w:eastAsiaTheme="minorEastAsia"/>
          <w:bCs/>
          <w:color w:val="000000" w:themeColor="text1"/>
          <w:highlight w:val="none"/>
          <w14:textFill>
            <w14:solidFill>
              <w14:schemeClr w14:val="tx1"/>
            </w14:solidFill>
          </w14:textFill>
        </w:rPr>
        <w:t>项目</w:t>
      </w:r>
      <w:r>
        <w:rPr>
          <w:rFonts w:hint="eastAsia" w:cs="Times New Roman" w:eastAsiaTheme="minorEastAsia"/>
          <w:bCs/>
          <w:color w:val="000000" w:themeColor="text1"/>
          <w:highlight w:val="none"/>
          <w:lang w:val="en-US" w:eastAsia="zh-CN"/>
          <w14:textFill>
            <w14:solidFill>
              <w14:schemeClr w14:val="tx1"/>
            </w14:solidFill>
          </w14:textFill>
        </w:rPr>
        <w:t>4</w:t>
      </w:r>
      <w:r>
        <w:rPr>
          <w:rFonts w:hint="default" w:ascii="Times New Roman" w:hAnsi="Times New Roman" w:cs="Times New Roman" w:eastAsiaTheme="minorEastAsia"/>
          <w:bCs/>
          <w:color w:val="000000" w:themeColor="text1"/>
          <w:highlight w:val="none"/>
          <w14:textFill>
            <w14:solidFill>
              <w14:schemeClr w14:val="tx1"/>
            </w14:solidFill>
          </w14:textFill>
        </w:rPr>
        <w:t>个，规划投资</w:t>
      </w:r>
      <w:r>
        <w:rPr>
          <w:rFonts w:hint="eastAsia" w:cs="Times New Roman" w:eastAsiaTheme="minorEastAsia"/>
          <w:bCs/>
          <w:color w:val="000000" w:themeColor="text1"/>
          <w:highlight w:val="none"/>
          <w:lang w:val="en-US" w:eastAsia="zh-CN"/>
          <w14:textFill>
            <w14:solidFill>
              <w14:schemeClr w14:val="tx1"/>
            </w14:solidFill>
          </w14:textFill>
        </w:rPr>
        <w:t>88583</w:t>
      </w:r>
      <w:r>
        <w:rPr>
          <w:rFonts w:hint="default" w:ascii="Times New Roman" w:hAnsi="Times New Roman" w:cs="Times New Roman" w:eastAsiaTheme="minorEastAsia"/>
          <w:bCs/>
          <w:color w:val="000000" w:themeColor="text1"/>
          <w:highlight w:val="none"/>
          <w14:textFill>
            <w14:solidFill>
              <w14:schemeClr w14:val="tx1"/>
            </w14:solidFill>
          </w14:textFill>
        </w:rPr>
        <w:t>万元</w:t>
      </w:r>
      <w:r>
        <w:rPr>
          <w:rFonts w:hint="eastAsia" w:cs="Times New Roman" w:eastAsiaTheme="minorEastAsia"/>
          <w:bCs/>
          <w:color w:val="000000" w:themeColor="text1"/>
          <w:highlight w:val="none"/>
          <w:lang w:eastAsia="zh-CN"/>
          <w14:textFill>
            <w14:solidFill>
              <w14:schemeClr w14:val="tx1"/>
            </w14:solidFill>
          </w14:textFill>
        </w:rPr>
        <w:t>，“净水”工程类</w:t>
      </w:r>
      <w:r>
        <w:rPr>
          <w:rFonts w:hint="default" w:ascii="Times New Roman" w:hAnsi="Times New Roman" w:cs="Times New Roman" w:eastAsiaTheme="minorEastAsia"/>
          <w:bCs/>
          <w:color w:val="000000" w:themeColor="text1"/>
          <w:highlight w:val="none"/>
          <w14:textFill>
            <w14:solidFill>
              <w14:schemeClr w14:val="tx1"/>
            </w14:solidFill>
          </w14:textFill>
        </w:rPr>
        <w:t>项目1个，规划投资</w:t>
      </w:r>
      <w:r>
        <w:rPr>
          <w:rFonts w:hint="eastAsia" w:cs="Times New Roman" w:eastAsiaTheme="minorEastAsia"/>
          <w:bCs/>
          <w:color w:val="000000" w:themeColor="text1"/>
          <w:highlight w:val="none"/>
          <w:lang w:val="en-US" w:eastAsia="zh-CN"/>
          <w14:textFill>
            <w14:solidFill>
              <w14:schemeClr w14:val="tx1"/>
            </w14:solidFill>
          </w14:textFill>
        </w:rPr>
        <w:t>100</w:t>
      </w:r>
      <w:r>
        <w:rPr>
          <w:rFonts w:hint="default" w:ascii="Times New Roman" w:hAnsi="Times New Roman" w:cs="Times New Roman" w:eastAsiaTheme="minorEastAsia"/>
          <w:bCs/>
          <w:color w:val="000000" w:themeColor="text1"/>
          <w:highlight w:val="none"/>
          <w14:textFill>
            <w14:solidFill>
              <w14:schemeClr w14:val="tx1"/>
            </w14:solidFill>
          </w14:textFill>
        </w:rPr>
        <w:t>00万元</w:t>
      </w:r>
      <w:r>
        <w:rPr>
          <w:rFonts w:hint="eastAsia" w:cs="Times New Roman" w:eastAsiaTheme="minorEastAsia"/>
          <w:bCs/>
          <w:color w:val="000000" w:themeColor="text1"/>
          <w:highlight w:val="none"/>
          <w:lang w:eastAsia="zh-CN"/>
          <w14:textFill>
            <w14:solidFill>
              <w14:schemeClr w14:val="tx1"/>
            </w14:solidFill>
          </w14:textFill>
        </w:rPr>
        <w:t>，</w:t>
      </w:r>
      <w:r>
        <w:rPr>
          <w:rFonts w:hint="eastAsia" w:cs="Times New Roman" w:eastAsiaTheme="minorEastAsia"/>
          <w:bCs/>
          <w:color w:val="000000" w:themeColor="text1"/>
          <w:highlight w:val="none"/>
          <w:lang w:val="en-US" w:eastAsia="zh-CN"/>
          <w14:textFill>
            <w14:solidFill>
              <w14:schemeClr w14:val="tx1"/>
            </w14:solidFill>
          </w14:textFill>
        </w:rPr>
        <w:t>“源水”工程类</w:t>
      </w:r>
      <w:r>
        <w:rPr>
          <w:rFonts w:hint="default" w:ascii="Times New Roman" w:hAnsi="Times New Roman" w:cs="Times New Roman" w:eastAsiaTheme="minorEastAsia"/>
          <w:bCs/>
          <w:color w:val="000000" w:themeColor="text1"/>
          <w:highlight w:val="none"/>
          <w14:textFill>
            <w14:solidFill>
              <w14:schemeClr w14:val="tx1"/>
            </w14:solidFill>
          </w14:textFill>
        </w:rPr>
        <w:t>项目1</w:t>
      </w:r>
      <w:r>
        <w:rPr>
          <w:rFonts w:hint="eastAsia" w:cs="Times New Roman" w:eastAsiaTheme="minorEastAsia"/>
          <w:bCs/>
          <w:color w:val="000000" w:themeColor="text1"/>
          <w:highlight w:val="none"/>
          <w:lang w:val="en-US" w:eastAsia="zh-CN"/>
          <w14:textFill>
            <w14:solidFill>
              <w14:schemeClr w14:val="tx1"/>
            </w14:solidFill>
          </w14:textFill>
        </w:rPr>
        <w:t>0</w:t>
      </w:r>
      <w:r>
        <w:rPr>
          <w:rFonts w:hint="default" w:ascii="Times New Roman" w:hAnsi="Times New Roman" w:cs="Times New Roman" w:eastAsiaTheme="minorEastAsia"/>
          <w:bCs/>
          <w:color w:val="000000" w:themeColor="text1"/>
          <w:highlight w:val="none"/>
          <w14:textFill>
            <w14:solidFill>
              <w14:schemeClr w14:val="tx1"/>
            </w14:solidFill>
          </w14:textFill>
        </w:rPr>
        <w:t>个，规划投资</w:t>
      </w:r>
      <w:r>
        <w:rPr>
          <w:rFonts w:hint="eastAsia" w:cs="Times New Roman" w:eastAsiaTheme="minorEastAsia"/>
          <w:bCs/>
          <w:color w:val="000000" w:themeColor="text1"/>
          <w:highlight w:val="none"/>
          <w:lang w:val="en-US" w:eastAsia="zh-CN"/>
          <w14:textFill>
            <w14:solidFill>
              <w14:schemeClr w14:val="tx1"/>
            </w14:solidFill>
          </w14:textFill>
        </w:rPr>
        <w:t>260965</w:t>
      </w:r>
      <w:r>
        <w:rPr>
          <w:rFonts w:hint="default" w:ascii="Times New Roman" w:hAnsi="Times New Roman" w:cs="Times New Roman" w:eastAsiaTheme="minorEastAsia"/>
          <w:bCs/>
          <w:color w:val="000000" w:themeColor="text1"/>
          <w:highlight w:val="none"/>
          <w14:textFill>
            <w14:solidFill>
              <w14:schemeClr w14:val="tx1"/>
            </w14:solidFill>
          </w14:textFill>
        </w:rPr>
        <w:t>万元</w:t>
      </w:r>
      <w:r>
        <w:rPr>
          <w:rFonts w:hint="eastAsia" w:cs="Times New Roman" w:eastAsiaTheme="minorEastAsia"/>
          <w:bCs/>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highlight w:val="none"/>
          <w14:textFill>
            <w14:solidFill>
              <w14:schemeClr w14:val="tx1"/>
            </w14:solidFill>
          </w14:textFill>
        </w:rPr>
        <w:t>空间管控类项目4个，规划投资14327</w:t>
      </w:r>
      <w:r>
        <w:rPr>
          <w:rFonts w:hint="eastAsia" w:cs="Times New Roman" w:eastAsiaTheme="minorEastAsia"/>
          <w:bCs/>
          <w:color w:val="000000" w:themeColor="text1"/>
          <w:highlight w:val="none"/>
          <w:lang w:val="en-US" w:eastAsia="zh-CN"/>
          <w14:textFill>
            <w14:solidFill>
              <w14:schemeClr w14:val="tx1"/>
            </w14:solidFill>
          </w14:textFill>
        </w:rPr>
        <w:t>7</w:t>
      </w:r>
      <w:r>
        <w:rPr>
          <w:rFonts w:hint="default" w:ascii="Times New Roman" w:hAnsi="Times New Roman" w:cs="Times New Roman" w:eastAsiaTheme="minorEastAsia"/>
          <w:bCs/>
          <w:color w:val="000000" w:themeColor="text1"/>
          <w:highlight w:val="none"/>
          <w14:textFill>
            <w14:solidFill>
              <w14:schemeClr w14:val="tx1"/>
            </w14:solidFill>
          </w14:textFill>
        </w:rPr>
        <w:t>万元，</w:t>
      </w:r>
      <w:r>
        <w:rPr>
          <w:rFonts w:hint="eastAsia" w:cs="Times New Roman" w:eastAsiaTheme="minorEastAsia"/>
          <w:bCs/>
          <w:color w:val="000000" w:themeColor="text1"/>
          <w:highlight w:val="none"/>
          <w:lang w:val="en-US" w:eastAsia="zh-CN"/>
          <w14:textFill>
            <w14:solidFill>
              <w14:schemeClr w14:val="tx1"/>
            </w14:solidFill>
          </w14:textFill>
        </w:rPr>
        <w:t>河湖监测调度及监管类</w:t>
      </w:r>
      <w:r>
        <w:rPr>
          <w:rFonts w:hint="default" w:ascii="Times New Roman" w:hAnsi="Times New Roman" w:cs="Times New Roman" w:eastAsiaTheme="minorEastAsia"/>
          <w:bCs/>
          <w:color w:val="000000" w:themeColor="text1"/>
          <w:highlight w:val="none"/>
          <w14:textFill>
            <w14:solidFill>
              <w14:schemeClr w14:val="tx1"/>
            </w14:solidFill>
          </w14:textFill>
        </w:rPr>
        <w:t>项目</w:t>
      </w:r>
      <w:r>
        <w:rPr>
          <w:rFonts w:hint="eastAsia" w:cs="Times New Roman" w:eastAsiaTheme="minorEastAsia"/>
          <w:bCs/>
          <w:color w:val="000000" w:themeColor="text1"/>
          <w:highlight w:val="none"/>
          <w:lang w:val="en-US" w:eastAsia="zh-CN"/>
          <w14:textFill>
            <w14:solidFill>
              <w14:schemeClr w14:val="tx1"/>
            </w14:solidFill>
          </w14:textFill>
        </w:rPr>
        <w:t>3</w:t>
      </w:r>
      <w:r>
        <w:rPr>
          <w:rFonts w:hint="default" w:ascii="Times New Roman" w:hAnsi="Times New Roman" w:cs="Times New Roman" w:eastAsiaTheme="minorEastAsia"/>
          <w:bCs/>
          <w:color w:val="000000" w:themeColor="text1"/>
          <w:highlight w:val="none"/>
          <w14:textFill>
            <w14:solidFill>
              <w14:schemeClr w14:val="tx1"/>
            </w14:solidFill>
          </w14:textFill>
        </w:rPr>
        <w:t>个，规划投资</w:t>
      </w:r>
      <w:r>
        <w:rPr>
          <w:rFonts w:hint="eastAsia" w:cs="Times New Roman" w:eastAsiaTheme="minorEastAsia"/>
          <w:bCs/>
          <w:color w:val="000000" w:themeColor="text1"/>
          <w:highlight w:val="none"/>
          <w:lang w:val="en-US" w:eastAsia="zh-CN"/>
          <w14:textFill>
            <w14:solidFill>
              <w14:schemeClr w14:val="tx1"/>
            </w14:solidFill>
          </w14:textFill>
        </w:rPr>
        <w:t>45967</w:t>
      </w:r>
      <w:r>
        <w:rPr>
          <w:rFonts w:hint="default" w:ascii="Times New Roman" w:hAnsi="Times New Roman" w:cs="Times New Roman" w:eastAsiaTheme="minorEastAsia"/>
          <w:bCs/>
          <w:color w:val="000000" w:themeColor="text1"/>
          <w:highlight w:val="none"/>
          <w14:textFill>
            <w14:solidFill>
              <w14:schemeClr w14:val="tx1"/>
            </w14:solidFill>
          </w14:textFill>
        </w:rPr>
        <w:t>万元，</w:t>
      </w:r>
      <w:r>
        <w:rPr>
          <w:rFonts w:hint="eastAsia" w:cs="Times New Roman" w:eastAsiaTheme="minorEastAsia"/>
          <w:bCs/>
          <w:color w:val="000000" w:themeColor="text1"/>
          <w:highlight w:val="none"/>
          <w:lang w:val="en-US" w:eastAsia="zh-CN"/>
          <w14:textFill>
            <w14:solidFill>
              <w14:schemeClr w14:val="tx1"/>
            </w14:solidFill>
          </w14:textFill>
        </w:rPr>
        <w:t>基础研究类</w:t>
      </w:r>
      <w:r>
        <w:rPr>
          <w:rFonts w:hint="default" w:ascii="Times New Roman" w:hAnsi="Times New Roman" w:cs="Times New Roman" w:eastAsiaTheme="minorEastAsia"/>
          <w:bCs/>
          <w:color w:val="000000" w:themeColor="text1"/>
          <w:highlight w:val="none"/>
          <w14:textFill>
            <w14:solidFill>
              <w14:schemeClr w14:val="tx1"/>
            </w14:solidFill>
          </w14:textFill>
        </w:rPr>
        <w:t>项目</w:t>
      </w:r>
      <w:r>
        <w:rPr>
          <w:rFonts w:hint="eastAsia" w:cs="Times New Roman" w:eastAsiaTheme="minorEastAsia"/>
          <w:bCs/>
          <w:color w:val="000000" w:themeColor="text1"/>
          <w:highlight w:val="none"/>
          <w:lang w:val="en-US" w:eastAsia="zh-CN"/>
          <w14:textFill>
            <w14:solidFill>
              <w14:schemeClr w14:val="tx1"/>
            </w14:solidFill>
          </w14:textFill>
        </w:rPr>
        <w:t>5</w:t>
      </w:r>
      <w:r>
        <w:rPr>
          <w:rFonts w:hint="default" w:ascii="Times New Roman" w:hAnsi="Times New Roman" w:cs="Times New Roman" w:eastAsiaTheme="minorEastAsia"/>
          <w:bCs/>
          <w:color w:val="000000" w:themeColor="text1"/>
          <w:highlight w:val="none"/>
          <w14:textFill>
            <w14:solidFill>
              <w14:schemeClr w14:val="tx1"/>
            </w14:solidFill>
          </w14:textFill>
        </w:rPr>
        <w:t>个，规划投资</w:t>
      </w:r>
      <w:r>
        <w:rPr>
          <w:rFonts w:hint="eastAsia" w:cs="Times New Roman" w:eastAsiaTheme="minorEastAsia"/>
          <w:bCs/>
          <w:color w:val="000000" w:themeColor="text1"/>
          <w:highlight w:val="none"/>
          <w:lang w:val="en-US" w:eastAsia="zh-CN"/>
          <w14:textFill>
            <w14:solidFill>
              <w14:schemeClr w14:val="tx1"/>
            </w14:solidFill>
          </w14:textFill>
        </w:rPr>
        <w:t>1508</w:t>
      </w:r>
      <w:r>
        <w:rPr>
          <w:rFonts w:hint="default" w:ascii="Times New Roman" w:hAnsi="Times New Roman" w:cs="Times New Roman" w:eastAsiaTheme="minorEastAsia"/>
          <w:bCs/>
          <w:color w:val="000000" w:themeColor="text1"/>
          <w:highlight w:val="none"/>
          <w14:textFill>
            <w14:solidFill>
              <w14:schemeClr w14:val="tx1"/>
            </w14:solidFill>
          </w14:textFill>
        </w:rPr>
        <w:t>万元，</w:t>
      </w:r>
      <w:r>
        <w:rPr>
          <w:rFonts w:hint="eastAsia" w:cs="Times New Roman" w:eastAsiaTheme="minorEastAsia"/>
          <w:bCs/>
          <w:color w:val="000000" w:themeColor="text1"/>
          <w:highlight w:val="none"/>
          <w:lang w:val="en-US" w:eastAsia="zh-CN"/>
          <w14:textFill>
            <w14:solidFill>
              <w14:schemeClr w14:val="tx1"/>
            </w14:solidFill>
          </w14:textFill>
        </w:rPr>
        <w:t>合计671432万元。另外还有2个储备项目，</w:t>
      </w:r>
      <w:r>
        <w:rPr>
          <w:rFonts w:hint="default" w:ascii="Times New Roman" w:hAnsi="Times New Roman" w:cs="Times New Roman" w:eastAsiaTheme="minorEastAsia"/>
          <w:bCs/>
          <w:color w:val="000000" w:themeColor="text1"/>
          <w:highlight w:val="none"/>
          <w14:textFill>
            <w14:solidFill>
              <w14:schemeClr w14:val="tx1"/>
            </w14:solidFill>
          </w14:textFill>
        </w:rPr>
        <w:t>规划投资</w:t>
      </w:r>
      <w:r>
        <w:rPr>
          <w:rFonts w:hint="eastAsia" w:cs="Times New Roman" w:eastAsiaTheme="minorEastAsia"/>
          <w:bCs/>
          <w:color w:val="000000" w:themeColor="text1"/>
          <w:highlight w:val="none"/>
          <w:lang w:val="en-US" w:eastAsia="zh-CN"/>
          <w14:textFill>
            <w14:solidFill>
              <w14:schemeClr w14:val="tx1"/>
            </w14:solidFill>
          </w14:textFill>
        </w:rPr>
        <w:t>6238</w:t>
      </w:r>
      <w:r>
        <w:rPr>
          <w:rFonts w:hint="default" w:ascii="Times New Roman" w:hAnsi="Times New Roman" w:cs="Times New Roman" w:eastAsiaTheme="minorEastAsia"/>
          <w:bCs/>
          <w:color w:val="000000" w:themeColor="text1"/>
          <w:highlight w:val="none"/>
          <w14:textFill>
            <w14:solidFill>
              <w14:schemeClr w14:val="tx1"/>
            </w14:solidFill>
          </w14:textFill>
        </w:rPr>
        <w:t>万元</w:t>
      </w:r>
      <w:r>
        <w:rPr>
          <w:rFonts w:hint="eastAsia" w:cs="Times New Roman" w:eastAsiaTheme="minorEastAsia"/>
          <w:bCs/>
          <w:color w:val="000000" w:themeColor="text1"/>
          <w:highlight w:val="none"/>
          <w:lang w:eastAsia="zh-CN"/>
          <w14:textFill>
            <w14:solidFill>
              <w14:schemeClr w14:val="tx1"/>
            </w14:solidFill>
          </w14:textFill>
        </w:rPr>
        <w:t>，</w:t>
      </w:r>
      <w:r>
        <w:rPr>
          <w:rFonts w:hint="eastAsia" w:cs="Times New Roman" w:eastAsiaTheme="minorEastAsia"/>
          <w:bCs/>
          <w:color w:val="000000" w:themeColor="text1"/>
          <w:highlight w:val="none"/>
          <w:lang w:val="en-US" w:eastAsia="zh-CN"/>
          <w14:textFill>
            <w14:solidFill>
              <w14:schemeClr w14:val="tx1"/>
            </w14:solidFill>
          </w14:textFill>
        </w:rPr>
        <w:t>最后总计677670万元，详细见附表3。</w:t>
      </w:r>
    </w:p>
    <w:p>
      <w:pPr>
        <w:widowControl/>
        <w:ind w:firstLine="480" w:firstLineChars="200"/>
        <w:jc w:val="left"/>
        <w:rPr>
          <w:rFonts w:hint="default" w:ascii="Times New Roman" w:hAnsi="Times New Roman" w:cs="Times New Roman" w:eastAsiaTheme="minorEastAsia"/>
          <w:bCs/>
          <w:color w:val="000000" w:themeColor="text1"/>
          <w:highlight w:val="none"/>
          <w14:textFill>
            <w14:solidFill>
              <w14:schemeClr w14:val="tx1"/>
            </w14:solidFill>
          </w14:textFill>
        </w:rPr>
      </w:pPr>
    </w:p>
    <w:p>
      <w:pPr>
        <w:widowControl/>
        <w:ind w:firstLine="480" w:firstLineChars="200"/>
        <w:jc w:val="left"/>
        <w:rPr>
          <w:rFonts w:hint="default" w:ascii="Times New Roman" w:hAnsi="Times New Roman" w:cs="Times New Roman" w:eastAsiaTheme="minorEastAsia"/>
          <w:bCs/>
          <w:color w:val="000000" w:themeColor="text1"/>
          <w:highlight w:val="none"/>
          <w14:textFill>
            <w14:solidFill>
              <w14:schemeClr w14:val="tx1"/>
            </w14:solidFill>
          </w14:textFill>
        </w:rPr>
        <w:sectPr>
          <w:pgSz w:w="11907" w:h="16840"/>
          <w:pgMar w:top="1440" w:right="1587" w:bottom="1440" w:left="1587" w:header="851" w:footer="992" w:gutter="0"/>
          <w:pgBorders>
            <w:top w:val="none" w:sz="0" w:space="0"/>
            <w:left w:val="none" w:sz="0" w:space="0"/>
            <w:bottom w:val="none" w:sz="0" w:space="0"/>
            <w:right w:val="none" w:sz="0" w:space="0"/>
          </w:pgBorders>
          <w:pgNumType w:fmt="decimal"/>
          <w:cols w:space="720" w:num="1"/>
          <w:rtlGutter w:val="0"/>
          <w:docGrid w:linePitch="312" w:charSpace="0"/>
        </w:sectPr>
      </w:pPr>
    </w:p>
    <w:p>
      <w:pPr>
        <w:jc w:val="both"/>
        <w:rPr>
          <w:rFonts w:hint="default" w:ascii="Times New Roman" w:hAnsi="Times New Roman" w:cs="Times New Roman" w:eastAsiaTheme="minorEastAsia"/>
          <w:b/>
          <w:bCs w:val="0"/>
          <w:color w:val="000000" w:themeColor="text1"/>
          <w:highlight w:val="none"/>
          <w14:textFill>
            <w14:solidFill>
              <w14:schemeClr w14:val="tx1"/>
            </w14:solidFill>
          </w14:textFill>
        </w:rPr>
      </w:pPr>
    </w:p>
    <w:p>
      <w:pPr>
        <w:keepNext/>
        <w:keepLines/>
        <w:spacing w:before="240" w:after="240" w:line="360" w:lineRule="auto"/>
        <w:jc w:val="left"/>
        <w:outlineLvl w:val="0"/>
        <w:rPr>
          <w:rFonts w:hint="default" w:ascii="Times New Roman" w:hAnsi="Times New Roman" w:cs="Times New Roman" w:eastAsiaTheme="minorEastAsia"/>
          <w:b/>
          <w:bCs/>
          <w:color w:val="000000" w:themeColor="text1"/>
          <w:kern w:val="44"/>
          <w:sz w:val="32"/>
          <w:szCs w:val="32"/>
          <w:highlight w:val="none"/>
          <w14:textFill>
            <w14:solidFill>
              <w14:schemeClr w14:val="tx1"/>
            </w14:solidFill>
          </w14:textFill>
        </w:rPr>
      </w:pPr>
      <w:bookmarkStart w:id="554" w:name="_Toc11124"/>
      <w:bookmarkStart w:id="555" w:name="_Toc18947"/>
      <w:bookmarkStart w:id="556" w:name="_Toc14301"/>
      <w:bookmarkStart w:id="557" w:name="_Hlk71740347"/>
      <w:bookmarkStart w:id="558" w:name="_Toc294077329"/>
      <w:r>
        <w:rPr>
          <w:rFonts w:hint="eastAsia" w:cs="Times New Roman" w:eastAsiaTheme="minorEastAsia"/>
          <w:b/>
          <w:bCs/>
          <w:color w:val="000000" w:themeColor="text1"/>
          <w:kern w:val="44"/>
          <w:sz w:val="32"/>
          <w:szCs w:val="32"/>
          <w:highlight w:val="none"/>
          <w:lang w:val="en-US" w:eastAsia="zh-CN"/>
          <w14:textFill>
            <w14:solidFill>
              <w14:schemeClr w14:val="tx1"/>
            </w14:solidFill>
          </w14:textFill>
        </w:rPr>
        <w:t>7</w:t>
      </w:r>
      <w:r>
        <w:rPr>
          <w:rFonts w:hint="default" w:ascii="Times New Roman" w:hAnsi="Times New Roman" w:cs="Times New Roman" w:eastAsiaTheme="minorEastAsia"/>
          <w:b/>
          <w:bCs/>
          <w:color w:val="000000" w:themeColor="text1"/>
          <w:kern w:val="44"/>
          <w:sz w:val="32"/>
          <w:szCs w:val="32"/>
          <w:highlight w:val="none"/>
          <w14:textFill>
            <w14:solidFill>
              <w14:schemeClr w14:val="tx1"/>
            </w14:solidFill>
          </w14:textFill>
        </w:rPr>
        <w:t>目标可达性及效益分析</w:t>
      </w:r>
      <w:bookmarkEnd w:id="554"/>
      <w:bookmarkEnd w:id="555"/>
      <w:bookmarkEnd w:id="556"/>
    </w:p>
    <w:p>
      <w:pPr>
        <w:adjustRightInd w:val="0"/>
        <w:snapToGrid w:val="0"/>
        <w:spacing w:before="120" w:beforeLines="50" w:line="360" w:lineRule="auto"/>
        <w:outlineLvl w:val="1"/>
        <w:rPr>
          <w:rFonts w:hint="default" w:ascii="Times New Roman" w:hAnsi="Times New Roman" w:cs="Times New Roman" w:eastAsiaTheme="minorEastAsia"/>
          <w:b/>
          <w:bCs/>
          <w:color w:val="000000" w:themeColor="text1"/>
          <w:sz w:val="30"/>
          <w:szCs w:val="30"/>
          <w:highlight w:val="none"/>
          <w14:textFill>
            <w14:solidFill>
              <w14:schemeClr w14:val="tx1"/>
            </w14:solidFill>
          </w14:textFill>
        </w:rPr>
      </w:pPr>
      <w:bookmarkStart w:id="559" w:name="_Toc29688"/>
      <w:bookmarkStart w:id="560" w:name="_Toc20313"/>
      <w:bookmarkStart w:id="561" w:name="_Toc12232"/>
      <w:bookmarkStart w:id="562" w:name="_Toc456865896"/>
      <w:bookmarkStart w:id="563" w:name="_Toc19430"/>
      <w:bookmarkStart w:id="564" w:name="_Toc24670"/>
      <w:r>
        <w:rPr>
          <w:rFonts w:hint="eastAsia" w:cs="Times New Roman" w:eastAsiaTheme="minorEastAsia"/>
          <w:b/>
          <w:bCs/>
          <w:color w:val="000000" w:themeColor="text1"/>
          <w:sz w:val="30"/>
          <w:szCs w:val="30"/>
          <w:highlight w:val="none"/>
          <w:lang w:val="en-US" w:eastAsia="zh-CN"/>
          <w14:textFill>
            <w14:solidFill>
              <w14:schemeClr w14:val="tx1"/>
            </w14:solidFill>
          </w14:textFill>
        </w:rPr>
        <w:t>7</w:t>
      </w:r>
      <w:r>
        <w:rPr>
          <w:rFonts w:hint="default" w:ascii="Times New Roman" w:hAnsi="Times New Roman" w:cs="Times New Roman" w:eastAsiaTheme="minorEastAsia"/>
          <w:b/>
          <w:bCs/>
          <w:color w:val="000000" w:themeColor="text1"/>
          <w:sz w:val="30"/>
          <w:szCs w:val="30"/>
          <w:highlight w:val="none"/>
          <w14:textFill>
            <w14:solidFill>
              <w14:schemeClr w14:val="tx1"/>
            </w14:solidFill>
          </w14:textFill>
        </w:rPr>
        <w:t>.1污染物总量控制目标可达性分析</w:t>
      </w:r>
      <w:bookmarkEnd w:id="559"/>
      <w:bookmarkEnd w:id="560"/>
      <w:bookmarkEnd w:id="561"/>
      <w:bookmarkEnd w:id="562"/>
      <w:bookmarkEnd w:id="563"/>
      <w:bookmarkEnd w:id="564"/>
    </w:p>
    <w:p>
      <w:pPr>
        <w:spacing w:line="360" w:lineRule="auto"/>
        <w:ind w:firstLine="480" w:firstLineChars="200"/>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根据规划预测的规划年主要污染物入湖量及抚仙湖规划水平年的湖泊主要污染物环境承载力，为稳定保持抚仙湖I类水质，必须对流域内污染物进行削减。</w:t>
      </w:r>
    </w:p>
    <w:p>
      <w:pPr>
        <w:spacing w:line="360" w:lineRule="auto"/>
        <w:ind w:left="0" w:leftChars="0" w:firstLine="0" w:firstLineChars="0"/>
        <w:jc w:val="center"/>
        <w:rPr>
          <w:rFonts w:hint="default" w:ascii="Times New Roman" w:hAnsi="Times New Roman" w:cs="Times New Roman"/>
          <w:b/>
          <w:color w:val="000000" w:themeColor="text1"/>
          <w:sz w:val="24"/>
          <w:szCs w:val="22"/>
          <w:highlight w:val="none"/>
          <w14:textFill>
            <w14:solidFill>
              <w14:schemeClr w14:val="tx1"/>
            </w14:solidFill>
          </w14:textFill>
        </w:rPr>
      </w:pPr>
      <w:r>
        <w:rPr>
          <w:rFonts w:hint="default" w:ascii="Times New Roman" w:hAnsi="Times New Roman" w:cs="Times New Roman"/>
          <w:b/>
          <w:color w:val="000000" w:themeColor="text1"/>
          <w:sz w:val="24"/>
          <w:szCs w:val="22"/>
          <w:highlight w:val="none"/>
          <w14:textFill>
            <w14:solidFill>
              <w14:schemeClr w14:val="tx1"/>
            </w14:solidFill>
          </w14:textFill>
        </w:rPr>
        <w:t>表</w:t>
      </w:r>
      <w:r>
        <w:rPr>
          <w:rFonts w:hint="eastAsia" w:cs="Times New Roman"/>
          <w:b/>
          <w:color w:val="000000" w:themeColor="text1"/>
          <w:sz w:val="24"/>
          <w:szCs w:val="22"/>
          <w:highlight w:val="none"/>
          <w:lang w:val="en-US" w:eastAsia="zh-CN"/>
          <w14:textFill>
            <w14:solidFill>
              <w14:schemeClr w14:val="tx1"/>
            </w14:solidFill>
          </w14:textFill>
        </w:rPr>
        <w:t>7</w:t>
      </w:r>
      <w:r>
        <w:rPr>
          <w:rFonts w:hint="default" w:ascii="Times New Roman" w:hAnsi="Times New Roman" w:cs="Times New Roman"/>
          <w:b/>
          <w:color w:val="000000" w:themeColor="text1"/>
          <w:sz w:val="24"/>
          <w:szCs w:val="22"/>
          <w:highlight w:val="none"/>
          <w14:textFill>
            <w14:solidFill>
              <w14:schemeClr w14:val="tx1"/>
            </w14:solidFill>
          </w14:textFill>
        </w:rPr>
        <w:t>.1-1抚仙湖目标规划年污染物削减量情况表（单位：t/a）</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9"/>
        <w:gridCol w:w="2682"/>
        <w:gridCol w:w="1904"/>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80" w:type="pct"/>
            <w:shd w:val="clear" w:color="auto" w:fill="FFFFFF"/>
            <w:vAlign w:val="center"/>
          </w:tcPr>
          <w:p>
            <w:pPr>
              <w:widowControl/>
              <w:jc w:val="center"/>
              <w:rPr>
                <w:rFonts w:hint="default" w:ascii="Times New Roman" w:hAnsi="Times New Roman" w:cs="Times New Roman"/>
                <w:b/>
                <w:color w:val="000000" w:themeColor="text1"/>
                <w:kern w:val="0"/>
                <w:szCs w:val="21"/>
                <w:highlight w:val="none"/>
                <w14:textFill>
                  <w14:solidFill>
                    <w14:schemeClr w14:val="tx1"/>
                  </w14:solidFill>
                </w14:textFill>
              </w:rPr>
            </w:pPr>
            <w:r>
              <w:rPr>
                <w:rFonts w:hint="default" w:ascii="Times New Roman" w:hAnsi="Times New Roman" w:cs="Times New Roman"/>
                <w:b/>
                <w:color w:val="000000" w:themeColor="text1"/>
                <w:kern w:val="0"/>
                <w:szCs w:val="21"/>
                <w:highlight w:val="none"/>
                <w14:textFill>
                  <w14:solidFill>
                    <w14:schemeClr w14:val="tx1"/>
                  </w14:solidFill>
                </w14:textFill>
              </w:rPr>
              <w:t>规划期</w:t>
            </w:r>
          </w:p>
        </w:tc>
        <w:tc>
          <w:tcPr>
            <w:tcW w:w="1499" w:type="pct"/>
            <w:shd w:val="clear" w:color="auto" w:fill="FFFFFF"/>
            <w:vAlign w:val="center"/>
          </w:tcPr>
          <w:p>
            <w:pPr>
              <w:widowControl/>
              <w:jc w:val="center"/>
              <w:rPr>
                <w:rFonts w:hint="default" w:ascii="Times New Roman" w:hAnsi="Times New Roman" w:cs="Times New Roman"/>
                <w:b/>
                <w:color w:val="000000" w:themeColor="text1"/>
                <w:kern w:val="0"/>
                <w:szCs w:val="21"/>
                <w:highlight w:val="none"/>
                <w14:textFill>
                  <w14:solidFill>
                    <w14:schemeClr w14:val="tx1"/>
                  </w14:solidFill>
                </w14:textFill>
              </w:rPr>
            </w:pPr>
            <w:r>
              <w:rPr>
                <w:rFonts w:hint="default" w:ascii="Times New Roman" w:hAnsi="Times New Roman" w:cs="Times New Roman"/>
                <w:b/>
                <w:color w:val="000000" w:themeColor="text1"/>
                <w:kern w:val="0"/>
                <w:szCs w:val="21"/>
                <w:highlight w:val="none"/>
                <w14:textFill>
                  <w14:solidFill>
                    <w14:schemeClr w14:val="tx1"/>
                  </w14:solidFill>
                </w14:textFill>
              </w:rPr>
              <w:t>污染源类别</w:t>
            </w:r>
          </w:p>
        </w:tc>
        <w:tc>
          <w:tcPr>
            <w:tcW w:w="1064" w:type="pct"/>
            <w:shd w:val="clear" w:color="auto" w:fill="auto"/>
            <w:vAlign w:val="center"/>
          </w:tcPr>
          <w:p>
            <w:pPr>
              <w:widowControl/>
              <w:jc w:val="center"/>
              <w:rPr>
                <w:rFonts w:hint="default" w:ascii="Times New Roman" w:hAnsi="Times New Roman" w:cs="Times New Roman"/>
                <w:b/>
                <w:color w:val="000000" w:themeColor="text1"/>
                <w:kern w:val="0"/>
                <w:szCs w:val="21"/>
                <w:highlight w:val="none"/>
                <w14:textFill>
                  <w14:solidFill>
                    <w14:schemeClr w14:val="tx1"/>
                  </w14:solidFill>
                </w14:textFill>
              </w:rPr>
            </w:pPr>
            <w:r>
              <w:rPr>
                <w:rFonts w:hint="default" w:ascii="Times New Roman" w:hAnsi="Times New Roman" w:cs="Times New Roman"/>
                <w:b/>
                <w:color w:val="000000" w:themeColor="text1"/>
                <w:kern w:val="0"/>
                <w:szCs w:val="21"/>
                <w:highlight w:val="none"/>
                <w14:textFill>
                  <w14:solidFill>
                    <w14:schemeClr w14:val="tx1"/>
                  </w14:solidFill>
                </w14:textFill>
              </w:rPr>
              <w:t>TN</w:t>
            </w:r>
          </w:p>
        </w:tc>
        <w:tc>
          <w:tcPr>
            <w:tcW w:w="1057" w:type="pct"/>
            <w:shd w:val="clear" w:color="auto" w:fill="FFFFFF"/>
            <w:vAlign w:val="center"/>
          </w:tcPr>
          <w:p>
            <w:pPr>
              <w:widowControl/>
              <w:jc w:val="center"/>
              <w:rPr>
                <w:rFonts w:hint="default" w:ascii="Times New Roman" w:hAnsi="Times New Roman" w:cs="Times New Roman"/>
                <w:b/>
                <w:color w:val="000000" w:themeColor="text1"/>
                <w:kern w:val="0"/>
                <w:szCs w:val="21"/>
                <w:highlight w:val="none"/>
                <w14:textFill>
                  <w14:solidFill>
                    <w14:schemeClr w14:val="tx1"/>
                  </w14:solidFill>
                </w14:textFill>
              </w:rPr>
            </w:pPr>
            <w:r>
              <w:rPr>
                <w:rFonts w:hint="default" w:ascii="Times New Roman" w:hAnsi="Times New Roman" w:cs="Times New Roman"/>
                <w:b/>
                <w:color w:val="000000" w:themeColor="text1"/>
                <w:kern w:val="0"/>
                <w:szCs w:val="21"/>
                <w:highlight w:val="none"/>
                <w14:textFill>
                  <w14:solidFill>
                    <w14:schemeClr w14:val="tx1"/>
                  </w14:solidFill>
                </w14:textFill>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80" w:type="pct"/>
            <w:vMerge w:val="restart"/>
            <w:vAlign w:val="center"/>
          </w:tcPr>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2021-2025年</w:t>
            </w:r>
          </w:p>
        </w:tc>
        <w:tc>
          <w:tcPr>
            <w:tcW w:w="1499" w:type="pct"/>
            <w:vAlign w:val="center"/>
          </w:tcPr>
          <w:p>
            <w:pPr>
              <w:widowControl/>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污染负荷排放量</w:t>
            </w:r>
          </w:p>
        </w:tc>
        <w:tc>
          <w:tcPr>
            <w:tcW w:w="1064" w:type="pct"/>
          </w:tcPr>
          <w:p>
            <w:pPr>
              <w:widowControl/>
              <w:jc w:val="center"/>
              <w:textAlignment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1474.19</w:t>
            </w:r>
          </w:p>
        </w:tc>
        <w:tc>
          <w:tcPr>
            <w:tcW w:w="1057" w:type="pct"/>
          </w:tcPr>
          <w:p>
            <w:pPr>
              <w:widowControl/>
              <w:jc w:val="center"/>
              <w:textAlignment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311.59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80" w:type="pct"/>
            <w:vMerge w:val="continue"/>
            <w:vAlign w:val="center"/>
          </w:tcPr>
          <w:p>
            <w:pPr>
              <w:widowControl/>
              <w:jc w:val="center"/>
              <w:rPr>
                <w:rFonts w:hint="default" w:ascii="Times New Roman" w:hAnsi="Times New Roman" w:cs="Times New Roman"/>
                <w:color w:val="000000" w:themeColor="text1"/>
                <w:kern w:val="0"/>
                <w:szCs w:val="21"/>
                <w:highlight w:val="none"/>
                <w14:textFill>
                  <w14:solidFill>
                    <w14:schemeClr w14:val="tx1"/>
                  </w14:solidFill>
                </w14:textFill>
              </w:rPr>
            </w:pPr>
          </w:p>
        </w:tc>
        <w:tc>
          <w:tcPr>
            <w:tcW w:w="1499" w:type="pct"/>
            <w:vAlign w:val="center"/>
          </w:tcPr>
          <w:p>
            <w:pPr>
              <w:widowControl/>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污染负荷入湖量</w:t>
            </w:r>
          </w:p>
        </w:tc>
        <w:tc>
          <w:tcPr>
            <w:tcW w:w="1064" w:type="pct"/>
          </w:tcPr>
          <w:p>
            <w:pPr>
              <w:widowControl/>
              <w:jc w:val="center"/>
              <w:textAlignment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715.9</w:t>
            </w:r>
          </w:p>
        </w:tc>
        <w:tc>
          <w:tcPr>
            <w:tcW w:w="1057" w:type="pct"/>
          </w:tcPr>
          <w:p>
            <w:pPr>
              <w:widowControl/>
              <w:jc w:val="center"/>
              <w:textAlignment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80" w:type="pct"/>
            <w:vMerge w:val="continue"/>
            <w:vAlign w:val="center"/>
          </w:tcPr>
          <w:p>
            <w:pPr>
              <w:widowControl/>
              <w:jc w:val="center"/>
              <w:rPr>
                <w:rFonts w:hint="default" w:ascii="Times New Roman" w:hAnsi="Times New Roman" w:cs="Times New Roman"/>
                <w:color w:val="000000" w:themeColor="text1"/>
                <w:kern w:val="0"/>
                <w:szCs w:val="21"/>
                <w:highlight w:val="none"/>
                <w14:textFill>
                  <w14:solidFill>
                    <w14:schemeClr w14:val="tx1"/>
                  </w14:solidFill>
                </w14:textFill>
              </w:rPr>
            </w:pPr>
          </w:p>
        </w:tc>
        <w:tc>
          <w:tcPr>
            <w:tcW w:w="1499" w:type="pct"/>
            <w:vAlign w:val="center"/>
          </w:tcPr>
          <w:p>
            <w:pPr>
              <w:widowControl/>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湖泊水环境容量</w:t>
            </w:r>
          </w:p>
        </w:tc>
        <w:tc>
          <w:tcPr>
            <w:tcW w:w="1064" w:type="pct"/>
            <w:vAlign w:val="center"/>
          </w:tcPr>
          <w:p>
            <w:pPr>
              <w:widowControl/>
              <w:jc w:val="center"/>
              <w:textAlignment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648.9</w:t>
            </w:r>
          </w:p>
        </w:tc>
        <w:tc>
          <w:tcPr>
            <w:tcW w:w="1057" w:type="pct"/>
            <w:vAlign w:val="center"/>
          </w:tcPr>
          <w:p>
            <w:pPr>
              <w:widowControl/>
              <w:jc w:val="center"/>
              <w:textAlignment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80" w:type="pct"/>
            <w:vMerge w:val="continue"/>
            <w:vAlign w:val="center"/>
          </w:tcPr>
          <w:p>
            <w:pPr>
              <w:widowControl/>
              <w:jc w:val="center"/>
              <w:rPr>
                <w:rFonts w:hint="default" w:ascii="Times New Roman" w:hAnsi="Times New Roman" w:cs="Times New Roman"/>
                <w:color w:val="000000" w:themeColor="text1"/>
                <w:kern w:val="0"/>
                <w:szCs w:val="21"/>
                <w:highlight w:val="none"/>
                <w14:textFill>
                  <w14:solidFill>
                    <w14:schemeClr w14:val="tx1"/>
                  </w14:solidFill>
                </w14:textFill>
              </w:rPr>
            </w:pPr>
          </w:p>
        </w:tc>
        <w:tc>
          <w:tcPr>
            <w:tcW w:w="1499" w:type="pct"/>
            <w:vAlign w:val="center"/>
          </w:tcPr>
          <w:p>
            <w:pPr>
              <w:widowControl/>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入湖量削减目标</w:t>
            </w:r>
          </w:p>
        </w:tc>
        <w:tc>
          <w:tcPr>
            <w:tcW w:w="1064" w:type="pct"/>
            <w:vAlign w:val="center"/>
          </w:tcPr>
          <w:p>
            <w:pPr>
              <w:widowControl/>
              <w:jc w:val="center"/>
              <w:textAlignment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67</w:t>
            </w:r>
          </w:p>
        </w:tc>
        <w:tc>
          <w:tcPr>
            <w:tcW w:w="1057" w:type="pct"/>
            <w:vAlign w:val="center"/>
          </w:tcPr>
          <w:p>
            <w:pPr>
              <w:widowControl/>
              <w:jc w:val="center"/>
              <w:textAlignment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80" w:type="pct"/>
            <w:vMerge w:val="continue"/>
            <w:vAlign w:val="center"/>
          </w:tcPr>
          <w:p>
            <w:pPr>
              <w:widowControl/>
              <w:jc w:val="center"/>
              <w:rPr>
                <w:rFonts w:hint="default" w:ascii="Times New Roman" w:hAnsi="Times New Roman" w:cs="Times New Roman"/>
                <w:color w:val="000000" w:themeColor="text1"/>
                <w:kern w:val="0"/>
                <w:szCs w:val="21"/>
                <w:highlight w:val="none"/>
                <w14:textFill>
                  <w14:solidFill>
                    <w14:schemeClr w14:val="tx1"/>
                  </w14:solidFill>
                </w14:textFill>
              </w:rPr>
            </w:pPr>
          </w:p>
        </w:tc>
        <w:tc>
          <w:tcPr>
            <w:tcW w:w="1499" w:type="pct"/>
            <w:vAlign w:val="center"/>
          </w:tcPr>
          <w:p>
            <w:pPr>
              <w:widowControl/>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eastAsia" w:cs="Times New Roman"/>
                <w:color w:val="000000" w:themeColor="text1"/>
                <w:kern w:val="0"/>
                <w:szCs w:val="21"/>
                <w:highlight w:val="none"/>
                <w:lang w:eastAsia="zh-CN"/>
                <w14:textFill>
                  <w14:solidFill>
                    <w14:schemeClr w14:val="tx1"/>
                  </w14:solidFill>
                </w14:textFill>
              </w:rPr>
              <w:t>“</w:t>
            </w:r>
            <w:r>
              <w:rPr>
                <w:rFonts w:hint="default" w:ascii="Times New Roman" w:hAnsi="Times New Roman" w:cs="Times New Roman"/>
                <w:color w:val="000000" w:themeColor="text1"/>
                <w:kern w:val="0"/>
                <w:szCs w:val="21"/>
                <w:highlight w:val="none"/>
                <w14:textFill>
                  <w14:solidFill>
                    <w14:schemeClr w14:val="tx1"/>
                  </w14:solidFill>
                </w14:textFill>
              </w:rPr>
              <w:t>十四五</w:t>
            </w:r>
            <w:r>
              <w:rPr>
                <w:rFonts w:hint="eastAsia" w:cs="Times New Roman"/>
                <w:color w:val="000000" w:themeColor="text1"/>
                <w:kern w:val="0"/>
                <w:szCs w:val="21"/>
                <w:highlight w:val="none"/>
                <w:lang w:eastAsia="zh-CN"/>
                <w14:textFill>
                  <w14:solidFill>
                    <w14:schemeClr w14:val="tx1"/>
                  </w14:solidFill>
                </w14:textFill>
              </w:rPr>
              <w:t>”</w:t>
            </w:r>
            <w:r>
              <w:rPr>
                <w:rFonts w:hint="default" w:ascii="Times New Roman" w:hAnsi="Times New Roman" w:cs="Times New Roman"/>
                <w:color w:val="000000" w:themeColor="text1"/>
                <w:kern w:val="0"/>
                <w:szCs w:val="21"/>
                <w:highlight w:val="none"/>
                <w14:textFill>
                  <w14:solidFill>
                    <w14:schemeClr w14:val="tx1"/>
                  </w14:solidFill>
                </w14:textFill>
              </w:rPr>
              <w:t>项目（预测）排放削减量</w:t>
            </w:r>
          </w:p>
        </w:tc>
        <w:tc>
          <w:tcPr>
            <w:tcW w:w="1064" w:type="pct"/>
          </w:tcPr>
          <w:p>
            <w:pPr>
              <w:widowControl/>
              <w:jc w:val="center"/>
              <w:textAlignment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253.33</w:t>
            </w:r>
          </w:p>
        </w:tc>
        <w:tc>
          <w:tcPr>
            <w:tcW w:w="1057" w:type="pct"/>
          </w:tcPr>
          <w:p>
            <w:pPr>
              <w:widowControl/>
              <w:jc w:val="center"/>
              <w:textAlignment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80" w:type="pct"/>
            <w:vMerge w:val="continue"/>
            <w:vAlign w:val="center"/>
          </w:tcPr>
          <w:p>
            <w:pPr>
              <w:widowControl/>
              <w:jc w:val="center"/>
              <w:rPr>
                <w:rFonts w:hint="default" w:ascii="Times New Roman" w:hAnsi="Times New Roman" w:cs="Times New Roman"/>
                <w:color w:val="000000" w:themeColor="text1"/>
                <w:kern w:val="0"/>
                <w:szCs w:val="21"/>
                <w:highlight w:val="none"/>
                <w14:textFill>
                  <w14:solidFill>
                    <w14:schemeClr w14:val="tx1"/>
                  </w14:solidFill>
                </w14:textFill>
              </w:rPr>
            </w:pPr>
          </w:p>
        </w:tc>
        <w:tc>
          <w:tcPr>
            <w:tcW w:w="1499" w:type="pct"/>
            <w:vAlign w:val="center"/>
          </w:tcPr>
          <w:p>
            <w:pPr>
              <w:widowControl/>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eastAsia" w:cs="Times New Roman"/>
                <w:color w:val="000000" w:themeColor="text1"/>
                <w:kern w:val="0"/>
                <w:szCs w:val="21"/>
                <w:highlight w:val="none"/>
                <w:lang w:eastAsia="zh-CN"/>
                <w14:textFill>
                  <w14:solidFill>
                    <w14:schemeClr w14:val="tx1"/>
                  </w14:solidFill>
                </w14:textFill>
              </w:rPr>
              <w:t>“</w:t>
            </w:r>
            <w:r>
              <w:rPr>
                <w:rFonts w:hint="default" w:ascii="Times New Roman" w:hAnsi="Times New Roman" w:cs="Times New Roman"/>
                <w:color w:val="000000" w:themeColor="text1"/>
                <w:kern w:val="0"/>
                <w:szCs w:val="21"/>
                <w:highlight w:val="none"/>
                <w14:textFill>
                  <w14:solidFill>
                    <w14:schemeClr w14:val="tx1"/>
                  </w14:solidFill>
                </w14:textFill>
              </w:rPr>
              <w:t>十四五</w:t>
            </w:r>
            <w:r>
              <w:rPr>
                <w:rFonts w:hint="eastAsia" w:cs="Times New Roman"/>
                <w:color w:val="000000" w:themeColor="text1"/>
                <w:kern w:val="0"/>
                <w:szCs w:val="21"/>
                <w:highlight w:val="none"/>
                <w:lang w:eastAsia="zh-CN"/>
                <w14:textFill>
                  <w14:solidFill>
                    <w14:schemeClr w14:val="tx1"/>
                  </w14:solidFill>
                </w14:textFill>
              </w:rPr>
              <w:t>”</w:t>
            </w:r>
            <w:r>
              <w:rPr>
                <w:rFonts w:hint="eastAsia" w:cs="Times New Roman"/>
                <w:color w:val="000000" w:themeColor="text1"/>
                <w:kern w:val="0"/>
                <w:szCs w:val="21"/>
                <w:highlight w:val="none"/>
                <w:lang w:val="en-US" w:eastAsia="zh-CN"/>
                <w14:textFill>
                  <w14:solidFill>
                    <w14:schemeClr w14:val="tx1"/>
                  </w14:solidFill>
                </w14:textFill>
              </w:rPr>
              <w:t>中期评估新增</w:t>
            </w:r>
            <w:r>
              <w:rPr>
                <w:rFonts w:hint="default" w:ascii="Times New Roman" w:hAnsi="Times New Roman" w:cs="Times New Roman"/>
                <w:color w:val="000000" w:themeColor="text1"/>
                <w:kern w:val="0"/>
                <w:szCs w:val="21"/>
                <w:highlight w:val="none"/>
                <w14:textFill>
                  <w14:solidFill>
                    <w14:schemeClr w14:val="tx1"/>
                  </w14:solidFill>
                </w14:textFill>
              </w:rPr>
              <w:t>项目（预测）排放削减量</w:t>
            </w:r>
          </w:p>
        </w:tc>
        <w:tc>
          <w:tcPr>
            <w:tcW w:w="1064" w:type="pct"/>
          </w:tcPr>
          <w:p>
            <w:pPr>
              <w:widowControl/>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16.6</w:t>
            </w:r>
          </w:p>
        </w:tc>
        <w:tc>
          <w:tcPr>
            <w:tcW w:w="1057" w:type="pct"/>
          </w:tcPr>
          <w:p>
            <w:pPr>
              <w:widowControl/>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80" w:type="pct"/>
            <w:vMerge w:val="continue"/>
            <w:vAlign w:val="center"/>
          </w:tcPr>
          <w:p>
            <w:pPr>
              <w:widowControl/>
              <w:jc w:val="center"/>
              <w:rPr>
                <w:rFonts w:hint="default" w:ascii="Times New Roman" w:hAnsi="Times New Roman" w:cs="Times New Roman"/>
                <w:color w:val="000000" w:themeColor="text1"/>
                <w:kern w:val="0"/>
                <w:szCs w:val="21"/>
                <w:highlight w:val="none"/>
                <w14:textFill>
                  <w14:solidFill>
                    <w14:schemeClr w14:val="tx1"/>
                  </w14:solidFill>
                </w14:textFill>
              </w:rPr>
            </w:pPr>
          </w:p>
        </w:tc>
        <w:tc>
          <w:tcPr>
            <w:tcW w:w="1499" w:type="pct"/>
            <w:vAlign w:val="center"/>
          </w:tcPr>
          <w:p>
            <w:pPr>
              <w:widowControl/>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排放量削减目标</w:t>
            </w:r>
          </w:p>
        </w:tc>
        <w:tc>
          <w:tcPr>
            <w:tcW w:w="1064" w:type="pct"/>
          </w:tcPr>
          <w:p>
            <w:pPr>
              <w:widowControl/>
              <w:jc w:val="center"/>
              <w:textAlignment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825.29</w:t>
            </w:r>
          </w:p>
        </w:tc>
        <w:tc>
          <w:tcPr>
            <w:tcW w:w="1057" w:type="pct"/>
          </w:tcPr>
          <w:p>
            <w:pPr>
              <w:widowControl/>
              <w:jc w:val="center"/>
              <w:textAlignment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270.79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80" w:type="pct"/>
            <w:vMerge w:val="continue"/>
            <w:vAlign w:val="center"/>
          </w:tcPr>
          <w:p>
            <w:pPr>
              <w:widowControl/>
              <w:jc w:val="center"/>
              <w:rPr>
                <w:rFonts w:hint="default" w:ascii="Times New Roman" w:hAnsi="Times New Roman" w:cs="Times New Roman"/>
                <w:color w:val="000000" w:themeColor="text1"/>
                <w:kern w:val="0"/>
                <w:szCs w:val="21"/>
                <w:highlight w:val="none"/>
                <w14:textFill>
                  <w14:solidFill>
                    <w14:schemeClr w14:val="tx1"/>
                  </w14:solidFill>
                </w14:textFill>
              </w:rPr>
            </w:pPr>
          </w:p>
        </w:tc>
        <w:tc>
          <w:tcPr>
            <w:tcW w:w="1499" w:type="pct"/>
            <w:vAlign w:val="center"/>
          </w:tcPr>
          <w:p>
            <w:pPr>
              <w:widowControl/>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截至2025年项目排放削减量（含已做项目）</w:t>
            </w:r>
          </w:p>
        </w:tc>
        <w:tc>
          <w:tcPr>
            <w:tcW w:w="1064" w:type="pct"/>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910.2</w:t>
            </w:r>
          </w:p>
        </w:tc>
        <w:tc>
          <w:tcPr>
            <w:tcW w:w="1057" w:type="pct"/>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380.78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80" w:type="pct"/>
            <w:vMerge w:val="continue"/>
            <w:vAlign w:val="center"/>
          </w:tcPr>
          <w:p>
            <w:pPr>
              <w:widowControl/>
              <w:jc w:val="center"/>
              <w:rPr>
                <w:rFonts w:hint="default" w:ascii="Times New Roman" w:hAnsi="Times New Roman" w:cs="Times New Roman"/>
                <w:color w:val="000000" w:themeColor="text1"/>
                <w:kern w:val="0"/>
                <w:szCs w:val="21"/>
                <w:highlight w:val="none"/>
                <w14:textFill>
                  <w14:solidFill>
                    <w14:schemeClr w14:val="tx1"/>
                  </w14:solidFill>
                </w14:textFill>
              </w:rPr>
            </w:pPr>
          </w:p>
        </w:tc>
        <w:tc>
          <w:tcPr>
            <w:tcW w:w="1499" w:type="pct"/>
            <w:vAlign w:val="center"/>
          </w:tcPr>
          <w:p>
            <w:pPr>
              <w:widowControl/>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是否可达</w:t>
            </w:r>
          </w:p>
        </w:tc>
        <w:tc>
          <w:tcPr>
            <w:tcW w:w="1064" w:type="pct"/>
            <w:vAlign w:val="bottom"/>
          </w:tcPr>
          <w:p>
            <w:pPr>
              <w:widowControl/>
              <w:jc w:val="center"/>
              <w:textAlignment w:val="center"/>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可达</w:t>
            </w:r>
          </w:p>
        </w:tc>
        <w:tc>
          <w:tcPr>
            <w:tcW w:w="1057" w:type="pct"/>
            <w:vAlign w:val="bottom"/>
          </w:tcPr>
          <w:p>
            <w:pPr>
              <w:widowControl/>
              <w:jc w:val="center"/>
              <w:textAlignment w:val="center"/>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可达</w:t>
            </w:r>
          </w:p>
        </w:tc>
      </w:tr>
    </w:tbl>
    <w:p>
      <w:pPr>
        <w:spacing w:line="360" w:lineRule="auto"/>
        <w:rPr>
          <w:rFonts w:hint="default" w:ascii="Times New Roman" w:hAnsi="Times New Roman" w:cs="Times New Roman"/>
          <w:i/>
          <w:iCs/>
          <w:color w:val="000000" w:themeColor="text1"/>
          <w:kern w:val="0"/>
          <w:szCs w:val="21"/>
          <w:highlight w:val="none"/>
          <w14:textFill>
            <w14:solidFill>
              <w14:schemeClr w14:val="tx1"/>
            </w14:solidFill>
          </w14:textFill>
        </w:rPr>
      </w:pPr>
      <w:r>
        <w:rPr>
          <w:rFonts w:hint="default" w:ascii="Times New Roman" w:hAnsi="Times New Roman" w:cs="Times New Roman"/>
          <w:i/>
          <w:iCs/>
          <w:color w:val="000000" w:themeColor="text1"/>
          <w:kern w:val="0"/>
          <w:szCs w:val="21"/>
          <w:highlight w:val="none"/>
          <w14:textFill>
            <w14:solidFill>
              <w14:schemeClr w14:val="tx1"/>
            </w14:solidFill>
          </w14:textFill>
        </w:rPr>
        <w:t>备注：</w:t>
      </w:r>
      <w:bookmarkStart w:id="565" w:name="_Hlk71726662"/>
      <w:r>
        <w:rPr>
          <w:rFonts w:hint="default" w:ascii="Times New Roman" w:hAnsi="Times New Roman" w:cs="Times New Roman"/>
          <w:i/>
          <w:iCs/>
          <w:color w:val="000000" w:themeColor="text1"/>
          <w:kern w:val="0"/>
          <w:szCs w:val="21"/>
          <w:highlight w:val="none"/>
          <w14:textFill>
            <w14:solidFill>
              <w14:schemeClr w14:val="tx1"/>
            </w14:solidFill>
          </w14:textFill>
        </w:rPr>
        <w:t>表中的项目排放削减量为抚仙湖流域十三五之前及十四五发挥效益工程项目的削减排放量。</w:t>
      </w:r>
      <w:bookmarkEnd w:id="565"/>
    </w:p>
    <w:p>
      <w:pPr>
        <w:widowControl/>
        <w:adjustRightInd w:val="0"/>
        <w:snapToGrid w:val="0"/>
        <w:spacing w:line="360" w:lineRule="auto"/>
        <w:ind w:firstLine="480" w:firstLineChars="200"/>
        <w:jc w:val="left"/>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本规划在湖泊及流域水环境承载力计算的基础上，通过流域空间管控、水资源保护利用、水污染防治、水环境综合治理、生态修复、水灾害防治、执法监管、河湖长制工作类八大类工程方案措施的实施，大大削减污染物排放量和入湖量。</w:t>
      </w:r>
    </w:p>
    <w:p>
      <w:pPr>
        <w:spacing w:line="360" w:lineRule="auto"/>
        <w:ind w:firstLine="480" w:firstLineChars="200"/>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规划期实施2</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kern w:val="0"/>
          <w:sz w:val="24"/>
          <w:szCs w:val="24"/>
          <w:highlight w:val="none"/>
          <w14:textFill>
            <w14:solidFill>
              <w14:schemeClr w14:val="tx1"/>
            </w14:solidFill>
          </w14:textFill>
        </w:rPr>
        <w:t>项工程，对抚仙湖流域湖污染负荷削减起到主要作用的为《澄江市污水处理厂技术改造项目项目》《农业绿色转型升级发展项目</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14:textFill>
            <w14:solidFill>
              <w14:schemeClr w14:val="tx1"/>
            </w14:solidFill>
          </w14:textFill>
        </w:rPr>
        <w:t>高标准农田建设项目》《澄江市抚仙湖全流域截污治污项目》</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《抚仙湖入湖河道水质提升工程》《抚仙湖北岸初期雨水收集循环利用项目》</w:t>
      </w:r>
      <w:r>
        <w:rPr>
          <w:rFonts w:hint="default" w:ascii="Times New Roman" w:hAnsi="Times New Roman" w:cs="Times New Roman"/>
          <w:color w:val="000000" w:themeColor="text1"/>
          <w:kern w:val="0"/>
          <w:sz w:val="24"/>
          <w:szCs w:val="24"/>
          <w:highlight w:val="none"/>
          <w14:textFill>
            <w14:solidFill>
              <w14:schemeClr w14:val="tx1"/>
            </w14:solidFill>
          </w14:textFill>
        </w:rPr>
        <w:t>《澄江市生活垃圾治理项目》，工程实施新增排放量削减量COD、TN、TP和NH</w:t>
      </w:r>
      <w:r>
        <w:rPr>
          <w:rFonts w:hint="default" w:ascii="Times New Roman" w:hAnsi="Times New Roman" w:cs="Times New Roman"/>
          <w:color w:val="000000" w:themeColor="text1"/>
          <w:kern w:val="0"/>
          <w:sz w:val="24"/>
          <w:szCs w:val="24"/>
          <w:highlight w:val="none"/>
          <w:vertAlign w:val="subscript"/>
          <w14:textFill>
            <w14:solidFill>
              <w14:schemeClr w14:val="tx1"/>
            </w14:solidFill>
          </w14:textFill>
        </w:rPr>
        <w:t>3</w:t>
      </w:r>
      <w:r>
        <w:rPr>
          <w:rFonts w:hint="default" w:ascii="Times New Roman" w:hAnsi="Times New Roman" w:cs="Times New Roman"/>
          <w:color w:val="000000" w:themeColor="text1"/>
          <w:kern w:val="0"/>
          <w:sz w:val="24"/>
          <w:szCs w:val="24"/>
          <w:highlight w:val="none"/>
          <w14:textFill>
            <w14:solidFill>
              <w14:schemeClr w14:val="tx1"/>
            </w14:solidFill>
          </w14:textFill>
        </w:rPr>
        <w:t>-N分别为</w:t>
      </w:r>
      <w:bookmarkStart w:id="566" w:name="_Hlk72159558"/>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1202.4</w:t>
      </w:r>
      <w:r>
        <w:rPr>
          <w:rFonts w:hint="default" w:ascii="Times New Roman" w:hAnsi="Times New Roman" w:cs="Times New Roman"/>
          <w:color w:val="000000" w:themeColor="text1"/>
          <w:kern w:val="0"/>
          <w:sz w:val="24"/>
          <w:szCs w:val="24"/>
          <w:highlight w:val="none"/>
          <w14:textFill>
            <w14:solidFill>
              <w14:schemeClr w14:val="tx1"/>
            </w14:solidFill>
          </w14:textFill>
        </w:rPr>
        <w:t>t/a、2</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53.33</w:t>
      </w:r>
      <w:r>
        <w:rPr>
          <w:rFonts w:hint="default" w:ascii="Times New Roman" w:hAnsi="Times New Roman" w:cs="Times New Roman"/>
          <w:color w:val="000000" w:themeColor="text1"/>
          <w:kern w:val="0"/>
          <w:sz w:val="24"/>
          <w:szCs w:val="24"/>
          <w:highlight w:val="none"/>
          <w14:textFill>
            <w14:solidFill>
              <w14:schemeClr w14:val="tx1"/>
            </w14:solidFill>
          </w14:textFill>
        </w:rPr>
        <w:t>t/a、30.</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6</w:t>
      </w:r>
      <w:r>
        <w:rPr>
          <w:rFonts w:hint="default" w:ascii="Times New Roman" w:hAnsi="Times New Roman" w:cs="Times New Roman"/>
          <w:color w:val="000000" w:themeColor="text1"/>
          <w:kern w:val="0"/>
          <w:sz w:val="24"/>
          <w:szCs w:val="24"/>
          <w:highlight w:val="none"/>
          <w14:textFill>
            <w14:solidFill>
              <w14:schemeClr w14:val="tx1"/>
            </w14:solidFill>
          </w14:textFill>
        </w:rPr>
        <w:t>t/a、170.98t/a</w:t>
      </w:r>
      <w:bookmarkEnd w:id="566"/>
      <w:r>
        <w:rPr>
          <w:rFonts w:hint="default" w:ascii="Times New Roman" w:hAnsi="Times New Roman" w:cs="Times New Roman"/>
          <w:color w:val="000000" w:themeColor="text1"/>
          <w:kern w:val="0"/>
          <w:sz w:val="24"/>
          <w:szCs w:val="24"/>
          <w:highlight w:val="none"/>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kern w:val="0"/>
          <w:sz w:val="24"/>
          <w:szCs w:val="24"/>
          <w:highlight w:val="none"/>
          <w14:textFill>
            <w14:solidFill>
              <w14:schemeClr w14:val="tx1"/>
            </w14:solidFill>
          </w14:textFill>
        </w:rPr>
      </w:pPr>
      <w:bookmarkStart w:id="567" w:name="_Hlk71726568"/>
      <w:r>
        <w:rPr>
          <w:rFonts w:hint="default" w:ascii="Times New Roman" w:hAnsi="Times New Roman" w:cs="Times New Roman"/>
          <w:color w:val="000000" w:themeColor="text1"/>
          <w:sz w:val="24"/>
          <w:szCs w:val="24"/>
          <w:highlight w:val="none"/>
          <w14:textFill>
            <w14:solidFill>
              <w14:schemeClr w14:val="tx1"/>
            </w14:solidFill>
          </w14:textFill>
        </w:rPr>
        <w:t>根据《澄江市抚仙湖山水林田湖生态保护修复工程及</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十三五</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规划项目绩效评估报告》，2020年前实施35项工程可削减污染负荷排放量TN640.27t/a、TP346.3t/a；</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十四五</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规划拟实施2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szCs w:val="24"/>
          <w:highlight w:val="none"/>
          <w14:textFill>
            <w14:solidFill>
              <w14:schemeClr w14:val="tx1"/>
            </w14:solidFill>
          </w14:textFill>
        </w:rPr>
        <w:t>项工程，预测可削减污染负荷排放量TN2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53.33</w:t>
      </w:r>
      <w:r>
        <w:rPr>
          <w:rFonts w:hint="default" w:ascii="Times New Roman" w:hAnsi="Times New Roman" w:cs="Times New Roman"/>
          <w:color w:val="000000" w:themeColor="text1"/>
          <w:sz w:val="24"/>
          <w:szCs w:val="24"/>
          <w:highlight w:val="none"/>
          <w14:textFill>
            <w14:solidFill>
              <w14:schemeClr w14:val="tx1"/>
            </w14:solidFill>
          </w14:textFill>
        </w:rPr>
        <w:t>t/a、TP30.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cs="Times New Roman"/>
          <w:color w:val="000000" w:themeColor="text1"/>
          <w:sz w:val="24"/>
          <w:szCs w:val="24"/>
          <w:highlight w:val="none"/>
          <w14:textFill>
            <w14:solidFill>
              <w14:schemeClr w14:val="tx1"/>
            </w14:solidFill>
          </w14:textFill>
        </w:rPr>
        <w:t>t/a</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中期评估新增项目可削减污染负荷排放量TN16.6t/a、TP3.58t/a。</w:t>
      </w:r>
      <w:r>
        <w:rPr>
          <w:rFonts w:hint="eastAsia" w:cs="Times New Roman"/>
          <w:color w:val="000000" w:themeColor="text1"/>
          <w:sz w:val="24"/>
          <w:szCs w:val="24"/>
          <w:highlight w:val="none"/>
          <w:lang w:eastAsia="zh-CN"/>
          <w14:textFill>
            <w14:solidFill>
              <w14:schemeClr w14:val="tx1"/>
            </w14:solidFill>
          </w14:textFill>
        </w:rPr>
        <w:t>截至</w:t>
      </w:r>
      <w:r>
        <w:rPr>
          <w:rFonts w:hint="default" w:ascii="Times New Roman" w:hAnsi="Times New Roman" w:cs="Times New Roman"/>
          <w:color w:val="000000" w:themeColor="text1"/>
          <w:sz w:val="24"/>
          <w:szCs w:val="24"/>
          <w:highlight w:val="none"/>
          <w14:textFill>
            <w14:solidFill>
              <w14:schemeClr w14:val="tx1"/>
            </w14:solidFill>
          </w14:textFill>
        </w:rPr>
        <w:t>2025年末，全部工程可削减污染负荷排放量TN910.2t/a、TP380.78t/a，规划期排放量削减目标为TN825.29t/a、TP270.79t/a，对应工程减排要求，TN、TP均已达到减排要求</w:t>
      </w:r>
      <w:r>
        <w:rPr>
          <w:rFonts w:hint="default" w:ascii="Times New Roman" w:hAnsi="Times New Roman" w:cs="Times New Roman"/>
          <w:color w:val="000000" w:themeColor="text1"/>
          <w:kern w:val="0"/>
          <w:sz w:val="24"/>
          <w:szCs w:val="24"/>
          <w:highlight w:val="none"/>
          <w14:textFill>
            <w14:solidFill>
              <w14:schemeClr w14:val="tx1"/>
            </w14:solidFill>
          </w14:textFill>
        </w:rPr>
        <w:t>。因此，</w:t>
      </w:r>
      <w:r>
        <w:rPr>
          <w:rFonts w:hint="default" w:ascii="Times New Roman" w:hAnsi="Times New Roman" w:cs="Times New Roman"/>
          <w:color w:val="000000" w:themeColor="text1"/>
          <w:sz w:val="24"/>
          <w:szCs w:val="24"/>
          <w:highlight w:val="none"/>
          <w14:textFill>
            <w14:solidFill>
              <w14:schemeClr w14:val="tx1"/>
            </w14:solidFill>
          </w14:textFill>
        </w:rPr>
        <w:t>对照抚仙湖规划期年污染物削减量目标，</w:t>
      </w:r>
      <w:r>
        <w:rPr>
          <w:rFonts w:hint="default" w:ascii="Times New Roman" w:hAnsi="Times New Roman" w:cs="Times New Roman"/>
          <w:color w:val="000000" w:themeColor="text1"/>
          <w:kern w:val="0"/>
          <w:sz w:val="24"/>
          <w:szCs w:val="24"/>
          <w:highlight w:val="none"/>
          <w14:textFill>
            <w14:solidFill>
              <w14:schemeClr w14:val="tx1"/>
            </w14:solidFill>
          </w14:textFill>
        </w:rPr>
        <w:t>各工程措施实施后的主要污染物TN的入湖削减量能够达到目标入湖削减量，可以达到规划目标。</w:t>
      </w:r>
    </w:p>
    <w:bookmarkEnd w:id="567"/>
    <w:p>
      <w:pPr>
        <w:spacing w:line="360" w:lineRule="auto"/>
        <w:ind w:left="0" w:leftChars="0" w:firstLine="0" w:firstLineChars="0"/>
        <w:jc w:val="center"/>
        <w:rPr>
          <w:rFonts w:hint="default" w:ascii="Times New Roman" w:hAnsi="Times New Roman" w:cs="Times New Roman"/>
          <w:b/>
          <w:color w:val="000000" w:themeColor="text1"/>
          <w:sz w:val="24"/>
          <w:szCs w:val="22"/>
          <w:highlight w:val="none"/>
          <w14:textFill>
            <w14:solidFill>
              <w14:schemeClr w14:val="tx1"/>
            </w14:solidFill>
          </w14:textFill>
        </w:rPr>
      </w:pPr>
      <w:r>
        <w:rPr>
          <w:rFonts w:hint="default" w:ascii="Times New Roman" w:hAnsi="Times New Roman" w:cs="Times New Roman"/>
          <w:b/>
          <w:color w:val="000000" w:themeColor="text1"/>
          <w:sz w:val="24"/>
          <w:szCs w:val="22"/>
          <w:highlight w:val="none"/>
          <w14:textFill>
            <w14:solidFill>
              <w14:schemeClr w14:val="tx1"/>
            </w14:solidFill>
          </w14:textFill>
        </w:rPr>
        <w:t>表</w:t>
      </w:r>
      <w:r>
        <w:rPr>
          <w:rFonts w:hint="eastAsia" w:cs="Times New Roman"/>
          <w:b/>
          <w:color w:val="000000" w:themeColor="text1"/>
          <w:sz w:val="24"/>
          <w:szCs w:val="22"/>
          <w:highlight w:val="none"/>
          <w:lang w:val="en-US" w:eastAsia="zh-CN"/>
          <w14:textFill>
            <w14:solidFill>
              <w14:schemeClr w14:val="tx1"/>
            </w14:solidFill>
          </w14:textFill>
        </w:rPr>
        <w:t>7</w:t>
      </w:r>
      <w:r>
        <w:rPr>
          <w:rFonts w:hint="default" w:ascii="Times New Roman" w:hAnsi="Times New Roman" w:cs="Times New Roman"/>
          <w:b/>
          <w:color w:val="000000" w:themeColor="text1"/>
          <w:sz w:val="24"/>
          <w:szCs w:val="22"/>
          <w:highlight w:val="none"/>
          <w14:textFill>
            <w14:solidFill>
              <w14:schemeClr w14:val="tx1"/>
            </w14:solidFill>
          </w14:textFill>
        </w:rPr>
        <w:t>.1-2抚仙湖规划年项目排放削减量情况表（单位：t/a）</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1"/>
        <w:gridCol w:w="1046"/>
        <w:gridCol w:w="899"/>
        <w:gridCol w:w="1933"/>
        <w:gridCol w:w="2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1" w:type="dxa"/>
            <w:vMerge w:val="restart"/>
            <w:vAlign w:val="center"/>
          </w:tcPr>
          <w:p>
            <w:pPr>
              <w:jc w:val="center"/>
              <w:rPr>
                <w:rFonts w:hint="default" w:ascii="Times New Roman" w:hAnsi="Times New Roman" w:cs="Times New Roman"/>
                <w:b/>
                <w:color w:val="000000" w:themeColor="text1"/>
                <w:kern w:val="0"/>
                <w:szCs w:val="21"/>
                <w:highlight w:val="none"/>
                <w14:textFill>
                  <w14:solidFill>
                    <w14:schemeClr w14:val="tx1"/>
                  </w14:solidFill>
                </w14:textFill>
              </w:rPr>
            </w:pPr>
            <w:r>
              <w:rPr>
                <w:rFonts w:hint="default" w:ascii="Times New Roman" w:hAnsi="Times New Roman" w:cs="Times New Roman"/>
                <w:b/>
                <w:color w:val="000000" w:themeColor="text1"/>
                <w:kern w:val="0"/>
                <w:szCs w:val="21"/>
                <w:highlight w:val="none"/>
                <w14:textFill>
                  <w14:solidFill>
                    <w14:schemeClr w14:val="tx1"/>
                  </w14:solidFill>
                </w14:textFill>
              </w:rPr>
              <w:t>数据来源</w:t>
            </w:r>
          </w:p>
        </w:tc>
        <w:tc>
          <w:tcPr>
            <w:tcW w:w="1046" w:type="dxa"/>
            <w:vMerge w:val="restart"/>
            <w:vAlign w:val="center"/>
          </w:tcPr>
          <w:p>
            <w:pPr>
              <w:jc w:val="center"/>
              <w:rPr>
                <w:rFonts w:hint="default" w:ascii="Times New Roman" w:hAnsi="Times New Roman" w:cs="Times New Roman"/>
                <w:b/>
                <w:color w:val="000000" w:themeColor="text1"/>
                <w:kern w:val="0"/>
                <w:szCs w:val="21"/>
                <w:highlight w:val="none"/>
                <w14:textFill>
                  <w14:solidFill>
                    <w14:schemeClr w14:val="tx1"/>
                  </w14:solidFill>
                </w14:textFill>
              </w:rPr>
            </w:pPr>
            <w:r>
              <w:rPr>
                <w:rFonts w:hint="default" w:ascii="Times New Roman" w:hAnsi="Times New Roman" w:cs="Times New Roman"/>
                <w:b/>
                <w:color w:val="000000" w:themeColor="text1"/>
                <w:kern w:val="0"/>
                <w:szCs w:val="21"/>
                <w:highlight w:val="none"/>
                <w14:textFill>
                  <w14:solidFill>
                    <w14:schemeClr w14:val="tx1"/>
                  </w14:solidFill>
                </w14:textFill>
              </w:rPr>
              <w:t>项目实施时间</w:t>
            </w:r>
          </w:p>
        </w:tc>
        <w:tc>
          <w:tcPr>
            <w:tcW w:w="899" w:type="dxa"/>
            <w:vMerge w:val="restart"/>
            <w:vAlign w:val="center"/>
          </w:tcPr>
          <w:p>
            <w:pPr>
              <w:jc w:val="center"/>
              <w:rPr>
                <w:rFonts w:hint="default" w:ascii="Times New Roman" w:hAnsi="Times New Roman" w:cs="Times New Roman"/>
                <w:b/>
                <w:color w:val="000000" w:themeColor="text1"/>
                <w:kern w:val="0"/>
                <w:szCs w:val="21"/>
                <w:highlight w:val="none"/>
                <w14:textFill>
                  <w14:solidFill>
                    <w14:schemeClr w14:val="tx1"/>
                  </w14:solidFill>
                </w14:textFill>
              </w:rPr>
            </w:pPr>
            <w:r>
              <w:rPr>
                <w:rFonts w:hint="default" w:ascii="Times New Roman" w:hAnsi="Times New Roman" w:cs="Times New Roman"/>
                <w:b/>
                <w:color w:val="000000" w:themeColor="text1"/>
                <w:kern w:val="0"/>
                <w:szCs w:val="21"/>
                <w:highlight w:val="none"/>
                <w14:textFill>
                  <w14:solidFill>
                    <w14:schemeClr w14:val="tx1"/>
                  </w14:solidFill>
                </w14:textFill>
              </w:rPr>
              <w:t>项目数量</w:t>
            </w:r>
          </w:p>
        </w:tc>
        <w:tc>
          <w:tcPr>
            <w:tcW w:w="4049" w:type="dxa"/>
            <w:gridSpan w:val="2"/>
            <w:vAlign w:val="center"/>
          </w:tcPr>
          <w:p>
            <w:pPr>
              <w:jc w:val="center"/>
              <w:rPr>
                <w:rFonts w:hint="default" w:ascii="Times New Roman" w:hAnsi="Times New Roman" w:cs="Times New Roman"/>
                <w:b/>
                <w:color w:val="000000" w:themeColor="text1"/>
                <w:kern w:val="0"/>
                <w:szCs w:val="21"/>
                <w:highlight w:val="none"/>
                <w14:textFill>
                  <w14:solidFill>
                    <w14:schemeClr w14:val="tx1"/>
                  </w14:solidFill>
                </w14:textFill>
              </w:rPr>
            </w:pPr>
            <w:r>
              <w:rPr>
                <w:rFonts w:hint="default" w:ascii="Times New Roman" w:hAnsi="Times New Roman" w:cs="Times New Roman"/>
                <w:b/>
                <w:color w:val="000000" w:themeColor="text1"/>
                <w:kern w:val="0"/>
                <w:szCs w:val="21"/>
                <w:highlight w:val="none"/>
                <w14:textFill>
                  <w14:solidFill>
                    <w14:schemeClr w14:val="tx1"/>
                  </w14:solidFill>
                </w14:textFill>
              </w:rPr>
              <w:t>项目排放削减量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1" w:type="dxa"/>
            <w:vMerge w:val="continue"/>
            <w:vAlign w:val="center"/>
          </w:tcPr>
          <w:p>
            <w:pPr>
              <w:jc w:val="center"/>
              <w:rPr>
                <w:rFonts w:hint="default" w:ascii="Times New Roman" w:hAnsi="Times New Roman" w:cs="Times New Roman"/>
                <w:b/>
                <w:color w:val="000000" w:themeColor="text1"/>
                <w:kern w:val="0"/>
                <w:szCs w:val="21"/>
                <w:highlight w:val="none"/>
                <w14:textFill>
                  <w14:solidFill>
                    <w14:schemeClr w14:val="tx1"/>
                  </w14:solidFill>
                </w14:textFill>
              </w:rPr>
            </w:pPr>
          </w:p>
        </w:tc>
        <w:tc>
          <w:tcPr>
            <w:tcW w:w="1046" w:type="dxa"/>
            <w:vMerge w:val="continue"/>
            <w:vAlign w:val="center"/>
          </w:tcPr>
          <w:p>
            <w:pPr>
              <w:jc w:val="center"/>
              <w:rPr>
                <w:rFonts w:hint="default" w:ascii="Times New Roman" w:hAnsi="Times New Roman" w:cs="Times New Roman"/>
                <w:b/>
                <w:color w:val="000000" w:themeColor="text1"/>
                <w:kern w:val="0"/>
                <w:szCs w:val="21"/>
                <w:highlight w:val="none"/>
                <w14:textFill>
                  <w14:solidFill>
                    <w14:schemeClr w14:val="tx1"/>
                  </w14:solidFill>
                </w14:textFill>
              </w:rPr>
            </w:pPr>
          </w:p>
        </w:tc>
        <w:tc>
          <w:tcPr>
            <w:tcW w:w="899" w:type="dxa"/>
            <w:vMerge w:val="continue"/>
            <w:vAlign w:val="center"/>
          </w:tcPr>
          <w:p>
            <w:pPr>
              <w:jc w:val="center"/>
              <w:rPr>
                <w:rFonts w:hint="default" w:ascii="Times New Roman" w:hAnsi="Times New Roman" w:cs="Times New Roman"/>
                <w:b/>
                <w:color w:val="000000" w:themeColor="text1"/>
                <w:kern w:val="0"/>
                <w:szCs w:val="21"/>
                <w:highlight w:val="none"/>
                <w14:textFill>
                  <w14:solidFill>
                    <w14:schemeClr w14:val="tx1"/>
                  </w14:solidFill>
                </w14:textFill>
              </w:rPr>
            </w:pPr>
          </w:p>
        </w:tc>
        <w:tc>
          <w:tcPr>
            <w:tcW w:w="1933" w:type="dxa"/>
            <w:vAlign w:val="center"/>
          </w:tcPr>
          <w:p>
            <w:pPr>
              <w:jc w:val="center"/>
              <w:rPr>
                <w:rFonts w:hint="default" w:ascii="Times New Roman" w:hAnsi="Times New Roman" w:cs="Times New Roman"/>
                <w:b/>
                <w:color w:val="000000" w:themeColor="text1"/>
                <w:kern w:val="0"/>
                <w:szCs w:val="21"/>
                <w:highlight w:val="none"/>
                <w14:textFill>
                  <w14:solidFill>
                    <w14:schemeClr w14:val="tx1"/>
                  </w14:solidFill>
                </w14:textFill>
              </w:rPr>
            </w:pPr>
            <w:r>
              <w:rPr>
                <w:rFonts w:hint="default" w:ascii="Times New Roman" w:hAnsi="Times New Roman" w:cs="Times New Roman"/>
                <w:b/>
                <w:color w:val="000000" w:themeColor="text1"/>
                <w:kern w:val="0"/>
                <w:szCs w:val="21"/>
                <w:highlight w:val="none"/>
                <w14:textFill>
                  <w14:solidFill>
                    <w14:schemeClr w14:val="tx1"/>
                  </w14:solidFill>
                </w14:textFill>
              </w:rPr>
              <w:t>TN</w:t>
            </w:r>
          </w:p>
        </w:tc>
        <w:tc>
          <w:tcPr>
            <w:tcW w:w="2116" w:type="dxa"/>
            <w:vAlign w:val="center"/>
          </w:tcPr>
          <w:p>
            <w:pPr>
              <w:jc w:val="center"/>
              <w:rPr>
                <w:rFonts w:hint="default" w:ascii="Times New Roman" w:hAnsi="Times New Roman" w:cs="Times New Roman"/>
                <w:b/>
                <w:color w:val="000000" w:themeColor="text1"/>
                <w:kern w:val="0"/>
                <w:szCs w:val="21"/>
                <w:highlight w:val="none"/>
                <w14:textFill>
                  <w14:solidFill>
                    <w14:schemeClr w14:val="tx1"/>
                  </w14:solidFill>
                </w14:textFill>
              </w:rPr>
            </w:pPr>
            <w:r>
              <w:rPr>
                <w:rFonts w:hint="default" w:ascii="Times New Roman" w:hAnsi="Times New Roman" w:cs="Times New Roman"/>
                <w:b/>
                <w:color w:val="000000" w:themeColor="text1"/>
                <w:kern w:val="0"/>
                <w:szCs w:val="21"/>
                <w:highlight w:val="none"/>
                <w14:textFill>
                  <w14:solidFill>
                    <w14:schemeClr w14:val="tx1"/>
                  </w14:solidFill>
                </w14:textFill>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1" w:type="dxa"/>
            <w:vAlign w:val="center"/>
          </w:tcPr>
          <w:p>
            <w:pPr>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《澄江市抚仙湖山水林田湖生态保护修复工程及</w:t>
            </w:r>
            <w:r>
              <w:rPr>
                <w:rFonts w:hint="default" w:ascii="Times New Roman" w:hAnsi="Times New Roman" w:cs="Times New Roman"/>
                <w:color w:val="000000" w:themeColor="text1"/>
                <w:kern w:val="0"/>
                <w:szCs w:val="21"/>
                <w:highlight w:val="none"/>
                <w:lang w:eastAsia="zh-CN"/>
                <w14:textFill>
                  <w14:solidFill>
                    <w14:schemeClr w14:val="tx1"/>
                  </w14:solidFill>
                </w14:textFill>
              </w:rPr>
              <w:t>“</w:t>
            </w:r>
            <w:r>
              <w:rPr>
                <w:rFonts w:hint="default" w:ascii="Times New Roman" w:hAnsi="Times New Roman" w:cs="Times New Roman"/>
                <w:color w:val="000000" w:themeColor="text1"/>
                <w:kern w:val="0"/>
                <w:szCs w:val="21"/>
                <w:highlight w:val="none"/>
                <w14:textFill>
                  <w14:solidFill>
                    <w14:schemeClr w14:val="tx1"/>
                  </w14:solidFill>
                </w14:textFill>
              </w:rPr>
              <w:t>十三五</w:t>
            </w:r>
            <w:r>
              <w:rPr>
                <w:rFonts w:hint="default" w:ascii="Times New Roman" w:hAnsi="Times New Roman" w:cs="Times New Roman"/>
                <w:color w:val="000000" w:themeColor="text1"/>
                <w:kern w:val="0"/>
                <w:szCs w:val="21"/>
                <w:highlight w:val="none"/>
                <w:lang w:eastAsia="zh-CN"/>
                <w14:textFill>
                  <w14:solidFill>
                    <w14:schemeClr w14:val="tx1"/>
                  </w14:solidFill>
                </w14:textFill>
              </w:rPr>
              <w:t>”</w:t>
            </w:r>
            <w:r>
              <w:rPr>
                <w:rFonts w:hint="default" w:ascii="Times New Roman" w:hAnsi="Times New Roman" w:cs="Times New Roman"/>
                <w:color w:val="000000" w:themeColor="text1"/>
                <w:kern w:val="0"/>
                <w:szCs w:val="21"/>
                <w:highlight w:val="none"/>
                <w14:textFill>
                  <w14:solidFill>
                    <w14:schemeClr w14:val="tx1"/>
                  </w14:solidFill>
                </w14:textFill>
              </w:rPr>
              <w:t>规划项目绩效评估报告》①</w:t>
            </w:r>
          </w:p>
        </w:tc>
        <w:tc>
          <w:tcPr>
            <w:tcW w:w="1046" w:type="dxa"/>
            <w:vAlign w:val="center"/>
          </w:tcPr>
          <w:p>
            <w:pPr>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--2020年底</w:t>
            </w:r>
          </w:p>
        </w:tc>
        <w:tc>
          <w:tcPr>
            <w:tcW w:w="899" w:type="dxa"/>
            <w:vAlign w:val="center"/>
          </w:tcPr>
          <w:p>
            <w:pPr>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35</w:t>
            </w:r>
          </w:p>
        </w:tc>
        <w:tc>
          <w:tcPr>
            <w:tcW w:w="1933" w:type="dxa"/>
            <w:vAlign w:val="center"/>
          </w:tcPr>
          <w:p>
            <w:pPr>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640.27</w:t>
            </w:r>
          </w:p>
        </w:tc>
        <w:tc>
          <w:tcPr>
            <w:tcW w:w="2116" w:type="dxa"/>
            <w:vAlign w:val="center"/>
          </w:tcPr>
          <w:p>
            <w:pPr>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1" w:type="dxa"/>
            <w:vAlign w:val="center"/>
          </w:tcPr>
          <w:p>
            <w:pPr>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《抚仙湖水环境保护治理</w:t>
            </w:r>
            <w:r>
              <w:rPr>
                <w:rFonts w:hint="default" w:ascii="Times New Roman" w:hAnsi="Times New Roman" w:cs="Times New Roman"/>
                <w:color w:val="000000" w:themeColor="text1"/>
                <w:kern w:val="0"/>
                <w:szCs w:val="21"/>
                <w:highlight w:val="none"/>
                <w:lang w:eastAsia="zh-CN"/>
                <w14:textFill>
                  <w14:solidFill>
                    <w14:schemeClr w14:val="tx1"/>
                  </w14:solidFill>
                </w14:textFill>
              </w:rPr>
              <w:t>“</w:t>
            </w:r>
            <w:r>
              <w:rPr>
                <w:rFonts w:hint="default" w:ascii="Times New Roman" w:hAnsi="Times New Roman" w:cs="Times New Roman"/>
                <w:color w:val="000000" w:themeColor="text1"/>
                <w:kern w:val="0"/>
                <w:szCs w:val="21"/>
                <w:highlight w:val="none"/>
                <w14:textFill>
                  <w14:solidFill>
                    <w14:schemeClr w14:val="tx1"/>
                  </w14:solidFill>
                </w14:textFill>
              </w:rPr>
              <w:t>十四五</w:t>
            </w:r>
            <w:r>
              <w:rPr>
                <w:rFonts w:hint="default" w:ascii="Times New Roman" w:hAnsi="Times New Roman" w:cs="Times New Roman"/>
                <w:color w:val="000000" w:themeColor="text1"/>
                <w:kern w:val="0"/>
                <w:szCs w:val="21"/>
                <w:highlight w:val="none"/>
                <w:lang w:eastAsia="zh-CN"/>
                <w14:textFill>
                  <w14:solidFill>
                    <w14:schemeClr w14:val="tx1"/>
                  </w14:solidFill>
                </w14:textFill>
              </w:rPr>
              <w:t>”</w:t>
            </w:r>
            <w:r>
              <w:rPr>
                <w:rFonts w:hint="default" w:ascii="Times New Roman" w:hAnsi="Times New Roman" w:cs="Times New Roman"/>
                <w:color w:val="000000" w:themeColor="text1"/>
                <w:kern w:val="0"/>
                <w:szCs w:val="21"/>
                <w:highlight w:val="none"/>
                <w14:textFill>
                  <w14:solidFill>
                    <w14:schemeClr w14:val="tx1"/>
                  </w14:solidFill>
                </w14:textFill>
              </w:rPr>
              <w:t>规划</w:t>
            </w:r>
            <w:r>
              <w:rPr>
                <w:rFonts w:hint="eastAsia" w:cs="Times New Roman"/>
                <w:color w:val="000000" w:themeColor="text1"/>
                <w:kern w:val="0"/>
                <w:szCs w:val="21"/>
                <w:highlight w:val="none"/>
                <w:lang w:val="en-US" w:eastAsia="zh-CN"/>
                <w14:textFill>
                  <w14:solidFill>
                    <w14:schemeClr w14:val="tx1"/>
                  </w14:solidFill>
                </w14:textFill>
              </w:rPr>
              <w:t>中期评估</w:t>
            </w:r>
            <w:r>
              <w:rPr>
                <w:rFonts w:hint="default" w:ascii="Times New Roman" w:hAnsi="Times New Roman" w:cs="Times New Roman"/>
                <w:color w:val="000000" w:themeColor="text1"/>
                <w:kern w:val="0"/>
                <w:szCs w:val="21"/>
                <w:highlight w:val="none"/>
                <w14:textFill>
                  <w14:solidFill>
                    <w14:schemeClr w14:val="tx1"/>
                  </w14:solidFill>
                </w14:textFill>
              </w:rPr>
              <w:t>》③</w:t>
            </w:r>
          </w:p>
        </w:tc>
        <w:tc>
          <w:tcPr>
            <w:tcW w:w="1046" w:type="dxa"/>
            <w:vAlign w:val="center"/>
          </w:tcPr>
          <w:p>
            <w:pPr>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十四五</w:t>
            </w:r>
          </w:p>
        </w:tc>
        <w:tc>
          <w:tcPr>
            <w:tcW w:w="899" w:type="dxa"/>
            <w:vAlign w:val="center"/>
          </w:tcPr>
          <w:p>
            <w:pPr>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eastAsia="宋体" w:cs="Times New Roman"/>
                <w:color w:val="000000" w:themeColor="text1"/>
                <w:kern w:val="0"/>
                <w:szCs w:val="21"/>
                <w:highlight w:val="none"/>
                <w:lang w:val="en-US" w:eastAsia="zh-CN"/>
                <w14:textFill>
                  <w14:solidFill>
                    <w14:schemeClr w14:val="tx1"/>
                  </w14:solidFill>
                </w14:textFill>
              </w:rPr>
              <w:t>33</w:t>
            </w:r>
          </w:p>
        </w:tc>
        <w:tc>
          <w:tcPr>
            <w:tcW w:w="1933" w:type="dxa"/>
            <w:vAlign w:val="center"/>
          </w:tcPr>
          <w:p>
            <w:pPr>
              <w:widowControl/>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269.93</w:t>
            </w:r>
          </w:p>
        </w:tc>
        <w:tc>
          <w:tcPr>
            <w:tcW w:w="2116" w:type="dxa"/>
            <w:vAlign w:val="center"/>
          </w:tcPr>
          <w:p>
            <w:pPr>
              <w:widowControl/>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6" w:type="dxa"/>
            <w:gridSpan w:val="3"/>
            <w:vAlign w:val="center"/>
          </w:tcPr>
          <w:p>
            <w:pPr>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总计②</w:t>
            </w:r>
          </w:p>
        </w:tc>
        <w:tc>
          <w:tcPr>
            <w:tcW w:w="1933" w:type="dxa"/>
          </w:tcPr>
          <w:p>
            <w:pPr>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893.6</w:t>
            </w:r>
          </w:p>
        </w:tc>
        <w:tc>
          <w:tcPr>
            <w:tcW w:w="2116" w:type="dxa"/>
          </w:tcPr>
          <w:p>
            <w:pPr>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6" w:type="dxa"/>
            <w:gridSpan w:val="3"/>
            <w:vAlign w:val="center"/>
          </w:tcPr>
          <w:p>
            <w:pPr>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规划期排放量削减目标</w:t>
            </w:r>
          </w:p>
        </w:tc>
        <w:tc>
          <w:tcPr>
            <w:tcW w:w="1933" w:type="dxa"/>
          </w:tcPr>
          <w:p>
            <w:pPr>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825.29</w:t>
            </w:r>
          </w:p>
        </w:tc>
        <w:tc>
          <w:tcPr>
            <w:tcW w:w="2116" w:type="dxa"/>
          </w:tcPr>
          <w:p>
            <w:pPr>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270.79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6" w:type="dxa"/>
            <w:gridSpan w:val="3"/>
            <w:vAlign w:val="center"/>
          </w:tcPr>
          <w:p>
            <w:pPr>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目标是否可达</w:t>
            </w:r>
          </w:p>
        </w:tc>
        <w:tc>
          <w:tcPr>
            <w:tcW w:w="1933" w:type="dxa"/>
            <w:vAlign w:val="center"/>
          </w:tcPr>
          <w:p>
            <w:pPr>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可达</w:t>
            </w:r>
          </w:p>
        </w:tc>
        <w:tc>
          <w:tcPr>
            <w:tcW w:w="2116" w:type="dxa"/>
            <w:vAlign w:val="center"/>
          </w:tcPr>
          <w:p>
            <w:pPr>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可达</w:t>
            </w:r>
          </w:p>
        </w:tc>
      </w:tr>
    </w:tbl>
    <w:p>
      <w:pPr>
        <w:rPr>
          <w:rFonts w:hint="default" w:ascii="Times New Roman" w:hAnsi="Times New Roman" w:cs="Times New Roman"/>
          <w:i/>
          <w:iCs/>
          <w:color w:val="000000" w:themeColor="text1"/>
          <w:szCs w:val="21"/>
          <w:highlight w:val="none"/>
          <w14:textFill>
            <w14:solidFill>
              <w14:schemeClr w14:val="tx1"/>
            </w14:solidFill>
          </w14:textFill>
        </w:rPr>
      </w:pPr>
      <w:r>
        <w:rPr>
          <w:rFonts w:hint="default" w:ascii="Times New Roman" w:hAnsi="Times New Roman" w:cs="Times New Roman"/>
          <w:i/>
          <w:iCs/>
          <w:color w:val="000000" w:themeColor="text1"/>
          <w:szCs w:val="21"/>
          <w:highlight w:val="none"/>
          <w14:textFill>
            <w14:solidFill>
              <w14:schemeClr w14:val="tx1"/>
            </w14:solidFill>
          </w14:textFill>
        </w:rPr>
        <w:t>备注：①根据《澄江市抚仙湖山水林田湖生态保护修复工程及</w:t>
      </w:r>
      <w:r>
        <w:rPr>
          <w:rFonts w:hint="default" w:ascii="Times New Roman" w:hAnsi="Times New Roman" w:cs="Times New Roman"/>
          <w:i/>
          <w:iCs/>
          <w:color w:val="000000" w:themeColor="text1"/>
          <w:szCs w:val="21"/>
          <w:highlight w:val="none"/>
          <w:lang w:eastAsia="zh-CN"/>
          <w14:textFill>
            <w14:solidFill>
              <w14:schemeClr w14:val="tx1"/>
            </w14:solidFill>
          </w14:textFill>
        </w:rPr>
        <w:t>“</w:t>
      </w:r>
      <w:r>
        <w:rPr>
          <w:rFonts w:hint="default" w:ascii="Times New Roman" w:hAnsi="Times New Roman" w:cs="Times New Roman"/>
          <w:i/>
          <w:iCs/>
          <w:color w:val="000000" w:themeColor="text1"/>
          <w:szCs w:val="21"/>
          <w:highlight w:val="none"/>
          <w14:textFill>
            <w14:solidFill>
              <w14:schemeClr w14:val="tx1"/>
            </w14:solidFill>
          </w14:textFill>
        </w:rPr>
        <w:t>十三五</w:t>
      </w:r>
      <w:r>
        <w:rPr>
          <w:rFonts w:hint="default" w:ascii="Times New Roman" w:hAnsi="Times New Roman" w:cs="Times New Roman"/>
          <w:i/>
          <w:iCs/>
          <w:color w:val="000000" w:themeColor="text1"/>
          <w:szCs w:val="21"/>
          <w:highlight w:val="none"/>
          <w:lang w:eastAsia="zh-CN"/>
          <w14:textFill>
            <w14:solidFill>
              <w14:schemeClr w14:val="tx1"/>
            </w14:solidFill>
          </w14:textFill>
        </w:rPr>
        <w:t>”</w:t>
      </w:r>
      <w:r>
        <w:rPr>
          <w:rFonts w:hint="default" w:ascii="Times New Roman" w:hAnsi="Times New Roman" w:cs="Times New Roman"/>
          <w:i/>
          <w:iCs/>
          <w:color w:val="000000" w:themeColor="text1"/>
          <w:szCs w:val="21"/>
          <w:highlight w:val="none"/>
          <w14:textFill>
            <w14:solidFill>
              <w14:schemeClr w14:val="tx1"/>
            </w14:solidFill>
          </w14:textFill>
        </w:rPr>
        <w:t>规划项目绩效评估报告》，本报告2020年前项目削减量不含径流区养殖业产业结构调整产生的污染负荷排放削减量；</w:t>
      </w:r>
    </w:p>
    <w:p>
      <w:pPr>
        <w:spacing w:line="360" w:lineRule="auto"/>
        <w:rPr>
          <w:rFonts w:hint="default" w:ascii="Times New Roman" w:hAnsi="Times New Roman" w:cs="Times New Roman"/>
          <w:i/>
          <w:iCs/>
          <w:color w:val="000000" w:themeColor="text1"/>
          <w:szCs w:val="21"/>
          <w:highlight w:val="none"/>
          <w14:textFill>
            <w14:solidFill>
              <w14:schemeClr w14:val="tx1"/>
            </w14:solidFill>
          </w14:textFill>
        </w:rPr>
      </w:pPr>
      <w:r>
        <w:rPr>
          <w:rFonts w:hint="default" w:ascii="Times New Roman" w:hAnsi="Times New Roman" w:cs="Times New Roman"/>
          <w:i/>
          <w:iCs/>
          <w:color w:val="000000" w:themeColor="text1"/>
          <w:szCs w:val="21"/>
          <w:highlight w:val="none"/>
          <w14:textFill>
            <w14:solidFill>
              <w14:schemeClr w14:val="tx1"/>
            </w14:solidFill>
          </w14:textFill>
        </w:rPr>
        <w:t>②表中的项目排放削减量为抚仙湖流域十三五之前及十四五（预测）所有工程项目的削减排放量；</w:t>
      </w:r>
    </w:p>
    <w:p>
      <w:pPr>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i/>
          <w:iCs/>
          <w:color w:val="000000" w:themeColor="text1"/>
          <w:szCs w:val="21"/>
          <w:highlight w:val="none"/>
          <w14:textFill>
            <w14:solidFill>
              <w14:schemeClr w14:val="tx1"/>
            </w14:solidFill>
          </w14:textFill>
        </w:rPr>
        <w:t>③</w:t>
      </w:r>
      <w:r>
        <w:rPr>
          <w:rFonts w:hint="eastAsia" w:cs="Times New Roman"/>
          <w:i/>
          <w:iCs/>
          <w:color w:val="000000" w:themeColor="text1"/>
          <w:szCs w:val="21"/>
          <w:highlight w:val="none"/>
          <w:lang w:eastAsia="zh-CN"/>
          <w14:textFill>
            <w14:solidFill>
              <w14:schemeClr w14:val="tx1"/>
            </w14:solidFill>
          </w14:textFill>
        </w:rPr>
        <w:t>“十四五”规划</w:t>
      </w:r>
      <w:r>
        <w:rPr>
          <w:rFonts w:hint="default" w:ascii="Times New Roman" w:hAnsi="Times New Roman" w:cs="Times New Roman"/>
          <w:i/>
          <w:iCs/>
          <w:color w:val="000000" w:themeColor="text1"/>
          <w:szCs w:val="21"/>
          <w:highlight w:val="none"/>
          <w14:textFill>
            <w14:solidFill>
              <w14:schemeClr w14:val="tx1"/>
            </w14:solidFill>
          </w14:textFill>
        </w:rPr>
        <w:t>中的项目削减量仅涉及</w:t>
      </w:r>
      <w:r>
        <w:rPr>
          <w:rFonts w:hint="default" w:ascii="Times New Roman" w:hAnsi="Times New Roman" w:cs="Times New Roman"/>
          <w:i/>
          <w:iCs/>
          <w:color w:val="000000" w:themeColor="text1"/>
          <w:szCs w:val="21"/>
          <w:highlight w:val="none"/>
          <w:lang w:eastAsia="zh-CN"/>
          <w14:textFill>
            <w14:solidFill>
              <w14:schemeClr w14:val="tx1"/>
            </w14:solidFill>
          </w14:textFill>
        </w:rPr>
        <w:t>《</w:t>
      </w:r>
      <w:r>
        <w:rPr>
          <w:rFonts w:hint="default" w:ascii="Times New Roman" w:hAnsi="Times New Roman" w:cs="Times New Roman"/>
          <w:i/>
          <w:iCs/>
          <w:color w:val="000000" w:themeColor="text1"/>
          <w:szCs w:val="21"/>
          <w:highlight w:val="none"/>
          <w14:textFill>
            <w14:solidFill>
              <w14:schemeClr w14:val="tx1"/>
            </w14:solidFill>
          </w14:textFill>
        </w:rPr>
        <w:t>农业绿色转型升级发展工程</w:t>
      </w:r>
      <w:r>
        <w:rPr>
          <w:rFonts w:hint="default" w:ascii="Times New Roman" w:hAnsi="Times New Roman" w:cs="Times New Roman"/>
          <w:i/>
          <w:iCs/>
          <w:color w:val="000000" w:themeColor="text1"/>
          <w:szCs w:val="21"/>
          <w:highlight w:val="none"/>
          <w:lang w:eastAsia="zh-CN"/>
          <w14:textFill>
            <w14:solidFill>
              <w14:schemeClr w14:val="tx1"/>
            </w14:solidFill>
          </w14:textFill>
        </w:rPr>
        <w:t>、</w:t>
      </w:r>
      <w:r>
        <w:rPr>
          <w:rFonts w:hint="default" w:ascii="Times New Roman" w:hAnsi="Times New Roman" w:cs="Times New Roman"/>
          <w:i/>
          <w:iCs/>
          <w:color w:val="000000" w:themeColor="text1"/>
          <w:szCs w:val="21"/>
          <w:highlight w:val="none"/>
          <w14:textFill>
            <w14:solidFill>
              <w14:schemeClr w14:val="tx1"/>
            </w14:solidFill>
          </w14:textFill>
        </w:rPr>
        <w:t>高标准农田建设项目</w:t>
      </w:r>
      <w:r>
        <w:rPr>
          <w:rFonts w:hint="default" w:ascii="Times New Roman" w:hAnsi="Times New Roman" w:cs="Times New Roman"/>
          <w:i/>
          <w:iCs/>
          <w:color w:val="000000" w:themeColor="text1"/>
          <w:szCs w:val="21"/>
          <w:highlight w:val="none"/>
          <w:lang w:eastAsia="zh-CN"/>
          <w14:textFill>
            <w14:solidFill>
              <w14:schemeClr w14:val="tx1"/>
            </w14:solidFill>
          </w14:textFill>
        </w:rPr>
        <w:t>》《</w:t>
      </w:r>
      <w:r>
        <w:rPr>
          <w:rFonts w:hint="default" w:ascii="Times New Roman" w:hAnsi="Times New Roman" w:cs="Times New Roman"/>
          <w:i/>
          <w:iCs/>
          <w:color w:val="000000" w:themeColor="text1"/>
          <w:szCs w:val="21"/>
          <w:highlight w:val="none"/>
          <w14:textFill>
            <w14:solidFill>
              <w14:schemeClr w14:val="tx1"/>
            </w14:solidFill>
          </w14:textFill>
        </w:rPr>
        <w:t>澄江市河道综合整治暨全域截污治污完善提升工程</w:t>
      </w:r>
      <w:r>
        <w:rPr>
          <w:rFonts w:hint="default" w:ascii="Times New Roman" w:hAnsi="Times New Roman" w:cs="Times New Roman"/>
          <w:i/>
          <w:iCs/>
          <w:color w:val="000000" w:themeColor="text1"/>
          <w:szCs w:val="21"/>
          <w:highlight w:val="none"/>
          <w:lang w:eastAsia="zh-CN"/>
          <w14:textFill>
            <w14:solidFill>
              <w14:schemeClr w14:val="tx1"/>
            </w14:solidFill>
          </w14:textFill>
        </w:rPr>
        <w:t>》《</w:t>
      </w:r>
      <w:r>
        <w:rPr>
          <w:rFonts w:hint="default" w:ascii="Times New Roman" w:hAnsi="Times New Roman" w:cs="Times New Roman"/>
          <w:i/>
          <w:iCs/>
          <w:color w:val="000000" w:themeColor="text1"/>
          <w:szCs w:val="21"/>
          <w:highlight w:val="none"/>
          <w14:textFill>
            <w14:solidFill>
              <w14:schemeClr w14:val="tx1"/>
            </w14:solidFill>
          </w14:textFill>
        </w:rPr>
        <w:t>澄江市抚仙湖全流域截污治污项目</w:t>
      </w:r>
      <w:r>
        <w:rPr>
          <w:rFonts w:hint="default" w:ascii="Times New Roman" w:hAnsi="Times New Roman" w:cs="Times New Roman"/>
          <w:i/>
          <w:iCs/>
          <w:color w:val="000000" w:themeColor="text1"/>
          <w:szCs w:val="21"/>
          <w:highlight w:val="none"/>
          <w:lang w:eastAsia="zh-CN"/>
          <w14:textFill>
            <w14:solidFill>
              <w14:schemeClr w14:val="tx1"/>
            </w14:solidFill>
          </w14:textFill>
        </w:rPr>
        <w:t>》《</w:t>
      </w:r>
      <w:r>
        <w:rPr>
          <w:rFonts w:hint="default" w:ascii="Times New Roman" w:hAnsi="Times New Roman" w:cs="Times New Roman"/>
          <w:i/>
          <w:iCs/>
          <w:color w:val="000000" w:themeColor="text1"/>
          <w:szCs w:val="21"/>
          <w:highlight w:val="none"/>
          <w14:textFill>
            <w14:solidFill>
              <w14:schemeClr w14:val="tx1"/>
            </w14:solidFill>
          </w14:textFill>
        </w:rPr>
        <w:t>抚仙湖入湖河道水质提升工程</w:t>
      </w:r>
      <w:r>
        <w:rPr>
          <w:rFonts w:hint="default" w:ascii="Times New Roman" w:hAnsi="Times New Roman" w:cs="Times New Roman"/>
          <w:i/>
          <w:iCs/>
          <w:color w:val="000000" w:themeColor="text1"/>
          <w:szCs w:val="21"/>
          <w:highlight w:val="none"/>
          <w:lang w:eastAsia="zh-CN"/>
          <w14:textFill>
            <w14:solidFill>
              <w14:schemeClr w14:val="tx1"/>
            </w14:solidFill>
          </w14:textFill>
        </w:rPr>
        <w:t>》《</w:t>
      </w:r>
      <w:r>
        <w:rPr>
          <w:rFonts w:hint="default" w:ascii="Times New Roman" w:hAnsi="Times New Roman" w:cs="Times New Roman"/>
          <w:i/>
          <w:iCs/>
          <w:color w:val="000000" w:themeColor="text1"/>
          <w:szCs w:val="21"/>
          <w:highlight w:val="none"/>
          <w14:textFill>
            <w14:solidFill>
              <w14:schemeClr w14:val="tx1"/>
            </w14:solidFill>
          </w14:textFill>
        </w:rPr>
        <w:t>抚仙湖北岸初期雨水收集循环利用项目</w:t>
      </w:r>
      <w:r>
        <w:rPr>
          <w:rFonts w:hint="default" w:ascii="Times New Roman" w:hAnsi="Times New Roman" w:cs="Times New Roman"/>
          <w:i/>
          <w:iCs/>
          <w:color w:val="000000" w:themeColor="text1"/>
          <w:szCs w:val="21"/>
          <w:highlight w:val="none"/>
          <w:lang w:eastAsia="zh-CN"/>
          <w14:textFill>
            <w14:solidFill>
              <w14:schemeClr w14:val="tx1"/>
            </w14:solidFill>
          </w14:textFill>
        </w:rPr>
        <w:t>》《</w:t>
      </w:r>
      <w:r>
        <w:rPr>
          <w:rFonts w:hint="default" w:ascii="Times New Roman" w:hAnsi="Times New Roman" w:cs="Times New Roman"/>
          <w:i/>
          <w:iCs/>
          <w:color w:val="000000" w:themeColor="text1"/>
          <w:szCs w:val="21"/>
          <w:highlight w:val="none"/>
          <w14:textFill>
            <w14:solidFill>
              <w14:schemeClr w14:val="tx1"/>
            </w14:solidFill>
          </w14:textFill>
        </w:rPr>
        <w:t>澄江市生活垃圾治理项目</w:t>
      </w:r>
      <w:r>
        <w:rPr>
          <w:rFonts w:hint="default" w:ascii="Times New Roman" w:hAnsi="Times New Roman" w:cs="Times New Roman"/>
          <w:i/>
          <w:iCs/>
          <w:color w:val="000000" w:themeColor="text1"/>
          <w:szCs w:val="21"/>
          <w:highlight w:val="none"/>
          <w:lang w:eastAsia="zh-CN"/>
          <w14:textFill>
            <w14:solidFill>
              <w14:schemeClr w14:val="tx1"/>
            </w14:solidFill>
          </w14:textFill>
        </w:rPr>
        <w:t>》</w:t>
      </w:r>
      <w:r>
        <w:rPr>
          <w:rFonts w:hint="eastAsia" w:cs="Times New Roman"/>
          <w:i/>
          <w:iCs/>
          <w:color w:val="000000" w:themeColor="text1"/>
          <w:szCs w:val="21"/>
          <w:highlight w:val="none"/>
          <w:lang w:val="en-US" w:eastAsia="zh-CN"/>
          <w14:textFill>
            <w14:solidFill>
              <w14:schemeClr w14:val="tx1"/>
            </w14:solidFill>
          </w14:textFill>
        </w:rPr>
        <w:t>及新增的</w:t>
      </w:r>
      <w:r>
        <w:rPr>
          <w:rFonts w:hint="eastAsia" w:ascii="Times New Roman" w:hAnsi="Times New Roman" w:eastAsia="宋体" w:cs="Times New Roman"/>
          <w:i/>
          <w:iCs/>
          <w:color w:val="000000" w:themeColor="text1"/>
          <w:szCs w:val="21"/>
          <w:highlight w:val="none"/>
          <w:lang w:val="en-US" w:eastAsia="zh-CN"/>
          <w14:textFill>
            <w14:solidFill>
              <w14:schemeClr w14:val="tx1"/>
            </w14:solidFill>
          </w14:textFill>
        </w:rPr>
        <w:t>《澄江市梁王河沙坝生态清洁小流域综合治理工程》《</w:t>
      </w:r>
      <w:r>
        <w:rPr>
          <w:rFonts w:hint="default" w:ascii="Times New Roman" w:hAnsi="Times New Roman" w:eastAsia="宋体" w:cs="Times New Roman"/>
          <w:i/>
          <w:iCs/>
          <w:color w:val="000000" w:themeColor="text1"/>
          <w:szCs w:val="21"/>
          <w:highlight w:val="none"/>
          <w:lang w:val="en-US" w:eastAsia="zh-CN"/>
          <w14:textFill>
            <w14:solidFill>
              <w14:schemeClr w14:val="tx1"/>
            </w14:solidFill>
          </w14:textFill>
        </w:rPr>
        <w:t>玉溪市滇中山地石漠化项目（澄江）</w:t>
      </w:r>
      <w:r>
        <w:rPr>
          <w:rFonts w:hint="eastAsia" w:ascii="Times New Roman" w:hAnsi="Times New Roman" w:eastAsia="宋体" w:cs="Times New Roman"/>
          <w:i/>
          <w:iCs/>
          <w:color w:val="000000" w:themeColor="text1"/>
          <w:szCs w:val="21"/>
          <w:highlight w:val="none"/>
          <w:lang w:val="en-US" w:eastAsia="zh-CN"/>
          <w14:textFill>
            <w14:solidFill>
              <w14:schemeClr w14:val="tx1"/>
            </w14:solidFill>
          </w14:textFill>
        </w:rPr>
        <w:t>》</w:t>
      </w:r>
      <w:r>
        <w:rPr>
          <w:rFonts w:hint="default" w:ascii="Times New Roman" w:hAnsi="Times New Roman" w:cs="Times New Roman"/>
          <w:i/>
          <w:iCs/>
          <w:color w:val="000000" w:themeColor="text1"/>
          <w:szCs w:val="21"/>
          <w:highlight w:val="none"/>
          <w14:textFill>
            <w14:solidFill>
              <w14:schemeClr w14:val="tx1"/>
            </w14:solidFill>
          </w14:textFill>
        </w:rPr>
        <w:t>等</w:t>
      </w:r>
      <w:r>
        <w:rPr>
          <w:rFonts w:hint="eastAsia" w:cs="Times New Roman"/>
          <w:i/>
          <w:iCs/>
          <w:color w:val="000000" w:themeColor="text1"/>
          <w:szCs w:val="21"/>
          <w:highlight w:val="none"/>
          <w:lang w:val="en-US" w:eastAsia="zh-CN"/>
          <w14:textFill>
            <w14:solidFill>
              <w14:schemeClr w14:val="tx1"/>
            </w14:solidFill>
          </w14:textFill>
        </w:rPr>
        <w:t>八</w:t>
      </w:r>
      <w:r>
        <w:rPr>
          <w:rFonts w:hint="default" w:ascii="Times New Roman" w:hAnsi="Times New Roman" w:cs="Times New Roman"/>
          <w:i/>
          <w:iCs/>
          <w:color w:val="000000" w:themeColor="text1"/>
          <w:szCs w:val="21"/>
          <w:highlight w:val="none"/>
          <w14:textFill>
            <w14:solidFill>
              <w14:schemeClr w14:val="tx1"/>
            </w14:solidFill>
          </w14:textFill>
        </w:rPr>
        <w:t>个项目。</w:t>
      </w:r>
      <w:bookmarkEnd w:id="557"/>
    </w:p>
    <w:p>
      <w:pPr>
        <w:spacing w:line="360" w:lineRule="auto"/>
        <w:ind w:firstLine="480" w:firstLineChars="200"/>
        <w:rPr>
          <w:rFonts w:hint="default" w:ascii="Times New Roman" w:hAnsi="Times New Roman" w:cs="Times New Roman" w:eastAsiaTheme="minorEastAsia"/>
          <w:color w:val="000000" w:themeColor="text1"/>
          <w:highlight w:val="none"/>
          <w14:textFill>
            <w14:solidFill>
              <w14:schemeClr w14:val="tx1"/>
            </w14:solidFill>
          </w14:textFill>
        </w:rPr>
      </w:pPr>
    </w:p>
    <w:p>
      <w:pPr>
        <w:rPr>
          <w:rFonts w:hint="default" w:ascii="Times New Roman" w:hAnsi="Times New Roman" w:cs="Times New Roman" w:eastAsiaTheme="minorEastAsia"/>
          <w:color w:val="000000" w:themeColor="text1"/>
          <w:highlight w:val="none"/>
          <w14:textFill>
            <w14:solidFill>
              <w14:schemeClr w14:val="tx1"/>
            </w14:solidFill>
          </w14:textFill>
        </w:rPr>
        <w:sectPr>
          <w:footerReference r:id="rId12" w:type="default"/>
          <w:pgSz w:w="11905" w:h="16838"/>
          <w:pgMar w:top="1440" w:right="1587" w:bottom="1440" w:left="1587" w:header="851" w:footer="992" w:gutter="0"/>
          <w:pgBorders>
            <w:top w:val="none" w:sz="0" w:space="0"/>
            <w:left w:val="none" w:sz="0" w:space="0"/>
            <w:bottom w:val="none" w:sz="0" w:space="0"/>
            <w:right w:val="none" w:sz="0" w:space="0"/>
          </w:pgBorders>
          <w:cols w:space="720" w:num="1"/>
          <w:rtlGutter w:val="0"/>
          <w:docGrid w:linePitch="312" w:charSpace="0"/>
        </w:sectPr>
      </w:pPr>
    </w:p>
    <w:p>
      <w:pPr>
        <w:keepNext/>
        <w:keepLines/>
        <w:spacing w:before="240" w:after="120" w:line="360" w:lineRule="auto"/>
        <w:outlineLvl w:val="1"/>
        <w:rPr>
          <w:rFonts w:hint="default" w:ascii="Times New Roman" w:hAnsi="Times New Roman" w:cs="Times New Roman" w:eastAsiaTheme="minorEastAsia"/>
          <w:b/>
          <w:bCs/>
          <w:color w:val="000000" w:themeColor="text1"/>
          <w:sz w:val="28"/>
          <w:szCs w:val="28"/>
          <w:highlight w:val="none"/>
          <w14:textFill>
            <w14:solidFill>
              <w14:schemeClr w14:val="tx1"/>
            </w14:solidFill>
          </w14:textFill>
        </w:rPr>
      </w:pPr>
      <w:bookmarkStart w:id="568" w:name="_Toc14606"/>
      <w:bookmarkStart w:id="569" w:name="_Toc19666"/>
      <w:r>
        <w:rPr>
          <w:rFonts w:hint="eastAsia" w:cs="Times New Roman" w:eastAsiaTheme="minorEastAsia"/>
          <w:b/>
          <w:bCs/>
          <w:color w:val="000000" w:themeColor="text1"/>
          <w:sz w:val="28"/>
          <w:szCs w:val="28"/>
          <w:highlight w:val="none"/>
          <w:lang w:val="en-US" w:eastAsia="zh-CN"/>
          <w14:textFill>
            <w14:solidFill>
              <w14:schemeClr w14:val="tx1"/>
            </w14:solidFill>
          </w14:textFill>
        </w:rPr>
        <w:t>7</w:t>
      </w:r>
      <w:r>
        <w:rPr>
          <w:rFonts w:hint="default" w:ascii="Times New Roman" w:hAnsi="Times New Roman" w:cs="Times New Roman" w:eastAsiaTheme="minorEastAsia"/>
          <w:b/>
          <w:bCs/>
          <w:color w:val="000000" w:themeColor="text1"/>
          <w:sz w:val="28"/>
          <w:szCs w:val="28"/>
          <w:highlight w:val="none"/>
          <w14:textFill>
            <w14:solidFill>
              <w14:schemeClr w14:val="tx1"/>
            </w14:solidFill>
          </w14:textFill>
        </w:rPr>
        <w:t>.2规划管理指标可达性分析</w:t>
      </w:r>
      <w:bookmarkEnd w:id="568"/>
      <w:bookmarkEnd w:id="569"/>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bookmarkStart w:id="570" w:name="_Hlk69809805"/>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本规划的项目从空间管控、水资源保护利用、水污染防治、水环境综合治理、生态修复、水灾害防治、执法监管、河湖长制工作等八个方面进行管理与整治。</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本规划在控源治理和生态体系构建的同时，通过实施执法监管类</w:t>
      </w:r>
      <w:r>
        <w:rPr>
          <w:rFonts w:hint="eastAsia" w:cs="Times New Roman" w:eastAsiaTheme="minorEastAsia"/>
          <w:color w:val="000000" w:themeColor="text1"/>
          <w:kern w:val="0"/>
          <w:sz w:val="24"/>
          <w:szCs w:val="24"/>
          <w:highlight w:val="none"/>
          <w:lang w:val="en-US" w:eastAsia="zh-CN"/>
          <w14:textFill>
            <w14:solidFill>
              <w14:schemeClr w14:val="tx1"/>
            </w14:solidFill>
          </w14:textFill>
        </w:rPr>
        <w:t>等</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项目</w:t>
      </w:r>
      <w:r>
        <w:rPr>
          <w:rFonts w:hint="eastAsia" w:cs="Times New Roman" w:eastAsiaTheme="minorEastAsia"/>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将进一步健全抚仙湖流域污染源在线监控能力、湖泊生命观测与预警体系及能力，实现对湖泊及流域的总体水质与水生态发展变化过程的跟踪和实时评价，可以对湖泊水质及水生态的变化进行预测和预警，通过智能化数据管理平台建立，加强抚仙湖流域的环境监管科学化智能化管控能力。</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通过流域环境管理运行机制建设，主要是抚仙湖流域保护治理措施运行管护项目实施，将全面保障抚仙湖保护治理项目的长效运行，促进工程项目环境效益持续有效稳定发挥，有利于抚仙湖保护治理长效机制的建立健全。</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通过加强湖泊基础研究课题设置，尤其是围绕抚仙湖当前面临的主要环境问题水环境特征及水生态风险，难点问题抚仙湖内源以及抚仙湖地下水基本情况、开展基础研究，对进一步摸清抚仙湖水环境演化及水生态风险控制机理、湖泊-流域相互作用与调控、湖泊水生态系统保护与修复，具有重要的支撑和技术保障作用。</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通过上述一系列措施，完善流域环境管理体系和机制，加强环境监管能力，从多方面保障抚仙湖保护治理顺利实施，因此通过本规划的实施，规划管理指标完全可达。</w:t>
      </w:r>
    </w:p>
    <w:bookmarkEnd w:id="570"/>
    <w:p>
      <w:pPr>
        <w:keepNext/>
        <w:keepLines/>
        <w:spacing w:before="240" w:after="120" w:line="360" w:lineRule="auto"/>
        <w:outlineLvl w:val="1"/>
        <w:rPr>
          <w:rFonts w:hint="default" w:ascii="Times New Roman" w:hAnsi="Times New Roman" w:cs="Times New Roman" w:eastAsiaTheme="minorEastAsia"/>
          <w:b/>
          <w:bCs/>
          <w:color w:val="000000" w:themeColor="text1"/>
          <w:sz w:val="28"/>
          <w:szCs w:val="28"/>
          <w:highlight w:val="none"/>
          <w14:textFill>
            <w14:solidFill>
              <w14:schemeClr w14:val="tx1"/>
            </w14:solidFill>
          </w14:textFill>
        </w:rPr>
      </w:pPr>
      <w:bookmarkStart w:id="571" w:name="_Toc21393"/>
      <w:bookmarkStart w:id="572" w:name="_Toc5457"/>
      <w:r>
        <w:rPr>
          <w:rFonts w:hint="eastAsia" w:cs="Times New Roman" w:eastAsiaTheme="minorEastAsia"/>
          <w:b/>
          <w:bCs/>
          <w:color w:val="000000" w:themeColor="text1"/>
          <w:sz w:val="28"/>
          <w:szCs w:val="28"/>
          <w:highlight w:val="none"/>
          <w:lang w:val="en-US" w:eastAsia="zh-CN"/>
          <w14:textFill>
            <w14:solidFill>
              <w14:schemeClr w14:val="tx1"/>
            </w14:solidFill>
          </w14:textFill>
        </w:rPr>
        <w:t>7</w:t>
      </w:r>
      <w:r>
        <w:rPr>
          <w:rFonts w:hint="default" w:ascii="Times New Roman" w:hAnsi="Times New Roman" w:cs="Times New Roman" w:eastAsiaTheme="minorEastAsia"/>
          <w:b/>
          <w:bCs/>
          <w:color w:val="000000" w:themeColor="text1"/>
          <w:sz w:val="28"/>
          <w:szCs w:val="28"/>
          <w:highlight w:val="none"/>
          <w14:textFill>
            <w14:solidFill>
              <w14:schemeClr w14:val="tx1"/>
            </w14:solidFill>
          </w14:textFill>
        </w:rPr>
        <w:t>.3效益分析</w:t>
      </w:r>
      <w:bookmarkEnd w:id="571"/>
      <w:bookmarkEnd w:id="572"/>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抚仙湖作为我国最大的深水型高原淡水湖泊和典型的贫营养湖泊，其流域治理与保护规划的实施所带来的生态效益、经济效益、社会效益是十分明显的，也是独特的。因此本规划将分析与估算这三个方面的效益。</w:t>
      </w:r>
    </w:p>
    <w:p>
      <w:pPr>
        <w:keepNext/>
        <w:keepLines/>
        <w:autoSpaceDE w:val="0"/>
        <w:autoSpaceDN w:val="0"/>
        <w:adjustRightInd w:val="0"/>
        <w:spacing w:before="240" w:beforeLines="100" w:after="120" w:line="360" w:lineRule="auto"/>
        <w:jc w:val="left"/>
        <w:outlineLvl w:val="2"/>
        <w:rPr>
          <w:rFonts w:hint="default" w:ascii="Times New Roman" w:hAnsi="Times New Roman" w:cs="Times New Roman" w:eastAsiaTheme="minorEastAsia"/>
          <w:b/>
          <w:bCs/>
          <w:color w:val="000000" w:themeColor="text1"/>
          <w:sz w:val="28"/>
          <w:szCs w:val="28"/>
          <w:highlight w:val="none"/>
          <w14:textFill>
            <w14:solidFill>
              <w14:schemeClr w14:val="tx1"/>
            </w14:solidFill>
          </w14:textFill>
        </w:rPr>
      </w:pPr>
      <w:bookmarkStart w:id="573" w:name="_Toc24770"/>
      <w:bookmarkStart w:id="574" w:name="_Toc20974"/>
      <w:r>
        <w:rPr>
          <w:rFonts w:hint="eastAsia" w:cs="Times New Roman" w:eastAsiaTheme="minorEastAsia"/>
          <w:b/>
          <w:bCs/>
          <w:color w:val="000000" w:themeColor="text1"/>
          <w:sz w:val="28"/>
          <w:szCs w:val="28"/>
          <w:highlight w:val="none"/>
          <w:lang w:val="en-US" w:eastAsia="zh-CN"/>
          <w14:textFill>
            <w14:solidFill>
              <w14:schemeClr w14:val="tx1"/>
            </w14:solidFill>
          </w14:textFill>
        </w:rPr>
        <w:t>7</w:t>
      </w:r>
      <w:r>
        <w:rPr>
          <w:rFonts w:hint="default" w:ascii="Times New Roman" w:hAnsi="Times New Roman" w:cs="Times New Roman" w:eastAsiaTheme="minorEastAsia"/>
          <w:b/>
          <w:bCs/>
          <w:color w:val="000000" w:themeColor="text1"/>
          <w:sz w:val="28"/>
          <w:szCs w:val="28"/>
          <w:highlight w:val="none"/>
          <w14:textFill>
            <w14:solidFill>
              <w14:schemeClr w14:val="tx1"/>
            </w14:solidFill>
          </w14:textFill>
        </w:rPr>
        <w:t>.3.1生态环境效益</w:t>
      </w:r>
      <w:bookmarkEnd w:id="573"/>
      <w:bookmarkEnd w:id="574"/>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抚仙湖是我国最大的高原深水型淡水湖泊，是我国目前少数贫营养湖泊的典型代表。抚仙湖换水周期长、生态系统脆弱，生态环境一旦破坏，原有生态系统主要生态特征将消失，生物物种结构组成将发生大的变化，造成流域整体环境质量下降，而且极难恢复。本规划实施后产生的生态环境效益是最主要的效益，也是最直接的效益。通过规划方案的实施，实现了保护抚仙湖水质、流域生态系统保护和改善、污染物排放负荷削减、水土保持等效益，全面改善了抚仙湖流域的生态环境；在抚仙湖流域内实现了生态文明，为流域内社会经济长期稳定可持续发展创造了条件。</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（1）流域污染物负荷削减</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通过本规划各项工程的实施，抚仙湖流域的污染物排放量将大幅减少，污染物入湖量得到削减，年入湖污染负荷被控制在抚仙湖水环境承载力的范围内，使抚仙湖水质可以长期保持在</w:t>
      </w:r>
      <w:r>
        <w:rPr>
          <w:rFonts w:hint="default" w:ascii="Times New Roman" w:hAnsi="Times New Roman" w:cs="Times New Roman"/>
          <w:color w:val="000000" w:themeColor="text1"/>
          <w:kern w:val="0"/>
          <w:sz w:val="24"/>
          <w:szCs w:val="24"/>
          <w:highlight w:val="none"/>
          <w14:textFill>
            <w14:solidFill>
              <w14:schemeClr w14:val="tx1"/>
            </w14:solidFill>
          </w14:textFill>
        </w:rPr>
        <w:t>Ⅰ</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类标准，改变其营养盐增加趋势，保持湖泊生态健康。</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根据本规划编制组的调查结果，目前抚仙湖流域TN、TP入湖量已超过抚仙湖水环境承载力，而且随着社会经济的发展，各种入湖污染物负荷量还有上升趋势。其中由农村生活污染、农田化肥组成的面源是流域最主要的污染源。</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通过空间管控、农业面源控制（抚仙湖休耕轮作、农田高效节水减排项目）及治理工程、城镇和农村生活污水、生活垃圾及建筑垃圾的控制工程、主要入湖河道河沟水环境综合整治工程措施及管理措施，使抚仙湖污染物入湖负荷量大幅降低。污染物排放量与入湖负荷量的降低不仅减轻流域生态环境的压力，遏制抚仙湖水质下降的趋势，使资源得到合理开发，改善抚仙湖流域的生态环境健康，有利于社会经济的长期可持续发展。</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通过流域空间管控、水资源保护利用、水污染防治、生态修复、水灾害防治、水环境综合整治、执法监管、河湖长制工作类八大类工程等诸多措施的实施，大量削减入湖污染物，可有效遏制水质降低趋势，维持抚仙湖</w:t>
      </w:r>
      <w:r>
        <w:rPr>
          <w:rFonts w:hint="default" w:ascii="Times New Roman" w:hAnsi="Times New Roman" w:cs="Times New Roman"/>
          <w:color w:val="000000" w:themeColor="text1"/>
          <w:kern w:val="0"/>
          <w:sz w:val="24"/>
          <w:szCs w:val="24"/>
          <w:highlight w:val="none"/>
          <w14:textFill>
            <w14:solidFill>
              <w14:schemeClr w14:val="tx1"/>
            </w14:solidFill>
          </w14:textFill>
        </w:rPr>
        <w:t>Ⅰ</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类水质标准，营养状态增加趋势得到控制。保持了抚仙湖流域生态系统和物种结构的稳定，实现流域环境质量的保持和提高。使抚仙湖防洪、灌溉、渔业、生活用水及旅游等各种效能得到更大的发挥。</w:t>
      </w:r>
    </w:p>
    <w:p>
      <w:pPr>
        <w:spacing w:line="360" w:lineRule="auto"/>
        <w:ind w:firstLine="480" w:firstLineChars="200"/>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（2）流域生态环境改善</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通过各项工程，使抚仙湖湖泊生态系统更加健康稳定，生态功能得到恢复和加强，生态资源得到循环发展，有效利用。</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工程实施前，抚仙湖浮游植物种类组成出现变化，生物量快速上升，局部水体时而出现藻类水华，土著鱼类资源退化，外来鱼类种群增加，部分生态服务功能下降，水生态系统也出现明显变化，整体生态环境比较脆弱。</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通过本规划的各项工程措施，尤其是通过湖滨湿地修复建设、抚仙湖土著鱼种增殖与保护工程的实施，在外围污染源得到控制的前提下，使抚仙湖湖泊生态系统和整个流域的生态环境得到改善。主要表现为水生生态系统保持稳定，土著鱼类种群得到保护，新增一定区域的野生动物和鸟类栖息地，物种多样性得到保护。</w:t>
      </w:r>
    </w:p>
    <w:p>
      <w:pPr>
        <w:spacing w:line="360" w:lineRule="auto"/>
        <w:ind w:firstLine="480" w:firstLineChars="200"/>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（3）水土保持效益</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工程实施前抚仙湖流域特别是北部磷矿开采区及东部华宁和路居片区的水土流失问题较为严重，经过本规划各项工程措施的治理，尤其是通过抗旱补水工程，生态涵养林增加15.17万亩，使抚仙湖流域的水土流失问题得到控制，降低水土流失面积，减少入湖泥沙量，削减大量因水土流失造成的入湖污染，森林覆盖率由39.25%提高到40.52%，提高了流域水源涵养能力，在整体上改善了抚仙湖流域的生态环境。</w:t>
      </w:r>
    </w:p>
    <w:p>
      <w:pPr>
        <w:keepNext/>
        <w:keepLines/>
        <w:autoSpaceDE w:val="0"/>
        <w:autoSpaceDN w:val="0"/>
        <w:adjustRightInd w:val="0"/>
        <w:spacing w:before="240" w:beforeLines="100" w:after="120" w:line="360" w:lineRule="auto"/>
        <w:jc w:val="left"/>
        <w:outlineLvl w:val="2"/>
        <w:rPr>
          <w:rFonts w:hint="default" w:ascii="Times New Roman" w:hAnsi="Times New Roman" w:cs="Times New Roman" w:eastAsiaTheme="minorEastAsia"/>
          <w:b/>
          <w:bCs/>
          <w:color w:val="000000" w:themeColor="text1"/>
          <w:sz w:val="28"/>
          <w:szCs w:val="28"/>
          <w:highlight w:val="none"/>
          <w14:textFill>
            <w14:solidFill>
              <w14:schemeClr w14:val="tx1"/>
            </w14:solidFill>
          </w14:textFill>
        </w:rPr>
      </w:pPr>
      <w:bookmarkStart w:id="575" w:name="_Toc15213"/>
      <w:bookmarkStart w:id="576" w:name="_Toc23165"/>
      <w:r>
        <w:rPr>
          <w:rFonts w:hint="eastAsia" w:cs="Times New Roman" w:eastAsiaTheme="minorEastAsia"/>
          <w:b/>
          <w:bCs/>
          <w:color w:val="000000" w:themeColor="text1"/>
          <w:sz w:val="28"/>
          <w:szCs w:val="28"/>
          <w:highlight w:val="none"/>
          <w:lang w:val="en-US" w:eastAsia="zh-CN"/>
          <w14:textFill>
            <w14:solidFill>
              <w14:schemeClr w14:val="tx1"/>
            </w14:solidFill>
          </w14:textFill>
        </w:rPr>
        <w:t>7</w:t>
      </w:r>
      <w:r>
        <w:rPr>
          <w:rFonts w:hint="default" w:ascii="Times New Roman" w:hAnsi="Times New Roman" w:cs="Times New Roman" w:eastAsiaTheme="minorEastAsia"/>
          <w:b/>
          <w:bCs/>
          <w:color w:val="000000" w:themeColor="text1"/>
          <w:sz w:val="28"/>
          <w:szCs w:val="28"/>
          <w:highlight w:val="none"/>
          <w14:textFill>
            <w14:solidFill>
              <w14:schemeClr w14:val="tx1"/>
            </w14:solidFill>
          </w14:textFill>
        </w:rPr>
        <w:t>.3.2经济效益</w:t>
      </w:r>
      <w:bookmarkEnd w:id="575"/>
      <w:bookmarkEnd w:id="576"/>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抚仙湖流域水环境保护与水污染防治规划的经济效益主要是间接的经济效益，体现在以下三个方面：一是水质、水量保持的经济效益；二是生态恢复与水土保持的经济效益；三是综合经济效益。</w:t>
      </w:r>
    </w:p>
    <w:p>
      <w:pPr>
        <w:spacing w:line="360" w:lineRule="auto"/>
        <w:ind w:firstLine="480" w:firstLineChars="200"/>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（1）水质、水量保持的经济效益</w:t>
      </w:r>
    </w:p>
    <w:p>
      <w:pPr>
        <w:widowControl/>
        <w:adjustRightInd w:val="0"/>
        <w:snapToGrid w:val="0"/>
        <w:spacing w:line="360" w:lineRule="auto"/>
        <w:ind w:firstLine="480" w:firstLineChars="200"/>
        <w:jc w:val="both"/>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水资源是一种十分重要、有限的自然资源，这一观点已被社会所接受。由于水资源受到污染或其它原因，不能发挥其资源特性用途时所牺牲的效益或造成的损失，即为水资源的机会成本。通过水资源成本分析来计算水质保持带来的经济效益。</w:t>
      </w:r>
    </w:p>
    <w:p>
      <w:pPr>
        <w:widowControl/>
        <w:adjustRightInd w:val="0"/>
        <w:snapToGrid w:val="0"/>
        <w:spacing w:line="360" w:lineRule="auto"/>
        <w:ind w:firstLine="480" w:firstLineChars="200"/>
        <w:jc w:val="both"/>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根据水利部重大科研项目</w:t>
      </w:r>
      <w:r>
        <w:rPr>
          <w:rFonts w:hint="default" w:ascii="Times New Roman" w:hAnsi="Times New Roman" w:cs="Times New Roman" w:eastAsiaTheme="minorEastAsia"/>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水利与国民经济协调发展研究</w:t>
      </w:r>
      <w:r>
        <w:rPr>
          <w:rFonts w:hint="default" w:ascii="Times New Roman" w:hAnsi="Times New Roman" w:cs="Times New Roman" w:eastAsiaTheme="minorEastAsia"/>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专题</w:t>
      </w:r>
      <w:r>
        <w:rPr>
          <w:rFonts w:hint="default" w:ascii="Times New Roman" w:hAnsi="Times New Roman" w:cs="Times New Roman" w:eastAsiaTheme="minorEastAsia"/>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水环境污染经济损失计量研究</w:t>
      </w:r>
      <w:r>
        <w:rPr>
          <w:rFonts w:hint="default" w:ascii="Times New Roman" w:hAnsi="Times New Roman" w:cs="Times New Roman" w:eastAsiaTheme="minorEastAsia"/>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表明，全国各大流域片水污染经济损失总量占GDP的比例在0.7％~5.0％之间，越是经济发达地区，经济总规模越大，水污染也越严重，经济损失也越大。根据《中国绿色国民经济核算研究报告2004》可知，2004年全国环境污染经济损失达5118亿，占当年GDP的3.05%，其中水资源造成的污染损失占55.9%，可知水资源的珍贵性和保护的重要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抚仙湖作为我国最大的深水型淡水湖泊，其水资源具有较高的利用价值，是流域内旅游业发展的重要资源之一。由于抚仙湖换水周期长达167年，若其遭受污染，将对流域的工业、农业和人体健康等带来长期、持久的不利影响。由此造成的经济损失周期将持续200年以上，形成的经济损失总量将是十分巨大的，也是难以准确估量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通过本规划的实施，将有效控制抚仙湖流域的水环境污染，保持抚仙湖流域的水体水质，将大大降低或消除水污染造成的经济损失的风险，充分实现水资源价值，促进社会经济快速发展。</w:t>
      </w:r>
    </w:p>
    <w:p>
      <w:pPr>
        <w:spacing w:line="360" w:lineRule="auto"/>
        <w:ind w:firstLine="480" w:firstLineChars="200"/>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（2）生态恢复和水土保持效益</w:t>
      </w:r>
    </w:p>
    <w:p>
      <w:pPr>
        <w:spacing w:line="360" w:lineRule="auto"/>
        <w:ind w:firstLine="480" w:firstLineChars="200"/>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1）水土保持经济效益</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本规划的实施，提高了森林覆盖率，增强了森林的保水、保肥、涵养水源能力，减少了氮、磷、钾等营养物质流失，增加农作物产出，控制了面山生态破坏，有利于生态林业建设，促进林业经济可持续发展；改善了旅游景观和生态环境，对抚仙湖流域的一、三产业都起到促进作用，增加抚仙湖经济产出，其产生的经济效益是综合的，并且逐年增加，因此累计的社会经济效益是巨大的。</w:t>
      </w:r>
    </w:p>
    <w:p>
      <w:pPr>
        <w:spacing w:line="360" w:lineRule="auto"/>
        <w:ind w:firstLine="480" w:firstLineChars="200"/>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2）生态恢复经济效益</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本规划的实施，将促进生态环境的改善，提高生物多样性。其直接经济效益是使抚仙湖水生动植物数量增加，动植物种类丰富，生物量增加，增加渔民和政府的经济收入。</w:t>
      </w:r>
    </w:p>
    <w:p>
      <w:pPr>
        <w:spacing w:line="360" w:lineRule="auto"/>
        <w:ind w:firstLine="480" w:firstLineChars="200"/>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（3）综合经济效益</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本规划的实施使抚仙湖生态环境得到改善，对抚仙湖流域整体经济产生推动和促进。</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良好的生态环境将增加城市魅力，从而拉动投资，激活经济活动。宜人的生态环境将推动旅游业的发展，增加抚仙湖流域的旅游收入，同时带动第三产业发展。而服务业的发展将会拉动消费，增加就业。良性循环的经济发展模式将为玉溪市带来巨大的经济收入。</w:t>
      </w:r>
    </w:p>
    <w:p>
      <w:pPr>
        <w:keepNext/>
        <w:keepLines/>
        <w:autoSpaceDE w:val="0"/>
        <w:autoSpaceDN w:val="0"/>
        <w:adjustRightInd w:val="0"/>
        <w:spacing w:before="240" w:beforeLines="100" w:after="120" w:line="360" w:lineRule="auto"/>
        <w:jc w:val="left"/>
        <w:outlineLvl w:val="2"/>
        <w:rPr>
          <w:rFonts w:hint="default" w:ascii="Times New Roman" w:hAnsi="Times New Roman" w:cs="Times New Roman" w:eastAsiaTheme="minorEastAsia"/>
          <w:b/>
          <w:bCs/>
          <w:color w:val="000000" w:themeColor="text1"/>
          <w:sz w:val="28"/>
          <w:szCs w:val="28"/>
          <w:highlight w:val="none"/>
          <w14:textFill>
            <w14:solidFill>
              <w14:schemeClr w14:val="tx1"/>
            </w14:solidFill>
          </w14:textFill>
        </w:rPr>
      </w:pPr>
      <w:bookmarkStart w:id="577" w:name="_Toc7014"/>
      <w:bookmarkStart w:id="578" w:name="_Toc17289"/>
      <w:r>
        <w:rPr>
          <w:rFonts w:hint="eastAsia" w:cs="Times New Roman" w:eastAsiaTheme="minorEastAsia"/>
          <w:b/>
          <w:bCs/>
          <w:color w:val="000000" w:themeColor="text1"/>
          <w:sz w:val="28"/>
          <w:szCs w:val="28"/>
          <w:highlight w:val="none"/>
          <w:lang w:val="en-US" w:eastAsia="zh-CN"/>
          <w14:textFill>
            <w14:solidFill>
              <w14:schemeClr w14:val="tx1"/>
            </w14:solidFill>
          </w14:textFill>
        </w:rPr>
        <w:t>7</w:t>
      </w:r>
      <w:r>
        <w:rPr>
          <w:rFonts w:hint="default" w:ascii="Times New Roman" w:hAnsi="Times New Roman" w:cs="Times New Roman" w:eastAsiaTheme="minorEastAsia"/>
          <w:b/>
          <w:bCs/>
          <w:color w:val="000000" w:themeColor="text1"/>
          <w:sz w:val="28"/>
          <w:szCs w:val="28"/>
          <w:highlight w:val="none"/>
          <w14:textFill>
            <w14:solidFill>
              <w14:schemeClr w14:val="tx1"/>
            </w14:solidFill>
          </w14:textFill>
        </w:rPr>
        <w:t>.3.3社会效益</w:t>
      </w:r>
      <w:bookmarkEnd w:id="577"/>
      <w:bookmarkEnd w:id="578"/>
    </w:p>
    <w:p>
      <w:pPr>
        <w:widowControl/>
        <w:adjustRightInd w:val="0"/>
        <w:snapToGrid w:val="0"/>
        <w:spacing w:line="360" w:lineRule="auto"/>
        <w:ind w:firstLine="480" w:firstLineChars="200"/>
        <w:jc w:val="left"/>
        <w:rPr>
          <w:rFonts w:hint="eastAsia" w:ascii="Times New Roman" w:hAnsi="Times New Roman" w:cs="Times New Roman" w:eastAsiaTheme="minorEastAsia"/>
          <w:color w:val="000000" w:themeColor="text1"/>
          <w:kern w:val="0"/>
          <w:sz w:val="24"/>
          <w:szCs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具有十分明显的社会效益是本规划实施后的重要特征，社会效益一般是潜在的无形的，主要表现在增加就业机会，提高公众环境保护意识及健康水平等方面。</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（1）保护独特的科学价值，促进湖泊治理研究</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抚仙湖作为我国贫营养湖泊的典型代表，具有独特的科学研究价值。通过本规划的实施，将成功控制抚仙湖流域的污染情况，实现湖泊水质保持的目标。通过相关项目的具体实施，不仅可以促进抚仙湖流域的周边环境更加美好，还可以积累大量的技术和运行管理经验，为我国贫营养湖泊水环境保护与综合治理提供技术和运行管理支持，保护并促进湖泊的科学治理和探索研究。</w:t>
      </w:r>
    </w:p>
    <w:p>
      <w:pPr>
        <w:spacing w:line="360" w:lineRule="auto"/>
        <w:ind w:firstLine="480" w:firstLineChars="200"/>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p>
    <w:p>
      <w:pPr>
        <w:spacing w:line="360" w:lineRule="auto"/>
        <w:ind w:firstLine="480" w:firstLineChars="200"/>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（2）提升城市形象，提高地区知名度</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经过本规划的实施，抚仙湖流域的生态环境得到改善，抚仙湖将以其完善的生态系统，丰富的物种，宜人的景观，为玉溪市</w:t>
      </w:r>
      <w:r>
        <w:rPr>
          <w:rFonts w:hint="default" w:ascii="Times New Roman" w:hAnsi="Times New Roman" w:cs="Times New Roman" w:eastAsiaTheme="minorEastAsia"/>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生态立市</w:t>
      </w:r>
      <w:r>
        <w:rPr>
          <w:rFonts w:hint="default" w:ascii="Times New Roman" w:hAnsi="Times New Roman" w:cs="Times New Roman" w:eastAsiaTheme="minorEastAsia"/>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增添</w:t>
      </w:r>
      <w:r>
        <w:rPr>
          <w:rFonts w:hint="eastAsia" w:cs="Times New Roman" w:eastAsiaTheme="minorEastAsia"/>
          <w:color w:val="000000" w:themeColor="text1"/>
          <w:kern w:val="0"/>
          <w:sz w:val="24"/>
          <w:szCs w:val="24"/>
          <w:highlight w:val="none"/>
          <w:lang w:val="en-US" w:eastAsia="zh-CN"/>
          <w14:textFill>
            <w14:solidFill>
              <w14:schemeClr w14:val="tx1"/>
            </w14:solidFill>
          </w14:textFill>
        </w:rPr>
        <w:t>炫目的</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光彩，成为玉溪市对外介绍的一张名片，提升城市形象，提高地区知名度。抚仙湖将成为玉溪市乃至云南省的一颗璀璨的明珠。</w:t>
      </w:r>
    </w:p>
    <w:p>
      <w:pPr>
        <w:spacing w:line="360" w:lineRule="auto"/>
        <w:ind w:firstLine="480" w:firstLineChars="200"/>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（3）改善人居环境，提高生活品质</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经过本规划各治理方案的实施，抚仙湖流域的生态环境得到大幅改善，抚仙湖流域的居民生活环境也得到改善。宜人的自然生态环境可以改善居民的活动空间，提高居民的生活品质河幸福感，为人们提供独特的娱乐、美学、教育和科研价值。</w:t>
      </w:r>
    </w:p>
    <w:p>
      <w:pPr>
        <w:spacing w:line="360" w:lineRule="auto"/>
        <w:ind w:firstLine="480" w:firstLineChars="200"/>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（4）提高环境保护意识</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规划实施过程就是一次深刻、生动的环境保护宣传过程，通过具体的工程实施，使人们能够体会到环境保护的重要性和环境效益。此外本规划实施后还将随着人们生活质量的提高，人们的环境意识会随之增强，将使流域环境保护产生质的飞跃，保护环境、节约资源将成为居民的自觉行为。环保意识的增强，将使人们生活的方方面面发生潜移默化的改变，以人与自然的和谐促进人与人的和谐，用环境的美学价值提升人们的整体素质，缓解社会矛盾，促进社会和谐。</w:t>
      </w:r>
    </w:p>
    <w:p>
      <w:pPr>
        <w:spacing w:line="360" w:lineRule="auto"/>
        <w:ind w:firstLine="480" w:firstLineChars="200"/>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（5）增加就业，增加当地农民劳务收入</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规划实施过程中，无论在工程建设期，还是运营管理期间，建议尽量使用农民与居民劳力，增加地方农民劳务收入。这些就业人员可获得一份稳定的收入，同时又不影响其农业收入。环境改善将带动旅游行业发展，增加第三产业的需求，多方位增加就业机会，增加当地农民收入，促进经济增长。</w:t>
      </w:r>
    </w:p>
    <w:p>
      <w:pPr>
        <w:spacing w:line="360" w:lineRule="auto"/>
        <w:ind w:firstLine="480" w:firstLineChars="200"/>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（6）改善卫生条件，提高公众健康水平</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随着抚仙湖流域内自然环境质量及村落污水、垃圾收集处理等基础设施的逐步完善，提高了流域居民卫生环境质量，将污染物质出去，减少疾病传播的风险，对公众健康是极为有利的。居民居住环境的改善，将提高水、大气等环境因子的质量，减少疾病诱因，增加居民室外活动频率，全方位提高公众健康水平。</w:t>
      </w:r>
    </w:p>
    <w:p>
      <w:pPr>
        <w:spacing w:line="360" w:lineRule="auto"/>
        <w:ind w:firstLine="480" w:firstLineChars="200"/>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（7）促进流域可持续发展</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本规划实施后，抚仙湖流域范围内的生态环境得到恢复，各物种得到更大的发展空间，生态系统得以完善，能源结构得到改善，绿色农业得以推广，流域可持续发展道路将越走越宽。</w:t>
      </w:r>
    </w:p>
    <w:p>
      <w:pPr>
        <w:widowControl/>
        <w:adjustRightInd w:val="0"/>
        <w:snapToGrid w:val="0"/>
        <w:spacing w:line="360" w:lineRule="auto"/>
        <w:ind w:firstLine="480" w:firstLineChars="200"/>
        <w:jc w:val="left"/>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sectPr>
          <w:footerReference r:id="rId13" w:type="default"/>
          <w:pgSz w:w="11905" w:h="16838"/>
          <w:pgMar w:top="1440" w:right="1587" w:bottom="1440" w:left="1587" w:header="851" w:footer="992" w:gutter="0"/>
          <w:pgBorders>
            <w:top w:val="none" w:sz="0" w:space="0"/>
            <w:left w:val="none" w:sz="0" w:space="0"/>
            <w:bottom w:val="none" w:sz="0" w:space="0"/>
            <w:right w:val="none" w:sz="0" w:space="0"/>
          </w:pgBorders>
          <w:cols w:space="720" w:num="1"/>
          <w:rtlGutter w:val="0"/>
          <w:docGrid w:linePitch="312" w:charSpace="0"/>
        </w:sect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通过产业政策与结构优化调整方案的实施，使抚仙湖流域各产业告别了粗放式发展模式，解决了经济发展和环境保护之间的矛盾，提高了资源利用率，使社会经济得到可持续发展。</w:t>
      </w:r>
    </w:p>
    <w:p>
      <w:pPr>
        <w:keepNext/>
        <w:keepLines/>
        <w:spacing w:before="240" w:after="240" w:line="360" w:lineRule="auto"/>
        <w:jc w:val="left"/>
        <w:outlineLvl w:val="0"/>
        <w:rPr>
          <w:rFonts w:hint="default" w:ascii="Times New Roman" w:hAnsi="Times New Roman" w:cs="Times New Roman" w:eastAsiaTheme="minorEastAsia"/>
          <w:b/>
          <w:bCs/>
          <w:color w:val="000000" w:themeColor="text1"/>
          <w:kern w:val="44"/>
          <w:sz w:val="32"/>
          <w:szCs w:val="32"/>
          <w:highlight w:val="none"/>
          <w:lang w:val="en-US" w:eastAsia="zh-CN"/>
          <w14:textFill>
            <w14:solidFill>
              <w14:schemeClr w14:val="tx1"/>
            </w14:solidFill>
          </w14:textFill>
        </w:rPr>
      </w:pPr>
      <w:bookmarkStart w:id="579" w:name="_Toc5930"/>
      <w:r>
        <w:rPr>
          <w:rFonts w:hint="eastAsia" w:cs="Times New Roman" w:eastAsiaTheme="minorEastAsia"/>
          <w:b/>
          <w:bCs/>
          <w:color w:val="000000" w:themeColor="text1"/>
          <w:kern w:val="44"/>
          <w:sz w:val="32"/>
          <w:szCs w:val="32"/>
          <w:highlight w:val="none"/>
          <w:lang w:val="en-US" w:eastAsia="zh-CN"/>
          <w14:textFill>
            <w14:solidFill>
              <w14:schemeClr w14:val="tx1"/>
            </w14:solidFill>
          </w14:textFill>
        </w:rPr>
        <w:t>8附件</w:t>
      </w:r>
      <w:bookmarkEnd w:id="579"/>
    </w:p>
    <w:p>
      <w:pPr>
        <w:adjustRightInd w:val="0"/>
        <w:snapToGrid w:val="0"/>
        <w:spacing w:before="120" w:beforeLines="50" w:line="360" w:lineRule="auto"/>
        <w:outlineLvl w:val="1"/>
        <w:rPr>
          <w:rFonts w:hint="default" w:ascii="Times New Roman" w:hAnsi="Times New Roman" w:cs="Times New Roman" w:eastAsiaTheme="minorEastAsia"/>
          <w:b/>
          <w:bCs/>
          <w:color w:val="000000" w:themeColor="text1"/>
          <w:sz w:val="30"/>
          <w:szCs w:val="30"/>
          <w:highlight w:val="none"/>
          <w14:textFill>
            <w14:solidFill>
              <w14:schemeClr w14:val="tx1"/>
            </w14:solidFill>
          </w14:textFill>
        </w:rPr>
      </w:pPr>
      <w:bookmarkStart w:id="580" w:name="_Toc27432"/>
      <w:r>
        <w:rPr>
          <w:rFonts w:hint="eastAsia" w:cs="Times New Roman" w:eastAsiaTheme="minorEastAsia"/>
          <w:b/>
          <w:bCs/>
          <w:color w:val="000000" w:themeColor="text1"/>
          <w:sz w:val="30"/>
          <w:szCs w:val="30"/>
          <w:highlight w:val="none"/>
          <w:lang w:val="en-US" w:eastAsia="zh-CN"/>
          <w14:textFill>
            <w14:solidFill>
              <w14:schemeClr w14:val="tx1"/>
            </w14:solidFill>
          </w14:textFill>
        </w:rPr>
        <w:t>8</w:t>
      </w:r>
      <w:r>
        <w:rPr>
          <w:rFonts w:hint="default" w:ascii="Times New Roman" w:hAnsi="Times New Roman" w:cs="Times New Roman" w:eastAsiaTheme="minorEastAsia"/>
          <w:b/>
          <w:bCs/>
          <w:color w:val="000000" w:themeColor="text1"/>
          <w:sz w:val="30"/>
          <w:szCs w:val="30"/>
          <w:highlight w:val="none"/>
          <w14:textFill>
            <w14:solidFill>
              <w14:schemeClr w14:val="tx1"/>
            </w14:solidFill>
          </w14:textFill>
        </w:rPr>
        <w:t>.1</w:t>
      </w:r>
      <w:r>
        <w:rPr>
          <w:rFonts w:hint="eastAsia" w:ascii="Times New Roman" w:hAnsi="Times New Roman" w:cs="Times New Roman" w:eastAsiaTheme="minorEastAsia"/>
          <w:b/>
          <w:bCs/>
          <w:color w:val="000000" w:themeColor="text1"/>
          <w:sz w:val="30"/>
          <w:szCs w:val="30"/>
          <w:highlight w:val="none"/>
          <w:lang w:val="en-US" w:eastAsia="zh-CN"/>
          <w14:textFill>
            <w14:solidFill>
              <w14:schemeClr w14:val="tx1"/>
            </w14:solidFill>
          </w14:textFill>
        </w:rPr>
        <w:t>附表1</w:t>
      </w:r>
      <w:r>
        <w:rPr>
          <w:rFonts w:hint="default" w:ascii="Times New Roman" w:hAnsi="Times New Roman" w:cs="Times New Roman" w:eastAsiaTheme="minorEastAsia"/>
          <w:b/>
          <w:bCs/>
          <w:color w:val="000000" w:themeColor="text1"/>
          <w:sz w:val="30"/>
          <w:szCs w:val="30"/>
          <w:highlight w:val="none"/>
          <w14:textFill>
            <w14:solidFill>
              <w14:schemeClr w14:val="tx1"/>
            </w14:solidFill>
          </w14:textFill>
        </w:rPr>
        <w:t>抚仙湖水环境保护治理“十四五”规划工程措施表（24个项目，74.92亿元）</w:t>
      </w:r>
      <w:bookmarkEnd w:id="580"/>
    </w:p>
    <w:p>
      <w:pPr>
        <w:pStyle w:val="2"/>
        <w:rPr>
          <w:rFonts w:hint="default"/>
        </w:rPr>
      </w:pPr>
    </w:p>
    <w:tbl>
      <w:tblPr>
        <w:tblStyle w:val="17"/>
        <w:tblW w:w="531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17"/>
        <w:gridCol w:w="616"/>
        <w:gridCol w:w="590"/>
        <w:gridCol w:w="5060"/>
        <w:gridCol w:w="1216"/>
        <w:gridCol w:w="1000"/>
        <w:gridCol w:w="966"/>
        <w:gridCol w:w="1064"/>
        <w:gridCol w:w="1066"/>
        <w:gridCol w:w="966"/>
        <w:gridCol w:w="1100"/>
        <w:gridCol w:w="10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blHeader/>
          <w:jc w:val="center"/>
        </w:trPr>
        <w:tc>
          <w:tcPr>
            <w:tcW w:w="138" w:type="pct"/>
            <w:vMerge w:val="restart"/>
            <w:shd w:val="clear" w:color="auto" w:fill="auto"/>
            <w:vAlign w:val="center"/>
          </w:tcPr>
          <w:p>
            <w:pPr>
              <w:widowControl/>
              <w:jc w:val="center"/>
              <w:rPr>
                <w:rFonts w:hint="default" w:ascii="Times New Roman" w:hAnsi="Times New Roman" w:cs="Times New Roman"/>
                <w:b/>
                <w:bCs/>
                <w:color w:val="auto"/>
                <w:kern w:val="0"/>
                <w:sz w:val="20"/>
              </w:rPr>
            </w:pPr>
            <w:r>
              <w:rPr>
                <w:rFonts w:hint="default" w:ascii="Times New Roman" w:hAnsi="Times New Roman" w:cs="Times New Roman"/>
                <w:b/>
                <w:bCs/>
                <w:color w:val="auto"/>
                <w:kern w:val="0"/>
                <w:sz w:val="20"/>
              </w:rPr>
              <w:t>序号</w:t>
            </w:r>
          </w:p>
        </w:tc>
        <w:tc>
          <w:tcPr>
            <w:tcW w:w="204" w:type="pct"/>
            <w:vMerge w:val="restart"/>
            <w:shd w:val="clear" w:color="auto" w:fill="auto"/>
            <w:vAlign w:val="center"/>
          </w:tcPr>
          <w:p>
            <w:pPr>
              <w:widowControl/>
              <w:jc w:val="center"/>
              <w:rPr>
                <w:rFonts w:hint="default" w:ascii="Times New Roman" w:hAnsi="Times New Roman" w:cs="Times New Roman"/>
                <w:b/>
                <w:bCs/>
                <w:color w:val="auto"/>
                <w:kern w:val="0"/>
                <w:sz w:val="20"/>
              </w:rPr>
            </w:pPr>
            <w:r>
              <w:rPr>
                <w:rFonts w:hint="default" w:ascii="Times New Roman" w:hAnsi="Times New Roman" w:cs="Times New Roman"/>
                <w:b/>
                <w:bCs/>
                <w:color w:val="auto"/>
                <w:kern w:val="0"/>
                <w:sz w:val="20"/>
              </w:rPr>
              <w:t>项目名称</w:t>
            </w:r>
          </w:p>
        </w:tc>
        <w:tc>
          <w:tcPr>
            <w:tcW w:w="196" w:type="pct"/>
            <w:vMerge w:val="restart"/>
            <w:shd w:val="clear" w:color="auto" w:fill="auto"/>
            <w:vAlign w:val="center"/>
          </w:tcPr>
          <w:p>
            <w:pPr>
              <w:widowControl/>
              <w:jc w:val="center"/>
              <w:rPr>
                <w:rFonts w:hint="default" w:ascii="Times New Roman" w:hAnsi="Times New Roman" w:cs="Times New Roman"/>
                <w:b/>
                <w:bCs/>
                <w:color w:val="auto"/>
                <w:kern w:val="0"/>
                <w:sz w:val="20"/>
              </w:rPr>
            </w:pPr>
            <w:r>
              <w:rPr>
                <w:rFonts w:hint="default" w:ascii="Times New Roman" w:hAnsi="Times New Roman" w:cs="Times New Roman"/>
                <w:b/>
                <w:bCs/>
                <w:color w:val="auto"/>
                <w:kern w:val="0"/>
                <w:sz w:val="20"/>
              </w:rPr>
              <w:t>项目分类</w:t>
            </w:r>
          </w:p>
        </w:tc>
        <w:tc>
          <w:tcPr>
            <w:tcW w:w="1677" w:type="pct"/>
            <w:vMerge w:val="restart"/>
            <w:shd w:val="clear" w:color="auto" w:fill="auto"/>
            <w:vAlign w:val="center"/>
          </w:tcPr>
          <w:p>
            <w:pPr>
              <w:widowControl/>
              <w:jc w:val="center"/>
              <w:rPr>
                <w:rFonts w:hint="default" w:ascii="Times New Roman" w:hAnsi="Times New Roman" w:cs="Times New Roman"/>
                <w:b/>
                <w:bCs/>
                <w:color w:val="auto"/>
                <w:kern w:val="0"/>
                <w:sz w:val="20"/>
              </w:rPr>
            </w:pPr>
            <w:r>
              <w:rPr>
                <w:rFonts w:hint="default" w:ascii="Times New Roman" w:hAnsi="Times New Roman" w:cs="Times New Roman"/>
                <w:b/>
                <w:bCs/>
                <w:color w:val="auto"/>
                <w:kern w:val="0"/>
                <w:sz w:val="20"/>
              </w:rPr>
              <w:t>建设内容和规模</w:t>
            </w:r>
          </w:p>
        </w:tc>
        <w:tc>
          <w:tcPr>
            <w:tcW w:w="403" w:type="pct"/>
            <w:vMerge w:val="restart"/>
            <w:shd w:val="clear" w:color="auto" w:fill="auto"/>
            <w:vAlign w:val="center"/>
          </w:tcPr>
          <w:p>
            <w:pPr>
              <w:widowControl/>
              <w:jc w:val="center"/>
              <w:rPr>
                <w:rFonts w:hint="default" w:ascii="Times New Roman" w:hAnsi="Times New Roman" w:cs="Times New Roman"/>
                <w:b/>
                <w:bCs/>
                <w:color w:val="auto"/>
                <w:kern w:val="0"/>
                <w:sz w:val="20"/>
              </w:rPr>
            </w:pPr>
            <w:r>
              <w:rPr>
                <w:rFonts w:hint="default" w:ascii="Times New Roman" w:hAnsi="Times New Roman" w:cs="Times New Roman"/>
                <w:b/>
                <w:bCs/>
                <w:color w:val="auto"/>
                <w:kern w:val="0"/>
                <w:sz w:val="20"/>
              </w:rPr>
              <w:t>建设年限</w:t>
            </w:r>
          </w:p>
        </w:tc>
        <w:tc>
          <w:tcPr>
            <w:tcW w:w="2043" w:type="pct"/>
            <w:gridSpan w:val="6"/>
            <w:shd w:val="clear" w:color="auto" w:fill="auto"/>
            <w:vAlign w:val="center"/>
          </w:tcPr>
          <w:p>
            <w:pPr>
              <w:widowControl/>
              <w:jc w:val="center"/>
              <w:rPr>
                <w:rFonts w:hint="default" w:ascii="Times New Roman" w:hAnsi="Times New Roman" w:cs="Times New Roman"/>
                <w:b/>
                <w:bCs/>
                <w:color w:val="auto"/>
                <w:kern w:val="0"/>
                <w:sz w:val="20"/>
              </w:rPr>
            </w:pPr>
            <w:r>
              <w:rPr>
                <w:rFonts w:hint="default" w:ascii="Times New Roman" w:hAnsi="Times New Roman" w:cs="Times New Roman"/>
                <w:b/>
                <w:bCs/>
                <w:color w:val="auto"/>
                <w:kern w:val="0"/>
                <w:sz w:val="20"/>
              </w:rPr>
              <w:t>总投资（万元）</w:t>
            </w:r>
          </w:p>
        </w:tc>
        <w:tc>
          <w:tcPr>
            <w:tcW w:w="336" w:type="pct"/>
            <w:vMerge w:val="restart"/>
            <w:shd w:val="clear" w:color="auto" w:fill="auto"/>
            <w:vAlign w:val="center"/>
          </w:tcPr>
          <w:p>
            <w:pPr>
              <w:widowControl/>
              <w:jc w:val="center"/>
              <w:rPr>
                <w:rFonts w:hint="default" w:ascii="Times New Roman" w:hAnsi="Times New Roman" w:cs="Times New Roman"/>
                <w:b/>
                <w:bCs/>
                <w:color w:val="auto"/>
                <w:kern w:val="0"/>
                <w:sz w:val="20"/>
              </w:rPr>
            </w:pPr>
            <w:r>
              <w:rPr>
                <w:rFonts w:hint="default" w:ascii="Times New Roman" w:hAnsi="Times New Roman" w:cs="Times New Roman"/>
                <w:b/>
                <w:bCs/>
                <w:color w:val="auto"/>
                <w:kern w:val="0"/>
                <w:sz w:val="20"/>
              </w:rPr>
              <w:t>责任单位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138" w:type="pct"/>
            <w:vMerge w:val="continue"/>
            <w:vAlign w:val="center"/>
          </w:tcPr>
          <w:p>
            <w:pPr>
              <w:widowControl/>
              <w:jc w:val="left"/>
              <w:rPr>
                <w:rFonts w:hint="default" w:ascii="Times New Roman" w:hAnsi="Times New Roman" w:cs="Times New Roman"/>
                <w:b/>
                <w:bCs/>
                <w:color w:val="auto"/>
                <w:kern w:val="0"/>
                <w:sz w:val="20"/>
              </w:rPr>
            </w:pPr>
          </w:p>
        </w:tc>
        <w:tc>
          <w:tcPr>
            <w:tcW w:w="204" w:type="pct"/>
            <w:vMerge w:val="continue"/>
            <w:vAlign w:val="center"/>
          </w:tcPr>
          <w:p>
            <w:pPr>
              <w:widowControl/>
              <w:jc w:val="left"/>
              <w:rPr>
                <w:rFonts w:hint="default" w:ascii="Times New Roman" w:hAnsi="Times New Roman" w:cs="Times New Roman"/>
                <w:b/>
                <w:bCs/>
                <w:color w:val="auto"/>
                <w:kern w:val="0"/>
                <w:sz w:val="20"/>
              </w:rPr>
            </w:pPr>
          </w:p>
        </w:tc>
        <w:tc>
          <w:tcPr>
            <w:tcW w:w="196" w:type="pct"/>
            <w:vMerge w:val="continue"/>
            <w:vAlign w:val="center"/>
          </w:tcPr>
          <w:p>
            <w:pPr>
              <w:widowControl/>
              <w:jc w:val="left"/>
              <w:rPr>
                <w:rFonts w:hint="default" w:ascii="Times New Roman" w:hAnsi="Times New Roman" w:cs="Times New Roman"/>
                <w:b/>
                <w:bCs/>
                <w:color w:val="auto"/>
                <w:kern w:val="0"/>
                <w:sz w:val="20"/>
              </w:rPr>
            </w:pPr>
          </w:p>
        </w:tc>
        <w:tc>
          <w:tcPr>
            <w:tcW w:w="1677" w:type="pct"/>
            <w:vMerge w:val="continue"/>
            <w:vAlign w:val="center"/>
          </w:tcPr>
          <w:p>
            <w:pPr>
              <w:widowControl/>
              <w:jc w:val="left"/>
              <w:rPr>
                <w:rFonts w:hint="default" w:ascii="Times New Roman" w:hAnsi="Times New Roman" w:cs="Times New Roman"/>
                <w:b/>
                <w:bCs/>
                <w:color w:val="auto"/>
                <w:kern w:val="0"/>
                <w:sz w:val="20"/>
              </w:rPr>
            </w:pPr>
          </w:p>
        </w:tc>
        <w:tc>
          <w:tcPr>
            <w:tcW w:w="403" w:type="pct"/>
            <w:vMerge w:val="continue"/>
            <w:vAlign w:val="center"/>
          </w:tcPr>
          <w:p>
            <w:pPr>
              <w:widowControl/>
              <w:jc w:val="left"/>
              <w:rPr>
                <w:rFonts w:hint="default" w:ascii="Times New Roman" w:hAnsi="Times New Roman" w:cs="Times New Roman"/>
                <w:b/>
                <w:bCs/>
                <w:color w:val="auto"/>
                <w:kern w:val="0"/>
                <w:sz w:val="20"/>
              </w:rPr>
            </w:pPr>
          </w:p>
        </w:tc>
        <w:tc>
          <w:tcPr>
            <w:tcW w:w="332" w:type="pct"/>
            <w:shd w:val="clear" w:color="auto" w:fill="auto"/>
            <w:vAlign w:val="center"/>
          </w:tcPr>
          <w:p>
            <w:pPr>
              <w:widowControl/>
              <w:jc w:val="center"/>
              <w:rPr>
                <w:rFonts w:hint="default" w:ascii="Times New Roman" w:hAnsi="Times New Roman" w:eastAsia="等线" w:cs="Times New Roman"/>
                <w:b/>
                <w:color w:val="auto"/>
                <w:kern w:val="0"/>
                <w:sz w:val="20"/>
              </w:rPr>
            </w:pPr>
            <w:r>
              <w:rPr>
                <w:rFonts w:hint="default" w:ascii="Times New Roman" w:hAnsi="Times New Roman" w:eastAsia="等线" w:cs="Times New Roman"/>
                <w:b/>
                <w:color w:val="auto"/>
                <w:kern w:val="0"/>
                <w:sz w:val="20"/>
              </w:rPr>
              <w:t>2021</w:t>
            </w:r>
          </w:p>
        </w:tc>
        <w:tc>
          <w:tcPr>
            <w:tcW w:w="320" w:type="pct"/>
            <w:shd w:val="clear" w:color="auto" w:fill="auto"/>
            <w:vAlign w:val="center"/>
          </w:tcPr>
          <w:p>
            <w:pPr>
              <w:widowControl/>
              <w:jc w:val="center"/>
              <w:rPr>
                <w:rFonts w:hint="default" w:ascii="Times New Roman" w:hAnsi="Times New Roman" w:eastAsia="等线" w:cs="Times New Roman"/>
                <w:b/>
                <w:color w:val="auto"/>
                <w:kern w:val="0"/>
                <w:sz w:val="20"/>
              </w:rPr>
            </w:pPr>
            <w:r>
              <w:rPr>
                <w:rFonts w:hint="default" w:ascii="Times New Roman" w:hAnsi="Times New Roman" w:eastAsia="等线" w:cs="Times New Roman"/>
                <w:b/>
                <w:color w:val="auto"/>
                <w:kern w:val="0"/>
                <w:sz w:val="20"/>
              </w:rPr>
              <w:t>2022</w:t>
            </w:r>
          </w:p>
        </w:tc>
        <w:tc>
          <w:tcPr>
            <w:tcW w:w="353" w:type="pct"/>
            <w:shd w:val="clear" w:color="auto" w:fill="auto"/>
            <w:vAlign w:val="center"/>
          </w:tcPr>
          <w:p>
            <w:pPr>
              <w:widowControl/>
              <w:jc w:val="center"/>
              <w:rPr>
                <w:rFonts w:hint="default" w:ascii="Times New Roman" w:hAnsi="Times New Roman" w:eastAsia="等线" w:cs="Times New Roman"/>
                <w:b/>
                <w:color w:val="auto"/>
                <w:kern w:val="0"/>
                <w:sz w:val="20"/>
              </w:rPr>
            </w:pPr>
            <w:r>
              <w:rPr>
                <w:rFonts w:hint="default" w:ascii="Times New Roman" w:hAnsi="Times New Roman" w:eastAsia="等线" w:cs="Times New Roman"/>
                <w:b/>
                <w:color w:val="auto"/>
                <w:kern w:val="0"/>
                <w:sz w:val="20"/>
              </w:rPr>
              <w:t>2023</w:t>
            </w:r>
          </w:p>
        </w:tc>
        <w:tc>
          <w:tcPr>
            <w:tcW w:w="353" w:type="pct"/>
            <w:shd w:val="clear" w:color="auto" w:fill="auto"/>
            <w:vAlign w:val="center"/>
          </w:tcPr>
          <w:p>
            <w:pPr>
              <w:widowControl/>
              <w:jc w:val="center"/>
              <w:rPr>
                <w:rFonts w:hint="default" w:ascii="Times New Roman" w:hAnsi="Times New Roman" w:eastAsia="等线" w:cs="Times New Roman"/>
                <w:b/>
                <w:color w:val="auto"/>
                <w:kern w:val="0"/>
                <w:sz w:val="20"/>
              </w:rPr>
            </w:pPr>
            <w:r>
              <w:rPr>
                <w:rFonts w:hint="default" w:ascii="Times New Roman" w:hAnsi="Times New Roman" w:eastAsia="等线" w:cs="Times New Roman"/>
                <w:b/>
                <w:color w:val="auto"/>
                <w:kern w:val="0"/>
                <w:sz w:val="20"/>
              </w:rPr>
              <w:t>2024</w:t>
            </w:r>
          </w:p>
        </w:tc>
        <w:tc>
          <w:tcPr>
            <w:tcW w:w="320" w:type="pct"/>
            <w:shd w:val="clear" w:color="auto" w:fill="auto"/>
            <w:vAlign w:val="center"/>
          </w:tcPr>
          <w:p>
            <w:pPr>
              <w:widowControl/>
              <w:jc w:val="center"/>
              <w:rPr>
                <w:rFonts w:hint="default" w:ascii="Times New Roman" w:hAnsi="Times New Roman" w:eastAsia="等线" w:cs="Times New Roman"/>
                <w:b/>
                <w:color w:val="auto"/>
                <w:kern w:val="0"/>
                <w:sz w:val="20"/>
              </w:rPr>
            </w:pPr>
            <w:r>
              <w:rPr>
                <w:rFonts w:hint="default" w:ascii="Times New Roman" w:hAnsi="Times New Roman" w:eastAsia="等线" w:cs="Times New Roman"/>
                <w:b/>
                <w:color w:val="auto"/>
                <w:kern w:val="0"/>
                <w:sz w:val="20"/>
              </w:rPr>
              <w:t>2025</w:t>
            </w:r>
          </w:p>
        </w:tc>
        <w:tc>
          <w:tcPr>
            <w:tcW w:w="362" w:type="pct"/>
            <w:shd w:val="clear" w:color="auto" w:fill="auto"/>
            <w:vAlign w:val="center"/>
          </w:tcPr>
          <w:p>
            <w:pPr>
              <w:widowControl/>
              <w:jc w:val="center"/>
              <w:rPr>
                <w:rFonts w:hint="default" w:ascii="Times New Roman" w:hAnsi="Times New Roman" w:cs="Times New Roman"/>
                <w:b/>
                <w:color w:val="auto"/>
                <w:kern w:val="0"/>
                <w:sz w:val="20"/>
              </w:rPr>
            </w:pPr>
            <w:r>
              <w:rPr>
                <w:rFonts w:hint="default" w:ascii="Times New Roman" w:hAnsi="Times New Roman" w:cs="Times New Roman"/>
                <w:b/>
                <w:color w:val="auto"/>
                <w:kern w:val="0"/>
                <w:sz w:val="20"/>
              </w:rPr>
              <w:t>合计</w:t>
            </w:r>
          </w:p>
        </w:tc>
        <w:tc>
          <w:tcPr>
            <w:tcW w:w="336" w:type="pct"/>
            <w:vMerge w:val="continue"/>
            <w:vAlign w:val="center"/>
          </w:tcPr>
          <w:p>
            <w:pPr>
              <w:widowControl/>
              <w:jc w:val="left"/>
              <w:rPr>
                <w:rFonts w:hint="default" w:ascii="Times New Roman" w:hAnsi="Times New Roman" w:cs="Times New Roman"/>
                <w:b/>
                <w:bCs/>
                <w:color w:val="auto"/>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38"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1</w:t>
            </w:r>
          </w:p>
        </w:tc>
        <w:tc>
          <w:tcPr>
            <w:tcW w:w="204"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抚仙湖三区划定项目</w:t>
            </w:r>
          </w:p>
        </w:tc>
        <w:tc>
          <w:tcPr>
            <w:tcW w:w="196" w:type="pct"/>
            <w:vMerge w:val="restar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空间管控类</w:t>
            </w:r>
          </w:p>
        </w:tc>
        <w:tc>
          <w:tcPr>
            <w:tcW w:w="1677" w:type="pct"/>
            <w:shd w:val="clear" w:color="auto" w:fill="auto"/>
            <w:vAlign w:val="center"/>
          </w:tcPr>
          <w:p>
            <w:pPr>
              <w:widowControl/>
              <w:jc w:val="left"/>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1.编制完成《澄江市国土空间规划（2021年—2035年）》。</w:t>
            </w:r>
          </w:p>
          <w:p>
            <w:pPr>
              <w:widowControl/>
              <w:jc w:val="left"/>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2.修订《抚仙湖流域国土空间保护和科学利用专项规划（2018—2035年）》。</w:t>
            </w:r>
          </w:p>
          <w:p>
            <w:pPr>
              <w:widowControl/>
              <w:jc w:val="left"/>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3.科学论证、划定抚仙湖生态廊道线、环湖公路线。</w:t>
            </w:r>
          </w:p>
          <w:p>
            <w:pPr>
              <w:widowControl/>
              <w:jc w:val="left"/>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4.划定抚仙湖流域边界线。</w:t>
            </w:r>
          </w:p>
        </w:tc>
        <w:tc>
          <w:tcPr>
            <w:tcW w:w="40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rPr>
              <w:t>2021—202</w:t>
            </w:r>
            <w:r>
              <w:rPr>
                <w:rFonts w:hint="default" w:ascii="Times New Roman" w:hAnsi="Times New Roman" w:cs="Times New Roman"/>
                <w:color w:val="auto"/>
                <w:kern w:val="0"/>
                <w:sz w:val="20"/>
                <w:szCs w:val="22"/>
                <w:lang w:val="en-US" w:eastAsia="zh-CN"/>
              </w:rPr>
              <w:t>3</w:t>
            </w:r>
          </w:p>
        </w:tc>
        <w:tc>
          <w:tcPr>
            <w:tcW w:w="33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w:t>
            </w:r>
          </w:p>
        </w:tc>
        <w:tc>
          <w:tcPr>
            <w:tcW w:w="320"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300</w:t>
            </w:r>
          </w:p>
        </w:tc>
        <w:tc>
          <w:tcPr>
            <w:tcW w:w="35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900</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w:t>
            </w:r>
          </w:p>
        </w:tc>
        <w:tc>
          <w:tcPr>
            <w:tcW w:w="36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12</w:t>
            </w:r>
            <w:r>
              <w:rPr>
                <w:rFonts w:hint="default" w:ascii="Times New Roman" w:hAnsi="Times New Roman" w:cs="Times New Roman"/>
                <w:color w:val="auto"/>
                <w:kern w:val="0"/>
                <w:sz w:val="20"/>
                <w:szCs w:val="22"/>
              </w:rPr>
              <w:t>00</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澄江市自然资源局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38"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2</w:t>
            </w:r>
          </w:p>
        </w:tc>
        <w:tc>
          <w:tcPr>
            <w:tcW w:w="204"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抚仙湖环湖生态移民搬迁安置工程</w:t>
            </w:r>
          </w:p>
        </w:tc>
        <w:tc>
          <w:tcPr>
            <w:tcW w:w="196" w:type="pct"/>
            <w:vMerge w:val="continue"/>
            <w:shd w:val="clear" w:color="auto" w:fill="auto"/>
            <w:vAlign w:val="center"/>
          </w:tcPr>
          <w:p>
            <w:pPr>
              <w:widowControl/>
              <w:jc w:val="center"/>
              <w:rPr>
                <w:rFonts w:hint="default" w:ascii="Times New Roman" w:hAnsi="Times New Roman" w:cs="Times New Roman"/>
                <w:color w:val="auto"/>
                <w:kern w:val="0"/>
                <w:sz w:val="20"/>
                <w:szCs w:val="22"/>
              </w:rPr>
            </w:pPr>
          </w:p>
        </w:tc>
        <w:tc>
          <w:tcPr>
            <w:tcW w:w="1677" w:type="pct"/>
            <w:shd w:val="clear" w:color="auto" w:fill="auto"/>
            <w:vAlign w:val="center"/>
          </w:tcPr>
          <w:p>
            <w:pPr>
              <w:widowControl/>
              <w:jc w:val="left"/>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将禄充社区和大湾村位于110米范围内182户518人、4家企业（华业大酒店、金禄酒店、东逸酒店、笔架山旅游公司）、5宗集体公房纳入生态移民搬迁范围实施搬迁。</w:t>
            </w:r>
          </w:p>
        </w:tc>
        <w:tc>
          <w:tcPr>
            <w:tcW w:w="40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rPr>
              <w:t>2021—202</w:t>
            </w:r>
            <w:r>
              <w:rPr>
                <w:rFonts w:hint="default" w:ascii="Times New Roman" w:hAnsi="Times New Roman" w:cs="Times New Roman"/>
                <w:color w:val="auto"/>
                <w:kern w:val="0"/>
                <w:sz w:val="20"/>
                <w:szCs w:val="22"/>
                <w:lang w:val="en-US" w:eastAsia="zh-CN"/>
              </w:rPr>
              <w:t>5</w:t>
            </w:r>
          </w:p>
        </w:tc>
        <w:tc>
          <w:tcPr>
            <w:tcW w:w="332"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bidi="ar-SA"/>
              </w:rPr>
            </w:pPr>
            <w:r>
              <w:rPr>
                <w:rFonts w:hint="default" w:ascii="Times New Roman" w:hAnsi="Times New Roman" w:cs="Times New Roman"/>
                <w:color w:val="auto"/>
                <w:kern w:val="0"/>
                <w:sz w:val="20"/>
                <w:szCs w:val="22"/>
              </w:rPr>
              <w:t>—</w:t>
            </w:r>
          </w:p>
        </w:tc>
        <w:tc>
          <w:tcPr>
            <w:tcW w:w="320"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bidi="ar-SA"/>
              </w:rPr>
            </w:pPr>
            <w:r>
              <w:rPr>
                <w:rFonts w:hint="default" w:ascii="Times New Roman" w:hAnsi="Times New Roman" w:cs="Times New Roman"/>
                <w:color w:val="auto"/>
                <w:kern w:val="0"/>
                <w:sz w:val="20"/>
                <w:szCs w:val="22"/>
              </w:rPr>
              <w:t>—</w:t>
            </w:r>
          </w:p>
        </w:tc>
        <w:tc>
          <w:tcPr>
            <w:tcW w:w="35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bidi="ar-SA"/>
              </w:rPr>
            </w:pPr>
            <w:r>
              <w:rPr>
                <w:rFonts w:hint="default" w:ascii="Times New Roman" w:hAnsi="Times New Roman" w:cs="Times New Roman"/>
                <w:color w:val="auto"/>
                <w:kern w:val="0"/>
                <w:sz w:val="20"/>
                <w:szCs w:val="22"/>
              </w:rPr>
              <w:t>—</w:t>
            </w:r>
          </w:p>
        </w:tc>
        <w:tc>
          <w:tcPr>
            <w:tcW w:w="35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bidi="ar-SA"/>
              </w:rPr>
            </w:pPr>
            <w:r>
              <w:rPr>
                <w:rFonts w:hint="default" w:ascii="Times New Roman" w:hAnsi="Times New Roman" w:cs="Times New Roman"/>
                <w:color w:val="auto"/>
                <w:kern w:val="0"/>
                <w:sz w:val="20"/>
                <w:szCs w:val="22"/>
              </w:rPr>
              <w:t>—</w:t>
            </w:r>
          </w:p>
        </w:tc>
        <w:tc>
          <w:tcPr>
            <w:tcW w:w="320"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78000</w:t>
            </w:r>
          </w:p>
        </w:tc>
        <w:tc>
          <w:tcPr>
            <w:tcW w:w="362"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78000</w:t>
            </w:r>
          </w:p>
        </w:tc>
        <w:tc>
          <w:tcPr>
            <w:tcW w:w="336" w:type="pct"/>
            <w:shd w:val="clear" w:color="auto" w:fill="auto"/>
            <w:vAlign w:val="center"/>
          </w:tcPr>
          <w:p>
            <w:pPr>
              <w:widowControl/>
              <w:jc w:val="center"/>
              <w:rPr>
                <w:rFonts w:hint="default" w:ascii="Times New Roman" w:hAnsi="Times New Roman" w:eastAsia="宋体" w:cs="Times New Roman"/>
                <w:color w:val="auto"/>
                <w:kern w:val="0"/>
                <w:sz w:val="20"/>
                <w:szCs w:val="22"/>
                <w:lang w:eastAsia="zh-CN"/>
              </w:rPr>
            </w:pPr>
            <w:r>
              <w:rPr>
                <w:rFonts w:hint="default" w:ascii="Times New Roman" w:hAnsi="Times New Roman" w:cs="Times New Roman"/>
                <w:color w:val="auto"/>
                <w:kern w:val="0"/>
                <w:sz w:val="20"/>
                <w:szCs w:val="22"/>
                <w:lang w:eastAsia="zh-CN"/>
              </w:rPr>
              <w:t>澄江市住建局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38" w:type="pct"/>
            <w:shd w:val="clear" w:color="auto" w:fill="auto"/>
            <w:vAlign w:val="center"/>
          </w:tcPr>
          <w:p>
            <w:pPr>
              <w:widowControl/>
              <w:jc w:val="center"/>
              <w:rPr>
                <w:rFonts w:hint="default" w:ascii="Times New Roman" w:hAnsi="Times New Roman"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3</w:t>
            </w:r>
          </w:p>
        </w:tc>
        <w:tc>
          <w:tcPr>
            <w:tcW w:w="204"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eastAsia="宋体" w:cs="Times New Roman"/>
                <w:color w:val="auto"/>
                <w:kern w:val="0"/>
                <w:sz w:val="20"/>
                <w:szCs w:val="22"/>
                <w:lang w:val="en-US" w:eastAsia="zh-CN"/>
              </w:rPr>
              <w:t>沿湖</w:t>
            </w:r>
            <w:r>
              <w:rPr>
                <w:rFonts w:hint="default" w:ascii="Times New Roman" w:hAnsi="Times New Roman" w:cs="Times New Roman"/>
                <w:color w:val="auto"/>
                <w:kern w:val="0"/>
                <w:sz w:val="20"/>
                <w:szCs w:val="22"/>
                <w:lang w:val="en-US" w:eastAsia="zh-CN"/>
              </w:rPr>
              <w:t>“</w:t>
            </w:r>
            <w:r>
              <w:rPr>
                <w:rFonts w:hint="default" w:ascii="Times New Roman" w:hAnsi="Times New Roman" w:eastAsia="宋体" w:cs="Times New Roman"/>
                <w:color w:val="auto"/>
                <w:kern w:val="0"/>
                <w:sz w:val="20"/>
                <w:szCs w:val="22"/>
                <w:lang w:val="en-US" w:eastAsia="zh-CN"/>
              </w:rPr>
              <w:t>违规违建</w:t>
            </w:r>
            <w:r>
              <w:rPr>
                <w:rFonts w:hint="default" w:ascii="Times New Roman" w:hAnsi="Times New Roman" w:cs="Times New Roman"/>
                <w:color w:val="auto"/>
                <w:kern w:val="0"/>
                <w:sz w:val="20"/>
                <w:szCs w:val="22"/>
                <w:lang w:val="en-US" w:eastAsia="zh-CN"/>
              </w:rPr>
              <w:t>”</w:t>
            </w:r>
            <w:r>
              <w:rPr>
                <w:rFonts w:hint="default" w:ascii="Times New Roman" w:hAnsi="Times New Roman" w:eastAsia="宋体" w:cs="Times New Roman"/>
                <w:color w:val="auto"/>
                <w:kern w:val="0"/>
                <w:sz w:val="20"/>
                <w:szCs w:val="22"/>
                <w:lang w:val="en-US" w:eastAsia="zh-CN"/>
              </w:rPr>
              <w:t>整治及生态恢复项目</w:t>
            </w:r>
          </w:p>
        </w:tc>
        <w:tc>
          <w:tcPr>
            <w:tcW w:w="196" w:type="pct"/>
            <w:vMerge w:val="continue"/>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p>
        </w:tc>
        <w:tc>
          <w:tcPr>
            <w:tcW w:w="1677" w:type="pct"/>
            <w:shd w:val="clear" w:color="auto" w:fill="auto"/>
            <w:vAlign w:val="center"/>
          </w:tcPr>
          <w:p>
            <w:pPr>
              <w:widowControl/>
              <w:jc w:val="left"/>
              <w:rPr>
                <w:rFonts w:hint="default" w:ascii="Times New Roman" w:hAnsi="Times New Roman" w:eastAsia="宋体" w:cs="Times New Roman"/>
                <w:color w:val="auto"/>
                <w:kern w:val="0"/>
                <w:sz w:val="20"/>
                <w:szCs w:val="22"/>
                <w:lang w:val="en-US" w:eastAsia="zh-CN"/>
              </w:rPr>
            </w:pPr>
            <w:r>
              <w:rPr>
                <w:rFonts w:hint="default" w:ascii="Times New Roman" w:hAnsi="Times New Roman" w:eastAsia="宋体" w:cs="Times New Roman"/>
                <w:color w:val="auto"/>
                <w:kern w:val="0"/>
                <w:sz w:val="20"/>
                <w:szCs w:val="22"/>
                <w:lang w:val="en-US" w:eastAsia="zh-CN"/>
              </w:rPr>
              <w:t>按照抚仙湖沿岸“两违”排查甄别意见，对355个图斑进行拆除（拆除图斑228个，限期拆除127个），拆除总建筑面积161946.42平方米，同步对拆除地块实施生态修复。</w:t>
            </w:r>
          </w:p>
        </w:tc>
        <w:tc>
          <w:tcPr>
            <w:tcW w:w="40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bidi="ar-SA"/>
              </w:rPr>
            </w:pPr>
            <w:r>
              <w:rPr>
                <w:rFonts w:hint="default" w:ascii="Times New Roman" w:hAnsi="Times New Roman" w:cs="Times New Roman"/>
                <w:color w:val="auto"/>
                <w:kern w:val="0"/>
                <w:sz w:val="20"/>
                <w:szCs w:val="22"/>
              </w:rPr>
              <w:t>2021—202</w:t>
            </w:r>
            <w:r>
              <w:rPr>
                <w:rFonts w:hint="default" w:ascii="Times New Roman" w:hAnsi="Times New Roman" w:cs="Times New Roman"/>
                <w:color w:val="auto"/>
                <w:kern w:val="0"/>
                <w:sz w:val="20"/>
                <w:szCs w:val="22"/>
                <w:lang w:val="en-US" w:eastAsia="zh-CN"/>
              </w:rPr>
              <w:t>3</w:t>
            </w:r>
          </w:p>
        </w:tc>
        <w:tc>
          <w:tcPr>
            <w:tcW w:w="332"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bidi="ar-SA"/>
              </w:rPr>
            </w:pPr>
            <w:r>
              <w:rPr>
                <w:rFonts w:hint="default" w:ascii="Times New Roman" w:hAnsi="Times New Roman" w:cs="Times New Roman"/>
                <w:color w:val="auto"/>
                <w:kern w:val="0"/>
                <w:sz w:val="20"/>
                <w:szCs w:val="22"/>
              </w:rPr>
              <w:t>—</w:t>
            </w:r>
          </w:p>
        </w:tc>
        <w:tc>
          <w:tcPr>
            <w:tcW w:w="320"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bidi="ar-SA"/>
              </w:rPr>
            </w:pPr>
            <w:r>
              <w:rPr>
                <w:rFonts w:hint="default" w:ascii="Times New Roman" w:hAnsi="Times New Roman" w:cs="Times New Roman"/>
                <w:color w:val="auto"/>
                <w:kern w:val="0"/>
                <w:sz w:val="20"/>
                <w:szCs w:val="22"/>
              </w:rPr>
              <w:t>—</w:t>
            </w:r>
          </w:p>
        </w:tc>
        <w:tc>
          <w:tcPr>
            <w:tcW w:w="35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92100</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p>
        </w:tc>
        <w:tc>
          <w:tcPr>
            <w:tcW w:w="320" w:type="pct"/>
            <w:shd w:val="clear" w:color="auto" w:fill="auto"/>
            <w:vAlign w:val="center"/>
          </w:tcPr>
          <w:p>
            <w:pPr>
              <w:widowControl/>
              <w:jc w:val="center"/>
              <w:rPr>
                <w:rFonts w:hint="default" w:ascii="Times New Roman" w:hAnsi="Times New Roman" w:cs="Times New Roman"/>
                <w:color w:val="auto"/>
                <w:kern w:val="0"/>
                <w:sz w:val="20"/>
                <w:szCs w:val="22"/>
                <w:lang w:val="en-US" w:eastAsia="zh-CN"/>
              </w:rPr>
            </w:pPr>
          </w:p>
        </w:tc>
        <w:tc>
          <w:tcPr>
            <w:tcW w:w="362" w:type="pct"/>
            <w:shd w:val="clear" w:color="auto" w:fill="auto"/>
            <w:vAlign w:val="center"/>
          </w:tcPr>
          <w:p>
            <w:pPr>
              <w:widowControl/>
              <w:jc w:val="center"/>
              <w:rPr>
                <w:rFonts w:hint="default" w:ascii="Times New Roman" w:hAnsi="Times New Roman"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92100</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eastAsia="宋体" w:cs="Times New Roman"/>
                <w:color w:val="auto"/>
                <w:kern w:val="0"/>
                <w:sz w:val="20"/>
                <w:szCs w:val="22"/>
                <w:lang w:val="en-US" w:eastAsia="zh-CN"/>
              </w:rPr>
              <w:t>澄江市自然资源局、市抚管局、市林业林草局；沿湖各镇（街道）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38" w:type="pct"/>
            <w:shd w:val="clear" w:color="auto" w:fill="auto"/>
            <w:vAlign w:val="center"/>
          </w:tcPr>
          <w:p>
            <w:pPr>
              <w:widowControl/>
              <w:jc w:val="center"/>
              <w:rPr>
                <w:rFonts w:hint="default" w:ascii="Times New Roman" w:hAnsi="Times New Roman"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4</w:t>
            </w:r>
          </w:p>
        </w:tc>
        <w:tc>
          <w:tcPr>
            <w:tcW w:w="204"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eastAsia="宋体" w:cs="Times New Roman"/>
                <w:color w:val="auto"/>
                <w:kern w:val="0"/>
                <w:sz w:val="20"/>
                <w:szCs w:val="22"/>
                <w:lang w:val="en-US" w:eastAsia="zh-CN"/>
              </w:rPr>
              <w:t>抚仙湖环湖路提升改造工程</w:t>
            </w:r>
          </w:p>
        </w:tc>
        <w:tc>
          <w:tcPr>
            <w:tcW w:w="196" w:type="pct"/>
            <w:vMerge w:val="continue"/>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p>
        </w:tc>
        <w:tc>
          <w:tcPr>
            <w:tcW w:w="1677"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eastAsia="宋体" w:cs="Times New Roman"/>
                <w:color w:val="auto"/>
                <w:kern w:val="0"/>
                <w:sz w:val="20"/>
                <w:szCs w:val="22"/>
                <w:lang w:val="en-US" w:eastAsia="zh-CN"/>
              </w:rPr>
              <w:t>将原有环湖路（广龙—太阳山段16.4公里）交通功能退出，建设慢行系统，外移货运交通功能。实施道路路面加罩、景观绿化提升、地下综合管线埋设、雨污管道完善、路灯亮化打造，完善交通监控和公共配套设施等。</w:t>
            </w:r>
          </w:p>
        </w:tc>
        <w:tc>
          <w:tcPr>
            <w:tcW w:w="40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rPr>
              <w:t>202</w:t>
            </w:r>
            <w:r>
              <w:rPr>
                <w:rFonts w:hint="default" w:ascii="Times New Roman" w:hAnsi="Times New Roman" w:cs="Times New Roman"/>
                <w:color w:val="auto"/>
                <w:kern w:val="0"/>
                <w:sz w:val="20"/>
                <w:szCs w:val="22"/>
                <w:lang w:val="en-US" w:eastAsia="zh-CN"/>
              </w:rPr>
              <w:t>1</w:t>
            </w:r>
            <w:r>
              <w:rPr>
                <w:rFonts w:hint="default" w:ascii="Times New Roman" w:hAnsi="Times New Roman" w:cs="Times New Roman"/>
                <w:color w:val="auto"/>
                <w:kern w:val="0"/>
                <w:sz w:val="20"/>
                <w:szCs w:val="22"/>
              </w:rPr>
              <w:t>—202</w:t>
            </w:r>
            <w:r>
              <w:rPr>
                <w:rFonts w:hint="default" w:ascii="Times New Roman" w:hAnsi="Times New Roman" w:cs="Times New Roman"/>
                <w:color w:val="auto"/>
                <w:kern w:val="0"/>
                <w:sz w:val="20"/>
                <w:szCs w:val="22"/>
                <w:lang w:val="en-US" w:eastAsia="zh-CN"/>
              </w:rPr>
              <w:t>3</w:t>
            </w:r>
          </w:p>
        </w:tc>
        <w:tc>
          <w:tcPr>
            <w:tcW w:w="332" w:type="pct"/>
            <w:shd w:val="clear" w:color="auto" w:fill="auto"/>
            <w:vAlign w:val="center"/>
          </w:tcPr>
          <w:p>
            <w:pPr>
              <w:widowControl/>
              <w:jc w:val="center"/>
              <w:rPr>
                <w:rFonts w:hint="default" w:ascii="Times New Roman" w:hAnsi="Times New Roman" w:cs="Times New Roman"/>
                <w:color w:val="auto"/>
                <w:kern w:val="0"/>
                <w:sz w:val="20"/>
                <w:szCs w:val="22"/>
              </w:rPr>
            </w:pPr>
          </w:p>
        </w:tc>
        <w:tc>
          <w:tcPr>
            <w:tcW w:w="320"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64700</w:t>
            </w:r>
          </w:p>
        </w:tc>
        <w:tc>
          <w:tcPr>
            <w:tcW w:w="35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p>
        </w:tc>
        <w:tc>
          <w:tcPr>
            <w:tcW w:w="320" w:type="pct"/>
            <w:shd w:val="clear" w:color="auto" w:fill="auto"/>
            <w:vAlign w:val="center"/>
          </w:tcPr>
          <w:p>
            <w:pPr>
              <w:widowControl/>
              <w:jc w:val="center"/>
              <w:rPr>
                <w:rFonts w:hint="default" w:ascii="Times New Roman" w:hAnsi="Times New Roman" w:cs="Times New Roman"/>
                <w:color w:val="auto"/>
                <w:kern w:val="0"/>
                <w:sz w:val="20"/>
                <w:szCs w:val="22"/>
                <w:lang w:val="en-US" w:eastAsia="zh-CN"/>
              </w:rPr>
            </w:pPr>
          </w:p>
        </w:tc>
        <w:tc>
          <w:tcPr>
            <w:tcW w:w="362" w:type="pct"/>
            <w:shd w:val="clear" w:color="auto" w:fill="auto"/>
            <w:vAlign w:val="center"/>
          </w:tcPr>
          <w:p>
            <w:pPr>
              <w:widowControl/>
              <w:jc w:val="center"/>
              <w:rPr>
                <w:rFonts w:hint="default" w:ascii="Times New Roman" w:hAnsi="Times New Roman"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64700</w:t>
            </w:r>
          </w:p>
        </w:tc>
        <w:tc>
          <w:tcPr>
            <w:tcW w:w="336"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eastAsia="宋体" w:cs="Times New Roman"/>
                <w:color w:val="auto"/>
                <w:kern w:val="0"/>
                <w:sz w:val="20"/>
                <w:szCs w:val="22"/>
                <w:lang w:val="en-US" w:eastAsia="zh-CN"/>
              </w:rPr>
              <w:t>澄江市交运局；澄江市文旅</w:t>
            </w:r>
            <w:r>
              <w:rPr>
                <w:rFonts w:hint="default" w:ascii="Times New Roman" w:hAnsi="Times New Roman" w:eastAsia="仿宋_GB2312" w:cs="Times New Roman"/>
                <w:b w:val="0"/>
                <w:bCs w:val="0"/>
                <w:color w:val="auto"/>
                <w:kern w:val="2"/>
                <w:sz w:val="21"/>
                <w:szCs w:val="21"/>
                <w:highlight w:val="none"/>
                <w:shd w:val="clear" w:color="auto" w:fill="auto"/>
                <w:lang w:val="en-US" w:eastAsia="zh-CN" w:bidi="ar"/>
              </w:rPr>
              <w:t>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38" w:type="pct"/>
            <w:shd w:val="clear" w:color="auto" w:fill="auto"/>
            <w:vAlign w:val="center"/>
          </w:tcPr>
          <w:p>
            <w:pPr>
              <w:widowControl/>
              <w:jc w:val="center"/>
              <w:rPr>
                <w:rFonts w:hint="default" w:ascii="Times New Roman" w:hAnsi="Times New Roman" w:eastAsia="宋体" w:cs="Times New Roman"/>
                <w:color w:val="auto"/>
                <w:kern w:val="0"/>
                <w:sz w:val="20"/>
                <w:szCs w:val="22"/>
                <w:lang w:eastAsia="zh-CN"/>
              </w:rPr>
            </w:pPr>
            <w:r>
              <w:rPr>
                <w:rFonts w:hint="default" w:ascii="Times New Roman" w:hAnsi="Times New Roman" w:cs="Times New Roman"/>
                <w:color w:val="auto"/>
                <w:kern w:val="0"/>
                <w:sz w:val="20"/>
                <w:szCs w:val="22"/>
                <w:lang w:val="en-US" w:eastAsia="zh-CN"/>
              </w:rPr>
              <w:t>5</w:t>
            </w:r>
          </w:p>
        </w:tc>
        <w:tc>
          <w:tcPr>
            <w:tcW w:w="204"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抚仙湖环湖生态廊道建设项目</w:t>
            </w:r>
          </w:p>
        </w:tc>
        <w:tc>
          <w:tcPr>
            <w:tcW w:w="196" w:type="pct"/>
            <w:vMerge w:val="continue"/>
            <w:shd w:val="clear" w:color="auto" w:fill="auto"/>
            <w:vAlign w:val="center"/>
          </w:tcPr>
          <w:p>
            <w:pPr>
              <w:widowControl/>
              <w:jc w:val="center"/>
              <w:rPr>
                <w:rFonts w:hint="default" w:ascii="Times New Roman" w:hAnsi="Times New Roman" w:cs="Times New Roman"/>
                <w:color w:val="auto"/>
                <w:kern w:val="0"/>
                <w:sz w:val="20"/>
                <w:szCs w:val="22"/>
              </w:rPr>
            </w:pPr>
          </w:p>
        </w:tc>
        <w:tc>
          <w:tcPr>
            <w:tcW w:w="1677" w:type="pct"/>
            <w:shd w:val="clear" w:color="auto" w:fill="auto"/>
            <w:vAlign w:val="center"/>
          </w:tcPr>
          <w:p>
            <w:pPr>
              <w:widowControl/>
              <w:jc w:val="left"/>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按照“统一规划、分步实施”的原则，先期实施北岸生态廊道，总长约16.8公里</w:t>
            </w:r>
            <w:r>
              <w:rPr>
                <w:rFonts w:hint="default" w:ascii="Times New Roman" w:hAnsi="Times New Roman" w:cs="Times New Roman"/>
                <w:color w:val="auto"/>
                <w:kern w:val="0"/>
                <w:sz w:val="20"/>
                <w:szCs w:val="22"/>
                <w:highlight w:val="none"/>
              </w:rPr>
              <w:t>;</w:t>
            </w:r>
            <w:r>
              <w:rPr>
                <w:rFonts w:hint="default" w:ascii="Times New Roman" w:hAnsi="Times New Roman" w:cs="Times New Roman"/>
                <w:color w:val="auto"/>
                <w:kern w:val="0"/>
                <w:sz w:val="20"/>
                <w:szCs w:val="22"/>
              </w:rPr>
              <w:t>结合“两线”划定以及抚仙湖老环湖路提升改造项目，对东岸、西岸、南岸进行物理隔离，实现生态廊道闭合。</w:t>
            </w:r>
          </w:p>
        </w:tc>
        <w:tc>
          <w:tcPr>
            <w:tcW w:w="40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2021—2025</w:t>
            </w:r>
          </w:p>
        </w:tc>
        <w:tc>
          <w:tcPr>
            <w:tcW w:w="33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28500</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500</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2</w:t>
            </w:r>
            <w:r>
              <w:rPr>
                <w:rFonts w:hint="default" w:ascii="Times New Roman" w:hAnsi="Times New Roman" w:cs="Times New Roman"/>
                <w:color w:val="auto"/>
                <w:kern w:val="0"/>
                <w:sz w:val="20"/>
                <w:szCs w:val="22"/>
              </w:rPr>
              <w:t>8000</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2</w:t>
            </w:r>
            <w:r>
              <w:rPr>
                <w:rFonts w:hint="default" w:ascii="Times New Roman" w:hAnsi="Times New Roman" w:cs="Times New Roman"/>
                <w:color w:val="auto"/>
                <w:kern w:val="0"/>
                <w:sz w:val="20"/>
                <w:szCs w:val="22"/>
              </w:rPr>
              <w:t>2000</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1000</w:t>
            </w:r>
          </w:p>
        </w:tc>
        <w:tc>
          <w:tcPr>
            <w:tcW w:w="36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8</w:t>
            </w:r>
            <w:r>
              <w:rPr>
                <w:rFonts w:hint="default" w:ascii="Times New Roman" w:hAnsi="Times New Roman" w:cs="Times New Roman"/>
                <w:color w:val="auto"/>
                <w:kern w:val="0"/>
                <w:sz w:val="20"/>
                <w:szCs w:val="22"/>
              </w:rPr>
              <w:t>0000</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澄江市抚管局、市文化和旅游局；市文化和旅游投资开发有限责任公司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216" w:type="pct"/>
            <w:gridSpan w:val="4"/>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rPr>
              <w:t>合计</w:t>
            </w:r>
            <w:r>
              <w:rPr>
                <w:rFonts w:hint="default" w:ascii="Times New Roman" w:hAnsi="Times New Roman" w:cs="Times New Roman"/>
                <w:color w:val="auto"/>
                <w:kern w:val="0"/>
                <w:sz w:val="20"/>
                <w:szCs w:val="22"/>
                <w:lang w:val="en-US" w:eastAsia="zh-CN"/>
              </w:rPr>
              <w:t>6个项目</w:t>
            </w:r>
          </w:p>
        </w:tc>
        <w:tc>
          <w:tcPr>
            <w:tcW w:w="403" w:type="pct"/>
            <w:shd w:val="clear" w:color="auto" w:fill="auto"/>
            <w:vAlign w:val="center"/>
          </w:tcPr>
          <w:p>
            <w:pPr>
              <w:widowControl/>
              <w:jc w:val="center"/>
              <w:rPr>
                <w:rFonts w:hint="default" w:ascii="Times New Roman" w:hAnsi="Times New Roman" w:cs="Times New Roman"/>
                <w:color w:val="auto"/>
                <w:kern w:val="0"/>
                <w:sz w:val="20"/>
                <w:szCs w:val="22"/>
              </w:rPr>
            </w:pPr>
          </w:p>
        </w:tc>
        <w:tc>
          <w:tcPr>
            <w:tcW w:w="332"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eastAsia="宋体" w:cs="Times New Roman"/>
                <w:color w:val="auto"/>
                <w:kern w:val="0"/>
                <w:sz w:val="20"/>
                <w:szCs w:val="22"/>
              </w:rPr>
            </w:pPr>
            <w:r>
              <w:rPr>
                <w:rFonts w:hint="default" w:ascii="Times New Roman" w:hAnsi="Times New Roman" w:eastAsia="宋体" w:cs="Times New Roman"/>
                <w:color w:val="auto"/>
                <w:kern w:val="0"/>
                <w:sz w:val="20"/>
                <w:szCs w:val="22"/>
                <w:lang w:val="en-US" w:eastAsia="zh-CN"/>
              </w:rPr>
              <w:t>28500</w:t>
            </w:r>
          </w:p>
        </w:tc>
        <w:tc>
          <w:tcPr>
            <w:tcW w:w="320"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eastAsia="宋体" w:cs="Times New Roman"/>
                <w:color w:val="auto"/>
                <w:kern w:val="0"/>
                <w:sz w:val="20"/>
                <w:szCs w:val="22"/>
              </w:rPr>
            </w:pPr>
            <w:r>
              <w:rPr>
                <w:rFonts w:hint="default" w:ascii="Times New Roman" w:hAnsi="Times New Roman" w:eastAsia="宋体" w:cs="Times New Roman"/>
                <w:color w:val="auto"/>
                <w:kern w:val="0"/>
                <w:sz w:val="20"/>
                <w:szCs w:val="22"/>
                <w:lang w:val="en-US" w:eastAsia="zh-CN"/>
              </w:rPr>
              <w:t>800</w:t>
            </w:r>
          </w:p>
        </w:tc>
        <w:tc>
          <w:tcPr>
            <w:tcW w:w="353"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eastAsia="宋体" w:cs="Times New Roman"/>
                <w:color w:val="auto"/>
                <w:kern w:val="0"/>
                <w:sz w:val="20"/>
                <w:szCs w:val="22"/>
              </w:rPr>
            </w:pPr>
            <w:r>
              <w:rPr>
                <w:rFonts w:hint="default" w:ascii="Times New Roman" w:hAnsi="Times New Roman" w:eastAsia="宋体" w:cs="Times New Roman"/>
                <w:color w:val="auto"/>
                <w:kern w:val="0"/>
                <w:sz w:val="20"/>
                <w:szCs w:val="22"/>
                <w:lang w:val="en-US" w:eastAsia="zh-CN"/>
              </w:rPr>
              <w:t>185700</w:t>
            </w:r>
          </w:p>
        </w:tc>
        <w:tc>
          <w:tcPr>
            <w:tcW w:w="353"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eastAsia="宋体" w:cs="Times New Roman"/>
                <w:color w:val="auto"/>
                <w:kern w:val="0"/>
                <w:sz w:val="20"/>
                <w:szCs w:val="22"/>
              </w:rPr>
            </w:pPr>
            <w:r>
              <w:rPr>
                <w:rFonts w:hint="default" w:ascii="Times New Roman" w:hAnsi="Times New Roman" w:eastAsia="宋体" w:cs="Times New Roman"/>
                <w:color w:val="auto"/>
                <w:kern w:val="0"/>
                <w:sz w:val="20"/>
                <w:szCs w:val="22"/>
                <w:lang w:val="en-US" w:eastAsia="zh-CN"/>
              </w:rPr>
              <w:t>22000</w:t>
            </w:r>
          </w:p>
        </w:tc>
        <w:tc>
          <w:tcPr>
            <w:tcW w:w="320"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eastAsia="宋体" w:cs="Times New Roman"/>
                <w:color w:val="auto"/>
                <w:kern w:val="0"/>
                <w:sz w:val="20"/>
                <w:szCs w:val="22"/>
              </w:rPr>
            </w:pPr>
            <w:r>
              <w:rPr>
                <w:rFonts w:hint="default" w:ascii="Times New Roman" w:hAnsi="Times New Roman" w:eastAsia="宋体" w:cs="Times New Roman"/>
                <w:color w:val="auto"/>
                <w:kern w:val="0"/>
                <w:sz w:val="20"/>
                <w:szCs w:val="22"/>
                <w:lang w:val="en-US" w:eastAsia="zh-CN"/>
              </w:rPr>
              <w:t>79000</w:t>
            </w:r>
          </w:p>
        </w:tc>
        <w:tc>
          <w:tcPr>
            <w:tcW w:w="362"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eastAsia="宋体" w:cs="Times New Roman"/>
                <w:color w:val="auto"/>
                <w:kern w:val="0"/>
                <w:sz w:val="20"/>
                <w:szCs w:val="22"/>
              </w:rPr>
            </w:pPr>
            <w:r>
              <w:rPr>
                <w:rFonts w:hint="default" w:ascii="Times New Roman" w:hAnsi="Times New Roman" w:eastAsia="宋体" w:cs="Times New Roman"/>
                <w:color w:val="auto"/>
                <w:kern w:val="0"/>
                <w:sz w:val="20"/>
                <w:szCs w:val="22"/>
                <w:lang w:val="en-US" w:eastAsia="zh-CN"/>
              </w:rPr>
              <w:t>316000</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3" w:hRule="atLeast"/>
          <w:jc w:val="center"/>
        </w:trPr>
        <w:tc>
          <w:tcPr>
            <w:tcW w:w="138" w:type="pct"/>
            <w:shd w:val="clear" w:color="auto" w:fill="auto"/>
            <w:vAlign w:val="center"/>
          </w:tcPr>
          <w:p>
            <w:pPr>
              <w:widowControl/>
              <w:jc w:val="center"/>
              <w:rPr>
                <w:rFonts w:hint="default" w:ascii="Times New Roman" w:hAnsi="Times New Roman" w:eastAsia="宋体" w:cs="Times New Roman"/>
                <w:color w:val="auto"/>
                <w:kern w:val="0"/>
                <w:sz w:val="20"/>
                <w:szCs w:val="22"/>
                <w:lang w:eastAsia="zh-CN"/>
              </w:rPr>
            </w:pPr>
            <w:r>
              <w:rPr>
                <w:rFonts w:hint="default" w:ascii="Times New Roman" w:hAnsi="Times New Roman" w:cs="Times New Roman"/>
                <w:color w:val="auto"/>
                <w:kern w:val="0"/>
                <w:sz w:val="20"/>
                <w:szCs w:val="22"/>
                <w:lang w:val="en-US" w:eastAsia="zh-CN"/>
              </w:rPr>
              <w:t>6</w:t>
            </w:r>
          </w:p>
        </w:tc>
        <w:tc>
          <w:tcPr>
            <w:tcW w:w="204"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南片区供水替代工程</w:t>
            </w:r>
          </w:p>
        </w:tc>
        <w:tc>
          <w:tcPr>
            <w:tcW w:w="196" w:type="pct"/>
            <w:vMerge w:val="restar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水资源保护与利用类</w:t>
            </w:r>
          </w:p>
        </w:tc>
        <w:tc>
          <w:tcPr>
            <w:tcW w:w="1677"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完成路居干管、江川支管建设，龙泉园区水厂和路居水厂建设及配套管网建设。</w:t>
            </w:r>
          </w:p>
        </w:tc>
        <w:tc>
          <w:tcPr>
            <w:tcW w:w="40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2021-2025</w:t>
            </w:r>
          </w:p>
        </w:tc>
        <w:tc>
          <w:tcPr>
            <w:tcW w:w="33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4200</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12000</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11000</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3697.31</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w:t>
            </w:r>
          </w:p>
        </w:tc>
        <w:tc>
          <w:tcPr>
            <w:tcW w:w="36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30897.31</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玉溪市抚投公司、玉溪市水利局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38" w:type="pct"/>
            <w:vMerge w:val="restart"/>
            <w:vAlign w:val="center"/>
          </w:tcPr>
          <w:p>
            <w:pPr>
              <w:widowControl/>
              <w:jc w:val="center"/>
              <w:rPr>
                <w:rFonts w:hint="default" w:ascii="Times New Roman" w:hAnsi="Times New Roman" w:eastAsia="宋体" w:cs="Times New Roman"/>
                <w:color w:val="auto"/>
                <w:kern w:val="0"/>
                <w:sz w:val="20"/>
                <w:szCs w:val="22"/>
                <w:lang w:eastAsia="zh-CN"/>
              </w:rPr>
            </w:pPr>
            <w:r>
              <w:rPr>
                <w:rFonts w:hint="default" w:ascii="Times New Roman" w:hAnsi="Times New Roman" w:cs="Times New Roman"/>
                <w:color w:val="auto"/>
                <w:kern w:val="0"/>
                <w:sz w:val="20"/>
                <w:szCs w:val="22"/>
                <w:lang w:val="en-US" w:eastAsia="zh-CN"/>
              </w:rPr>
              <w:t>7</w:t>
            </w:r>
          </w:p>
        </w:tc>
        <w:tc>
          <w:tcPr>
            <w:tcW w:w="204" w:type="pct"/>
            <w:vMerge w:val="restart"/>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澄江市城乡供水一体化工程项目</w:t>
            </w:r>
          </w:p>
        </w:tc>
        <w:tc>
          <w:tcPr>
            <w:tcW w:w="196" w:type="pct"/>
            <w:vMerge w:val="continue"/>
            <w:shd w:val="clear" w:color="auto" w:fill="auto"/>
            <w:vAlign w:val="center"/>
          </w:tcPr>
          <w:p>
            <w:pPr>
              <w:widowControl/>
              <w:jc w:val="center"/>
              <w:rPr>
                <w:rFonts w:hint="default" w:ascii="Times New Roman" w:hAnsi="Times New Roman" w:cs="Times New Roman"/>
                <w:color w:val="auto"/>
                <w:kern w:val="0"/>
                <w:sz w:val="20"/>
                <w:szCs w:val="22"/>
              </w:rPr>
            </w:pPr>
          </w:p>
        </w:tc>
        <w:tc>
          <w:tcPr>
            <w:tcW w:w="1677"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eastAsia="宋体" w:cs="Times New Roman"/>
                <w:color w:val="auto"/>
                <w:kern w:val="0"/>
                <w:sz w:val="20"/>
                <w:szCs w:val="22"/>
                <w:lang w:val="en-US" w:eastAsia="zh-CN"/>
              </w:rPr>
              <w:t>对大湾至立昌线以北片区供水系统完善提升，实现抚仙湖北岸坝区供水一体化。</w:t>
            </w:r>
          </w:p>
        </w:tc>
        <w:tc>
          <w:tcPr>
            <w:tcW w:w="403" w:type="pct"/>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202</w:t>
            </w:r>
            <w:r>
              <w:rPr>
                <w:rFonts w:hint="eastAsia" w:cs="Times New Roman"/>
                <w:color w:val="auto"/>
                <w:kern w:val="0"/>
                <w:sz w:val="20"/>
                <w:szCs w:val="22"/>
                <w:lang w:val="en-US" w:eastAsia="zh-CN"/>
              </w:rPr>
              <w:t>2</w:t>
            </w:r>
            <w:r>
              <w:rPr>
                <w:rFonts w:hint="default" w:ascii="Times New Roman" w:hAnsi="Times New Roman" w:cs="Times New Roman"/>
                <w:color w:val="auto"/>
                <w:kern w:val="0"/>
                <w:sz w:val="20"/>
                <w:szCs w:val="22"/>
              </w:rPr>
              <w:t>-2025</w:t>
            </w:r>
          </w:p>
        </w:tc>
        <w:tc>
          <w:tcPr>
            <w:tcW w:w="332" w:type="pct"/>
            <w:shd w:val="clear" w:color="auto" w:fill="auto"/>
            <w:vAlign w:val="center"/>
          </w:tcPr>
          <w:p>
            <w:pPr>
              <w:widowControl/>
              <w:jc w:val="center"/>
              <w:rPr>
                <w:rFonts w:hint="default" w:ascii="Times New Roman" w:hAnsi="Times New Roman" w:cs="Times New Roman"/>
                <w:color w:val="auto"/>
                <w:kern w:val="0"/>
                <w:sz w:val="20"/>
                <w:szCs w:val="22"/>
              </w:rPr>
            </w:pP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14</w:t>
            </w:r>
            <w:r>
              <w:rPr>
                <w:rFonts w:hint="eastAsia" w:cs="Times New Roman"/>
                <w:color w:val="auto"/>
                <w:kern w:val="0"/>
                <w:sz w:val="20"/>
                <w:szCs w:val="22"/>
                <w:lang w:val="en-US" w:eastAsia="zh-CN"/>
              </w:rPr>
              <w:t>9</w:t>
            </w:r>
            <w:r>
              <w:rPr>
                <w:rFonts w:hint="default" w:ascii="Times New Roman" w:hAnsi="Times New Roman" w:cs="Times New Roman"/>
                <w:color w:val="auto"/>
                <w:kern w:val="0"/>
                <w:sz w:val="20"/>
                <w:szCs w:val="22"/>
              </w:rPr>
              <w:t>00</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10000</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100</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w:t>
            </w:r>
          </w:p>
        </w:tc>
        <w:tc>
          <w:tcPr>
            <w:tcW w:w="36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25000</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澄江市住建局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38" w:type="pct"/>
            <w:vMerge w:val="continue"/>
            <w:vAlign w:val="center"/>
          </w:tcPr>
          <w:p>
            <w:pPr>
              <w:widowControl/>
              <w:jc w:val="center"/>
              <w:rPr>
                <w:rFonts w:hint="default" w:ascii="Times New Roman" w:hAnsi="Times New Roman" w:cs="Times New Roman"/>
                <w:color w:val="auto"/>
                <w:kern w:val="0"/>
                <w:sz w:val="20"/>
                <w:szCs w:val="22"/>
              </w:rPr>
            </w:pPr>
          </w:p>
        </w:tc>
        <w:tc>
          <w:tcPr>
            <w:tcW w:w="204" w:type="pct"/>
            <w:vMerge w:val="continue"/>
            <w:vAlign w:val="center"/>
          </w:tcPr>
          <w:p>
            <w:pPr>
              <w:widowControl/>
              <w:jc w:val="center"/>
              <w:rPr>
                <w:rFonts w:hint="default" w:ascii="Times New Roman" w:hAnsi="Times New Roman" w:cs="Times New Roman"/>
                <w:color w:val="auto"/>
                <w:kern w:val="0"/>
                <w:sz w:val="20"/>
                <w:szCs w:val="22"/>
              </w:rPr>
            </w:pPr>
          </w:p>
        </w:tc>
        <w:tc>
          <w:tcPr>
            <w:tcW w:w="196" w:type="pct"/>
            <w:vMerge w:val="continue"/>
            <w:shd w:val="clear" w:color="auto" w:fill="auto"/>
            <w:vAlign w:val="center"/>
          </w:tcPr>
          <w:p>
            <w:pPr>
              <w:widowControl/>
              <w:jc w:val="center"/>
              <w:rPr>
                <w:rFonts w:hint="default" w:ascii="Times New Roman" w:hAnsi="Times New Roman" w:cs="Times New Roman"/>
                <w:color w:val="auto"/>
                <w:kern w:val="0"/>
                <w:sz w:val="20"/>
                <w:szCs w:val="22"/>
              </w:rPr>
            </w:pPr>
          </w:p>
        </w:tc>
        <w:tc>
          <w:tcPr>
            <w:tcW w:w="1677"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eastAsia="宋体" w:cs="Times New Roman"/>
                <w:color w:val="auto"/>
                <w:kern w:val="0"/>
                <w:sz w:val="20"/>
                <w:szCs w:val="22"/>
                <w:lang w:val="en-US" w:eastAsia="zh-CN"/>
              </w:rPr>
              <w:t>实施农村供水保障专项行动。完善供水主管网至各村落之间的支管网建设，并对水源不稳定村组实现正常供水。</w:t>
            </w:r>
          </w:p>
        </w:tc>
        <w:tc>
          <w:tcPr>
            <w:tcW w:w="403" w:type="pct"/>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202</w:t>
            </w:r>
            <w:r>
              <w:rPr>
                <w:rFonts w:hint="eastAsia" w:cs="Times New Roman"/>
                <w:color w:val="auto"/>
                <w:kern w:val="0"/>
                <w:sz w:val="20"/>
                <w:szCs w:val="22"/>
                <w:lang w:val="en-US" w:eastAsia="zh-CN"/>
              </w:rPr>
              <w:t>2</w:t>
            </w:r>
            <w:r>
              <w:rPr>
                <w:rFonts w:hint="default" w:ascii="Times New Roman" w:hAnsi="Times New Roman" w:cs="Times New Roman"/>
                <w:color w:val="auto"/>
                <w:kern w:val="0"/>
                <w:sz w:val="20"/>
                <w:szCs w:val="22"/>
              </w:rPr>
              <w:t>-2025</w:t>
            </w:r>
          </w:p>
        </w:tc>
        <w:tc>
          <w:tcPr>
            <w:tcW w:w="332" w:type="pct"/>
            <w:shd w:val="clear" w:color="auto" w:fill="auto"/>
            <w:vAlign w:val="center"/>
          </w:tcPr>
          <w:p>
            <w:pPr>
              <w:widowControl/>
              <w:jc w:val="center"/>
              <w:rPr>
                <w:rFonts w:hint="default" w:ascii="Times New Roman" w:hAnsi="Times New Roman" w:cs="Times New Roman"/>
                <w:color w:val="auto"/>
                <w:kern w:val="0"/>
                <w:sz w:val="20"/>
                <w:szCs w:val="22"/>
              </w:rPr>
            </w:pPr>
          </w:p>
        </w:tc>
        <w:tc>
          <w:tcPr>
            <w:tcW w:w="320"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2000</w:t>
            </w:r>
          </w:p>
        </w:tc>
        <w:tc>
          <w:tcPr>
            <w:tcW w:w="35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4300</w:t>
            </w:r>
          </w:p>
        </w:tc>
        <w:tc>
          <w:tcPr>
            <w:tcW w:w="35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2000</w:t>
            </w:r>
          </w:p>
        </w:tc>
        <w:tc>
          <w:tcPr>
            <w:tcW w:w="320" w:type="pct"/>
            <w:shd w:val="clear" w:color="auto" w:fill="auto"/>
            <w:vAlign w:val="center"/>
          </w:tcPr>
          <w:p>
            <w:pPr>
              <w:widowControl/>
              <w:jc w:val="center"/>
              <w:rPr>
                <w:rFonts w:hint="default" w:ascii="Times New Roman" w:hAnsi="Times New Roman" w:cs="Times New Roman"/>
                <w:color w:val="auto"/>
                <w:lang w:val="en-US" w:eastAsia="zh-CN"/>
              </w:rPr>
            </w:pPr>
          </w:p>
        </w:tc>
        <w:tc>
          <w:tcPr>
            <w:tcW w:w="362"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8300</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澄江市水利局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38" w:type="pct"/>
            <w:vAlign w:val="center"/>
          </w:tcPr>
          <w:p>
            <w:pPr>
              <w:widowControl/>
              <w:jc w:val="center"/>
              <w:rPr>
                <w:rFonts w:hint="default" w:ascii="Times New Roman" w:hAnsi="Times New Roman" w:eastAsia="宋体" w:cs="Times New Roman"/>
                <w:color w:val="auto"/>
                <w:kern w:val="0"/>
                <w:sz w:val="20"/>
                <w:szCs w:val="22"/>
                <w:lang w:eastAsia="zh-CN"/>
              </w:rPr>
            </w:pPr>
            <w:r>
              <w:rPr>
                <w:rFonts w:hint="default" w:ascii="Times New Roman" w:hAnsi="Times New Roman" w:cs="Times New Roman"/>
                <w:color w:val="auto"/>
                <w:kern w:val="0"/>
                <w:sz w:val="20"/>
                <w:szCs w:val="22"/>
                <w:lang w:val="en-US" w:eastAsia="zh-CN"/>
              </w:rPr>
              <w:t>8</w:t>
            </w:r>
          </w:p>
        </w:tc>
        <w:tc>
          <w:tcPr>
            <w:tcW w:w="204" w:type="pct"/>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抚仙湖北岸初期雨水收集循环利用项目</w:t>
            </w:r>
          </w:p>
        </w:tc>
        <w:tc>
          <w:tcPr>
            <w:tcW w:w="196" w:type="pct"/>
            <w:vMerge w:val="continue"/>
            <w:shd w:val="clear" w:color="auto" w:fill="auto"/>
            <w:vAlign w:val="center"/>
          </w:tcPr>
          <w:p>
            <w:pPr>
              <w:widowControl/>
              <w:jc w:val="center"/>
              <w:rPr>
                <w:rFonts w:hint="default" w:ascii="Times New Roman" w:hAnsi="Times New Roman" w:cs="Times New Roman"/>
                <w:color w:val="auto"/>
                <w:kern w:val="0"/>
                <w:sz w:val="20"/>
                <w:szCs w:val="22"/>
              </w:rPr>
            </w:pPr>
          </w:p>
        </w:tc>
        <w:tc>
          <w:tcPr>
            <w:tcW w:w="1677"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eastAsia="宋体" w:cs="Times New Roman"/>
                <w:color w:val="auto"/>
                <w:kern w:val="0"/>
                <w:sz w:val="20"/>
                <w:szCs w:val="22"/>
                <w:lang w:val="en-US" w:eastAsia="zh-CN"/>
              </w:rPr>
              <w:t>改造提升原有泵站、新建管道，将调蓄带低污染水抽提灌溉回用。东线工程提至浑水塘水库，设计年总提水量541.77万m³，覆盖浑水塘2.07万亩灌面；西线工程提至山冲河水库北灌沟，设计年总提水量54.41万m³，覆盖山冲河水库约0.6万亩灌面。在调蓄带马房村段新增日处理1.5万立方米/天的水质提升设备，对调蓄带不达标水体进行水质提升后回用。</w:t>
            </w:r>
          </w:p>
        </w:tc>
        <w:tc>
          <w:tcPr>
            <w:tcW w:w="403" w:type="pct"/>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2021-2025</w:t>
            </w:r>
          </w:p>
        </w:tc>
        <w:tc>
          <w:tcPr>
            <w:tcW w:w="332"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600</w:t>
            </w:r>
          </w:p>
        </w:tc>
        <w:tc>
          <w:tcPr>
            <w:tcW w:w="320"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3300</w:t>
            </w:r>
          </w:p>
        </w:tc>
        <w:tc>
          <w:tcPr>
            <w:tcW w:w="35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5100</w:t>
            </w:r>
          </w:p>
        </w:tc>
        <w:tc>
          <w:tcPr>
            <w:tcW w:w="35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500</w:t>
            </w:r>
          </w:p>
        </w:tc>
        <w:tc>
          <w:tcPr>
            <w:tcW w:w="320"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500</w:t>
            </w:r>
          </w:p>
        </w:tc>
        <w:tc>
          <w:tcPr>
            <w:tcW w:w="36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1</w:t>
            </w:r>
            <w:r>
              <w:rPr>
                <w:rFonts w:hint="default" w:ascii="Times New Roman" w:hAnsi="Times New Roman" w:cs="Times New Roman"/>
                <w:color w:val="auto"/>
                <w:kern w:val="0"/>
                <w:sz w:val="20"/>
                <w:szCs w:val="22"/>
                <w:lang w:val="en-US" w:eastAsia="zh-CN"/>
              </w:rPr>
              <w:t>00</w:t>
            </w:r>
            <w:r>
              <w:rPr>
                <w:rFonts w:hint="default" w:ascii="Times New Roman" w:hAnsi="Times New Roman" w:cs="Times New Roman"/>
                <w:color w:val="auto"/>
                <w:kern w:val="0"/>
                <w:sz w:val="20"/>
                <w:szCs w:val="22"/>
              </w:rPr>
              <w:t>00</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澄江市水利局</w:t>
            </w:r>
          </w:p>
          <w:p>
            <w:pPr>
              <w:widowControl/>
              <w:jc w:val="center"/>
              <w:rPr>
                <w:rFonts w:hint="default" w:ascii="Times New Roman" w:hAnsi="Times New Roman" w:cs="Times New Roman"/>
                <w:color w:val="auto"/>
                <w:kern w:val="0"/>
                <w:sz w:val="20"/>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216" w:type="pct"/>
            <w:gridSpan w:val="4"/>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rPr>
              <w:t>合计</w:t>
            </w:r>
            <w:r>
              <w:rPr>
                <w:rFonts w:hint="default" w:ascii="Times New Roman" w:hAnsi="Times New Roman" w:cs="Times New Roman"/>
                <w:color w:val="auto"/>
                <w:kern w:val="0"/>
                <w:sz w:val="20"/>
                <w:szCs w:val="22"/>
                <w:lang w:val="en-US" w:eastAsia="zh-CN"/>
              </w:rPr>
              <w:t>3个项目</w:t>
            </w:r>
          </w:p>
        </w:tc>
        <w:tc>
          <w:tcPr>
            <w:tcW w:w="403" w:type="pct"/>
            <w:vAlign w:val="center"/>
          </w:tcPr>
          <w:p>
            <w:pPr>
              <w:widowControl/>
              <w:jc w:val="center"/>
              <w:rPr>
                <w:rFonts w:hint="default" w:ascii="Times New Roman" w:hAnsi="Times New Roman" w:cs="Times New Roman"/>
                <w:color w:val="auto"/>
                <w:kern w:val="0"/>
                <w:sz w:val="20"/>
                <w:szCs w:val="22"/>
              </w:rPr>
            </w:pPr>
          </w:p>
        </w:tc>
        <w:tc>
          <w:tcPr>
            <w:tcW w:w="332"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eastAsia="宋体" w:cs="Times New Roman"/>
                <w:color w:val="auto"/>
                <w:kern w:val="0"/>
                <w:sz w:val="20"/>
                <w:szCs w:val="22"/>
              </w:rPr>
            </w:pPr>
            <w:r>
              <w:rPr>
                <w:rFonts w:hint="default" w:ascii="Times New Roman" w:hAnsi="Times New Roman" w:eastAsia="宋体" w:cs="Times New Roman"/>
                <w:color w:val="auto"/>
                <w:kern w:val="0"/>
                <w:sz w:val="20"/>
                <w:szCs w:val="22"/>
                <w:lang w:val="en-US" w:eastAsia="zh-CN"/>
              </w:rPr>
              <w:t>4900</w:t>
            </w:r>
          </w:p>
        </w:tc>
        <w:tc>
          <w:tcPr>
            <w:tcW w:w="320"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eastAsia="宋体" w:cs="Times New Roman"/>
                <w:color w:val="auto"/>
                <w:kern w:val="0"/>
                <w:sz w:val="20"/>
                <w:szCs w:val="22"/>
              </w:rPr>
            </w:pPr>
            <w:r>
              <w:rPr>
                <w:rFonts w:hint="default" w:ascii="Times New Roman" w:hAnsi="Times New Roman" w:eastAsia="宋体" w:cs="Times New Roman"/>
                <w:color w:val="auto"/>
                <w:kern w:val="0"/>
                <w:sz w:val="20"/>
                <w:szCs w:val="22"/>
                <w:lang w:val="en-US" w:eastAsia="zh-CN"/>
              </w:rPr>
              <w:t>32100</w:t>
            </w:r>
          </w:p>
        </w:tc>
        <w:tc>
          <w:tcPr>
            <w:tcW w:w="353"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eastAsia="宋体" w:cs="Times New Roman"/>
                <w:color w:val="auto"/>
                <w:kern w:val="0"/>
                <w:sz w:val="20"/>
                <w:szCs w:val="22"/>
              </w:rPr>
            </w:pPr>
            <w:r>
              <w:rPr>
                <w:rFonts w:hint="default" w:ascii="Times New Roman" w:hAnsi="Times New Roman" w:eastAsia="宋体" w:cs="Times New Roman"/>
                <w:color w:val="auto"/>
                <w:kern w:val="0"/>
                <w:sz w:val="20"/>
                <w:szCs w:val="22"/>
                <w:lang w:val="en-US" w:eastAsia="zh-CN"/>
              </w:rPr>
              <w:t>30400</w:t>
            </w:r>
          </w:p>
        </w:tc>
        <w:tc>
          <w:tcPr>
            <w:tcW w:w="353"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eastAsia="宋体" w:cs="Times New Roman"/>
                <w:color w:val="auto"/>
                <w:kern w:val="0"/>
                <w:sz w:val="20"/>
                <w:szCs w:val="22"/>
              </w:rPr>
            </w:pPr>
            <w:r>
              <w:rPr>
                <w:rFonts w:hint="default" w:ascii="Times New Roman" w:hAnsi="Times New Roman" w:eastAsia="宋体" w:cs="Times New Roman"/>
                <w:color w:val="auto"/>
                <w:kern w:val="0"/>
                <w:sz w:val="20"/>
                <w:szCs w:val="22"/>
                <w:lang w:val="en-US" w:eastAsia="zh-CN"/>
              </w:rPr>
              <w:t>6297.31</w:t>
            </w:r>
          </w:p>
        </w:tc>
        <w:tc>
          <w:tcPr>
            <w:tcW w:w="320"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eastAsia="宋体" w:cs="Times New Roman"/>
                <w:color w:val="auto"/>
                <w:kern w:val="0"/>
                <w:sz w:val="20"/>
                <w:szCs w:val="22"/>
              </w:rPr>
            </w:pPr>
            <w:r>
              <w:rPr>
                <w:rFonts w:hint="default" w:ascii="Times New Roman" w:hAnsi="Times New Roman" w:eastAsia="宋体" w:cs="Times New Roman"/>
                <w:color w:val="auto"/>
                <w:kern w:val="0"/>
                <w:sz w:val="20"/>
                <w:szCs w:val="22"/>
                <w:lang w:val="en-US" w:eastAsia="zh-CN"/>
              </w:rPr>
              <w:t>500</w:t>
            </w:r>
          </w:p>
        </w:tc>
        <w:tc>
          <w:tcPr>
            <w:tcW w:w="362"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eastAsia="宋体" w:cs="Times New Roman"/>
                <w:color w:val="auto"/>
                <w:kern w:val="0"/>
                <w:sz w:val="20"/>
                <w:szCs w:val="22"/>
              </w:rPr>
            </w:pPr>
            <w:r>
              <w:rPr>
                <w:rFonts w:hint="default" w:ascii="Times New Roman" w:hAnsi="Times New Roman" w:eastAsia="宋体" w:cs="Times New Roman"/>
                <w:color w:val="auto"/>
                <w:kern w:val="0"/>
                <w:sz w:val="20"/>
                <w:szCs w:val="22"/>
                <w:lang w:val="en-US" w:eastAsia="zh-CN"/>
              </w:rPr>
              <w:t>74197.31</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38" w:type="pct"/>
            <w:shd w:val="clear" w:color="auto" w:fill="auto"/>
            <w:vAlign w:val="center"/>
          </w:tcPr>
          <w:p>
            <w:pPr>
              <w:widowControl/>
              <w:jc w:val="center"/>
              <w:rPr>
                <w:rFonts w:hint="default" w:ascii="Times New Roman" w:hAnsi="Times New Roman" w:eastAsia="宋体" w:cs="Times New Roman"/>
                <w:color w:val="auto"/>
                <w:kern w:val="0"/>
                <w:sz w:val="20"/>
                <w:szCs w:val="22"/>
                <w:lang w:eastAsia="zh-CN"/>
              </w:rPr>
            </w:pPr>
            <w:r>
              <w:rPr>
                <w:rFonts w:hint="default" w:ascii="Times New Roman" w:hAnsi="Times New Roman" w:cs="Times New Roman"/>
                <w:color w:val="auto"/>
                <w:kern w:val="0"/>
                <w:sz w:val="20"/>
                <w:szCs w:val="22"/>
                <w:lang w:val="en-US" w:eastAsia="zh-CN"/>
              </w:rPr>
              <w:t>9</w:t>
            </w:r>
          </w:p>
        </w:tc>
        <w:tc>
          <w:tcPr>
            <w:tcW w:w="204"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eastAsia="宋体" w:cs="Times New Roman"/>
                <w:color w:val="auto"/>
                <w:kern w:val="0"/>
                <w:sz w:val="20"/>
                <w:szCs w:val="22"/>
                <w:lang w:val="en-US" w:eastAsia="zh-CN"/>
              </w:rPr>
              <w:t>农业绿色转型升级发展工程</w:t>
            </w:r>
          </w:p>
        </w:tc>
        <w:tc>
          <w:tcPr>
            <w:tcW w:w="196" w:type="pct"/>
            <w:vMerge w:val="restar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水污染防治类</w:t>
            </w:r>
          </w:p>
        </w:tc>
        <w:tc>
          <w:tcPr>
            <w:tcW w:w="1677" w:type="pct"/>
            <w:shd w:val="clear" w:color="auto" w:fill="auto"/>
            <w:vAlign w:val="center"/>
          </w:tcPr>
          <w:p>
            <w:pPr>
              <w:widowControl/>
              <w:jc w:val="left"/>
              <w:rPr>
                <w:rFonts w:hint="default" w:ascii="Times New Roman" w:hAnsi="Times New Roman" w:eastAsia="宋体" w:cs="Times New Roman"/>
                <w:color w:val="auto"/>
                <w:kern w:val="0"/>
                <w:sz w:val="20"/>
                <w:szCs w:val="22"/>
                <w:lang w:val="en-US" w:eastAsia="zh-CN"/>
              </w:rPr>
            </w:pPr>
            <w:r>
              <w:rPr>
                <w:rFonts w:hint="default" w:ascii="Times New Roman" w:hAnsi="Times New Roman" w:eastAsia="宋体" w:cs="Times New Roman"/>
                <w:color w:val="auto"/>
                <w:kern w:val="0"/>
                <w:sz w:val="20"/>
                <w:szCs w:val="22"/>
                <w:lang w:val="en-US" w:eastAsia="zh-CN"/>
              </w:rPr>
              <w:t>巩固坝区5.8万亩土地流转休耕轮作，推进抚仙湖流域农业种植结构调整，强化化肥、农药销售使用及农业灌溉用水管理，实施有机肥替代工程，建设“三化”农业产业园，实施抚仙湖流域畜禽水产养殖全面退出。</w:t>
            </w:r>
          </w:p>
        </w:tc>
        <w:tc>
          <w:tcPr>
            <w:tcW w:w="40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2021—2025</w:t>
            </w:r>
          </w:p>
        </w:tc>
        <w:tc>
          <w:tcPr>
            <w:tcW w:w="332"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10000</w:t>
            </w:r>
          </w:p>
        </w:tc>
        <w:tc>
          <w:tcPr>
            <w:tcW w:w="320"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20000</w:t>
            </w:r>
          </w:p>
        </w:tc>
        <w:tc>
          <w:tcPr>
            <w:tcW w:w="35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rPr>
              <w:t>6000</w:t>
            </w:r>
            <w:r>
              <w:rPr>
                <w:rFonts w:hint="default" w:ascii="Times New Roman" w:hAnsi="Times New Roman" w:cs="Times New Roman"/>
                <w:color w:val="auto"/>
                <w:kern w:val="0"/>
                <w:sz w:val="20"/>
                <w:szCs w:val="22"/>
                <w:lang w:val="en-US" w:eastAsia="zh-CN"/>
              </w:rPr>
              <w:t>0</w:t>
            </w:r>
          </w:p>
        </w:tc>
        <w:tc>
          <w:tcPr>
            <w:tcW w:w="35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rPr>
              <w:t>6000</w:t>
            </w:r>
            <w:r>
              <w:rPr>
                <w:rFonts w:hint="default" w:ascii="Times New Roman" w:hAnsi="Times New Roman" w:cs="Times New Roman"/>
                <w:color w:val="auto"/>
                <w:kern w:val="0"/>
                <w:sz w:val="20"/>
                <w:szCs w:val="22"/>
                <w:lang w:val="en-US" w:eastAsia="zh-CN"/>
              </w:rPr>
              <w:t>0</w:t>
            </w:r>
          </w:p>
        </w:tc>
        <w:tc>
          <w:tcPr>
            <w:tcW w:w="320"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19180</w:t>
            </w:r>
          </w:p>
        </w:tc>
        <w:tc>
          <w:tcPr>
            <w:tcW w:w="362"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169180</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澄江市农业农村局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38"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10</w:t>
            </w:r>
          </w:p>
        </w:tc>
        <w:tc>
          <w:tcPr>
            <w:tcW w:w="204"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eastAsia="宋体" w:cs="Times New Roman"/>
                <w:color w:val="auto"/>
                <w:kern w:val="0"/>
                <w:sz w:val="20"/>
                <w:szCs w:val="22"/>
                <w:lang w:val="en-US" w:eastAsia="zh-CN"/>
              </w:rPr>
              <w:t>高标准农田建设项目</w:t>
            </w:r>
          </w:p>
        </w:tc>
        <w:tc>
          <w:tcPr>
            <w:tcW w:w="196" w:type="pct"/>
            <w:vMerge w:val="continue"/>
            <w:shd w:val="clear" w:color="auto" w:fill="auto"/>
            <w:vAlign w:val="center"/>
          </w:tcPr>
          <w:p>
            <w:pPr>
              <w:widowControl/>
              <w:jc w:val="center"/>
              <w:rPr>
                <w:rFonts w:hint="default" w:ascii="Times New Roman" w:hAnsi="Times New Roman" w:cs="Times New Roman"/>
                <w:color w:val="auto"/>
                <w:kern w:val="0"/>
                <w:sz w:val="20"/>
                <w:szCs w:val="22"/>
              </w:rPr>
            </w:pPr>
          </w:p>
        </w:tc>
        <w:tc>
          <w:tcPr>
            <w:tcW w:w="1677" w:type="pct"/>
            <w:shd w:val="clear" w:color="auto" w:fill="auto"/>
            <w:vAlign w:val="center"/>
          </w:tcPr>
          <w:p>
            <w:pPr>
              <w:widowControl/>
              <w:jc w:val="left"/>
              <w:rPr>
                <w:rFonts w:hint="default" w:ascii="Times New Roman" w:hAnsi="Times New Roman" w:eastAsia="宋体" w:cs="Times New Roman"/>
                <w:color w:val="auto"/>
                <w:kern w:val="0"/>
                <w:sz w:val="20"/>
                <w:szCs w:val="22"/>
                <w:lang w:val="en-US" w:eastAsia="zh-CN"/>
              </w:rPr>
            </w:pPr>
            <w:r>
              <w:rPr>
                <w:rFonts w:hint="default" w:ascii="Times New Roman" w:hAnsi="Times New Roman" w:eastAsia="宋体" w:cs="Times New Roman"/>
                <w:color w:val="auto"/>
                <w:kern w:val="0"/>
                <w:sz w:val="20"/>
                <w:szCs w:val="22"/>
                <w:lang w:val="en-US" w:eastAsia="zh-CN"/>
              </w:rPr>
              <w:t>完成高标准农田12.71万亩以上，比重达65%以上；完善农田灌排体系，配套高效节水灌溉设施。</w:t>
            </w:r>
          </w:p>
        </w:tc>
        <w:tc>
          <w:tcPr>
            <w:tcW w:w="40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bidi="ar-SA"/>
              </w:rPr>
            </w:pPr>
            <w:r>
              <w:rPr>
                <w:rFonts w:hint="default" w:ascii="Times New Roman" w:hAnsi="Times New Roman" w:cs="Times New Roman"/>
                <w:color w:val="auto"/>
                <w:kern w:val="0"/>
                <w:sz w:val="20"/>
                <w:szCs w:val="22"/>
              </w:rPr>
              <w:t>2021—2025</w:t>
            </w:r>
          </w:p>
        </w:tc>
        <w:tc>
          <w:tcPr>
            <w:tcW w:w="332" w:type="pct"/>
            <w:shd w:val="clear" w:color="auto" w:fill="auto"/>
            <w:vAlign w:val="center"/>
          </w:tcPr>
          <w:p>
            <w:pPr>
              <w:widowControl/>
              <w:jc w:val="center"/>
              <w:rPr>
                <w:rFonts w:hint="default" w:ascii="Times New Roman" w:hAnsi="Times New Roman" w:cs="Times New Roman"/>
                <w:color w:val="auto"/>
                <w:kern w:val="0"/>
                <w:sz w:val="20"/>
                <w:szCs w:val="22"/>
              </w:rPr>
            </w:pPr>
          </w:p>
        </w:tc>
        <w:tc>
          <w:tcPr>
            <w:tcW w:w="320"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2000</w:t>
            </w:r>
          </w:p>
        </w:tc>
        <w:tc>
          <w:tcPr>
            <w:tcW w:w="35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2000</w:t>
            </w:r>
          </w:p>
        </w:tc>
        <w:tc>
          <w:tcPr>
            <w:tcW w:w="35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1600</w:t>
            </w:r>
          </w:p>
        </w:tc>
        <w:tc>
          <w:tcPr>
            <w:tcW w:w="320"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130</w:t>
            </w:r>
          </w:p>
        </w:tc>
        <w:tc>
          <w:tcPr>
            <w:tcW w:w="362"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5730</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eastAsia="zh-CN"/>
              </w:rPr>
              <w:t>澄江</w:t>
            </w:r>
            <w:r>
              <w:rPr>
                <w:rFonts w:hint="default" w:ascii="Times New Roman" w:hAnsi="Times New Roman" w:cs="Times New Roman"/>
                <w:color w:val="auto"/>
                <w:kern w:val="0"/>
                <w:sz w:val="20"/>
                <w:szCs w:val="22"/>
              </w:rPr>
              <w:t>市农业农村局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36" w:hRule="atLeast"/>
          <w:jc w:val="center"/>
        </w:trPr>
        <w:tc>
          <w:tcPr>
            <w:tcW w:w="138" w:type="pct"/>
            <w:shd w:val="clear" w:color="auto" w:fill="auto"/>
            <w:vAlign w:val="center"/>
          </w:tcPr>
          <w:p>
            <w:pPr>
              <w:widowControl/>
              <w:jc w:val="center"/>
              <w:rPr>
                <w:rFonts w:hint="default" w:ascii="Times New Roman" w:hAnsi="Times New Roman" w:eastAsia="宋体" w:cs="Times New Roman"/>
                <w:color w:val="auto"/>
                <w:kern w:val="0"/>
                <w:sz w:val="20"/>
                <w:szCs w:val="22"/>
                <w:lang w:eastAsia="zh-CN"/>
              </w:rPr>
            </w:pPr>
            <w:r>
              <w:rPr>
                <w:rFonts w:hint="default" w:ascii="Times New Roman" w:hAnsi="Times New Roman" w:cs="Times New Roman"/>
                <w:color w:val="auto"/>
                <w:kern w:val="0"/>
                <w:sz w:val="20"/>
                <w:szCs w:val="22"/>
              </w:rPr>
              <w:t>1</w:t>
            </w:r>
            <w:r>
              <w:rPr>
                <w:rFonts w:hint="default" w:ascii="Times New Roman" w:hAnsi="Times New Roman" w:cs="Times New Roman"/>
                <w:color w:val="auto"/>
                <w:kern w:val="0"/>
                <w:sz w:val="20"/>
                <w:szCs w:val="22"/>
                <w:lang w:val="en-US" w:eastAsia="zh-CN"/>
              </w:rPr>
              <w:t>1</w:t>
            </w:r>
          </w:p>
        </w:tc>
        <w:tc>
          <w:tcPr>
            <w:tcW w:w="204"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澄江市抚仙湖全流域截污治污项目</w:t>
            </w:r>
          </w:p>
        </w:tc>
        <w:tc>
          <w:tcPr>
            <w:tcW w:w="196" w:type="pct"/>
            <w:vMerge w:val="continue"/>
            <w:shd w:val="clear" w:color="auto" w:fill="auto"/>
            <w:vAlign w:val="center"/>
          </w:tcPr>
          <w:p>
            <w:pPr>
              <w:widowControl/>
              <w:jc w:val="center"/>
              <w:rPr>
                <w:rFonts w:hint="default" w:ascii="Times New Roman" w:hAnsi="Times New Roman" w:cs="Times New Roman"/>
                <w:color w:val="auto"/>
                <w:kern w:val="0"/>
                <w:sz w:val="20"/>
                <w:szCs w:val="22"/>
              </w:rPr>
            </w:pPr>
          </w:p>
        </w:tc>
        <w:tc>
          <w:tcPr>
            <w:tcW w:w="1677" w:type="pct"/>
            <w:shd w:val="clear" w:color="auto" w:fill="auto"/>
            <w:vAlign w:val="center"/>
          </w:tcPr>
          <w:p>
            <w:pPr>
              <w:widowControl/>
              <w:jc w:val="left"/>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对全域6个镇（街道）、47个行政村（社区）、414个村（居）民小组污水收集管网系统进行完善提升，实现污水全收集、全处理。</w:t>
            </w:r>
          </w:p>
        </w:tc>
        <w:tc>
          <w:tcPr>
            <w:tcW w:w="40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2021—2025</w:t>
            </w:r>
          </w:p>
        </w:tc>
        <w:tc>
          <w:tcPr>
            <w:tcW w:w="33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10</w:t>
            </w:r>
            <w:r>
              <w:rPr>
                <w:rFonts w:hint="default" w:ascii="Times New Roman" w:hAnsi="Times New Roman" w:cs="Times New Roman"/>
                <w:color w:val="auto"/>
                <w:kern w:val="0"/>
                <w:sz w:val="20"/>
                <w:szCs w:val="22"/>
              </w:rPr>
              <w:t>000</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1</w:t>
            </w:r>
            <w:r>
              <w:rPr>
                <w:rFonts w:hint="default" w:ascii="Times New Roman" w:hAnsi="Times New Roman" w:cs="Times New Roman"/>
                <w:color w:val="auto"/>
                <w:kern w:val="0"/>
                <w:sz w:val="20"/>
                <w:szCs w:val="22"/>
                <w:lang w:val="en-US" w:eastAsia="zh-CN"/>
              </w:rPr>
              <w:t>8</w:t>
            </w:r>
            <w:r>
              <w:rPr>
                <w:rFonts w:hint="default" w:ascii="Times New Roman" w:hAnsi="Times New Roman" w:cs="Times New Roman"/>
                <w:color w:val="auto"/>
                <w:kern w:val="0"/>
                <w:sz w:val="20"/>
                <w:szCs w:val="22"/>
              </w:rPr>
              <w:t>000</w:t>
            </w:r>
          </w:p>
        </w:tc>
        <w:tc>
          <w:tcPr>
            <w:tcW w:w="35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10000</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w:t>
            </w:r>
          </w:p>
        </w:tc>
        <w:tc>
          <w:tcPr>
            <w:tcW w:w="36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38000</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澄江市住建局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8" w:hRule="atLeast"/>
          <w:jc w:val="center"/>
        </w:trPr>
        <w:tc>
          <w:tcPr>
            <w:tcW w:w="138" w:type="pct"/>
            <w:shd w:val="clear" w:color="auto" w:fill="auto"/>
            <w:vAlign w:val="center"/>
          </w:tcPr>
          <w:p>
            <w:pPr>
              <w:widowControl/>
              <w:jc w:val="center"/>
              <w:rPr>
                <w:rFonts w:hint="default" w:ascii="Times New Roman" w:hAnsi="Times New Roman" w:eastAsia="宋体" w:cs="Times New Roman"/>
                <w:color w:val="auto"/>
                <w:kern w:val="0"/>
                <w:sz w:val="20"/>
                <w:szCs w:val="22"/>
                <w:lang w:eastAsia="zh-CN"/>
              </w:rPr>
            </w:pPr>
            <w:r>
              <w:rPr>
                <w:rFonts w:hint="default" w:ascii="Times New Roman" w:hAnsi="Times New Roman" w:cs="Times New Roman"/>
                <w:color w:val="auto"/>
                <w:kern w:val="0"/>
                <w:sz w:val="20"/>
                <w:szCs w:val="22"/>
              </w:rPr>
              <w:t>1</w:t>
            </w:r>
            <w:r>
              <w:rPr>
                <w:rFonts w:hint="default" w:ascii="Times New Roman" w:hAnsi="Times New Roman" w:cs="Times New Roman"/>
                <w:color w:val="auto"/>
                <w:kern w:val="0"/>
                <w:sz w:val="20"/>
                <w:szCs w:val="22"/>
                <w:lang w:val="en-US" w:eastAsia="zh-CN"/>
              </w:rPr>
              <w:t>2</w:t>
            </w:r>
          </w:p>
        </w:tc>
        <w:tc>
          <w:tcPr>
            <w:tcW w:w="204"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澄江市污水处理厂技术改造项目</w:t>
            </w:r>
          </w:p>
        </w:tc>
        <w:tc>
          <w:tcPr>
            <w:tcW w:w="196" w:type="pct"/>
            <w:vMerge w:val="continue"/>
            <w:shd w:val="clear" w:color="auto" w:fill="auto"/>
            <w:vAlign w:val="center"/>
          </w:tcPr>
          <w:p>
            <w:pPr>
              <w:widowControl/>
              <w:jc w:val="center"/>
              <w:rPr>
                <w:rFonts w:hint="default" w:ascii="Times New Roman" w:hAnsi="Times New Roman" w:cs="Times New Roman"/>
                <w:color w:val="auto"/>
                <w:kern w:val="0"/>
                <w:sz w:val="20"/>
                <w:szCs w:val="22"/>
              </w:rPr>
            </w:pPr>
          </w:p>
        </w:tc>
        <w:tc>
          <w:tcPr>
            <w:tcW w:w="1677" w:type="pct"/>
            <w:shd w:val="clear" w:color="auto" w:fill="auto"/>
            <w:vAlign w:val="center"/>
          </w:tcPr>
          <w:p>
            <w:pPr>
              <w:widowControl/>
              <w:jc w:val="left"/>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对澄江市第一污水处理厂技术改造，更换运行不良和达到使用年限的老旧设备，将现有的ICEAS工艺改造成A</w:t>
            </w:r>
            <w:r>
              <w:rPr>
                <w:rFonts w:hint="default" w:ascii="Times New Roman" w:hAnsi="Times New Roman" w:cs="Times New Roman"/>
                <w:color w:val="auto"/>
                <w:kern w:val="0"/>
                <w:sz w:val="20"/>
                <w:szCs w:val="22"/>
                <w:vertAlign w:val="subscript"/>
              </w:rPr>
              <w:t>2</w:t>
            </w:r>
            <w:r>
              <w:rPr>
                <w:rFonts w:hint="default" w:ascii="Times New Roman" w:hAnsi="Times New Roman" w:cs="Times New Roman"/>
                <w:color w:val="auto"/>
                <w:kern w:val="0"/>
                <w:sz w:val="20"/>
                <w:szCs w:val="22"/>
              </w:rPr>
              <w:t>/O工艺，改扩建污水处理车间，重新设置自控系统；对路居污水处理厂进行扩容，将目前1500m³/天处理量提升至3000m³/天处理量，并将出水标准提升至准Ⅲ类。</w:t>
            </w:r>
          </w:p>
        </w:tc>
        <w:tc>
          <w:tcPr>
            <w:tcW w:w="403" w:type="pct"/>
            <w:shd w:val="clear" w:color="auto" w:fill="auto"/>
            <w:vAlign w:val="center"/>
          </w:tcPr>
          <w:p>
            <w:pPr>
              <w:widowControl/>
              <w:jc w:val="center"/>
              <w:rPr>
                <w:rFonts w:hint="default" w:ascii="Times New Roman" w:hAnsi="Times New Roman" w:eastAsia="宋体" w:cs="Times New Roman"/>
                <w:color w:val="auto"/>
                <w:kern w:val="0"/>
                <w:sz w:val="20"/>
                <w:szCs w:val="22"/>
                <w:lang w:eastAsia="zh-CN"/>
              </w:rPr>
            </w:pPr>
            <w:r>
              <w:rPr>
                <w:rFonts w:hint="default" w:ascii="Times New Roman" w:hAnsi="Times New Roman" w:cs="Times New Roman"/>
                <w:color w:val="auto"/>
                <w:kern w:val="0"/>
                <w:sz w:val="20"/>
                <w:szCs w:val="22"/>
              </w:rPr>
              <w:t>202</w:t>
            </w:r>
            <w:r>
              <w:rPr>
                <w:rFonts w:hint="default" w:ascii="Times New Roman" w:hAnsi="Times New Roman" w:cs="Times New Roman"/>
                <w:color w:val="auto"/>
                <w:kern w:val="0"/>
                <w:sz w:val="20"/>
                <w:szCs w:val="22"/>
                <w:lang w:val="en-US" w:eastAsia="zh-CN"/>
              </w:rPr>
              <w:t>2</w:t>
            </w:r>
            <w:r>
              <w:rPr>
                <w:rFonts w:hint="default" w:ascii="Times New Roman" w:hAnsi="Times New Roman" w:cs="Times New Roman"/>
                <w:color w:val="auto"/>
                <w:kern w:val="0"/>
                <w:sz w:val="20"/>
                <w:szCs w:val="22"/>
              </w:rPr>
              <w:t>—202</w:t>
            </w:r>
            <w:r>
              <w:rPr>
                <w:rFonts w:hint="default" w:ascii="Times New Roman" w:hAnsi="Times New Roman" w:cs="Times New Roman"/>
                <w:color w:val="auto"/>
                <w:kern w:val="0"/>
                <w:sz w:val="20"/>
                <w:szCs w:val="22"/>
                <w:lang w:val="en-US" w:eastAsia="zh-CN"/>
              </w:rPr>
              <w:t>3</w:t>
            </w:r>
          </w:p>
        </w:tc>
        <w:tc>
          <w:tcPr>
            <w:tcW w:w="332" w:type="pct"/>
            <w:shd w:val="clear" w:color="auto" w:fill="auto"/>
            <w:vAlign w:val="center"/>
          </w:tcPr>
          <w:p>
            <w:pPr>
              <w:widowControl/>
              <w:jc w:val="center"/>
              <w:rPr>
                <w:rFonts w:hint="default" w:ascii="Times New Roman" w:hAnsi="Times New Roman" w:cs="Times New Roman"/>
                <w:color w:val="auto"/>
                <w:kern w:val="0"/>
                <w:sz w:val="20"/>
                <w:szCs w:val="22"/>
              </w:rPr>
            </w:pPr>
          </w:p>
        </w:tc>
        <w:tc>
          <w:tcPr>
            <w:tcW w:w="320"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4800</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p>
        </w:tc>
        <w:tc>
          <w:tcPr>
            <w:tcW w:w="362"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4800</w:t>
            </w:r>
          </w:p>
        </w:tc>
        <w:tc>
          <w:tcPr>
            <w:tcW w:w="336"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澄江市住建局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38" w:type="pct"/>
            <w:shd w:val="clear" w:color="auto" w:fill="auto"/>
            <w:vAlign w:val="center"/>
          </w:tcPr>
          <w:p>
            <w:pPr>
              <w:widowControl/>
              <w:jc w:val="center"/>
              <w:rPr>
                <w:rFonts w:hint="default" w:ascii="Times New Roman" w:hAnsi="Times New Roman" w:eastAsia="宋体" w:cs="Times New Roman"/>
                <w:color w:val="auto"/>
                <w:kern w:val="0"/>
                <w:sz w:val="20"/>
                <w:szCs w:val="22"/>
                <w:lang w:eastAsia="zh-CN"/>
              </w:rPr>
            </w:pPr>
            <w:r>
              <w:rPr>
                <w:rFonts w:hint="default" w:ascii="Times New Roman" w:hAnsi="Times New Roman" w:cs="Times New Roman"/>
                <w:color w:val="auto"/>
                <w:kern w:val="0"/>
                <w:sz w:val="20"/>
                <w:szCs w:val="22"/>
              </w:rPr>
              <w:t>1</w:t>
            </w:r>
            <w:r>
              <w:rPr>
                <w:rFonts w:hint="default" w:ascii="Times New Roman" w:hAnsi="Times New Roman" w:cs="Times New Roman"/>
                <w:color w:val="auto"/>
                <w:kern w:val="0"/>
                <w:sz w:val="20"/>
                <w:szCs w:val="22"/>
                <w:lang w:val="en-US" w:eastAsia="zh-CN"/>
              </w:rPr>
              <w:t>3</w:t>
            </w:r>
          </w:p>
        </w:tc>
        <w:tc>
          <w:tcPr>
            <w:tcW w:w="204"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澄江市生活垃圾治理项目</w:t>
            </w:r>
          </w:p>
        </w:tc>
        <w:tc>
          <w:tcPr>
            <w:tcW w:w="196" w:type="pct"/>
            <w:vMerge w:val="continue"/>
            <w:shd w:val="clear" w:color="auto" w:fill="auto"/>
            <w:vAlign w:val="center"/>
          </w:tcPr>
          <w:p>
            <w:pPr>
              <w:widowControl/>
              <w:jc w:val="center"/>
              <w:rPr>
                <w:rFonts w:hint="default" w:ascii="Times New Roman" w:hAnsi="Times New Roman" w:cs="Times New Roman"/>
                <w:color w:val="auto"/>
                <w:kern w:val="0"/>
                <w:sz w:val="20"/>
                <w:szCs w:val="22"/>
              </w:rPr>
            </w:pPr>
          </w:p>
        </w:tc>
        <w:tc>
          <w:tcPr>
            <w:tcW w:w="1677"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1.持续推进全域垃圾分级分类分拣。2.分期实施大山、小马沟、冷阴箐三座填埋场封厂处置。3.对餐厨潲水、泔水进行收集，同步配套建设厨余垃圾处理设施。</w:t>
            </w:r>
          </w:p>
        </w:tc>
        <w:tc>
          <w:tcPr>
            <w:tcW w:w="40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202</w:t>
            </w:r>
            <w:r>
              <w:rPr>
                <w:rFonts w:hint="eastAsia" w:cs="Times New Roman"/>
                <w:color w:val="auto"/>
                <w:kern w:val="0"/>
                <w:sz w:val="20"/>
                <w:szCs w:val="22"/>
                <w:lang w:val="en-US" w:eastAsia="zh-CN"/>
              </w:rPr>
              <w:t>2</w:t>
            </w:r>
            <w:r>
              <w:rPr>
                <w:rFonts w:hint="default" w:ascii="Times New Roman" w:hAnsi="Times New Roman" w:cs="Times New Roman"/>
                <w:color w:val="auto"/>
                <w:kern w:val="0"/>
                <w:sz w:val="20"/>
                <w:szCs w:val="22"/>
              </w:rPr>
              <w:t>—2025</w:t>
            </w:r>
          </w:p>
        </w:tc>
        <w:tc>
          <w:tcPr>
            <w:tcW w:w="332" w:type="pct"/>
            <w:shd w:val="clear" w:color="auto" w:fill="auto"/>
            <w:vAlign w:val="center"/>
          </w:tcPr>
          <w:p>
            <w:pPr>
              <w:widowControl/>
              <w:jc w:val="center"/>
              <w:rPr>
                <w:rFonts w:hint="default" w:ascii="Times New Roman" w:hAnsi="Times New Roman" w:cs="Times New Roman"/>
                <w:color w:val="auto"/>
                <w:kern w:val="0"/>
                <w:sz w:val="20"/>
                <w:szCs w:val="22"/>
              </w:rPr>
            </w:pPr>
          </w:p>
        </w:tc>
        <w:tc>
          <w:tcPr>
            <w:tcW w:w="320"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1350</w:t>
            </w:r>
          </w:p>
        </w:tc>
        <w:tc>
          <w:tcPr>
            <w:tcW w:w="35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10000</w:t>
            </w:r>
          </w:p>
        </w:tc>
        <w:tc>
          <w:tcPr>
            <w:tcW w:w="35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10000</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p>
        </w:tc>
        <w:tc>
          <w:tcPr>
            <w:tcW w:w="362"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21350</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澄江市住建局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216" w:type="pct"/>
            <w:gridSpan w:val="4"/>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rPr>
              <w:t>合计</w:t>
            </w:r>
            <w:r>
              <w:rPr>
                <w:rFonts w:hint="default" w:ascii="Times New Roman" w:hAnsi="Times New Roman" w:cs="Times New Roman"/>
                <w:color w:val="auto"/>
                <w:kern w:val="0"/>
                <w:sz w:val="20"/>
                <w:szCs w:val="22"/>
                <w:lang w:val="en-US" w:eastAsia="zh-CN"/>
              </w:rPr>
              <w:t>5个项目</w:t>
            </w:r>
          </w:p>
        </w:tc>
        <w:tc>
          <w:tcPr>
            <w:tcW w:w="403" w:type="pct"/>
            <w:shd w:val="clear" w:color="auto" w:fill="auto"/>
            <w:vAlign w:val="center"/>
          </w:tcPr>
          <w:p>
            <w:pPr>
              <w:widowControl/>
              <w:jc w:val="center"/>
              <w:rPr>
                <w:rFonts w:hint="default" w:ascii="Times New Roman" w:hAnsi="Times New Roman" w:cs="Times New Roman"/>
                <w:color w:val="auto"/>
                <w:kern w:val="0"/>
                <w:sz w:val="20"/>
                <w:szCs w:val="22"/>
              </w:rPr>
            </w:pPr>
          </w:p>
        </w:tc>
        <w:tc>
          <w:tcPr>
            <w:tcW w:w="1000" w:type="dxa"/>
            <w:shd w:val="clear" w:color="auto" w:fill="auto"/>
            <w:vAlign w:val="center"/>
          </w:tcPr>
          <w:p>
            <w:pPr>
              <w:widowControl/>
              <w:jc w:val="center"/>
              <w:rPr>
                <w:rFonts w:hint="default" w:ascii="Times New Roman" w:hAnsi="Times New Roman"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20000</w:t>
            </w:r>
          </w:p>
        </w:tc>
        <w:tc>
          <w:tcPr>
            <w:tcW w:w="966" w:type="dxa"/>
            <w:shd w:val="clear" w:color="auto" w:fill="auto"/>
            <w:vAlign w:val="center"/>
          </w:tcPr>
          <w:p>
            <w:pPr>
              <w:widowControl/>
              <w:jc w:val="center"/>
              <w:rPr>
                <w:rFonts w:hint="default" w:ascii="Times New Roman" w:hAnsi="Times New Roman"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46150</w:t>
            </w:r>
          </w:p>
        </w:tc>
        <w:tc>
          <w:tcPr>
            <w:tcW w:w="1064" w:type="dxa"/>
            <w:shd w:val="clear" w:color="auto" w:fill="auto"/>
            <w:vAlign w:val="center"/>
          </w:tcPr>
          <w:p>
            <w:pPr>
              <w:widowControl/>
              <w:jc w:val="center"/>
              <w:rPr>
                <w:rFonts w:hint="default" w:ascii="Times New Roman" w:hAnsi="Times New Roman"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82000</w:t>
            </w:r>
          </w:p>
        </w:tc>
        <w:tc>
          <w:tcPr>
            <w:tcW w:w="1066" w:type="dxa"/>
            <w:shd w:val="clear" w:color="auto" w:fill="auto"/>
            <w:vAlign w:val="center"/>
          </w:tcPr>
          <w:p>
            <w:pPr>
              <w:widowControl/>
              <w:jc w:val="center"/>
              <w:rPr>
                <w:rFonts w:hint="default" w:ascii="Times New Roman" w:hAnsi="Times New Roman"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71600</w:t>
            </w:r>
          </w:p>
        </w:tc>
        <w:tc>
          <w:tcPr>
            <w:tcW w:w="966" w:type="dxa"/>
            <w:shd w:val="clear" w:color="auto" w:fill="auto"/>
            <w:vAlign w:val="center"/>
          </w:tcPr>
          <w:p>
            <w:pPr>
              <w:widowControl/>
              <w:jc w:val="center"/>
              <w:rPr>
                <w:rFonts w:hint="default" w:ascii="Times New Roman" w:hAnsi="Times New Roman"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19310</w:t>
            </w:r>
          </w:p>
        </w:tc>
        <w:tc>
          <w:tcPr>
            <w:tcW w:w="1100" w:type="dxa"/>
            <w:shd w:val="clear" w:color="auto" w:fill="auto"/>
            <w:vAlign w:val="center"/>
          </w:tcPr>
          <w:p>
            <w:pPr>
              <w:widowControl/>
              <w:jc w:val="center"/>
              <w:rPr>
                <w:rFonts w:hint="default" w:ascii="Times New Roman" w:hAnsi="Times New Roman"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239060</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16" w:hRule="atLeast"/>
          <w:jc w:val="center"/>
        </w:trPr>
        <w:tc>
          <w:tcPr>
            <w:tcW w:w="138" w:type="pct"/>
            <w:shd w:val="clear" w:color="auto" w:fill="auto"/>
            <w:vAlign w:val="center"/>
          </w:tcPr>
          <w:p>
            <w:pPr>
              <w:widowControl/>
              <w:jc w:val="center"/>
              <w:rPr>
                <w:rFonts w:hint="default" w:ascii="Times New Roman" w:hAnsi="Times New Roman" w:eastAsia="宋体" w:cs="Times New Roman"/>
                <w:color w:val="auto"/>
                <w:kern w:val="0"/>
                <w:sz w:val="20"/>
                <w:szCs w:val="22"/>
                <w:lang w:eastAsia="zh-CN"/>
              </w:rPr>
            </w:pPr>
            <w:r>
              <w:rPr>
                <w:rFonts w:hint="default" w:ascii="Times New Roman" w:hAnsi="Times New Roman" w:cs="Times New Roman"/>
                <w:color w:val="auto"/>
                <w:kern w:val="0"/>
                <w:sz w:val="20"/>
                <w:szCs w:val="22"/>
              </w:rPr>
              <w:t>1</w:t>
            </w:r>
            <w:r>
              <w:rPr>
                <w:rFonts w:hint="default" w:ascii="Times New Roman" w:hAnsi="Times New Roman" w:cs="Times New Roman"/>
                <w:color w:val="auto"/>
                <w:kern w:val="0"/>
                <w:sz w:val="20"/>
                <w:szCs w:val="22"/>
                <w:lang w:val="en-US" w:eastAsia="zh-CN"/>
              </w:rPr>
              <w:t>4</w:t>
            </w:r>
          </w:p>
        </w:tc>
        <w:tc>
          <w:tcPr>
            <w:tcW w:w="204"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eastAsia="宋体" w:cs="Times New Roman"/>
                <w:color w:val="auto"/>
                <w:kern w:val="0"/>
                <w:sz w:val="20"/>
                <w:szCs w:val="22"/>
              </w:rPr>
              <w:t>抚仙湖入湖河道水质提升工</w:t>
            </w:r>
            <w:r>
              <w:rPr>
                <w:rFonts w:hint="default" w:ascii="Times New Roman" w:hAnsi="Times New Roman" w:cs="Times New Roman"/>
                <w:color w:val="auto"/>
              </w:rPr>
              <w:t>程</w:t>
            </w:r>
          </w:p>
        </w:tc>
        <w:tc>
          <w:tcPr>
            <w:tcW w:w="196"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水环境综合治理类</w:t>
            </w:r>
          </w:p>
        </w:tc>
        <w:tc>
          <w:tcPr>
            <w:tcW w:w="1677" w:type="pct"/>
            <w:shd w:val="clear" w:color="auto" w:fill="auto"/>
            <w:vAlign w:val="center"/>
          </w:tcPr>
          <w:p>
            <w:pPr>
              <w:widowControl/>
              <w:jc w:val="left"/>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对抚仙湖入湖河道及湿地进行综合整治，划定清水水源及清水通道，设置河滨生态隔离带、封堵排污口、清淤、收割替换水生植物，进行常态化管护，实现清水入湖；消除马房中沟、马房西沟、窑泥沟、大摆沟等河道消除Ⅴ类、劣Ⅴ类水体，实现水质提升。</w:t>
            </w:r>
          </w:p>
        </w:tc>
        <w:tc>
          <w:tcPr>
            <w:tcW w:w="403" w:type="pct"/>
            <w:shd w:val="clear" w:color="auto" w:fill="auto"/>
            <w:vAlign w:val="center"/>
          </w:tcPr>
          <w:p>
            <w:pPr>
              <w:widowControl/>
              <w:jc w:val="center"/>
              <w:rPr>
                <w:rFonts w:hint="default" w:ascii="Times New Roman" w:hAnsi="Times New Roman" w:eastAsia="宋体" w:cs="Times New Roman"/>
                <w:color w:val="auto"/>
                <w:kern w:val="0"/>
                <w:sz w:val="20"/>
                <w:szCs w:val="22"/>
                <w:lang w:eastAsia="zh-CN"/>
              </w:rPr>
            </w:pPr>
            <w:r>
              <w:rPr>
                <w:rFonts w:hint="default" w:ascii="Times New Roman" w:hAnsi="Times New Roman" w:cs="Times New Roman"/>
                <w:color w:val="auto"/>
                <w:kern w:val="0"/>
                <w:sz w:val="20"/>
                <w:szCs w:val="22"/>
              </w:rPr>
              <w:t>202</w:t>
            </w:r>
            <w:r>
              <w:rPr>
                <w:rFonts w:hint="default" w:ascii="Times New Roman" w:hAnsi="Times New Roman" w:cs="Times New Roman"/>
                <w:color w:val="auto"/>
                <w:kern w:val="0"/>
                <w:sz w:val="20"/>
                <w:szCs w:val="22"/>
                <w:lang w:val="en-US" w:eastAsia="zh-CN"/>
              </w:rPr>
              <w:t>1</w:t>
            </w:r>
            <w:r>
              <w:rPr>
                <w:rFonts w:hint="default" w:ascii="Times New Roman" w:hAnsi="Times New Roman" w:cs="Times New Roman"/>
                <w:color w:val="auto"/>
                <w:kern w:val="0"/>
                <w:sz w:val="20"/>
                <w:szCs w:val="22"/>
              </w:rPr>
              <w:t>—202</w:t>
            </w:r>
            <w:r>
              <w:rPr>
                <w:rFonts w:hint="default" w:ascii="Times New Roman" w:hAnsi="Times New Roman" w:cs="Times New Roman"/>
                <w:color w:val="auto"/>
                <w:kern w:val="0"/>
                <w:sz w:val="20"/>
                <w:szCs w:val="22"/>
                <w:lang w:val="en-US" w:eastAsia="zh-CN"/>
              </w:rPr>
              <w:t>5</w:t>
            </w:r>
          </w:p>
        </w:tc>
        <w:tc>
          <w:tcPr>
            <w:tcW w:w="332"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sz w:val="20"/>
                <w:lang w:val="en-US" w:eastAsia="zh-CN"/>
              </w:rPr>
              <w:t>500</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3</w:t>
            </w:r>
            <w:r>
              <w:rPr>
                <w:rFonts w:hint="default" w:ascii="Times New Roman" w:hAnsi="Times New Roman" w:cs="Times New Roman"/>
                <w:color w:val="auto"/>
                <w:kern w:val="0"/>
                <w:sz w:val="20"/>
                <w:szCs w:val="22"/>
              </w:rPr>
              <w:t>000</w:t>
            </w:r>
          </w:p>
        </w:tc>
        <w:tc>
          <w:tcPr>
            <w:tcW w:w="35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3</w:t>
            </w:r>
            <w:r>
              <w:rPr>
                <w:rFonts w:hint="default" w:ascii="Times New Roman" w:hAnsi="Times New Roman" w:cs="Times New Roman"/>
                <w:color w:val="auto"/>
                <w:kern w:val="0"/>
                <w:sz w:val="20"/>
                <w:szCs w:val="22"/>
              </w:rPr>
              <w:t>00</w:t>
            </w:r>
            <w:r>
              <w:rPr>
                <w:rFonts w:hint="default" w:ascii="Times New Roman" w:hAnsi="Times New Roman" w:cs="Times New Roman"/>
                <w:color w:val="auto"/>
                <w:kern w:val="0"/>
                <w:sz w:val="20"/>
                <w:szCs w:val="22"/>
                <w:lang w:val="en-US" w:eastAsia="zh-CN"/>
              </w:rPr>
              <w:t>0</w:t>
            </w:r>
          </w:p>
        </w:tc>
        <w:tc>
          <w:tcPr>
            <w:tcW w:w="35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2000</w:t>
            </w:r>
          </w:p>
        </w:tc>
        <w:tc>
          <w:tcPr>
            <w:tcW w:w="320"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1500</w:t>
            </w:r>
          </w:p>
        </w:tc>
        <w:tc>
          <w:tcPr>
            <w:tcW w:w="362"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10000</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澄江市</w:t>
            </w:r>
            <w:r>
              <w:rPr>
                <w:rFonts w:hint="default" w:ascii="Times New Roman" w:hAnsi="Times New Roman" w:cs="Times New Roman"/>
                <w:color w:val="auto"/>
                <w:kern w:val="0"/>
                <w:sz w:val="20"/>
                <w:szCs w:val="22"/>
                <w:lang w:eastAsia="zh-CN"/>
              </w:rPr>
              <w:t>水利</w:t>
            </w:r>
            <w:r>
              <w:rPr>
                <w:rFonts w:hint="default" w:ascii="Times New Roman" w:hAnsi="Times New Roman" w:cs="Times New Roman"/>
                <w:color w:val="auto"/>
                <w:kern w:val="0"/>
                <w:sz w:val="20"/>
                <w:szCs w:val="22"/>
              </w:rPr>
              <w:t>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216" w:type="pct"/>
            <w:gridSpan w:val="4"/>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rPr>
              <w:t>合计</w:t>
            </w:r>
            <w:r>
              <w:rPr>
                <w:rFonts w:hint="default" w:ascii="Times New Roman" w:hAnsi="Times New Roman" w:cs="Times New Roman"/>
                <w:color w:val="auto"/>
                <w:kern w:val="0"/>
                <w:sz w:val="20"/>
                <w:szCs w:val="22"/>
                <w:lang w:val="en-US" w:eastAsia="zh-CN"/>
              </w:rPr>
              <w:t>1个项目</w:t>
            </w:r>
          </w:p>
        </w:tc>
        <w:tc>
          <w:tcPr>
            <w:tcW w:w="403" w:type="pct"/>
            <w:shd w:val="clear" w:color="auto" w:fill="auto"/>
            <w:vAlign w:val="center"/>
          </w:tcPr>
          <w:p>
            <w:pPr>
              <w:widowControl/>
              <w:jc w:val="center"/>
              <w:rPr>
                <w:rFonts w:hint="default" w:ascii="Times New Roman" w:hAnsi="Times New Roman" w:cs="Times New Roman"/>
                <w:color w:val="auto"/>
                <w:kern w:val="0"/>
                <w:sz w:val="20"/>
                <w:szCs w:val="22"/>
              </w:rPr>
            </w:pPr>
          </w:p>
        </w:tc>
        <w:tc>
          <w:tcPr>
            <w:tcW w:w="332" w:type="pct"/>
            <w:shd w:val="clear" w:color="auto" w:fill="auto"/>
            <w:vAlign w:val="center"/>
          </w:tcPr>
          <w:p>
            <w:pPr>
              <w:widowControl/>
              <w:jc w:val="center"/>
              <w:rPr>
                <w:rFonts w:hint="default" w:ascii="Times New Roman" w:hAnsi="Times New Roman" w:cs="Times New Roman"/>
                <w:color w:val="auto"/>
                <w:kern w:val="0"/>
                <w:sz w:val="20"/>
              </w:rPr>
            </w:pPr>
            <w:r>
              <w:rPr>
                <w:rFonts w:hint="default" w:ascii="Times New Roman" w:hAnsi="Times New Roman" w:cs="Times New Roman"/>
                <w:color w:val="auto"/>
                <w:sz w:val="20"/>
                <w:lang w:val="en-US" w:eastAsia="zh-CN"/>
              </w:rPr>
              <w:t>500</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3</w:t>
            </w:r>
            <w:r>
              <w:rPr>
                <w:rFonts w:hint="default" w:ascii="Times New Roman" w:hAnsi="Times New Roman" w:cs="Times New Roman"/>
                <w:color w:val="auto"/>
                <w:kern w:val="0"/>
                <w:sz w:val="20"/>
                <w:szCs w:val="22"/>
              </w:rPr>
              <w:t>000</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3</w:t>
            </w:r>
            <w:r>
              <w:rPr>
                <w:rFonts w:hint="default" w:ascii="Times New Roman" w:hAnsi="Times New Roman" w:cs="Times New Roman"/>
                <w:color w:val="auto"/>
                <w:kern w:val="0"/>
                <w:sz w:val="20"/>
                <w:szCs w:val="22"/>
              </w:rPr>
              <w:t>00</w:t>
            </w:r>
            <w:r>
              <w:rPr>
                <w:rFonts w:hint="default" w:ascii="Times New Roman" w:hAnsi="Times New Roman" w:cs="Times New Roman"/>
                <w:color w:val="auto"/>
                <w:kern w:val="0"/>
                <w:sz w:val="20"/>
                <w:szCs w:val="22"/>
                <w:lang w:val="en-US" w:eastAsia="zh-CN"/>
              </w:rPr>
              <w:t>0</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2000</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1500</w:t>
            </w:r>
          </w:p>
        </w:tc>
        <w:tc>
          <w:tcPr>
            <w:tcW w:w="36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10000</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38" w:type="pct"/>
            <w:shd w:val="clear" w:color="auto" w:fill="auto"/>
            <w:vAlign w:val="center"/>
          </w:tcPr>
          <w:p>
            <w:pPr>
              <w:widowControl/>
              <w:jc w:val="center"/>
              <w:rPr>
                <w:rFonts w:hint="default" w:ascii="Times New Roman" w:hAnsi="Times New Roman" w:eastAsia="宋体" w:cs="Times New Roman"/>
                <w:color w:val="auto"/>
                <w:kern w:val="0"/>
                <w:sz w:val="20"/>
                <w:szCs w:val="22"/>
                <w:lang w:eastAsia="zh-CN"/>
              </w:rPr>
            </w:pPr>
            <w:r>
              <w:rPr>
                <w:rFonts w:hint="default" w:ascii="Times New Roman" w:hAnsi="Times New Roman" w:cs="Times New Roman"/>
                <w:color w:val="auto"/>
                <w:kern w:val="0"/>
                <w:sz w:val="20"/>
                <w:szCs w:val="22"/>
              </w:rPr>
              <w:t>1</w:t>
            </w:r>
            <w:r>
              <w:rPr>
                <w:rFonts w:hint="default" w:ascii="Times New Roman" w:hAnsi="Times New Roman" w:cs="Times New Roman"/>
                <w:color w:val="auto"/>
                <w:kern w:val="0"/>
                <w:sz w:val="20"/>
                <w:szCs w:val="22"/>
                <w:lang w:val="en-US" w:eastAsia="zh-CN"/>
              </w:rPr>
              <w:t>5</w:t>
            </w:r>
          </w:p>
        </w:tc>
        <w:tc>
          <w:tcPr>
            <w:tcW w:w="204"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矿山修复项目</w:t>
            </w:r>
          </w:p>
        </w:tc>
        <w:tc>
          <w:tcPr>
            <w:tcW w:w="196" w:type="pct"/>
            <w:vMerge w:val="restar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水生态修复类</w:t>
            </w:r>
          </w:p>
        </w:tc>
        <w:tc>
          <w:tcPr>
            <w:tcW w:w="1677" w:type="pct"/>
            <w:shd w:val="clear" w:color="auto" w:fill="auto"/>
            <w:vAlign w:val="center"/>
          </w:tcPr>
          <w:p>
            <w:pPr>
              <w:widowControl/>
              <w:jc w:val="left"/>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对辖区及托管区内大山采石场、双水塘采石场、郭帅洗沙场等13个历史遗留矿山进行生态修复，总面积约为147.9107hm²。</w:t>
            </w:r>
          </w:p>
        </w:tc>
        <w:tc>
          <w:tcPr>
            <w:tcW w:w="40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2021—2025</w:t>
            </w:r>
          </w:p>
        </w:tc>
        <w:tc>
          <w:tcPr>
            <w:tcW w:w="33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200</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600</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700</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1500</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1000</w:t>
            </w:r>
          </w:p>
        </w:tc>
        <w:tc>
          <w:tcPr>
            <w:tcW w:w="36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4000</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澄江市自然资源局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38" w:type="pct"/>
            <w:shd w:val="clear" w:color="auto" w:fill="auto"/>
            <w:vAlign w:val="center"/>
          </w:tcPr>
          <w:p>
            <w:pPr>
              <w:widowControl/>
              <w:jc w:val="center"/>
              <w:rPr>
                <w:rFonts w:hint="default" w:ascii="Times New Roman" w:hAnsi="Times New Roman" w:eastAsia="宋体" w:cs="Times New Roman"/>
                <w:color w:val="auto"/>
                <w:kern w:val="0"/>
                <w:sz w:val="20"/>
                <w:szCs w:val="22"/>
                <w:lang w:eastAsia="zh-CN"/>
              </w:rPr>
            </w:pPr>
            <w:r>
              <w:rPr>
                <w:rFonts w:hint="default" w:ascii="Times New Roman" w:hAnsi="Times New Roman" w:cs="Times New Roman"/>
                <w:color w:val="auto"/>
                <w:kern w:val="0"/>
                <w:sz w:val="20"/>
                <w:szCs w:val="22"/>
              </w:rPr>
              <w:t>1</w:t>
            </w:r>
            <w:r>
              <w:rPr>
                <w:rFonts w:hint="default" w:ascii="Times New Roman" w:hAnsi="Times New Roman" w:cs="Times New Roman"/>
                <w:color w:val="auto"/>
                <w:kern w:val="0"/>
                <w:sz w:val="20"/>
                <w:szCs w:val="22"/>
                <w:lang w:val="en-US" w:eastAsia="zh-CN"/>
              </w:rPr>
              <w:t>6</w:t>
            </w:r>
          </w:p>
        </w:tc>
        <w:tc>
          <w:tcPr>
            <w:tcW w:w="204"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eastAsia" w:cs="Times New Roman"/>
                <w:color w:val="auto"/>
                <w:kern w:val="0"/>
                <w:sz w:val="20"/>
                <w:szCs w:val="22"/>
                <w:lang w:val="en-US" w:eastAsia="zh-CN"/>
              </w:rPr>
              <w:t>抚仙湖生物多样性保护工程</w:t>
            </w:r>
          </w:p>
        </w:tc>
        <w:tc>
          <w:tcPr>
            <w:tcW w:w="196" w:type="pct"/>
            <w:vMerge w:val="continue"/>
            <w:shd w:val="clear" w:color="auto" w:fill="auto"/>
            <w:vAlign w:val="center"/>
          </w:tcPr>
          <w:p>
            <w:pPr>
              <w:widowControl/>
              <w:jc w:val="center"/>
              <w:rPr>
                <w:rFonts w:hint="default" w:ascii="Times New Roman" w:hAnsi="Times New Roman" w:cs="Times New Roman"/>
                <w:color w:val="auto"/>
                <w:kern w:val="0"/>
                <w:sz w:val="20"/>
                <w:szCs w:val="22"/>
              </w:rPr>
            </w:pPr>
          </w:p>
        </w:tc>
        <w:tc>
          <w:tcPr>
            <w:tcW w:w="1677"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巩固森林抚仙湖6万亩山地流转，确保森林抚仙湖生态治理林木保存率；对森林抚仙湖项目开展抚育提升，实施抚育提升5万亩。</w:t>
            </w:r>
          </w:p>
        </w:tc>
        <w:tc>
          <w:tcPr>
            <w:tcW w:w="40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2021—2025</w:t>
            </w:r>
          </w:p>
        </w:tc>
        <w:tc>
          <w:tcPr>
            <w:tcW w:w="33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w:t>
            </w:r>
          </w:p>
        </w:tc>
        <w:tc>
          <w:tcPr>
            <w:tcW w:w="320"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rPr>
              <w:t>1000</w:t>
            </w:r>
            <w:r>
              <w:rPr>
                <w:rFonts w:hint="default" w:ascii="Times New Roman" w:hAnsi="Times New Roman" w:cs="Times New Roman"/>
                <w:color w:val="auto"/>
                <w:kern w:val="0"/>
                <w:sz w:val="20"/>
                <w:szCs w:val="22"/>
                <w:lang w:val="en-US" w:eastAsia="zh-CN"/>
              </w:rPr>
              <w:t>0</w:t>
            </w:r>
          </w:p>
        </w:tc>
        <w:tc>
          <w:tcPr>
            <w:tcW w:w="35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rPr>
              <w:t>1000</w:t>
            </w:r>
            <w:r>
              <w:rPr>
                <w:rFonts w:hint="default" w:ascii="Times New Roman" w:hAnsi="Times New Roman" w:cs="Times New Roman"/>
                <w:color w:val="auto"/>
                <w:kern w:val="0"/>
                <w:sz w:val="20"/>
                <w:szCs w:val="22"/>
                <w:lang w:val="en-US" w:eastAsia="zh-CN"/>
              </w:rPr>
              <w:t>0</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2</w:t>
            </w:r>
            <w:r>
              <w:rPr>
                <w:rFonts w:hint="default" w:ascii="Times New Roman" w:hAnsi="Times New Roman" w:cs="Times New Roman"/>
                <w:color w:val="auto"/>
                <w:kern w:val="0"/>
                <w:sz w:val="20"/>
                <w:szCs w:val="22"/>
              </w:rPr>
              <w:t>1500</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1</w:t>
            </w:r>
            <w:r>
              <w:rPr>
                <w:rFonts w:hint="default" w:ascii="Times New Roman" w:hAnsi="Times New Roman" w:cs="Times New Roman"/>
                <w:color w:val="auto"/>
                <w:kern w:val="0"/>
                <w:sz w:val="20"/>
                <w:szCs w:val="22"/>
                <w:lang w:val="en-US" w:eastAsia="zh-CN"/>
              </w:rPr>
              <w:t>10</w:t>
            </w:r>
            <w:r>
              <w:rPr>
                <w:rFonts w:hint="default" w:ascii="Times New Roman" w:hAnsi="Times New Roman" w:cs="Times New Roman"/>
                <w:color w:val="auto"/>
                <w:kern w:val="0"/>
                <w:sz w:val="20"/>
                <w:szCs w:val="22"/>
              </w:rPr>
              <w:t>00</w:t>
            </w:r>
          </w:p>
        </w:tc>
        <w:tc>
          <w:tcPr>
            <w:tcW w:w="36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5</w:t>
            </w:r>
            <w:r>
              <w:rPr>
                <w:rFonts w:hint="default" w:ascii="Times New Roman" w:hAnsi="Times New Roman" w:cs="Times New Roman"/>
                <w:color w:val="auto"/>
                <w:kern w:val="0"/>
                <w:sz w:val="20"/>
                <w:szCs w:val="22"/>
                <w:lang w:val="en-US" w:eastAsia="zh-CN"/>
              </w:rPr>
              <w:t>25</w:t>
            </w:r>
            <w:r>
              <w:rPr>
                <w:rFonts w:hint="default" w:ascii="Times New Roman" w:hAnsi="Times New Roman" w:cs="Times New Roman"/>
                <w:color w:val="auto"/>
                <w:kern w:val="0"/>
                <w:sz w:val="20"/>
                <w:szCs w:val="22"/>
              </w:rPr>
              <w:t>00</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澄江市林业和草原局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216" w:type="pct"/>
            <w:gridSpan w:val="4"/>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rPr>
              <w:t>合计</w:t>
            </w:r>
            <w:r>
              <w:rPr>
                <w:rFonts w:hint="default" w:ascii="Times New Roman" w:hAnsi="Times New Roman" w:cs="Times New Roman"/>
                <w:color w:val="auto"/>
                <w:kern w:val="0"/>
                <w:sz w:val="20"/>
                <w:szCs w:val="22"/>
                <w:lang w:val="en-US" w:eastAsia="zh-CN"/>
              </w:rPr>
              <w:t>2个项目</w:t>
            </w:r>
          </w:p>
        </w:tc>
        <w:tc>
          <w:tcPr>
            <w:tcW w:w="403" w:type="pct"/>
            <w:shd w:val="clear" w:color="auto" w:fill="auto"/>
            <w:vAlign w:val="center"/>
          </w:tcPr>
          <w:p>
            <w:pPr>
              <w:widowControl/>
              <w:jc w:val="center"/>
              <w:rPr>
                <w:rFonts w:hint="default" w:ascii="Times New Roman" w:hAnsi="Times New Roman" w:cs="Times New Roman"/>
                <w:color w:val="auto"/>
                <w:kern w:val="0"/>
                <w:sz w:val="20"/>
                <w:szCs w:val="22"/>
              </w:rPr>
            </w:pPr>
          </w:p>
        </w:tc>
        <w:tc>
          <w:tcPr>
            <w:tcW w:w="1000" w:type="dxa"/>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200</w:t>
            </w:r>
          </w:p>
        </w:tc>
        <w:tc>
          <w:tcPr>
            <w:tcW w:w="966" w:type="dxa"/>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10600</w:t>
            </w:r>
          </w:p>
        </w:tc>
        <w:tc>
          <w:tcPr>
            <w:tcW w:w="1064" w:type="dxa"/>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10700</w:t>
            </w:r>
          </w:p>
        </w:tc>
        <w:tc>
          <w:tcPr>
            <w:tcW w:w="1066" w:type="dxa"/>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23000</w:t>
            </w:r>
          </w:p>
        </w:tc>
        <w:tc>
          <w:tcPr>
            <w:tcW w:w="966" w:type="dxa"/>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12000</w:t>
            </w:r>
          </w:p>
        </w:tc>
        <w:tc>
          <w:tcPr>
            <w:tcW w:w="1100" w:type="dxa"/>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56500</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08" w:hRule="atLeast"/>
          <w:jc w:val="center"/>
        </w:trPr>
        <w:tc>
          <w:tcPr>
            <w:tcW w:w="138" w:type="pct"/>
            <w:shd w:val="clear" w:color="auto" w:fill="auto"/>
            <w:vAlign w:val="center"/>
          </w:tcPr>
          <w:p>
            <w:pPr>
              <w:widowControl/>
              <w:jc w:val="center"/>
              <w:rPr>
                <w:rFonts w:hint="default" w:ascii="Times New Roman" w:hAnsi="Times New Roman" w:eastAsia="宋体" w:cs="Times New Roman"/>
                <w:color w:val="auto"/>
                <w:kern w:val="0"/>
                <w:sz w:val="20"/>
                <w:szCs w:val="22"/>
                <w:lang w:eastAsia="zh-CN"/>
              </w:rPr>
            </w:pPr>
            <w:r>
              <w:rPr>
                <w:rFonts w:hint="default" w:ascii="Times New Roman" w:hAnsi="Times New Roman" w:cs="Times New Roman"/>
                <w:color w:val="auto"/>
                <w:kern w:val="0"/>
                <w:sz w:val="20"/>
                <w:szCs w:val="22"/>
              </w:rPr>
              <w:t>1</w:t>
            </w:r>
            <w:r>
              <w:rPr>
                <w:rFonts w:hint="default" w:ascii="Times New Roman" w:hAnsi="Times New Roman" w:cs="Times New Roman"/>
                <w:color w:val="auto"/>
                <w:kern w:val="0"/>
                <w:sz w:val="20"/>
                <w:szCs w:val="22"/>
                <w:lang w:val="en-US" w:eastAsia="zh-CN"/>
              </w:rPr>
              <w:t>7</w:t>
            </w:r>
          </w:p>
        </w:tc>
        <w:tc>
          <w:tcPr>
            <w:tcW w:w="204"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澄江市智慧水务监管平台（一水两污监控中心）建设项目</w:t>
            </w:r>
          </w:p>
        </w:tc>
        <w:tc>
          <w:tcPr>
            <w:tcW w:w="196"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水灾害防治类</w:t>
            </w:r>
          </w:p>
        </w:tc>
        <w:tc>
          <w:tcPr>
            <w:tcW w:w="1677"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布设污水监测点；搭建污水数据采集、支撑服务及应用平台，建设基础数据库、时空数据库、监测</w:t>
            </w:r>
            <w:r>
              <w:rPr>
                <w:rFonts w:hint="eastAsia" w:cs="Times New Roman"/>
                <w:color w:val="auto"/>
                <w:kern w:val="0"/>
                <w:sz w:val="20"/>
                <w:szCs w:val="22"/>
                <w:lang w:val="en-US" w:eastAsia="zh-CN"/>
              </w:rPr>
              <w:t>数据库</w:t>
            </w:r>
            <w:r>
              <w:rPr>
                <w:rFonts w:hint="default" w:ascii="Times New Roman" w:hAnsi="Times New Roman" w:cs="Times New Roman"/>
                <w:color w:val="auto"/>
                <w:kern w:val="0"/>
                <w:sz w:val="20"/>
                <w:szCs w:val="22"/>
              </w:rPr>
              <w:t>；布设污水、垃圾场站设施视频监控；建设一水两污监控中心。</w:t>
            </w:r>
          </w:p>
        </w:tc>
        <w:tc>
          <w:tcPr>
            <w:tcW w:w="403" w:type="pct"/>
            <w:shd w:val="clear" w:color="auto" w:fill="auto"/>
            <w:vAlign w:val="center"/>
          </w:tcPr>
          <w:p>
            <w:pPr>
              <w:widowControl/>
              <w:jc w:val="center"/>
              <w:rPr>
                <w:rFonts w:hint="default" w:ascii="Times New Roman" w:hAnsi="Times New Roman" w:eastAsia="宋体" w:cs="Times New Roman"/>
                <w:color w:val="auto"/>
                <w:kern w:val="0"/>
                <w:sz w:val="20"/>
                <w:szCs w:val="22"/>
                <w:lang w:eastAsia="zh-CN"/>
              </w:rPr>
            </w:pPr>
            <w:r>
              <w:rPr>
                <w:rFonts w:hint="default" w:ascii="Times New Roman" w:hAnsi="Times New Roman" w:cs="Times New Roman"/>
                <w:color w:val="auto"/>
                <w:kern w:val="0"/>
                <w:sz w:val="20"/>
                <w:szCs w:val="22"/>
              </w:rPr>
              <w:t>2021—202</w:t>
            </w:r>
            <w:r>
              <w:rPr>
                <w:rFonts w:hint="default" w:ascii="Times New Roman" w:hAnsi="Times New Roman" w:cs="Times New Roman"/>
                <w:color w:val="auto"/>
                <w:kern w:val="0"/>
                <w:sz w:val="20"/>
                <w:szCs w:val="22"/>
                <w:lang w:val="en-US" w:eastAsia="zh-CN"/>
              </w:rPr>
              <w:t>5</w:t>
            </w:r>
          </w:p>
        </w:tc>
        <w:tc>
          <w:tcPr>
            <w:tcW w:w="33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2000</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1300</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w:t>
            </w:r>
          </w:p>
        </w:tc>
        <w:tc>
          <w:tcPr>
            <w:tcW w:w="36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3300</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澄江市住建局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2216" w:type="pct"/>
            <w:gridSpan w:val="4"/>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rPr>
              <w:t>合计</w:t>
            </w:r>
            <w:r>
              <w:rPr>
                <w:rFonts w:hint="default" w:ascii="Times New Roman" w:hAnsi="Times New Roman" w:cs="Times New Roman"/>
                <w:color w:val="auto"/>
                <w:kern w:val="0"/>
                <w:sz w:val="20"/>
                <w:szCs w:val="22"/>
                <w:lang w:val="en-US" w:eastAsia="zh-CN"/>
              </w:rPr>
              <w:t>1个项目</w:t>
            </w:r>
          </w:p>
        </w:tc>
        <w:tc>
          <w:tcPr>
            <w:tcW w:w="403" w:type="pct"/>
            <w:shd w:val="clear" w:color="auto" w:fill="auto"/>
            <w:vAlign w:val="center"/>
          </w:tcPr>
          <w:p>
            <w:pPr>
              <w:widowControl/>
              <w:jc w:val="center"/>
              <w:rPr>
                <w:rFonts w:hint="default" w:ascii="Times New Roman" w:hAnsi="Times New Roman" w:cs="Times New Roman"/>
                <w:color w:val="auto"/>
                <w:kern w:val="0"/>
                <w:sz w:val="20"/>
                <w:szCs w:val="22"/>
              </w:rPr>
            </w:pPr>
          </w:p>
        </w:tc>
        <w:tc>
          <w:tcPr>
            <w:tcW w:w="332"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cs="Times New Roman"/>
                <w:color w:val="auto"/>
                <w:kern w:val="0"/>
                <w:sz w:val="20"/>
              </w:rPr>
            </w:pPr>
            <w:r>
              <w:rPr>
                <w:rFonts w:hint="default" w:ascii="Times New Roman" w:hAnsi="Times New Roman" w:cs="Times New Roman"/>
                <w:color w:val="auto"/>
                <w:sz w:val="20"/>
              </w:rPr>
              <w:t>2000</w:t>
            </w:r>
          </w:p>
        </w:tc>
        <w:tc>
          <w:tcPr>
            <w:tcW w:w="320" w:type="pct"/>
            <w:tcBorders>
              <w:top w:val="nil"/>
              <w:left w:val="nil"/>
              <w:bottom w:val="single" w:color="auto" w:sz="8" w:space="0"/>
              <w:right w:val="single" w:color="auto" w:sz="8" w:space="0"/>
            </w:tcBorders>
            <w:shd w:val="clear" w:color="auto" w:fill="auto"/>
            <w:vAlign w:val="center"/>
          </w:tcPr>
          <w:p>
            <w:pPr>
              <w:jc w:val="center"/>
              <w:rPr>
                <w:rFonts w:hint="default" w:ascii="Times New Roman" w:hAnsi="Times New Roman" w:cs="Times New Roman"/>
                <w:color w:val="auto"/>
                <w:sz w:val="20"/>
              </w:rPr>
            </w:pPr>
            <w:r>
              <w:rPr>
                <w:rFonts w:hint="default" w:ascii="Times New Roman" w:hAnsi="Times New Roman" w:cs="Times New Roman"/>
                <w:color w:val="auto"/>
                <w:sz w:val="20"/>
              </w:rPr>
              <w:t>1300</w:t>
            </w:r>
          </w:p>
        </w:tc>
        <w:tc>
          <w:tcPr>
            <w:tcW w:w="353" w:type="pct"/>
            <w:tcBorders>
              <w:top w:val="nil"/>
              <w:left w:val="nil"/>
              <w:bottom w:val="single" w:color="auto" w:sz="8" w:space="0"/>
              <w:right w:val="single" w:color="auto" w:sz="8" w:space="0"/>
            </w:tcBorders>
            <w:shd w:val="clear" w:color="auto" w:fill="auto"/>
            <w:vAlign w:val="center"/>
          </w:tcPr>
          <w:p>
            <w:pPr>
              <w:jc w:val="center"/>
              <w:rPr>
                <w:rFonts w:hint="default" w:ascii="Times New Roman" w:hAnsi="Times New Roman" w:cs="Times New Roman"/>
                <w:color w:val="auto"/>
                <w:sz w:val="20"/>
              </w:rPr>
            </w:pPr>
            <w:r>
              <w:rPr>
                <w:rFonts w:hint="default" w:ascii="Times New Roman" w:hAnsi="Times New Roman" w:cs="Times New Roman"/>
                <w:color w:val="auto"/>
                <w:sz w:val="20"/>
              </w:rPr>
              <w:t>　</w:t>
            </w:r>
          </w:p>
        </w:tc>
        <w:tc>
          <w:tcPr>
            <w:tcW w:w="353" w:type="pct"/>
            <w:tcBorders>
              <w:top w:val="nil"/>
              <w:left w:val="nil"/>
              <w:bottom w:val="single" w:color="auto" w:sz="8" w:space="0"/>
              <w:right w:val="single" w:color="auto" w:sz="8" w:space="0"/>
            </w:tcBorders>
            <w:shd w:val="clear" w:color="auto" w:fill="auto"/>
            <w:vAlign w:val="center"/>
          </w:tcPr>
          <w:p>
            <w:pPr>
              <w:jc w:val="center"/>
              <w:rPr>
                <w:rFonts w:hint="default" w:ascii="Times New Roman" w:hAnsi="Times New Roman" w:cs="Times New Roman"/>
                <w:color w:val="auto"/>
                <w:sz w:val="20"/>
              </w:rPr>
            </w:pPr>
            <w:r>
              <w:rPr>
                <w:rFonts w:hint="default" w:ascii="Times New Roman" w:hAnsi="Times New Roman" w:cs="Times New Roman"/>
                <w:color w:val="auto"/>
                <w:sz w:val="20"/>
              </w:rPr>
              <w:t>　</w:t>
            </w:r>
          </w:p>
        </w:tc>
        <w:tc>
          <w:tcPr>
            <w:tcW w:w="320" w:type="pct"/>
            <w:tcBorders>
              <w:top w:val="nil"/>
              <w:left w:val="nil"/>
              <w:bottom w:val="single" w:color="auto" w:sz="8" w:space="0"/>
              <w:right w:val="single" w:color="auto" w:sz="8" w:space="0"/>
            </w:tcBorders>
            <w:shd w:val="clear" w:color="auto" w:fill="auto"/>
            <w:vAlign w:val="center"/>
          </w:tcPr>
          <w:p>
            <w:pPr>
              <w:jc w:val="center"/>
              <w:rPr>
                <w:rFonts w:hint="default" w:ascii="Times New Roman" w:hAnsi="Times New Roman" w:cs="Times New Roman"/>
                <w:color w:val="auto"/>
                <w:sz w:val="20"/>
              </w:rPr>
            </w:pPr>
            <w:r>
              <w:rPr>
                <w:rFonts w:hint="default" w:ascii="Times New Roman" w:hAnsi="Times New Roman" w:cs="Times New Roman"/>
                <w:color w:val="auto"/>
                <w:sz w:val="20"/>
              </w:rPr>
              <w:t>　</w:t>
            </w:r>
          </w:p>
        </w:tc>
        <w:tc>
          <w:tcPr>
            <w:tcW w:w="362" w:type="pct"/>
            <w:tcBorders>
              <w:top w:val="nil"/>
              <w:left w:val="nil"/>
              <w:bottom w:val="single" w:color="auto" w:sz="8" w:space="0"/>
              <w:right w:val="single" w:color="auto" w:sz="8" w:space="0"/>
            </w:tcBorders>
            <w:shd w:val="clear" w:color="auto" w:fill="auto"/>
            <w:vAlign w:val="center"/>
          </w:tcPr>
          <w:p>
            <w:pPr>
              <w:jc w:val="center"/>
              <w:rPr>
                <w:rFonts w:hint="default" w:ascii="Times New Roman" w:hAnsi="Times New Roman" w:cs="Times New Roman"/>
                <w:color w:val="auto"/>
                <w:sz w:val="20"/>
              </w:rPr>
            </w:pPr>
            <w:r>
              <w:rPr>
                <w:rFonts w:hint="default" w:ascii="Times New Roman" w:hAnsi="Times New Roman" w:cs="Times New Roman"/>
                <w:color w:val="auto"/>
                <w:sz w:val="20"/>
              </w:rPr>
              <w:t>3300</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38" w:type="pct"/>
            <w:shd w:val="clear" w:color="auto" w:fill="auto"/>
            <w:vAlign w:val="center"/>
          </w:tcPr>
          <w:p>
            <w:pPr>
              <w:widowControl/>
              <w:jc w:val="center"/>
              <w:rPr>
                <w:rFonts w:hint="default" w:ascii="Times New Roman" w:hAnsi="Times New Roman" w:eastAsia="宋体" w:cs="Times New Roman"/>
                <w:color w:val="auto"/>
                <w:kern w:val="0"/>
                <w:sz w:val="20"/>
                <w:szCs w:val="22"/>
                <w:lang w:eastAsia="zh-CN"/>
              </w:rPr>
            </w:pPr>
            <w:r>
              <w:rPr>
                <w:rFonts w:hint="default" w:ascii="Times New Roman" w:hAnsi="Times New Roman" w:cs="Times New Roman"/>
                <w:color w:val="auto"/>
                <w:kern w:val="0"/>
                <w:sz w:val="20"/>
                <w:szCs w:val="22"/>
              </w:rPr>
              <w:t>1</w:t>
            </w:r>
            <w:r>
              <w:rPr>
                <w:rFonts w:hint="default" w:ascii="Times New Roman" w:hAnsi="Times New Roman" w:cs="Times New Roman"/>
                <w:color w:val="auto"/>
                <w:kern w:val="0"/>
                <w:sz w:val="20"/>
                <w:szCs w:val="22"/>
                <w:lang w:val="en-US" w:eastAsia="zh-CN"/>
              </w:rPr>
              <w:t>8</w:t>
            </w:r>
          </w:p>
        </w:tc>
        <w:tc>
          <w:tcPr>
            <w:tcW w:w="204"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抚仙湖流域保护治理项目运行管护</w:t>
            </w:r>
          </w:p>
        </w:tc>
        <w:tc>
          <w:tcPr>
            <w:tcW w:w="196" w:type="pct"/>
            <w:vMerge w:val="restar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执法监管类</w:t>
            </w:r>
          </w:p>
        </w:tc>
        <w:tc>
          <w:tcPr>
            <w:tcW w:w="1677"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对“十二五”以来已建成项目以及抚仙湖保护相关“专项行动”的项目进行运营管理，确保设施充分发挥效益。</w:t>
            </w:r>
          </w:p>
        </w:tc>
        <w:tc>
          <w:tcPr>
            <w:tcW w:w="40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2021—2025</w:t>
            </w:r>
          </w:p>
        </w:tc>
        <w:tc>
          <w:tcPr>
            <w:tcW w:w="33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5</w:t>
            </w:r>
            <w:r>
              <w:rPr>
                <w:rFonts w:hint="default" w:ascii="Times New Roman" w:hAnsi="Times New Roman" w:cs="Times New Roman"/>
                <w:color w:val="auto"/>
                <w:kern w:val="0"/>
                <w:sz w:val="20"/>
                <w:szCs w:val="22"/>
              </w:rPr>
              <w:t>333.4</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9</w:t>
            </w:r>
            <w:r>
              <w:rPr>
                <w:rFonts w:hint="default" w:ascii="Times New Roman" w:hAnsi="Times New Roman" w:cs="Times New Roman"/>
                <w:color w:val="auto"/>
                <w:kern w:val="0"/>
                <w:sz w:val="20"/>
                <w:szCs w:val="22"/>
              </w:rPr>
              <w:t>333.4</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9</w:t>
            </w:r>
            <w:r>
              <w:rPr>
                <w:rFonts w:hint="default" w:ascii="Times New Roman" w:hAnsi="Times New Roman" w:cs="Times New Roman"/>
                <w:color w:val="auto"/>
                <w:kern w:val="0"/>
                <w:sz w:val="20"/>
                <w:szCs w:val="22"/>
              </w:rPr>
              <w:t>333.4</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7</w:t>
            </w:r>
            <w:r>
              <w:rPr>
                <w:rFonts w:hint="default" w:ascii="Times New Roman" w:hAnsi="Times New Roman" w:cs="Times New Roman"/>
                <w:color w:val="auto"/>
                <w:kern w:val="0"/>
                <w:sz w:val="20"/>
                <w:szCs w:val="22"/>
              </w:rPr>
              <w:t>333.4</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5</w:t>
            </w:r>
            <w:r>
              <w:rPr>
                <w:rFonts w:hint="default" w:ascii="Times New Roman" w:hAnsi="Times New Roman" w:cs="Times New Roman"/>
                <w:color w:val="auto"/>
                <w:kern w:val="0"/>
                <w:sz w:val="20"/>
                <w:szCs w:val="22"/>
              </w:rPr>
              <w:t>333.4</w:t>
            </w:r>
          </w:p>
        </w:tc>
        <w:tc>
          <w:tcPr>
            <w:tcW w:w="36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3</w:t>
            </w:r>
            <w:r>
              <w:rPr>
                <w:rFonts w:hint="default" w:ascii="Times New Roman" w:hAnsi="Times New Roman" w:cs="Times New Roman"/>
                <w:color w:val="auto"/>
                <w:kern w:val="0"/>
                <w:sz w:val="20"/>
                <w:szCs w:val="22"/>
              </w:rPr>
              <w:t>6667</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各项目营运管护单位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38" w:type="pct"/>
            <w:shd w:val="clear" w:color="auto" w:fill="auto"/>
            <w:vAlign w:val="center"/>
          </w:tcPr>
          <w:p>
            <w:pPr>
              <w:widowControl/>
              <w:jc w:val="center"/>
              <w:rPr>
                <w:rFonts w:hint="default" w:ascii="Times New Roman" w:hAnsi="Times New Roman" w:eastAsia="宋体" w:cs="Times New Roman"/>
                <w:color w:val="auto"/>
                <w:kern w:val="0"/>
                <w:sz w:val="20"/>
                <w:szCs w:val="22"/>
                <w:lang w:eastAsia="zh-CN"/>
              </w:rPr>
            </w:pPr>
            <w:r>
              <w:rPr>
                <w:rFonts w:hint="default" w:ascii="Times New Roman" w:hAnsi="Times New Roman" w:cs="Times New Roman"/>
                <w:color w:val="auto"/>
                <w:kern w:val="0"/>
                <w:sz w:val="20"/>
                <w:szCs w:val="22"/>
              </w:rPr>
              <w:t>1</w:t>
            </w:r>
            <w:r>
              <w:rPr>
                <w:rFonts w:hint="default" w:ascii="Times New Roman" w:hAnsi="Times New Roman" w:cs="Times New Roman"/>
                <w:color w:val="auto"/>
                <w:kern w:val="0"/>
                <w:sz w:val="20"/>
                <w:szCs w:val="22"/>
                <w:lang w:val="en-US" w:eastAsia="zh-CN"/>
              </w:rPr>
              <w:t>9</w:t>
            </w:r>
          </w:p>
        </w:tc>
        <w:tc>
          <w:tcPr>
            <w:tcW w:w="204"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eastAsia="宋体" w:cs="Times New Roman"/>
                <w:color w:val="auto"/>
                <w:kern w:val="0"/>
                <w:sz w:val="20"/>
                <w:szCs w:val="22"/>
                <w:lang w:val="en-US" w:eastAsia="zh-CN"/>
              </w:rPr>
              <w:t>三湖流域水环境保护数字化监管系统建设</w:t>
            </w:r>
          </w:p>
        </w:tc>
        <w:tc>
          <w:tcPr>
            <w:tcW w:w="196" w:type="pct"/>
            <w:vMerge w:val="continue"/>
            <w:vAlign w:val="center"/>
          </w:tcPr>
          <w:p>
            <w:pPr>
              <w:widowControl/>
              <w:jc w:val="center"/>
              <w:rPr>
                <w:rFonts w:hint="default" w:ascii="Times New Roman" w:hAnsi="Times New Roman" w:cs="Times New Roman"/>
                <w:color w:val="auto"/>
                <w:kern w:val="0"/>
                <w:sz w:val="20"/>
                <w:szCs w:val="22"/>
              </w:rPr>
            </w:pPr>
          </w:p>
        </w:tc>
        <w:tc>
          <w:tcPr>
            <w:tcW w:w="1677" w:type="pct"/>
            <w:shd w:val="clear" w:color="auto" w:fill="auto"/>
            <w:vAlign w:val="center"/>
          </w:tcPr>
          <w:p>
            <w:pPr>
              <w:widowControl/>
              <w:jc w:val="left"/>
              <w:rPr>
                <w:rFonts w:hint="default" w:ascii="Times New Roman" w:hAnsi="Times New Roman" w:eastAsia="宋体" w:cs="Times New Roman"/>
                <w:color w:val="auto"/>
                <w:kern w:val="0"/>
                <w:sz w:val="20"/>
                <w:szCs w:val="22"/>
              </w:rPr>
            </w:pPr>
            <w:r>
              <w:rPr>
                <w:rFonts w:hint="default" w:ascii="Times New Roman" w:hAnsi="Times New Roman" w:eastAsia="宋体" w:cs="Times New Roman"/>
                <w:color w:val="auto"/>
                <w:kern w:val="0"/>
                <w:sz w:val="20"/>
                <w:szCs w:val="22"/>
                <w:lang w:val="en-US" w:eastAsia="zh-CN"/>
              </w:rPr>
              <w:t>搭建数据采集、支撑服务及应用平台；建设基础数据库、时空数据库、监测数据库等7类数据库，同时布设视频监控、气象水文等感知设备；新建澄江、江川、通海湖泊指挥调度中心。</w:t>
            </w:r>
          </w:p>
        </w:tc>
        <w:tc>
          <w:tcPr>
            <w:tcW w:w="40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2021—2025</w:t>
            </w:r>
          </w:p>
        </w:tc>
        <w:tc>
          <w:tcPr>
            <w:tcW w:w="332"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1000</w:t>
            </w:r>
          </w:p>
        </w:tc>
        <w:tc>
          <w:tcPr>
            <w:tcW w:w="320"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1000</w:t>
            </w:r>
          </w:p>
        </w:tc>
        <w:tc>
          <w:tcPr>
            <w:tcW w:w="35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1000</w:t>
            </w:r>
          </w:p>
        </w:tc>
        <w:tc>
          <w:tcPr>
            <w:tcW w:w="353"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1000</w:t>
            </w:r>
          </w:p>
        </w:tc>
        <w:tc>
          <w:tcPr>
            <w:tcW w:w="320"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1000</w:t>
            </w:r>
          </w:p>
        </w:tc>
        <w:tc>
          <w:tcPr>
            <w:tcW w:w="362" w:type="pct"/>
            <w:shd w:val="clear" w:color="auto" w:fill="auto"/>
            <w:vAlign w:val="center"/>
          </w:tcPr>
          <w:p>
            <w:pPr>
              <w:widowControl/>
              <w:jc w:val="center"/>
              <w:rPr>
                <w:rFonts w:hint="default" w:ascii="Times New Roman" w:hAnsi="Times New Roman"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5000</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lang w:val="en-US" w:eastAsia="zh-CN"/>
              </w:rPr>
              <w:t>玉溪市委网信办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69" w:hRule="atLeast"/>
          <w:jc w:val="center"/>
        </w:trPr>
        <w:tc>
          <w:tcPr>
            <w:tcW w:w="138"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20</w:t>
            </w:r>
          </w:p>
        </w:tc>
        <w:tc>
          <w:tcPr>
            <w:tcW w:w="204"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eastAsia="宋体" w:cs="Times New Roman"/>
                <w:color w:val="auto"/>
                <w:kern w:val="0"/>
                <w:sz w:val="20"/>
                <w:szCs w:val="22"/>
                <w:lang w:val="en-US" w:eastAsia="zh-CN"/>
              </w:rPr>
              <w:t>玉溪市</w:t>
            </w:r>
            <w:r>
              <w:rPr>
                <w:rFonts w:hint="default" w:ascii="Times New Roman" w:hAnsi="Times New Roman" w:cs="Times New Roman"/>
                <w:color w:val="auto"/>
                <w:kern w:val="0"/>
                <w:sz w:val="20"/>
                <w:szCs w:val="22"/>
                <w:lang w:val="en-US" w:eastAsia="zh-CN"/>
              </w:rPr>
              <w:t>“</w:t>
            </w:r>
            <w:r>
              <w:rPr>
                <w:rFonts w:hint="default" w:ascii="Times New Roman" w:hAnsi="Times New Roman" w:eastAsia="宋体" w:cs="Times New Roman"/>
                <w:color w:val="auto"/>
                <w:kern w:val="0"/>
                <w:sz w:val="20"/>
                <w:szCs w:val="22"/>
                <w:lang w:val="en-US" w:eastAsia="zh-CN"/>
              </w:rPr>
              <w:t>三湖</w:t>
            </w:r>
            <w:r>
              <w:rPr>
                <w:rFonts w:hint="default" w:ascii="Times New Roman" w:hAnsi="Times New Roman" w:cs="Times New Roman"/>
                <w:color w:val="auto"/>
                <w:kern w:val="0"/>
                <w:sz w:val="20"/>
                <w:szCs w:val="22"/>
                <w:lang w:val="en-US" w:eastAsia="zh-CN"/>
              </w:rPr>
              <w:t>”</w:t>
            </w:r>
            <w:r>
              <w:rPr>
                <w:rFonts w:hint="default" w:ascii="Times New Roman" w:hAnsi="Times New Roman" w:eastAsia="宋体" w:cs="Times New Roman"/>
                <w:color w:val="auto"/>
                <w:kern w:val="0"/>
                <w:sz w:val="20"/>
                <w:szCs w:val="22"/>
                <w:lang w:val="en-US" w:eastAsia="zh-CN"/>
              </w:rPr>
              <w:t>流域水环境质量自动监测建设项目</w:t>
            </w:r>
          </w:p>
        </w:tc>
        <w:tc>
          <w:tcPr>
            <w:tcW w:w="196" w:type="pct"/>
            <w:vMerge w:val="continue"/>
            <w:vAlign w:val="center"/>
          </w:tcPr>
          <w:p>
            <w:pPr>
              <w:widowControl/>
              <w:jc w:val="center"/>
              <w:rPr>
                <w:rFonts w:hint="default" w:ascii="Times New Roman" w:hAnsi="Times New Roman" w:cs="Times New Roman"/>
                <w:color w:val="auto"/>
                <w:kern w:val="0"/>
                <w:sz w:val="20"/>
                <w:szCs w:val="22"/>
              </w:rPr>
            </w:pPr>
          </w:p>
        </w:tc>
        <w:tc>
          <w:tcPr>
            <w:tcW w:w="1677" w:type="pct"/>
            <w:shd w:val="clear" w:color="auto" w:fill="auto"/>
            <w:vAlign w:val="center"/>
          </w:tcPr>
          <w:p>
            <w:pPr>
              <w:widowControl/>
              <w:jc w:val="left"/>
              <w:rPr>
                <w:rFonts w:hint="default" w:ascii="Times New Roman" w:hAnsi="Times New Roman" w:eastAsia="宋体" w:cs="Times New Roman"/>
                <w:color w:val="auto"/>
                <w:kern w:val="0"/>
                <w:sz w:val="20"/>
                <w:szCs w:val="22"/>
              </w:rPr>
            </w:pPr>
            <w:r>
              <w:rPr>
                <w:rFonts w:hint="default" w:ascii="Times New Roman" w:hAnsi="Times New Roman" w:eastAsia="宋体" w:cs="Times New Roman"/>
                <w:color w:val="auto"/>
                <w:kern w:val="0"/>
                <w:sz w:val="20"/>
                <w:szCs w:val="22"/>
                <w:lang w:val="en-US" w:eastAsia="zh-CN"/>
              </w:rPr>
              <w:t>在</w:t>
            </w:r>
            <w:r>
              <w:rPr>
                <w:rFonts w:hint="default" w:ascii="Times New Roman" w:hAnsi="Times New Roman" w:cs="Times New Roman"/>
                <w:color w:val="auto"/>
                <w:kern w:val="0"/>
                <w:sz w:val="20"/>
                <w:szCs w:val="22"/>
                <w:lang w:val="en-US" w:eastAsia="zh-CN"/>
              </w:rPr>
              <w:t>“</w:t>
            </w:r>
            <w:r>
              <w:rPr>
                <w:rFonts w:hint="default" w:ascii="Times New Roman" w:hAnsi="Times New Roman" w:eastAsia="宋体" w:cs="Times New Roman"/>
                <w:color w:val="auto"/>
                <w:kern w:val="0"/>
                <w:sz w:val="20"/>
                <w:szCs w:val="22"/>
                <w:lang w:val="en-US" w:eastAsia="zh-CN"/>
              </w:rPr>
              <w:t>三湖</w:t>
            </w:r>
            <w:r>
              <w:rPr>
                <w:rFonts w:hint="default" w:ascii="Times New Roman" w:hAnsi="Times New Roman" w:cs="Times New Roman"/>
                <w:color w:val="auto"/>
                <w:kern w:val="0"/>
                <w:sz w:val="20"/>
                <w:szCs w:val="22"/>
                <w:lang w:val="en-US" w:eastAsia="zh-CN"/>
              </w:rPr>
              <w:t>”</w:t>
            </w:r>
            <w:r>
              <w:rPr>
                <w:rFonts w:hint="eastAsia" w:cs="Times New Roman"/>
                <w:color w:val="auto"/>
                <w:kern w:val="0"/>
                <w:sz w:val="20"/>
                <w:szCs w:val="22"/>
                <w:lang w:val="en-US" w:eastAsia="zh-CN"/>
              </w:rPr>
              <w:t>38</w:t>
            </w:r>
            <w:r>
              <w:rPr>
                <w:rFonts w:hint="default" w:ascii="Times New Roman" w:hAnsi="Times New Roman" w:eastAsia="宋体" w:cs="Times New Roman"/>
                <w:color w:val="auto"/>
                <w:kern w:val="0"/>
                <w:sz w:val="20"/>
                <w:szCs w:val="22"/>
                <w:lang w:val="en-US" w:eastAsia="zh-CN"/>
              </w:rPr>
              <w:t>条主要入湖河流入湖口以及2</w:t>
            </w:r>
            <w:r>
              <w:rPr>
                <w:rFonts w:hint="eastAsia" w:cs="Times New Roman"/>
                <w:color w:val="auto"/>
                <w:kern w:val="0"/>
                <w:sz w:val="20"/>
                <w:szCs w:val="22"/>
                <w:lang w:val="en-US" w:eastAsia="zh-CN"/>
              </w:rPr>
              <w:t>5</w:t>
            </w:r>
            <w:r>
              <w:rPr>
                <w:rFonts w:hint="default" w:ascii="Times New Roman" w:hAnsi="Times New Roman" w:eastAsia="宋体" w:cs="Times New Roman"/>
                <w:color w:val="auto"/>
                <w:kern w:val="0"/>
                <w:sz w:val="20"/>
                <w:szCs w:val="22"/>
                <w:lang w:val="en-US" w:eastAsia="zh-CN"/>
              </w:rPr>
              <w:t>个调蓄带点位建设</w:t>
            </w:r>
            <w:r>
              <w:rPr>
                <w:rFonts w:hint="eastAsia" w:cs="Times New Roman"/>
                <w:color w:val="auto"/>
                <w:kern w:val="0"/>
                <w:sz w:val="20"/>
                <w:szCs w:val="22"/>
                <w:lang w:val="en-US" w:eastAsia="zh-CN"/>
              </w:rPr>
              <w:t>67</w:t>
            </w:r>
            <w:r>
              <w:rPr>
                <w:rFonts w:hint="default" w:ascii="Times New Roman" w:hAnsi="Times New Roman" w:eastAsia="宋体" w:cs="Times New Roman"/>
                <w:color w:val="auto"/>
                <w:kern w:val="0"/>
                <w:sz w:val="20"/>
                <w:szCs w:val="22"/>
                <w:lang w:val="en-US" w:eastAsia="zh-CN"/>
              </w:rPr>
              <w:t>个水质自动监测站。</w:t>
            </w:r>
          </w:p>
        </w:tc>
        <w:tc>
          <w:tcPr>
            <w:tcW w:w="40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2021—2025</w:t>
            </w:r>
          </w:p>
        </w:tc>
        <w:tc>
          <w:tcPr>
            <w:tcW w:w="332" w:type="pct"/>
            <w:shd w:val="clear" w:color="auto" w:fill="auto"/>
            <w:vAlign w:val="center"/>
          </w:tcPr>
          <w:p>
            <w:pPr>
              <w:widowControl/>
              <w:jc w:val="center"/>
              <w:rPr>
                <w:rFonts w:hint="default" w:ascii="Times New Roman" w:hAnsi="Times New Roman" w:cs="Times New Roman"/>
                <w:color w:val="auto"/>
                <w:kern w:val="0"/>
                <w:sz w:val="20"/>
                <w:szCs w:val="22"/>
              </w:rPr>
            </w:pPr>
          </w:p>
        </w:tc>
        <w:tc>
          <w:tcPr>
            <w:tcW w:w="320" w:type="pct"/>
            <w:shd w:val="clear" w:color="auto" w:fill="auto"/>
            <w:vAlign w:val="center"/>
          </w:tcPr>
          <w:p>
            <w:pPr>
              <w:pStyle w:val="2"/>
              <w:ind w:left="0" w:leftChars="0" w:firstLine="200" w:firstLineChars="100"/>
              <w:jc w:val="both"/>
              <w:rPr>
                <w:rFonts w:hint="default" w:ascii="Times New Roman" w:hAnsi="Times New Roman" w:eastAsia="宋体" w:cs="Times New Roman"/>
                <w:color w:val="auto"/>
                <w:kern w:val="0"/>
                <w:sz w:val="20"/>
                <w:szCs w:val="22"/>
                <w:lang w:val="en-US" w:eastAsia="zh-CN" w:bidi="ar-SA"/>
              </w:rPr>
            </w:pPr>
            <w:r>
              <w:rPr>
                <w:rFonts w:hint="eastAsia" w:ascii="Times New Roman" w:hAnsi="Times New Roman" w:eastAsia="宋体" w:cs="Times New Roman"/>
                <w:color w:val="auto"/>
                <w:kern w:val="0"/>
                <w:sz w:val="20"/>
                <w:szCs w:val="22"/>
                <w:lang w:val="en-US" w:eastAsia="zh-CN" w:bidi="ar-SA"/>
              </w:rPr>
              <w:t>3300</w:t>
            </w:r>
          </w:p>
        </w:tc>
        <w:tc>
          <w:tcPr>
            <w:tcW w:w="353" w:type="pct"/>
            <w:shd w:val="clear" w:color="auto" w:fill="auto"/>
            <w:vAlign w:val="center"/>
          </w:tcPr>
          <w:p>
            <w:pPr>
              <w:pStyle w:val="2"/>
              <w:ind w:left="0" w:leftChars="0" w:firstLine="200" w:firstLineChars="100"/>
              <w:jc w:val="both"/>
              <w:rPr>
                <w:rFonts w:hint="default" w:ascii="Times New Roman" w:hAnsi="Times New Roman" w:eastAsia="宋体" w:cs="Times New Roman"/>
                <w:color w:val="auto"/>
                <w:kern w:val="0"/>
                <w:sz w:val="20"/>
                <w:szCs w:val="22"/>
                <w:lang w:val="en-US" w:eastAsia="zh-CN" w:bidi="ar-SA"/>
              </w:rPr>
            </w:pPr>
            <w:r>
              <w:rPr>
                <w:rFonts w:hint="eastAsia" w:ascii="Times New Roman" w:hAnsi="Times New Roman" w:eastAsia="宋体" w:cs="Times New Roman"/>
                <w:color w:val="auto"/>
                <w:kern w:val="0"/>
                <w:sz w:val="20"/>
                <w:szCs w:val="22"/>
                <w:lang w:val="en-US" w:eastAsia="zh-CN" w:bidi="ar-SA"/>
              </w:rPr>
              <w:t>900</w:t>
            </w:r>
          </w:p>
        </w:tc>
        <w:tc>
          <w:tcPr>
            <w:tcW w:w="353" w:type="pct"/>
            <w:shd w:val="clear" w:color="auto" w:fill="auto"/>
            <w:vAlign w:val="center"/>
          </w:tcPr>
          <w:p>
            <w:pPr>
              <w:pStyle w:val="2"/>
              <w:ind w:left="0" w:leftChars="0" w:firstLine="200" w:firstLineChars="100"/>
              <w:jc w:val="both"/>
              <w:rPr>
                <w:rFonts w:hint="default" w:ascii="Times New Roman" w:hAnsi="Times New Roman" w:eastAsia="宋体" w:cs="Times New Roman"/>
                <w:color w:val="auto"/>
                <w:kern w:val="0"/>
                <w:sz w:val="20"/>
                <w:szCs w:val="22"/>
                <w:lang w:val="en-US" w:eastAsia="zh-CN" w:bidi="ar-SA"/>
              </w:rPr>
            </w:pPr>
            <w:r>
              <w:rPr>
                <w:rFonts w:hint="eastAsia" w:ascii="Times New Roman" w:hAnsi="Times New Roman" w:eastAsia="宋体" w:cs="Times New Roman"/>
                <w:color w:val="auto"/>
                <w:kern w:val="0"/>
                <w:sz w:val="20"/>
                <w:szCs w:val="22"/>
                <w:lang w:val="en-US" w:eastAsia="zh-CN" w:bidi="ar-SA"/>
              </w:rPr>
              <w:t>900</w:t>
            </w:r>
          </w:p>
        </w:tc>
        <w:tc>
          <w:tcPr>
            <w:tcW w:w="320" w:type="pct"/>
            <w:shd w:val="clear" w:color="auto" w:fill="auto"/>
            <w:vAlign w:val="center"/>
          </w:tcPr>
          <w:p>
            <w:pPr>
              <w:pStyle w:val="2"/>
              <w:ind w:left="0" w:leftChars="0" w:firstLine="200" w:firstLineChars="100"/>
              <w:jc w:val="both"/>
              <w:rPr>
                <w:rFonts w:hint="default" w:ascii="Times New Roman" w:hAnsi="Times New Roman" w:eastAsia="宋体" w:cs="Times New Roman"/>
                <w:color w:val="auto"/>
                <w:kern w:val="0"/>
                <w:sz w:val="20"/>
                <w:szCs w:val="22"/>
                <w:lang w:val="en-US" w:eastAsia="zh-CN" w:bidi="ar-SA"/>
              </w:rPr>
            </w:pPr>
            <w:r>
              <w:rPr>
                <w:rFonts w:hint="eastAsia" w:ascii="Times New Roman" w:hAnsi="Times New Roman" w:eastAsia="宋体" w:cs="Times New Roman"/>
                <w:color w:val="auto"/>
                <w:kern w:val="0"/>
                <w:sz w:val="20"/>
                <w:szCs w:val="22"/>
                <w:lang w:val="en-US" w:eastAsia="zh-CN" w:bidi="ar-SA"/>
              </w:rPr>
              <w:t>900</w:t>
            </w:r>
          </w:p>
        </w:tc>
        <w:tc>
          <w:tcPr>
            <w:tcW w:w="362"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bidi="ar-SA"/>
              </w:rPr>
            </w:pPr>
            <w:r>
              <w:rPr>
                <w:rFonts w:hint="eastAsia" w:ascii="Times New Roman" w:hAnsi="Times New Roman" w:eastAsia="宋体" w:cs="Times New Roman"/>
                <w:color w:val="auto"/>
                <w:kern w:val="0"/>
                <w:sz w:val="20"/>
                <w:szCs w:val="22"/>
                <w:lang w:val="en-US" w:eastAsia="zh-CN" w:bidi="ar-SA"/>
              </w:rPr>
              <w:t>6</w:t>
            </w:r>
            <w:r>
              <w:rPr>
                <w:rFonts w:hint="default" w:ascii="Times New Roman" w:hAnsi="Times New Roman" w:eastAsia="宋体" w:cs="Times New Roman"/>
                <w:color w:val="auto"/>
                <w:kern w:val="0"/>
                <w:sz w:val="20"/>
                <w:szCs w:val="22"/>
                <w:lang w:val="en-US" w:eastAsia="zh-CN" w:bidi="ar-SA"/>
              </w:rPr>
              <w:t>000</w:t>
            </w:r>
          </w:p>
        </w:tc>
        <w:tc>
          <w:tcPr>
            <w:tcW w:w="336" w:type="pct"/>
            <w:shd w:val="clear" w:color="auto" w:fill="auto"/>
            <w:vAlign w:val="center"/>
          </w:tcPr>
          <w:p>
            <w:pPr>
              <w:widowControl/>
              <w:jc w:val="both"/>
              <w:rPr>
                <w:rFonts w:hint="default" w:ascii="Times New Roman" w:hAnsi="Times New Roman" w:eastAsia="宋体" w:cs="Times New Roman"/>
                <w:color w:val="auto"/>
                <w:kern w:val="0"/>
                <w:sz w:val="20"/>
                <w:szCs w:val="22"/>
                <w:lang w:eastAsia="zh-CN"/>
              </w:rPr>
            </w:pPr>
            <w:r>
              <w:rPr>
                <w:rFonts w:hint="default" w:ascii="Times New Roman" w:hAnsi="Times New Roman" w:cs="Times New Roman"/>
                <w:color w:val="auto"/>
                <w:kern w:val="0"/>
                <w:sz w:val="20"/>
                <w:szCs w:val="22"/>
                <w:lang w:eastAsia="zh-CN"/>
              </w:rPr>
              <w:t>玉溪市生态环境局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38"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lang w:val="en-US" w:eastAsia="zh-CN"/>
              </w:rPr>
              <w:t>21</w:t>
            </w:r>
          </w:p>
        </w:tc>
        <w:tc>
          <w:tcPr>
            <w:tcW w:w="204"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抚仙湖水文监测中心</w:t>
            </w:r>
          </w:p>
        </w:tc>
        <w:tc>
          <w:tcPr>
            <w:tcW w:w="196" w:type="pct"/>
            <w:vMerge w:val="continue"/>
            <w:vAlign w:val="center"/>
          </w:tcPr>
          <w:p>
            <w:pPr>
              <w:widowControl/>
              <w:jc w:val="center"/>
              <w:rPr>
                <w:rFonts w:hint="default" w:ascii="Times New Roman" w:hAnsi="Times New Roman" w:cs="Times New Roman"/>
                <w:color w:val="auto"/>
                <w:kern w:val="0"/>
                <w:sz w:val="20"/>
                <w:szCs w:val="22"/>
              </w:rPr>
            </w:pPr>
          </w:p>
        </w:tc>
        <w:tc>
          <w:tcPr>
            <w:tcW w:w="1677"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规划建设地点澄江海口水文中心站，配备人员5人。1、中心能力；中心充分利用现有资源，仪配置高性能台式计算工作站、高性能便携式计算工作站、交换机、会商系统、视频系统、网络布线等信息系统硬件。配置湖泊水生态监测设备，包括：藻类分类检测仪、水体微生物样品采集系统、浮游生物处理装置、底栖动物分样筛、水体微生物无菌抽滤系统、微分干涉倒置生物荧光显微镜、1/32抓斗式采泥器、扫描电子显微镜、解剖镜、生物显微镜（正置）等设备。2，水文站网：6条主要入湖河流上新建6个水文巡测断面，1</w:t>
            </w:r>
            <w:r>
              <w:rPr>
                <w:rFonts w:hint="eastAsia" w:cs="Times New Roman"/>
                <w:color w:val="auto"/>
                <w:kern w:val="0"/>
                <w:sz w:val="20"/>
                <w:szCs w:val="22"/>
                <w:lang w:val="en-US" w:eastAsia="zh-CN"/>
              </w:rPr>
              <w:t>个</w:t>
            </w:r>
            <w:r>
              <w:rPr>
                <w:rFonts w:hint="default" w:ascii="Times New Roman" w:hAnsi="Times New Roman" w:cs="Times New Roman"/>
                <w:color w:val="auto"/>
                <w:kern w:val="0"/>
                <w:sz w:val="20"/>
                <w:szCs w:val="22"/>
              </w:rPr>
              <w:t>水文站进行提档升级改造：对流域内2个国家级地下水监测站进行改造：对流域内5个雨量站进行雨量遥测设备更新；新增6条河流水质监测断面（巡测）。</w:t>
            </w:r>
          </w:p>
        </w:tc>
        <w:tc>
          <w:tcPr>
            <w:tcW w:w="40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2021—2025</w:t>
            </w:r>
          </w:p>
        </w:tc>
        <w:tc>
          <w:tcPr>
            <w:tcW w:w="33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558.5</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679.5</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w:t>
            </w:r>
          </w:p>
        </w:tc>
        <w:tc>
          <w:tcPr>
            <w:tcW w:w="36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1238</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云南省水文水资源局玉溪分局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38" w:type="pct"/>
            <w:shd w:val="clear" w:color="auto" w:fill="auto"/>
            <w:vAlign w:val="center"/>
          </w:tcPr>
          <w:p>
            <w:pPr>
              <w:widowControl/>
              <w:jc w:val="center"/>
              <w:rPr>
                <w:rFonts w:hint="default" w:ascii="Times New Roman" w:hAnsi="Times New Roman" w:eastAsia="宋体" w:cs="Times New Roman"/>
                <w:color w:val="auto"/>
                <w:kern w:val="0"/>
                <w:sz w:val="20"/>
                <w:szCs w:val="22"/>
                <w:lang w:eastAsia="zh-CN"/>
              </w:rPr>
            </w:pPr>
            <w:r>
              <w:rPr>
                <w:rFonts w:hint="default" w:ascii="Times New Roman" w:hAnsi="Times New Roman" w:cs="Times New Roman"/>
                <w:color w:val="auto"/>
                <w:kern w:val="0"/>
                <w:sz w:val="20"/>
                <w:szCs w:val="22"/>
              </w:rPr>
              <w:t>2</w:t>
            </w:r>
            <w:r>
              <w:rPr>
                <w:rFonts w:hint="default" w:ascii="Times New Roman" w:hAnsi="Times New Roman" w:cs="Times New Roman"/>
                <w:color w:val="auto"/>
                <w:kern w:val="0"/>
                <w:sz w:val="20"/>
                <w:szCs w:val="22"/>
                <w:lang w:val="en-US" w:eastAsia="zh-CN"/>
              </w:rPr>
              <w:t>2</w:t>
            </w:r>
          </w:p>
        </w:tc>
        <w:tc>
          <w:tcPr>
            <w:tcW w:w="204"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抚仙湖水环境保护精准研究项目</w:t>
            </w:r>
          </w:p>
        </w:tc>
        <w:tc>
          <w:tcPr>
            <w:tcW w:w="196" w:type="pct"/>
            <w:vMerge w:val="continue"/>
            <w:vAlign w:val="center"/>
          </w:tcPr>
          <w:p>
            <w:pPr>
              <w:widowControl/>
              <w:jc w:val="center"/>
              <w:rPr>
                <w:rFonts w:hint="default" w:ascii="Times New Roman" w:hAnsi="Times New Roman" w:cs="Times New Roman"/>
                <w:color w:val="auto"/>
                <w:kern w:val="0"/>
                <w:sz w:val="20"/>
                <w:szCs w:val="22"/>
              </w:rPr>
            </w:pPr>
          </w:p>
        </w:tc>
        <w:tc>
          <w:tcPr>
            <w:tcW w:w="1677"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1.抚仙湖水质波动原因解析：通过抚仙湖流域污染负荷特征调查、湖体水环境历史演变规律和时空变化特征调查研究，阐明深水湖泊所特有的成层期与非成层期不同的水环境变化特征，以及表层与深水层间营养盐的消长与累积的动力学过程。借助数理模型建立抚仙湖入湖污染负荷与湖体水质的响应关系，强化入湖负荷核算，解析导致抚仙湖水质波动的自然与人为因素的影响。2.抚仙湖藻类异常增殖机制研究：针对抚仙湖近年来藻类异常增殖的现象，基于抚仙湖藻类与大型水生植物的系统调查，借助生态系统模型构建与水生态过程模拟研究等手段，研究抚仙湖藻类异常增殖问题的成因与机制。3.抚仙湖水量及物质平衡研究：针对目前抚仙湖径流入湖、地下水补给（渗漏）等水文过程难以精确定量、水文收支过程不清的问题，开展抚仙湖主要入湖河流径流量及湖体水量和物质平衡的高频监测研究，借助遥感、空间插值技术手段及水文学计算方法，解析人类活动、气候变化等对湖体水量及物质平衡的影响。4.抚仙湖水生态环境保护对策建议：依据以上抚仙湖水质、水生态、水资源问题成因机制和流域水环境治理工程绩效评估的研究成果，针对性地提出抚仙湖水质保持Ⅰ类、水生态系统健康、水资源调控和环境治理工程优化布局的对策建议。</w:t>
            </w:r>
          </w:p>
        </w:tc>
        <w:tc>
          <w:tcPr>
            <w:tcW w:w="40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2021—2025</w:t>
            </w:r>
          </w:p>
        </w:tc>
        <w:tc>
          <w:tcPr>
            <w:tcW w:w="33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300</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200</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320</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w:t>
            </w:r>
          </w:p>
        </w:tc>
        <w:tc>
          <w:tcPr>
            <w:tcW w:w="36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820</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玉溪市抚管局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22" w:hRule="atLeast"/>
          <w:jc w:val="center"/>
        </w:trPr>
        <w:tc>
          <w:tcPr>
            <w:tcW w:w="138" w:type="pct"/>
            <w:shd w:val="clear" w:color="auto" w:fill="auto"/>
            <w:vAlign w:val="center"/>
          </w:tcPr>
          <w:p>
            <w:pPr>
              <w:widowControl/>
              <w:jc w:val="center"/>
              <w:rPr>
                <w:rFonts w:hint="default" w:ascii="Times New Roman" w:hAnsi="Times New Roman" w:eastAsia="宋体" w:cs="Times New Roman"/>
                <w:color w:val="auto"/>
                <w:kern w:val="0"/>
                <w:sz w:val="20"/>
                <w:szCs w:val="22"/>
                <w:lang w:eastAsia="zh-CN"/>
              </w:rPr>
            </w:pPr>
            <w:r>
              <w:rPr>
                <w:rFonts w:hint="default" w:ascii="Times New Roman" w:hAnsi="Times New Roman" w:cs="Times New Roman"/>
                <w:color w:val="auto"/>
                <w:kern w:val="0"/>
                <w:sz w:val="20"/>
                <w:szCs w:val="22"/>
              </w:rPr>
              <w:t>2</w:t>
            </w:r>
            <w:r>
              <w:rPr>
                <w:rFonts w:hint="default" w:ascii="Times New Roman" w:hAnsi="Times New Roman" w:cs="Times New Roman"/>
                <w:color w:val="auto"/>
                <w:kern w:val="0"/>
                <w:sz w:val="20"/>
                <w:szCs w:val="22"/>
                <w:lang w:val="en-US" w:eastAsia="zh-CN"/>
              </w:rPr>
              <w:t>3</w:t>
            </w:r>
          </w:p>
        </w:tc>
        <w:tc>
          <w:tcPr>
            <w:tcW w:w="204"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抚仙湖流域再生水综合利用和雨水冲击性负荷研究与示范</w:t>
            </w:r>
          </w:p>
        </w:tc>
        <w:tc>
          <w:tcPr>
            <w:tcW w:w="196" w:type="pct"/>
            <w:vMerge w:val="continue"/>
            <w:vAlign w:val="center"/>
          </w:tcPr>
          <w:p>
            <w:pPr>
              <w:widowControl/>
              <w:jc w:val="center"/>
              <w:rPr>
                <w:rFonts w:hint="default" w:ascii="Times New Roman" w:hAnsi="Times New Roman" w:cs="Times New Roman"/>
                <w:color w:val="auto"/>
                <w:kern w:val="0"/>
                <w:sz w:val="20"/>
                <w:szCs w:val="22"/>
              </w:rPr>
            </w:pPr>
          </w:p>
        </w:tc>
        <w:tc>
          <w:tcPr>
            <w:tcW w:w="1677" w:type="pct"/>
            <w:shd w:val="clear" w:color="auto" w:fill="auto"/>
            <w:vAlign w:val="center"/>
          </w:tcPr>
          <w:p>
            <w:pPr>
              <w:widowControl/>
              <w:jc w:val="left"/>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通过抚仙湖北岸片区暴雨径流冲击性负荷、水资源（天然来水、中水和调蓄带低污染水等）特征及其开发利用情况系统调查研究，形成项目区冲击性负荷联合调蓄调度综合防控方案和区域再生水资源综合利用方案。最终按照综合防控方案和综合利用方案进行示范区工程方案设计，完成再生水综合利用和雨水冲击性负荷研究与示范总体实施方案编制。</w:t>
            </w:r>
          </w:p>
        </w:tc>
        <w:tc>
          <w:tcPr>
            <w:tcW w:w="40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2021—2023</w:t>
            </w:r>
          </w:p>
        </w:tc>
        <w:tc>
          <w:tcPr>
            <w:tcW w:w="33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50</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150</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p>
        </w:tc>
        <w:tc>
          <w:tcPr>
            <w:tcW w:w="36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200</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玉溪市生态环境局澄江分局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38" w:type="pct"/>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rPr>
              <w:t>2</w:t>
            </w:r>
            <w:r>
              <w:rPr>
                <w:rFonts w:hint="default" w:ascii="Times New Roman" w:hAnsi="Times New Roman" w:cs="Times New Roman"/>
                <w:color w:val="auto"/>
                <w:kern w:val="0"/>
                <w:sz w:val="20"/>
                <w:szCs w:val="22"/>
                <w:lang w:val="en-US" w:eastAsia="zh-CN"/>
              </w:rPr>
              <w:t>4</w:t>
            </w:r>
          </w:p>
        </w:tc>
        <w:tc>
          <w:tcPr>
            <w:tcW w:w="204"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抚仙湖总磷变化机制和趋势分析研判课题研究</w:t>
            </w:r>
          </w:p>
        </w:tc>
        <w:tc>
          <w:tcPr>
            <w:tcW w:w="196" w:type="pct"/>
            <w:vMerge w:val="continue"/>
            <w:vAlign w:val="center"/>
          </w:tcPr>
          <w:p>
            <w:pPr>
              <w:widowControl/>
              <w:jc w:val="center"/>
              <w:rPr>
                <w:rFonts w:hint="default" w:ascii="Times New Roman" w:hAnsi="Times New Roman" w:cs="Times New Roman"/>
                <w:color w:val="auto"/>
                <w:kern w:val="0"/>
                <w:sz w:val="20"/>
                <w:szCs w:val="22"/>
              </w:rPr>
            </w:pPr>
          </w:p>
        </w:tc>
        <w:tc>
          <w:tcPr>
            <w:tcW w:w="1677" w:type="pct"/>
            <w:shd w:val="clear" w:color="auto" w:fill="auto"/>
            <w:vAlign w:val="center"/>
          </w:tcPr>
          <w:p>
            <w:pPr>
              <w:widowControl/>
              <w:jc w:val="left"/>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揭示抚仙湖总磷变化机制，进行抚仙湖总磷变化趋势分析研判，为提升抚仙湖保护治理措施的精准性和有效性提供科学支撑。</w:t>
            </w:r>
          </w:p>
        </w:tc>
        <w:tc>
          <w:tcPr>
            <w:tcW w:w="40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2021—2023</w:t>
            </w:r>
          </w:p>
        </w:tc>
        <w:tc>
          <w:tcPr>
            <w:tcW w:w="33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w:t>
            </w: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0</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200</w:t>
            </w:r>
          </w:p>
        </w:tc>
        <w:tc>
          <w:tcPr>
            <w:tcW w:w="353" w:type="pct"/>
            <w:shd w:val="clear" w:color="auto" w:fill="auto"/>
            <w:vAlign w:val="center"/>
          </w:tcPr>
          <w:p>
            <w:pPr>
              <w:widowControl/>
              <w:jc w:val="center"/>
              <w:rPr>
                <w:rFonts w:hint="default" w:ascii="Times New Roman" w:hAnsi="Times New Roman" w:cs="Times New Roman"/>
                <w:color w:val="auto"/>
                <w:kern w:val="0"/>
                <w:sz w:val="20"/>
                <w:szCs w:val="22"/>
              </w:rPr>
            </w:pPr>
          </w:p>
        </w:tc>
        <w:tc>
          <w:tcPr>
            <w:tcW w:w="320" w:type="pct"/>
            <w:shd w:val="clear" w:color="auto" w:fill="auto"/>
            <w:vAlign w:val="center"/>
          </w:tcPr>
          <w:p>
            <w:pPr>
              <w:widowControl/>
              <w:jc w:val="center"/>
              <w:rPr>
                <w:rFonts w:hint="default" w:ascii="Times New Roman" w:hAnsi="Times New Roman" w:cs="Times New Roman"/>
                <w:color w:val="auto"/>
                <w:kern w:val="0"/>
                <w:sz w:val="20"/>
                <w:szCs w:val="22"/>
              </w:rPr>
            </w:pPr>
          </w:p>
        </w:tc>
        <w:tc>
          <w:tcPr>
            <w:tcW w:w="362"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200</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玉溪市抚管局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216" w:type="pct"/>
            <w:gridSpan w:val="4"/>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rPr>
              <w:t>合计</w:t>
            </w:r>
            <w:r>
              <w:rPr>
                <w:rFonts w:hint="default" w:ascii="Times New Roman" w:hAnsi="Times New Roman" w:cs="Times New Roman"/>
                <w:color w:val="auto"/>
                <w:kern w:val="0"/>
                <w:sz w:val="20"/>
                <w:szCs w:val="22"/>
                <w:lang w:val="en-US" w:eastAsia="zh-CN"/>
              </w:rPr>
              <w:t>7个项目</w:t>
            </w:r>
          </w:p>
        </w:tc>
        <w:tc>
          <w:tcPr>
            <w:tcW w:w="403" w:type="pct"/>
            <w:shd w:val="clear" w:color="auto" w:fill="auto"/>
            <w:vAlign w:val="center"/>
          </w:tcPr>
          <w:p>
            <w:pPr>
              <w:widowControl/>
              <w:jc w:val="center"/>
              <w:rPr>
                <w:rFonts w:hint="default" w:ascii="Times New Roman" w:hAnsi="Times New Roman" w:cs="Times New Roman"/>
                <w:color w:val="auto"/>
                <w:kern w:val="0"/>
                <w:sz w:val="20"/>
                <w:szCs w:val="22"/>
              </w:rPr>
            </w:pPr>
          </w:p>
        </w:tc>
        <w:tc>
          <w:tcPr>
            <w:tcW w:w="332"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eastAsia="宋体" w:cs="Times New Roman"/>
                <w:color w:val="auto"/>
                <w:kern w:val="0"/>
                <w:sz w:val="20"/>
                <w:szCs w:val="22"/>
              </w:rPr>
            </w:pPr>
            <w:r>
              <w:rPr>
                <w:rFonts w:hint="default" w:ascii="Times New Roman" w:hAnsi="Times New Roman" w:eastAsia="宋体" w:cs="Times New Roman"/>
                <w:color w:val="auto"/>
                <w:kern w:val="0"/>
                <w:sz w:val="20"/>
                <w:szCs w:val="22"/>
                <w:lang w:val="en-US" w:eastAsia="zh-CN"/>
              </w:rPr>
              <w:t>7241.9</w:t>
            </w:r>
          </w:p>
        </w:tc>
        <w:tc>
          <w:tcPr>
            <w:tcW w:w="320"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eastAsia="宋体" w:cs="Times New Roman"/>
                <w:color w:val="auto"/>
                <w:kern w:val="0"/>
                <w:sz w:val="20"/>
                <w:szCs w:val="22"/>
              </w:rPr>
            </w:pPr>
            <w:r>
              <w:rPr>
                <w:rFonts w:hint="default" w:ascii="Times New Roman" w:hAnsi="Times New Roman" w:eastAsia="宋体" w:cs="Times New Roman"/>
                <w:color w:val="auto"/>
                <w:kern w:val="0"/>
                <w:sz w:val="20"/>
                <w:szCs w:val="22"/>
                <w:lang w:val="en-US" w:eastAsia="zh-CN"/>
              </w:rPr>
              <w:t>12483.4</w:t>
            </w:r>
          </w:p>
        </w:tc>
        <w:tc>
          <w:tcPr>
            <w:tcW w:w="353"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eastAsia="宋体" w:cs="Times New Roman"/>
                <w:color w:val="auto"/>
                <w:kern w:val="0"/>
                <w:sz w:val="20"/>
                <w:szCs w:val="22"/>
              </w:rPr>
            </w:pPr>
            <w:r>
              <w:rPr>
                <w:rFonts w:hint="default" w:ascii="Times New Roman" w:hAnsi="Times New Roman" w:eastAsia="宋体" w:cs="Times New Roman"/>
                <w:color w:val="auto"/>
                <w:kern w:val="0"/>
                <w:sz w:val="20"/>
                <w:szCs w:val="22"/>
                <w:lang w:val="en-US" w:eastAsia="zh-CN"/>
              </w:rPr>
              <w:t>11733.4</w:t>
            </w:r>
          </w:p>
        </w:tc>
        <w:tc>
          <w:tcPr>
            <w:tcW w:w="353"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eastAsia="宋体" w:cs="Times New Roman"/>
                <w:color w:val="auto"/>
                <w:kern w:val="0"/>
                <w:sz w:val="20"/>
                <w:szCs w:val="22"/>
              </w:rPr>
            </w:pPr>
            <w:r>
              <w:rPr>
                <w:rFonts w:hint="default" w:ascii="Times New Roman" w:hAnsi="Times New Roman" w:eastAsia="宋体" w:cs="Times New Roman"/>
                <w:color w:val="auto"/>
                <w:kern w:val="0"/>
                <w:sz w:val="20"/>
                <w:szCs w:val="22"/>
                <w:lang w:val="en-US" w:eastAsia="zh-CN"/>
              </w:rPr>
              <w:t>9832.9</w:t>
            </w:r>
          </w:p>
        </w:tc>
        <w:tc>
          <w:tcPr>
            <w:tcW w:w="320"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eastAsia="宋体" w:cs="Times New Roman"/>
                <w:color w:val="auto"/>
                <w:kern w:val="0"/>
                <w:sz w:val="20"/>
                <w:szCs w:val="22"/>
              </w:rPr>
            </w:pPr>
            <w:r>
              <w:rPr>
                <w:rFonts w:hint="default" w:ascii="Times New Roman" w:hAnsi="Times New Roman" w:eastAsia="宋体" w:cs="Times New Roman"/>
                <w:color w:val="auto"/>
                <w:kern w:val="0"/>
                <w:sz w:val="20"/>
                <w:szCs w:val="22"/>
                <w:lang w:val="en-US" w:eastAsia="zh-CN"/>
              </w:rPr>
              <w:t>6833.4</w:t>
            </w:r>
          </w:p>
        </w:tc>
        <w:tc>
          <w:tcPr>
            <w:tcW w:w="362" w:type="pct"/>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eastAsia="宋体" w:cs="Times New Roman"/>
                <w:color w:val="auto"/>
                <w:kern w:val="0"/>
                <w:sz w:val="20"/>
                <w:szCs w:val="22"/>
              </w:rPr>
            </w:pPr>
            <w:r>
              <w:rPr>
                <w:rFonts w:hint="eastAsia" w:cs="Times New Roman"/>
                <w:color w:val="auto"/>
                <w:kern w:val="0"/>
                <w:sz w:val="20"/>
                <w:szCs w:val="22"/>
                <w:lang w:val="en-US" w:eastAsia="zh-CN"/>
              </w:rPr>
              <w:t>50</w:t>
            </w:r>
            <w:r>
              <w:rPr>
                <w:rFonts w:hint="default" w:ascii="Times New Roman" w:hAnsi="Times New Roman" w:eastAsia="宋体" w:cs="Times New Roman"/>
                <w:color w:val="auto"/>
                <w:kern w:val="0"/>
                <w:sz w:val="20"/>
                <w:szCs w:val="22"/>
                <w:lang w:val="en-US" w:eastAsia="zh-CN"/>
              </w:rPr>
              <w:t>125</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6" w:hRule="atLeast"/>
          <w:jc w:val="center"/>
        </w:trPr>
        <w:tc>
          <w:tcPr>
            <w:tcW w:w="2216" w:type="pct"/>
            <w:gridSpan w:val="4"/>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cs="Times New Roman"/>
                <w:color w:val="auto"/>
                <w:kern w:val="0"/>
                <w:sz w:val="20"/>
                <w:szCs w:val="22"/>
              </w:rPr>
              <w:t>总计</w:t>
            </w:r>
            <w:r>
              <w:rPr>
                <w:rFonts w:hint="default" w:ascii="Times New Roman" w:hAnsi="Times New Roman" w:cs="Times New Roman"/>
                <w:color w:val="auto"/>
                <w:kern w:val="0"/>
                <w:sz w:val="20"/>
                <w:szCs w:val="22"/>
                <w:lang w:val="en-US" w:eastAsia="zh-CN"/>
              </w:rPr>
              <w:t>24个项目</w:t>
            </w:r>
          </w:p>
        </w:tc>
        <w:tc>
          <w:tcPr>
            <w:tcW w:w="403"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　</w:t>
            </w:r>
          </w:p>
        </w:tc>
        <w:tc>
          <w:tcPr>
            <w:tcW w:w="1000" w:type="dxa"/>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eastAsia="宋体" w:cs="Times New Roman"/>
                <w:color w:val="auto"/>
                <w:kern w:val="0"/>
                <w:sz w:val="20"/>
                <w:szCs w:val="22"/>
                <w:lang w:val="en-US" w:eastAsia="zh-CN"/>
              </w:rPr>
              <w:t>63341.9</w:t>
            </w:r>
          </w:p>
        </w:tc>
        <w:tc>
          <w:tcPr>
            <w:tcW w:w="966" w:type="dxa"/>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eastAsia="宋体" w:cs="Times New Roman"/>
                <w:color w:val="auto"/>
                <w:kern w:val="0"/>
                <w:sz w:val="20"/>
                <w:szCs w:val="22"/>
                <w:lang w:val="en-US" w:eastAsia="zh-CN"/>
              </w:rPr>
              <w:t>10</w:t>
            </w:r>
            <w:r>
              <w:rPr>
                <w:rFonts w:hint="eastAsia" w:cs="Times New Roman"/>
                <w:color w:val="auto"/>
                <w:kern w:val="0"/>
                <w:sz w:val="20"/>
                <w:szCs w:val="22"/>
                <w:lang w:val="en-US" w:eastAsia="zh-CN"/>
              </w:rPr>
              <w:t>77</w:t>
            </w:r>
            <w:r>
              <w:rPr>
                <w:rFonts w:hint="default" w:ascii="Times New Roman" w:hAnsi="Times New Roman" w:eastAsia="宋体" w:cs="Times New Roman"/>
                <w:color w:val="auto"/>
                <w:kern w:val="0"/>
                <w:sz w:val="20"/>
                <w:szCs w:val="22"/>
                <w:lang w:val="en-US" w:eastAsia="zh-CN"/>
              </w:rPr>
              <w:t>33.4</w:t>
            </w:r>
          </w:p>
        </w:tc>
        <w:tc>
          <w:tcPr>
            <w:tcW w:w="1064" w:type="dxa"/>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eastAsia="宋体" w:cs="Times New Roman"/>
                <w:color w:val="auto"/>
                <w:kern w:val="0"/>
                <w:sz w:val="20"/>
                <w:szCs w:val="22"/>
                <w:lang w:val="en-US" w:eastAsia="zh-CN"/>
              </w:rPr>
              <w:t>32</w:t>
            </w:r>
            <w:r>
              <w:rPr>
                <w:rFonts w:hint="eastAsia" w:cs="Times New Roman"/>
                <w:color w:val="auto"/>
                <w:kern w:val="0"/>
                <w:sz w:val="20"/>
                <w:szCs w:val="22"/>
                <w:lang w:val="en-US" w:eastAsia="zh-CN"/>
              </w:rPr>
              <w:t>34</w:t>
            </w:r>
            <w:r>
              <w:rPr>
                <w:rFonts w:hint="default" w:ascii="Times New Roman" w:hAnsi="Times New Roman" w:eastAsia="宋体" w:cs="Times New Roman"/>
                <w:color w:val="auto"/>
                <w:kern w:val="0"/>
                <w:sz w:val="20"/>
                <w:szCs w:val="22"/>
                <w:lang w:val="en-US" w:eastAsia="zh-CN"/>
              </w:rPr>
              <w:t>33.4</w:t>
            </w:r>
          </w:p>
        </w:tc>
        <w:tc>
          <w:tcPr>
            <w:tcW w:w="1066" w:type="dxa"/>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eastAsia="宋体" w:cs="Times New Roman"/>
                <w:color w:val="auto"/>
                <w:kern w:val="0"/>
                <w:sz w:val="20"/>
                <w:szCs w:val="22"/>
                <w:lang w:val="en-US" w:eastAsia="zh-CN"/>
              </w:rPr>
              <w:t>13</w:t>
            </w:r>
            <w:r>
              <w:rPr>
                <w:rFonts w:hint="eastAsia" w:cs="Times New Roman"/>
                <w:color w:val="auto"/>
                <w:kern w:val="0"/>
                <w:sz w:val="20"/>
                <w:szCs w:val="22"/>
                <w:lang w:val="en-US" w:eastAsia="zh-CN"/>
              </w:rPr>
              <w:t>56</w:t>
            </w:r>
            <w:r>
              <w:rPr>
                <w:rFonts w:hint="default" w:ascii="Times New Roman" w:hAnsi="Times New Roman" w:eastAsia="宋体" w:cs="Times New Roman"/>
                <w:color w:val="auto"/>
                <w:kern w:val="0"/>
                <w:sz w:val="20"/>
                <w:szCs w:val="22"/>
                <w:lang w:val="en-US" w:eastAsia="zh-CN"/>
              </w:rPr>
              <w:t>30.21</w:t>
            </w:r>
          </w:p>
        </w:tc>
        <w:tc>
          <w:tcPr>
            <w:tcW w:w="966" w:type="dxa"/>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eastAsia="宋体" w:cs="Times New Roman"/>
                <w:color w:val="auto"/>
                <w:kern w:val="0"/>
                <w:sz w:val="20"/>
                <w:szCs w:val="22"/>
                <w:lang w:val="en-US" w:eastAsia="zh-CN"/>
              </w:rPr>
              <w:t>119</w:t>
            </w:r>
            <w:r>
              <w:rPr>
                <w:rFonts w:hint="eastAsia" w:cs="Times New Roman"/>
                <w:color w:val="auto"/>
                <w:kern w:val="0"/>
                <w:sz w:val="20"/>
                <w:szCs w:val="22"/>
                <w:lang w:val="en-US" w:eastAsia="zh-CN"/>
              </w:rPr>
              <w:t>0</w:t>
            </w:r>
            <w:r>
              <w:rPr>
                <w:rFonts w:hint="default" w:ascii="Times New Roman" w:hAnsi="Times New Roman" w:eastAsia="宋体" w:cs="Times New Roman"/>
                <w:color w:val="auto"/>
                <w:kern w:val="0"/>
                <w:sz w:val="20"/>
                <w:szCs w:val="22"/>
                <w:lang w:val="en-US" w:eastAsia="zh-CN"/>
              </w:rPr>
              <w:t>43.4</w:t>
            </w:r>
          </w:p>
        </w:tc>
        <w:tc>
          <w:tcPr>
            <w:tcW w:w="1100" w:type="dxa"/>
            <w:tcBorders>
              <w:top w:val="nil"/>
              <w:left w:val="nil"/>
              <w:bottom w:val="single" w:color="auto" w:sz="8" w:space="0"/>
              <w:right w:val="single" w:color="auto" w:sz="8" w:space="0"/>
            </w:tcBorders>
            <w:shd w:val="clear" w:color="auto" w:fill="auto"/>
            <w:vAlign w:val="center"/>
          </w:tcPr>
          <w:p>
            <w:pPr>
              <w:widowControl/>
              <w:jc w:val="center"/>
              <w:rPr>
                <w:rFonts w:hint="default" w:ascii="Times New Roman" w:hAnsi="Times New Roman" w:eastAsia="宋体" w:cs="Times New Roman"/>
                <w:color w:val="auto"/>
                <w:kern w:val="0"/>
                <w:sz w:val="20"/>
                <w:szCs w:val="22"/>
                <w:lang w:val="en-US" w:eastAsia="zh-CN"/>
              </w:rPr>
            </w:pPr>
            <w:r>
              <w:rPr>
                <w:rFonts w:hint="default" w:ascii="Times New Roman" w:hAnsi="Times New Roman" w:eastAsia="宋体" w:cs="Times New Roman"/>
                <w:color w:val="auto"/>
                <w:kern w:val="0"/>
                <w:sz w:val="20"/>
                <w:szCs w:val="22"/>
                <w:lang w:val="en-US" w:eastAsia="zh-CN"/>
              </w:rPr>
              <w:t>74</w:t>
            </w:r>
            <w:r>
              <w:rPr>
                <w:rFonts w:hint="eastAsia" w:cs="Times New Roman"/>
                <w:color w:val="auto"/>
                <w:kern w:val="0"/>
                <w:sz w:val="20"/>
                <w:szCs w:val="22"/>
                <w:lang w:val="en-US" w:eastAsia="zh-CN"/>
              </w:rPr>
              <w:t>9</w:t>
            </w:r>
            <w:r>
              <w:rPr>
                <w:rFonts w:hint="default" w:ascii="Times New Roman" w:hAnsi="Times New Roman" w:eastAsia="宋体" w:cs="Times New Roman"/>
                <w:color w:val="auto"/>
                <w:kern w:val="0"/>
                <w:sz w:val="20"/>
                <w:szCs w:val="22"/>
                <w:lang w:val="en-US" w:eastAsia="zh-CN"/>
              </w:rPr>
              <w:t>182.31</w:t>
            </w:r>
          </w:p>
        </w:tc>
        <w:tc>
          <w:tcPr>
            <w:tcW w:w="336" w:type="pct"/>
            <w:shd w:val="clear" w:color="auto" w:fill="auto"/>
            <w:vAlign w:val="center"/>
          </w:tcPr>
          <w:p>
            <w:pPr>
              <w:widowControl/>
              <w:jc w:val="center"/>
              <w:rPr>
                <w:rFonts w:hint="default" w:ascii="Times New Roman" w:hAnsi="Times New Roman" w:cs="Times New Roman"/>
                <w:color w:val="auto"/>
                <w:kern w:val="0"/>
                <w:sz w:val="20"/>
                <w:szCs w:val="22"/>
              </w:rPr>
            </w:pPr>
            <w:r>
              <w:rPr>
                <w:rFonts w:hint="default" w:ascii="Times New Roman" w:hAnsi="Times New Roman" w:cs="Times New Roman"/>
                <w:color w:val="auto"/>
                <w:kern w:val="0"/>
                <w:sz w:val="20"/>
                <w:szCs w:val="22"/>
              </w:rPr>
              <w:t>　</w:t>
            </w:r>
          </w:p>
        </w:tc>
      </w:tr>
    </w:tbl>
    <w:p>
      <w:pPr>
        <w:rPr>
          <w:rFonts w:hint="default"/>
        </w:rPr>
        <w:sectPr>
          <w:pgSz w:w="16838" w:h="11905" w:orient="landscape"/>
          <w:pgMar w:top="1587" w:right="1440" w:bottom="1587" w:left="1440" w:header="851" w:footer="992" w:gutter="0"/>
          <w:pgBorders>
            <w:top w:val="none" w:sz="0" w:space="0"/>
            <w:left w:val="none" w:sz="0" w:space="0"/>
            <w:bottom w:val="none" w:sz="0" w:space="0"/>
            <w:right w:val="none" w:sz="0" w:space="0"/>
          </w:pgBorders>
          <w:cols w:space="720" w:num="1"/>
          <w:rtlGutter w:val="0"/>
          <w:docGrid w:linePitch="312" w:charSpace="0"/>
        </w:sectPr>
      </w:pPr>
    </w:p>
    <w:bookmarkEnd w:id="558"/>
    <w:p>
      <w:pPr>
        <w:adjustRightInd w:val="0"/>
        <w:snapToGrid w:val="0"/>
        <w:spacing w:before="120" w:beforeLines="50" w:line="360" w:lineRule="auto"/>
        <w:outlineLvl w:val="1"/>
        <w:rPr>
          <w:rFonts w:hint="default" w:ascii="Times New Roman" w:hAnsi="Times New Roman" w:cs="Times New Roman" w:eastAsiaTheme="minorEastAsia"/>
          <w:b/>
          <w:bCs/>
          <w:color w:val="000000" w:themeColor="text1"/>
          <w:sz w:val="30"/>
          <w:szCs w:val="30"/>
          <w:highlight w:val="none"/>
          <w:lang w:val="en-US" w:eastAsia="zh-CN"/>
          <w14:textFill>
            <w14:solidFill>
              <w14:schemeClr w14:val="tx1"/>
            </w14:solidFill>
          </w14:textFill>
        </w:rPr>
      </w:pPr>
      <w:bookmarkStart w:id="581" w:name="_Toc20733"/>
      <w:r>
        <w:rPr>
          <w:rFonts w:hint="eastAsia" w:cs="Times New Roman" w:eastAsiaTheme="minorEastAsia"/>
          <w:b/>
          <w:bCs/>
          <w:color w:val="000000" w:themeColor="text1"/>
          <w:sz w:val="30"/>
          <w:szCs w:val="30"/>
          <w:highlight w:val="none"/>
          <w:lang w:val="en-US" w:eastAsia="zh-CN"/>
          <w14:textFill>
            <w14:solidFill>
              <w14:schemeClr w14:val="tx1"/>
            </w14:solidFill>
          </w14:textFill>
        </w:rPr>
        <w:t>8</w:t>
      </w:r>
      <w:r>
        <w:rPr>
          <w:rFonts w:hint="default" w:ascii="Times New Roman" w:hAnsi="Times New Roman" w:cs="Times New Roman" w:eastAsiaTheme="minorEastAsia"/>
          <w:b/>
          <w:bCs/>
          <w:color w:val="000000" w:themeColor="text1"/>
          <w:sz w:val="30"/>
          <w:szCs w:val="30"/>
          <w:highlight w:val="none"/>
          <w14:textFill>
            <w14:solidFill>
              <w14:schemeClr w14:val="tx1"/>
            </w14:solidFill>
          </w14:textFill>
        </w:rPr>
        <w:t>.</w:t>
      </w:r>
      <w:r>
        <w:rPr>
          <w:rFonts w:hint="eastAsia" w:cs="Times New Roman" w:eastAsiaTheme="minorEastAsia"/>
          <w:b/>
          <w:bCs/>
          <w:color w:val="000000" w:themeColor="text1"/>
          <w:sz w:val="30"/>
          <w:szCs w:val="30"/>
          <w:highlight w:val="none"/>
          <w:lang w:val="en-US" w:eastAsia="zh-CN"/>
          <w14:textFill>
            <w14:solidFill>
              <w14:schemeClr w14:val="tx1"/>
            </w14:solidFill>
          </w14:textFill>
        </w:rPr>
        <w:t>2附表2</w:t>
      </w:r>
      <w:r>
        <w:rPr>
          <w:rFonts w:hint="default" w:ascii="Times New Roman" w:hAnsi="Times New Roman" w:cs="Times New Roman" w:eastAsiaTheme="minorEastAsia"/>
          <w:b/>
          <w:bCs/>
          <w:color w:val="000000" w:themeColor="text1"/>
          <w:sz w:val="30"/>
          <w:szCs w:val="30"/>
          <w:highlight w:val="none"/>
          <w14:textFill>
            <w14:solidFill>
              <w14:schemeClr w14:val="tx1"/>
            </w14:solidFill>
          </w14:textFill>
        </w:rPr>
        <w:t>抚仙湖流域水环境保护治理“十四五”规划中期执行情况</w:t>
      </w:r>
      <w:r>
        <w:rPr>
          <w:rFonts w:hint="eastAsia" w:cs="Times New Roman" w:eastAsiaTheme="minorEastAsia"/>
          <w:b/>
          <w:bCs/>
          <w:color w:val="000000" w:themeColor="text1"/>
          <w:sz w:val="30"/>
          <w:szCs w:val="30"/>
          <w:highlight w:val="none"/>
          <w:lang w:val="en-US" w:eastAsia="zh-CN"/>
          <w14:textFill>
            <w14:solidFill>
              <w14:schemeClr w14:val="tx1"/>
            </w14:solidFill>
          </w14:textFill>
        </w:rPr>
        <w:t>新增、调整、调减项目表</w:t>
      </w:r>
      <w:bookmarkEnd w:id="581"/>
    </w:p>
    <w:tbl>
      <w:tblPr>
        <w:tblStyle w:val="17"/>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3"/>
        <w:gridCol w:w="988"/>
        <w:gridCol w:w="1848"/>
        <w:gridCol w:w="5719"/>
        <w:gridCol w:w="1216"/>
        <w:gridCol w:w="1066"/>
        <w:gridCol w:w="1066"/>
        <w:gridCol w:w="1215"/>
        <w:gridCol w:w="5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359"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项目类别</w:t>
            </w:r>
          </w:p>
        </w:tc>
        <w:tc>
          <w:tcPr>
            <w:tcW w:w="662"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项目名称</w:t>
            </w:r>
          </w:p>
        </w:tc>
        <w:tc>
          <w:tcPr>
            <w:tcW w:w="2027"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建设内容及规模</w:t>
            </w:r>
          </w:p>
        </w:tc>
        <w:tc>
          <w:tcPr>
            <w:tcW w:w="390"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建设年限</w:t>
            </w:r>
          </w:p>
        </w:tc>
        <w:tc>
          <w:tcPr>
            <w:tcW w:w="368" w:type="pct"/>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总投资</w:t>
            </w:r>
          </w:p>
        </w:tc>
        <w:tc>
          <w:tcPr>
            <w:tcW w:w="359"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批复投资（万元）</w:t>
            </w:r>
          </w:p>
        </w:tc>
        <w:tc>
          <w:tcPr>
            <w:tcW w:w="439"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牵头部门</w:t>
            </w:r>
          </w:p>
        </w:tc>
        <w:tc>
          <w:tcPr>
            <w:tcW w:w="195" w:type="pct"/>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359" w:type="pct"/>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662" w:type="pct"/>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2027" w:type="pct"/>
            <w:vMerge w:val="continue"/>
            <w:tcBorders>
              <w:top w:val="single" w:color="000000" w:sz="8" w:space="0"/>
              <w:left w:val="nil"/>
              <w:bottom w:val="single" w:color="000000" w:sz="8" w:space="0"/>
              <w:right w:val="single" w:color="000000" w:sz="8" w:space="0"/>
            </w:tcBorders>
            <w:shd w:val="clear" w:color="auto" w:fill="auto"/>
            <w:vAlign w:val="center"/>
          </w:tcPr>
          <w:p>
            <w:pPr>
              <w:jc w:val="left"/>
              <w:rPr>
                <w:rFonts w:hint="eastAsia" w:ascii="宋体" w:hAnsi="宋体" w:eastAsia="宋体" w:cs="宋体"/>
                <w:b/>
                <w:bCs/>
                <w:i w:val="0"/>
                <w:iCs w:val="0"/>
                <w:color w:val="000000"/>
                <w:sz w:val="22"/>
                <w:szCs w:val="22"/>
                <w:u w:val="none"/>
              </w:rPr>
            </w:pPr>
          </w:p>
        </w:tc>
        <w:tc>
          <w:tcPr>
            <w:tcW w:w="390" w:type="pct"/>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368"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（万元）</w:t>
            </w:r>
          </w:p>
        </w:tc>
        <w:tc>
          <w:tcPr>
            <w:tcW w:w="359" w:type="pct"/>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439" w:type="pct"/>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195" w:type="pct"/>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空间管控</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抚仙湖空间管控项目</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1.编制完成《澄江市国土空间规划（2021年—2035年）》。2.修订《抚仙湖流域国土空间保护和科学利用专项规（2018—2035年）》。3.科学论证、划定抚仙湖生态廊道线、环湖公路线。4.划定抚仙湖流域边界线。</w:t>
            </w:r>
          </w:p>
        </w:tc>
        <w:tc>
          <w:tcPr>
            <w:tcW w:w="39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2021-2024</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澄江市自然资源局</w:t>
            </w:r>
          </w:p>
        </w:tc>
        <w:tc>
          <w:tcPr>
            <w:tcW w:w="195"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空间管控</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沿湖“违规违建”整治</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按照《云南省人民政府关于九大高原湖泊“三区”管控的指导意见》、《抚仙湖保护“三区”管控实施细则（试行）》对图斑进行重新甄别，共需拆除163个图斑，其中至（十四五期间）2025年前需拆除图斑87个，拆除建筑面积31052.88平方米。2.实施九龙晟景项目14.4万平方米建筑面积拆除以及4.5公顷复绿。</w:t>
            </w:r>
          </w:p>
        </w:tc>
        <w:tc>
          <w:tcPr>
            <w:tcW w:w="390" w:type="pct"/>
            <w:tcBorders>
              <w:top w:val="nil"/>
              <w:left w:val="nil"/>
              <w:bottom w:val="single" w:color="000000" w:sz="8"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2021-2030</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65547.77</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澄江市自然资源局、澄江市林业和草原局、澄江市路居镇</w:t>
            </w:r>
          </w:p>
        </w:tc>
        <w:tc>
          <w:tcPr>
            <w:tcW w:w="19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空间管控</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抚仙湖北岸生态廊道项目</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照“三点一线”的建设规划，主要由抚仙湖广场、东大河至月亮湾湿地、寒武纪矣旧区块湿地三个主要节点，以及以老环湖路为基础串联三个节点的慢行道共同组成，主要建设内容包括生态湿地提升改造工程、生态建设工程、维护管理配套工程、老环湖路提升改造、附属工程等。</w:t>
            </w:r>
          </w:p>
        </w:tc>
        <w:tc>
          <w:tcPr>
            <w:tcW w:w="39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2021-2025</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30429.1</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澄江市抚仙湖管理局</w:t>
            </w:r>
          </w:p>
        </w:tc>
        <w:tc>
          <w:tcPr>
            <w:tcW w:w="19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空间管控</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抚仙湖九龙晟景搬迁安置工程</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落实中央环保督察整改事项，安置九龙晟景项目已拆除房产，涉及964套房屋置换、赔偿及搬迁。</w:t>
            </w:r>
          </w:p>
        </w:tc>
        <w:tc>
          <w:tcPr>
            <w:tcW w:w="390"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2022-2025</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46100</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澄江市路居镇人民政府</w:t>
            </w:r>
          </w:p>
        </w:tc>
        <w:tc>
          <w:tcPr>
            <w:tcW w:w="19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水资源保护与利用</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南片区供水替代工程</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完成路居干管、江川支管建设，龙泉园区水厂和路居水厂建设及配水管网建设。</w:t>
            </w:r>
          </w:p>
        </w:tc>
        <w:tc>
          <w:tcPr>
            <w:tcW w:w="390"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2021-2025</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38400</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玉溪市抚投公司、玉溪市水利局</w:t>
            </w:r>
          </w:p>
        </w:tc>
        <w:tc>
          <w:tcPr>
            <w:tcW w:w="195"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59" w:type="pct"/>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水资源保护与利用</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澄江市城乡供水一体化工程项目</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1.对大湾至立昌线以北片区供水系统完善提升，实现抚仙湖北岸坝区供水一体化。2.实施农村供水保障专项行动。完善供水主管网至各村落之间的支管网建设，并对水源不稳定村组实现正常供水。</w:t>
            </w:r>
          </w:p>
        </w:tc>
        <w:tc>
          <w:tcPr>
            <w:tcW w:w="39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2022-2025</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24819.83</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8291</w:t>
            </w: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澄江市住建局、澄江市水利局</w:t>
            </w:r>
          </w:p>
        </w:tc>
        <w:tc>
          <w:tcPr>
            <w:tcW w:w="19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59"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水资源保护与利用</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抚仙湖北岸初期雨水收集循环利用项目</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3个子项目工程。1.改造提升原有泵站、新建管道，将调蓄带低污染水抽提灌溉回用。东线工程提至浑水塘水库，设计年总提水量541.77万m³，覆盖浑水塘2.07万亩灌面；西线工程提至山冲河水库高效节水泉池，设计年总提水量54.41万m³，覆盖山冲河水库约0.6万亩灌面。2.湖外农业循环用水一期，通过新建、改建泵站；新建输水管、调蓄池、闸阀井等，改善东部山区3.79万亩土地灌溉用水。3.湖外农业循环用水二期，通过新建、改建泵站；新建输水管、调蓄池、闸阀井等，改善坝区2.58万亩土地灌溉用水。</w:t>
            </w:r>
          </w:p>
        </w:tc>
        <w:tc>
          <w:tcPr>
            <w:tcW w:w="39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2021-2025</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24713.41</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澄江市水利局</w:t>
            </w:r>
          </w:p>
        </w:tc>
        <w:tc>
          <w:tcPr>
            <w:tcW w:w="19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59"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水资源保护与利用</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滇中引水二期配套工程-澄江干线</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滇中引水二期配套工程澄江干线，澄江段投资5点2亿，总工期58个月，从去年10算起，通过水量调度方式调水3043万方，干线包含澄江隧洞，山冲河支线，梁王河支线管网支线，华宁支线至路居，置换供水工程对增加抚仙湖入湖清水量、有效缓解抚仙湖流域水资源过度开发状况、提高抚仙湖流域水资源和水环境承载能力具有重要作用，澄江受水区干线及其下级分干线、支线总长28.39km，共计18个输水建筑物，其中：输水管17条，长21.95km，占线路总长的77.32%；隧洞1条，长6.44km，占线路总长的22.68%。工期58个月。</w:t>
            </w:r>
          </w:p>
        </w:tc>
        <w:tc>
          <w:tcPr>
            <w:tcW w:w="39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2022-2026</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52000</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52000</w:t>
            </w: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云南省滇中引水工程建设管理局玉溪分局</w:t>
            </w:r>
          </w:p>
        </w:tc>
        <w:tc>
          <w:tcPr>
            <w:tcW w:w="19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359"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水资源保护与利用</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抚仙湖取水替代工程</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（1）抚仙湖东南、西岸配水管网工程：本项目主要将路居水厂管网延伸至隔河村、海门村、孤山村委会、江城镇区域、李家营、牛摩村、翠峰村、明星村，实现抚仙湖东南、西岸供水替代。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甸垛管网延伸扩建工程：供水规模2.0万立方米/天。供水范围涉及澄江市太阳山片区，澄江市小湾、吉花、海口、新村、松园、永和、海镜以及海关社区共计8个行政村48个村小组的生产生活用水替代。主要工程内容为输水管线20.798km配水管网等。</w:t>
            </w:r>
          </w:p>
        </w:tc>
        <w:tc>
          <w:tcPr>
            <w:tcW w:w="39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2022-2025</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8100</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8105.91</w:t>
            </w: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玉溪市水利局</w:t>
            </w:r>
          </w:p>
        </w:tc>
        <w:tc>
          <w:tcPr>
            <w:tcW w:w="19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水污染防治</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农业绿色转型升级发展工程</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巩固5.8万亩土地流转休耕轮作，推进抚仙湖流域农业种植结构调整，强化化肥、农药销售使用及农业灌溉用水管理，实施有机肥代替工程，建设农业标准化示范基地，推广农业大棚、水肥一体化等设施农业。强化流域畜禽养殖、水产养殖退后常态化监管，防止反弹回潮，巩固全面禁养成果。</w:t>
            </w:r>
          </w:p>
        </w:tc>
        <w:tc>
          <w:tcPr>
            <w:tcW w:w="39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2021-2025</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125000</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澄江市农业农村局</w:t>
            </w:r>
          </w:p>
        </w:tc>
        <w:tc>
          <w:tcPr>
            <w:tcW w:w="19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水污染防治</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高标准农田建设项目</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完成高标准农田12.71万亩以上，比重达65%以上；完善农田灌排体系，配套高效节水灌溉设施。</w:t>
            </w:r>
          </w:p>
        </w:tc>
        <w:tc>
          <w:tcPr>
            <w:tcW w:w="39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2021-2025</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5730</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2255</w:t>
            </w: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澄江市农业农村局</w:t>
            </w:r>
          </w:p>
        </w:tc>
        <w:tc>
          <w:tcPr>
            <w:tcW w:w="195"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水污染防治</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澄江市抚仙湖全流域截污治污及健康水循环工程项目</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对全域6个镇（街道）、44个行政村（社区）、339个村（居）民小组污水收集管网系统进行完善提升，实现污水全收集、全处理。2.实施澄江市海口镇管道修复及新建工程，新建海口污水处理厂1453m，DN600污水主管及配套附属设施；3.实施澄江市仙湖大道管网改造工程，整改龙溪路、凤翔路、仙湖路存在雨污混接等47个问题点；4.实施澄江市污水管网完善工程，修复北岸片区989个管道结构性及功能性缺陷；5.谋划建设第三污水处理厂，启动前期工作，建设15000m3/d</w:t>
            </w:r>
            <w:r>
              <w:rPr>
                <w:rFonts w:hint="eastAsia" w:ascii="宋体" w:hAnsi="宋体" w:cs="宋体"/>
                <w:i w:val="0"/>
                <w:iCs w:val="0"/>
                <w:color w:val="000000"/>
                <w:kern w:val="0"/>
                <w:sz w:val="20"/>
                <w:szCs w:val="20"/>
                <w:u w:val="none"/>
                <w:lang w:val="en-US" w:eastAsia="zh-CN" w:bidi="ar"/>
              </w:rPr>
              <w:t>污水处理厂</w:t>
            </w:r>
            <w:r>
              <w:rPr>
                <w:rFonts w:hint="eastAsia" w:ascii="宋体" w:hAnsi="宋体" w:eastAsia="宋体" w:cs="宋体"/>
                <w:i w:val="0"/>
                <w:iCs w:val="0"/>
                <w:color w:val="000000"/>
                <w:kern w:val="0"/>
                <w:sz w:val="20"/>
                <w:szCs w:val="20"/>
                <w:u w:val="none"/>
                <w:lang w:val="en-US" w:eastAsia="zh-CN" w:bidi="ar"/>
              </w:rPr>
              <w:t>，出水标准一级A标，同时配套新建2.15kmDN800重力污水管道，厂区内建设1000m3再生水调蓄水池及再生水提升泵房，同时配套新建4.46kmDN500压力再生水道；6.完善农污项目未收尾部分工程内容。</w:t>
            </w:r>
          </w:p>
        </w:tc>
        <w:tc>
          <w:tcPr>
            <w:tcW w:w="390" w:type="pct"/>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2021-2025</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107373.44</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澄江市住建局</w:t>
            </w:r>
          </w:p>
        </w:tc>
        <w:tc>
          <w:tcPr>
            <w:tcW w:w="19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水污染防治</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澄江市污水处理厂技术改造项目</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澄江市第一污水处理厂技术改造，更换运行不良和达到使用年限的老旧设备，将现有的ICEAS工艺改造成A2/O工艺，改扩建污水处理车间，重新设置自控系统；对路居污水处理厂进行扩容，将目前1500m³/天处理量提升至3000m³/天处理量。</w:t>
            </w:r>
          </w:p>
        </w:tc>
        <w:tc>
          <w:tcPr>
            <w:tcW w:w="390"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2021-2025</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4200</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4192.85</w:t>
            </w: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澄江市住建局</w:t>
            </w:r>
          </w:p>
        </w:tc>
        <w:tc>
          <w:tcPr>
            <w:tcW w:w="19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水污染防治</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澄江市生活垃圾治理项目</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开展澄江市陈腐垃圾转运处置工程，处置期为3年；2.新建一座日处理50吨/天的渗滤液全量化处理站及其他附属配套设施，持续开展3年运维服务工作；3.对餐厨潲水、泔水进行收集，同步配套建设厨余垃圾处理设施，持续开展3年运营处置工作。</w:t>
            </w:r>
          </w:p>
        </w:tc>
        <w:tc>
          <w:tcPr>
            <w:tcW w:w="390" w:type="pct"/>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2021-2025</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4707.66</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澄江市住建局</w:t>
            </w:r>
          </w:p>
        </w:tc>
        <w:tc>
          <w:tcPr>
            <w:tcW w:w="19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水污染防治</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澄江市禄充片区农村生活污水治理提升工程</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实施禄充片区农村生活污水和用水管网改造：主要改造污水主管网10406米，检查井578座，雨水主管网12564米，检查井698座;改建给水主管网11122米，检查井300座。</w:t>
            </w:r>
          </w:p>
        </w:tc>
        <w:tc>
          <w:tcPr>
            <w:tcW w:w="390"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2023-2025</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4850.88</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澄江市龙街街道</w:t>
            </w:r>
          </w:p>
        </w:tc>
        <w:tc>
          <w:tcPr>
            <w:tcW w:w="19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水污染防治</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澄江市化肥、农药减量增效项目</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在抚仙湖流域内建设集成实施种植结构调整、“三新”集成技术、有机肥替代部分化肥、病虫害绿色防控示范和稻谷绿色高质高效等绿色农业技术措施的示范区</w:t>
            </w:r>
          </w:p>
        </w:tc>
        <w:tc>
          <w:tcPr>
            <w:tcW w:w="39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2023-2024</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530</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澄江市农业农村局</w:t>
            </w:r>
          </w:p>
        </w:tc>
        <w:tc>
          <w:tcPr>
            <w:tcW w:w="19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水污染防治</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澄江市2023年地膜科学使用试点整县推进项目</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1.推广加厚高强度地膜5万亩；2.推广全生物降解地膜1万亩；3.建立农膜回收体系。</w:t>
            </w:r>
          </w:p>
        </w:tc>
        <w:tc>
          <w:tcPr>
            <w:tcW w:w="390"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2023-2024</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澄江市农业农村局</w:t>
            </w:r>
          </w:p>
        </w:tc>
        <w:tc>
          <w:tcPr>
            <w:tcW w:w="19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水环境治理</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抚仙湖入湖河道水质提升工程</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抚仙湖入湖河道及湿地进行综合整治，划定清水水源及清水通道，设置河滨生态隔离带、封堵排污口、清淤、收割替换水生植物，进行常态化管护，实现清水入湖；消除马房中沟、马房西沟、窑泥沟、大摆沟等河道消除Ⅴ类、劣Ⅴ类水体，实现水质提升。</w:t>
            </w:r>
          </w:p>
        </w:tc>
        <w:tc>
          <w:tcPr>
            <w:tcW w:w="39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2021-2025</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8800</w:t>
            </w: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澄江市水利局</w:t>
            </w:r>
          </w:p>
        </w:tc>
        <w:tc>
          <w:tcPr>
            <w:tcW w:w="195"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水生态修复</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矿山修复项目</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对辖区及托管区内大山采石场、双水塘采石场、郭帅洗沙场等13个历史遗留矿山进行生态修复，总面积约为147.98hm²。</w:t>
            </w:r>
          </w:p>
        </w:tc>
        <w:tc>
          <w:tcPr>
            <w:tcW w:w="39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2021-2025</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8999</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澄江市自然资源局</w:t>
            </w:r>
          </w:p>
        </w:tc>
        <w:tc>
          <w:tcPr>
            <w:tcW w:w="19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水生态修复</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抚仙湖生物多样性保护工程</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巩固森林抚仙湖6万亩山地流转，确保森林抚仙湖生态治理林木保存率；对森林抚仙湖项目开展抚育提升，实施抚育提升5万亩。</w:t>
            </w:r>
          </w:p>
        </w:tc>
        <w:tc>
          <w:tcPr>
            <w:tcW w:w="39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2021-2025</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52500</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52538</w:t>
            </w: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澄江市林业和草原局</w:t>
            </w:r>
          </w:p>
        </w:tc>
        <w:tc>
          <w:tcPr>
            <w:tcW w:w="195"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水生态修复</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澄江市梁王河沙坝生态清洁小流域综合治理工程</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约治理30.5～33平方公里的水土流失面积。主要实施种植水土保持林和栽植经果林、田间道路工程、谷坊及拦沙坝建设、封禁治理，补植补种、保护性耕作、村落卫生环境整治、沿线建设水土保持科普长廊等内容。</w:t>
            </w:r>
          </w:p>
        </w:tc>
        <w:tc>
          <w:tcPr>
            <w:tcW w:w="39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2023-2025</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1750</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澄江市水利局</w:t>
            </w:r>
          </w:p>
        </w:tc>
        <w:tc>
          <w:tcPr>
            <w:tcW w:w="19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水生态修复</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玉溪市滇中山地石漠化项目（澄江）</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项目建设规模9.27万亩，其中：封山育林面积3.82万亩，退化林修复面积5.45万亩；荒漠生态系统综合治理工程为新建水利水保设施水窖（水池、谷坊等）99处。</w:t>
            </w:r>
          </w:p>
        </w:tc>
        <w:tc>
          <w:tcPr>
            <w:tcW w:w="39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2022-2025</w:t>
            </w:r>
          </w:p>
        </w:tc>
        <w:tc>
          <w:tcPr>
            <w:tcW w:w="368"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6200</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6208.46</w:t>
            </w: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玉溪市林业和草原局</w:t>
            </w:r>
          </w:p>
        </w:tc>
        <w:tc>
          <w:tcPr>
            <w:tcW w:w="19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水灾害防治</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澄江市智慧水务监管平台（一水两污监控中心）建设项目</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布设污水监测点；搭建污水数据采集、支撑服务及应用平台，建设基础数据库、时空数据库、监测数据库;布设污水、垃圾场站设施视频监控；建设一水两污监控中心。</w:t>
            </w:r>
          </w:p>
        </w:tc>
        <w:tc>
          <w:tcPr>
            <w:tcW w:w="39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2021-2025</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3300</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澄江市住建局</w:t>
            </w:r>
          </w:p>
        </w:tc>
        <w:tc>
          <w:tcPr>
            <w:tcW w:w="195"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水灾害防治</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澄江市大箐沟山洪沟治理工程</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治理长度为1.96km，治理措施主要为建设防洪堤以及布置拦砂坝和固床坝,完善排洪渠，保障村内行洪安全。</w:t>
            </w:r>
          </w:p>
        </w:tc>
        <w:tc>
          <w:tcPr>
            <w:tcW w:w="39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2023-2025</w:t>
            </w:r>
          </w:p>
        </w:tc>
        <w:tc>
          <w:tcPr>
            <w:tcW w:w="368"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650</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547.51</w:t>
            </w: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澄江市水利局</w:t>
            </w:r>
          </w:p>
        </w:tc>
        <w:tc>
          <w:tcPr>
            <w:tcW w:w="19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执法监管</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抚仙湖流域保护治理项目运行管护</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对“十二五”以来已建成项目以及抚仙湖保护相关“专项行动”的项目进行运营管理，确保设施充分发挥效益。</w:t>
            </w:r>
          </w:p>
        </w:tc>
        <w:tc>
          <w:tcPr>
            <w:tcW w:w="39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2021-2025</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36667</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各项目营运管护单位</w:t>
            </w:r>
          </w:p>
        </w:tc>
        <w:tc>
          <w:tcPr>
            <w:tcW w:w="195"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执法监管</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玉溪市“三湖”流域水环境质量自动监测建设项目</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星云湖、杞麓湖省级地表水监测4个断面、“三湖”39条主要入湖河流入湖口以及24个调蓄带点位建设67个水质自动监测站，其中：抚仙湖24个（包含6个调蓄带及18条河道）、星云湖22个（包含2个湖体监测点位、9个调蓄带及11条河道）、杞麓湖21个（包含2个湖体监测点位、9个调蓄带及10条河道）</w:t>
            </w:r>
          </w:p>
        </w:tc>
        <w:tc>
          <w:tcPr>
            <w:tcW w:w="39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2021-2023</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6011.74</w:t>
            </w: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玉溪市生态环境局</w:t>
            </w:r>
          </w:p>
        </w:tc>
        <w:tc>
          <w:tcPr>
            <w:tcW w:w="195"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执法监管</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抚仙湖水文监测中心</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规划建设地点澄江海口水文中心站，配备人员</w:t>
            </w:r>
            <w:r>
              <w:rPr>
                <w:rFonts w:hint="default" w:ascii="Times New Roman" w:hAnsi="Times New Roman" w:eastAsia="宋体" w:cs="Times New Roman"/>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人。</w:t>
            </w:r>
            <w:r>
              <w:rPr>
                <w:rFonts w:hint="default" w:ascii="Times New Roman"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中心能力；中心充分利用现有资源，仪配置高性能台式计算工作站、高性能便携式计算工作站、交换机、会商系统、视频系统、网络布线等信息系统硬件。配置湖泊水生态监测设备，包括：藻类分类检测仪、水体微生物样品采集系统、浮游生物处理装置、底栖动物分样筛、水体微生物无菌抽滤系统、微分干涉倒置生物荧光显微镜、</w:t>
            </w:r>
            <w:r>
              <w:rPr>
                <w:rFonts w:hint="default" w:ascii="Times New Roman" w:hAnsi="Times New Roman" w:eastAsia="宋体" w:cs="Times New Roman"/>
                <w:i w:val="0"/>
                <w:iCs w:val="0"/>
                <w:color w:val="000000"/>
                <w:kern w:val="0"/>
                <w:sz w:val="20"/>
                <w:szCs w:val="20"/>
                <w:u w:val="none"/>
                <w:lang w:val="en-US" w:eastAsia="zh-CN" w:bidi="ar"/>
              </w:rPr>
              <w:t>1/32</w:t>
            </w:r>
            <w:r>
              <w:rPr>
                <w:rFonts w:hint="eastAsia" w:ascii="宋体" w:hAnsi="宋体" w:eastAsia="宋体" w:cs="宋体"/>
                <w:i w:val="0"/>
                <w:iCs w:val="0"/>
                <w:color w:val="000000"/>
                <w:kern w:val="0"/>
                <w:sz w:val="20"/>
                <w:szCs w:val="20"/>
                <w:u w:val="none"/>
                <w:lang w:val="en-US" w:eastAsia="zh-CN" w:bidi="ar"/>
              </w:rPr>
              <w:t>抓斗式采泥器、扫描电子显微镜、解剖镜、生物显微镜（正置）等设备。</w:t>
            </w:r>
            <w:r>
              <w:rPr>
                <w:rFonts w:hint="default" w:ascii="Times New Roman"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水文站网：</w:t>
            </w:r>
            <w:r>
              <w:rPr>
                <w:rFonts w:hint="default" w:ascii="Times New Roman" w:hAnsi="Times New Roman" w:eastAsia="宋体" w:cs="Times New Roman"/>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条主要入湖河流上新建</w:t>
            </w:r>
            <w:r>
              <w:rPr>
                <w:rFonts w:hint="default" w:ascii="Times New Roman" w:hAnsi="Times New Roman" w:eastAsia="宋体" w:cs="Times New Roman"/>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个水文巡测断面，</w:t>
            </w:r>
            <w:r>
              <w:rPr>
                <w:rFonts w:hint="default" w:ascii="Times New Roman"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日个水文站进行提档升级改造：对流域内</w:t>
            </w:r>
            <w:r>
              <w:rPr>
                <w:rFonts w:hint="default" w:ascii="Times New Roman"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个国家级地下水监测站进行改造：对流域内</w:t>
            </w:r>
            <w:r>
              <w:rPr>
                <w:rFonts w:hint="default" w:ascii="Times New Roman" w:hAnsi="Times New Roman" w:eastAsia="宋体" w:cs="Times New Roman"/>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个雨量站进行雨量遥测设备更新；新增</w:t>
            </w:r>
            <w:r>
              <w:rPr>
                <w:rFonts w:hint="default" w:ascii="Times New Roman" w:hAnsi="Times New Roman" w:eastAsia="宋体" w:cs="Times New Roman"/>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条河流水质监测断面（巡测）。</w:t>
            </w:r>
          </w:p>
        </w:tc>
        <w:tc>
          <w:tcPr>
            <w:tcW w:w="39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2026-2030</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1238</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云南省水文水资源局玉溪分局</w:t>
            </w:r>
          </w:p>
        </w:tc>
        <w:tc>
          <w:tcPr>
            <w:tcW w:w="19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储备项目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执法监管</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三湖流域水环境保护数字化监管系统建设</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搭建数据采集、支撑服务及应用平台；建设基础数据库、时空数据库、监测数据库等</w:t>
            </w:r>
            <w:r>
              <w:rPr>
                <w:rFonts w:hint="default" w:ascii="Times New Roman" w:hAnsi="Times New Roman" w:eastAsia="宋体" w:cs="Times New Roman"/>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类数据库，同时布设视频监控、气象水文等感知设备；新建澄江、江川、通海湖泊指挥调度中心。</w:t>
            </w:r>
          </w:p>
        </w:tc>
        <w:tc>
          <w:tcPr>
            <w:tcW w:w="39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2026-2030</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玉溪市委网信办</w:t>
            </w:r>
          </w:p>
        </w:tc>
        <w:tc>
          <w:tcPr>
            <w:tcW w:w="19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储备项目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基础研究</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抚仙湖流域再生水综合利用和雨水冲击性负荷研究与示范项目</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通过系统调查研究，完成再生水综合利用和雨水冲击性负荷研究与示范总体实施方案编制。</w:t>
            </w:r>
          </w:p>
        </w:tc>
        <w:tc>
          <w:tcPr>
            <w:tcW w:w="39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2021-2023</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199</w:t>
            </w: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玉溪市生态环境局澄江分局</w:t>
            </w:r>
          </w:p>
        </w:tc>
        <w:tc>
          <w:tcPr>
            <w:tcW w:w="195"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基础研究</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抚仙湖水环境保护基础调查研究项目</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开展院校合作，组建上海交通大学—玉溪市湖泊联合研究中心，包含租赁办公场地、购买相关仪器设备。2.按月对湖体及主要入湖河道开展跟踪监测，按月提交分析报告，分析水质、入湖污染负荷、藻类变化情况；每半年提交1份问题诊断及治理建议报告。</w:t>
            </w:r>
          </w:p>
        </w:tc>
        <w:tc>
          <w:tcPr>
            <w:tcW w:w="39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2023-2025</w:t>
            </w:r>
          </w:p>
        </w:tc>
        <w:tc>
          <w:tcPr>
            <w:tcW w:w="368"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738</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玉溪市湖泊管理局</w:t>
            </w:r>
          </w:p>
        </w:tc>
        <w:tc>
          <w:tcPr>
            <w:tcW w:w="19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基础研究</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抚仙湖总磷变化机制和趋势分析研判课题研究</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研究近年来抚仙湖总磷波动变化特征，明确造成总磷波动变化的主导因素和关联因子，结合气象条件、藻类群落演替特征，运用分子生物学方法从变化机制上进行探索，提出抚仙湖水生态环境保护对策建议。</w:t>
            </w:r>
          </w:p>
        </w:tc>
        <w:tc>
          <w:tcPr>
            <w:tcW w:w="39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2021—2025</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玉溪市湖泊管理局</w:t>
            </w:r>
          </w:p>
        </w:tc>
        <w:tc>
          <w:tcPr>
            <w:tcW w:w="19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基础研究</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抚仙湖流域生态产品价值核算和探索实践</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落实《云南省九大高原湖泊流域生态产品价值核算工作方案》的目标任务要求。基于省级构建的九大高原湖泊生态产品价值核算体系，紧密结合抚仙湖流域的自然条件、社会经济发展的特点，按流域的生态系统类型对生态产品进行分类和调查，摸清流域各类生态产品数量、质量、功能等底数，形成流域生态产品目录清单。开展重要数据的现场监测与调查，按照核算体系，进行实物量和价值量核算，汇总得到流域生态产品价值，形成流域生态产品价值核算成果报告。结合抚仙湖流域的特点，有针对性地提出流域生态产品价值核算结果应用建议方案，为下一步在抚仙湖流域推广应用生态产品价值核算结果奠定基础，为抚仙湖流域进一步开展生态产品价值实现和转化提供指导。</w:t>
            </w:r>
          </w:p>
        </w:tc>
        <w:tc>
          <w:tcPr>
            <w:tcW w:w="39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2022-2023</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w:t>
            </w: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玉溪市湖泊管理局</w:t>
            </w:r>
          </w:p>
        </w:tc>
        <w:tc>
          <w:tcPr>
            <w:tcW w:w="19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35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基础研究</w:t>
            </w:r>
          </w:p>
        </w:tc>
        <w:tc>
          <w:tcPr>
            <w:tcW w:w="66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抚仙湖流域水资源量变化成因与对策研究</w:t>
            </w:r>
          </w:p>
        </w:tc>
        <w:tc>
          <w:tcPr>
            <w:tcW w:w="202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针对抚仙湖水位保障需求，解析隔河改造前后流域来水、供水、用水、排水状况及演变特点，掌握抚仙湖水量平衡状况及补排关系动态变化，揭示入湖水量衰减、出湖路径改变等对抚仙湖水位变化的影响，提出抚仙湖水位保障对策措施建议。主要内容包括抚仙湖流域水循环要素监测及其开发利用调查、抚仙湖流域水资源演变规律及趋势分析、抚仙湖入湖水量变化分析、抚仙湖出湖水量变化分析、抚仙湖水量平衡及水量变化成因分析、抚仙湖水量保障对策研究。</w:t>
            </w:r>
          </w:p>
        </w:tc>
        <w:tc>
          <w:tcPr>
            <w:tcW w:w="39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2023-2025</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4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玉溪市湖泊管理局</w:t>
            </w:r>
          </w:p>
        </w:tc>
        <w:tc>
          <w:tcPr>
            <w:tcW w:w="19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5"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59"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2"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027"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9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36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677670.09</w:t>
            </w:r>
          </w:p>
        </w:tc>
        <w:tc>
          <w:tcPr>
            <w:tcW w:w="35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149719.47</w:t>
            </w:r>
          </w:p>
        </w:tc>
        <w:tc>
          <w:tcPr>
            <w:tcW w:w="439"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95" w:type="pc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bl>
    <w:p>
      <w:pPr>
        <w:rPr>
          <w:rFonts w:hint="default" w:ascii="Times New Roman" w:hAnsi="Times New Roman" w:cs="Times New Roman" w:eastAsiaTheme="minorEastAsia"/>
          <w:color w:val="000000" w:themeColor="text1"/>
          <w:highlight w:val="none"/>
          <w14:textFill>
            <w14:solidFill>
              <w14:schemeClr w14:val="tx1"/>
            </w14:solidFill>
          </w14:textFill>
        </w:rPr>
        <w:sectPr>
          <w:pgSz w:w="16838" w:h="11906" w:orient="landscape"/>
          <w:pgMar w:top="1587" w:right="1440" w:bottom="1587" w:left="1440" w:header="851" w:footer="992" w:gutter="0"/>
          <w:pgBorders>
            <w:top w:val="none" w:sz="0" w:space="0"/>
            <w:left w:val="none" w:sz="0" w:space="0"/>
            <w:bottom w:val="none" w:sz="0" w:space="0"/>
            <w:right w:val="none" w:sz="0" w:space="0"/>
          </w:pgBorders>
          <w:cols w:space="425" w:num="1"/>
          <w:rtlGutter w:val="0"/>
          <w:docGrid w:type="lines" w:linePitch="312" w:charSpace="0"/>
        </w:sectPr>
      </w:pPr>
    </w:p>
    <w:p>
      <w:pPr>
        <w:adjustRightInd w:val="0"/>
        <w:snapToGrid w:val="0"/>
        <w:spacing w:before="120" w:beforeLines="50" w:line="360" w:lineRule="auto"/>
        <w:outlineLvl w:val="1"/>
        <w:rPr>
          <w:rFonts w:hint="default" w:ascii="Times New Roman" w:hAnsi="Times New Roman" w:cs="Times New Roman" w:eastAsiaTheme="minorEastAsia"/>
          <w:b/>
          <w:bCs/>
          <w:color w:val="000000" w:themeColor="text1"/>
          <w:sz w:val="30"/>
          <w:szCs w:val="30"/>
          <w:highlight w:val="none"/>
          <w:lang w:val="en-US" w:eastAsia="zh-CN"/>
          <w14:textFill>
            <w14:solidFill>
              <w14:schemeClr w14:val="tx1"/>
            </w14:solidFill>
          </w14:textFill>
        </w:rPr>
      </w:pPr>
      <w:bookmarkStart w:id="582" w:name="_Toc20165"/>
      <w:r>
        <w:rPr>
          <w:rFonts w:hint="eastAsia" w:ascii="Times New Roman" w:hAnsi="Times New Roman" w:cs="Times New Roman" w:eastAsiaTheme="minorEastAsia"/>
          <w:b/>
          <w:bCs/>
          <w:color w:val="000000" w:themeColor="text1"/>
          <w:sz w:val="30"/>
          <w:szCs w:val="30"/>
          <w:highlight w:val="none"/>
          <w:lang w:val="en-US" w:eastAsia="zh-CN"/>
          <w14:textFill>
            <w14:solidFill>
              <w14:schemeClr w14:val="tx1"/>
            </w14:solidFill>
          </w14:textFill>
        </w:rPr>
        <w:t>8</w:t>
      </w:r>
      <w:r>
        <w:rPr>
          <w:rFonts w:hint="default" w:ascii="Times New Roman" w:hAnsi="Times New Roman" w:cs="Times New Roman" w:eastAsiaTheme="minorEastAsia"/>
          <w:b/>
          <w:bCs/>
          <w:color w:val="000000" w:themeColor="text1"/>
          <w:sz w:val="30"/>
          <w:szCs w:val="30"/>
          <w:highlight w:val="none"/>
          <w:lang w:val="en-US" w:eastAsia="zh-CN"/>
          <w14:textFill>
            <w14:solidFill>
              <w14:schemeClr w14:val="tx1"/>
            </w14:solidFill>
          </w14:textFill>
        </w:rPr>
        <w:t>.</w:t>
      </w:r>
      <w:r>
        <w:rPr>
          <w:rFonts w:hint="eastAsia" w:ascii="Times New Roman" w:hAnsi="Times New Roman" w:cs="Times New Roman" w:eastAsiaTheme="minorEastAsia"/>
          <w:b/>
          <w:bCs/>
          <w:color w:val="000000" w:themeColor="text1"/>
          <w:sz w:val="30"/>
          <w:szCs w:val="30"/>
          <w:highlight w:val="none"/>
          <w:lang w:val="en-US" w:eastAsia="zh-CN"/>
          <w14:textFill>
            <w14:solidFill>
              <w14:schemeClr w14:val="tx1"/>
            </w14:solidFill>
          </w14:textFill>
        </w:rPr>
        <w:t>3附表3</w:t>
      </w:r>
      <w:r>
        <w:rPr>
          <w:rFonts w:hint="default" w:ascii="Times New Roman" w:hAnsi="Times New Roman" w:cs="Times New Roman" w:eastAsiaTheme="minorEastAsia"/>
          <w:b/>
          <w:bCs/>
          <w:color w:val="000000" w:themeColor="text1"/>
          <w:sz w:val="30"/>
          <w:szCs w:val="30"/>
          <w:highlight w:val="none"/>
          <w:lang w:val="en-US" w:eastAsia="zh-CN"/>
          <w14:textFill>
            <w14:solidFill>
              <w14:schemeClr w14:val="tx1"/>
            </w14:solidFill>
          </w14:textFill>
        </w:rPr>
        <w:t>抚仙湖流域水环境保护治理“十四五”规划中期执行</w:t>
      </w:r>
      <w:r>
        <w:rPr>
          <w:rFonts w:hint="eastAsia" w:ascii="Times New Roman" w:hAnsi="Times New Roman" w:cs="Times New Roman" w:eastAsiaTheme="minorEastAsia"/>
          <w:b/>
          <w:bCs/>
          <w:color w:val="000000" w:themeColor="text1"/>
          <w:sz w:val="30"/>
          <w:szCs w:val="30"/>
          <w:highlight w:val="none"/>
          <w:lang w:val="en-US" w:eastAsia="zh-CN"/>
          <w14:textFill>
            <w14:solidFill>
              <w14:schemeClr w14:val="tx1"/>
            </w14:solidFill>
          </w14:textFill>
        </w:rPr>
        <w:t>评估后</w:t>
      </w:r>
      <w:r>
        <w:rPr>
          <w:rFonts w:hint="default" w:ascii="Times New Roman" w:hAnsi="Times New Roman" w:cs="Times New Roman" w:eastAsiaTheme="minorEastAsia"/>
          <w:b/>
          <w:bCs/>
          <w:color w:val="000000" w:themeColor="text1"/>
          <w:sz w:val="30"/>
          <w:szCs w:val="30"/>
          <w:highlight w:val="none"/>
          <w:lang w:val="en-US" w:eastAsia="zh-CN"/>
          <w14:textFill>
            <w14:solidFill>
              <w14:schemeClr w14:val="tx1"/>
            </w14:solidFill>
          </w14:textFill>
        </w:rPr>
        <w:t>规划项目清单</w:t>
      </w:r>
      <w:r>
        <w:rPr>
          <w:rFonts w:hint="eastAsia" w:ascii="Times New Roman" w:hAnsi="Times New Roman" w:cs="Times New Roman" w:eastAsiaTheme="minorEastAsia"/>
          <w:b/>
          <w:bCs/>
          <w:color w:val="000000" w:themeColor="text1"/>
          <w:sz w:val="30"/>
          <w:szCs w:val="30"/>
          <w:highlight w:val="none"/>
          <w:lang w:val="en-US" w:eastAsia="zh-CN"/>
          <w14:textFill>
            <w14:solidFill>
              <w14:schemeClr w14:val="tx1"/>
            </w14:solidFill>
          </w14:textFill>
        </w:rPr>
        <w:t>（规共计33个项目，规划总投资677670.09万元）</w:t>
      </w:r>
      <w:bookmarkEnd w:id="582"/>
    </w:p>
    <w:tbl>
      <w:tblPr>
        <w:tblStyle w:val="17"/>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4"/>
        <w:gridCol w:w="1249"/>
        <w:gridCol w:w="1249"/>
        <w:gridCol w:w="5567"/>
        <w:gridCol w:w="1272"/>
        <w:gridCol w:w="1147"/>
        <w:gridCol w:w="1232"/>
        <w:gridCol w:w="1267"/>
        <w:gridCol w:w="6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blHeader/>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序号</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项目类别</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项目名称</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建设内容及规模</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建设年限</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总投资</w:t>
            </w:r>
          </w:p>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（万元）</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w:t>
            </w: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十四五</w:t>
            </w: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w:t>
            </w: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投资（万元）</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责任单位</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1</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污水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工程类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澄江市污水处理厂技术改造项目</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对澄江市第一污水处理厂技术改造，更换运行不良和达到使用年限的老旧设备，将现有的</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ICEAS</w:t>
            </w:r>
            <w:r>
              <w:rPr>
                <w:rStyle w:val="33"/>
                <w:color w:val="000000" w:themeColor="text1"/>
                <w:highlight w:val="none"/>
                <w:lang w:val="en-US" w:eastAsia="zh-CN" w:bidi="ar"/>
                <w14:textFill>
                  <w14:solidFill>
                    <w14:schemeClr w14:val="tx1"/>
                  </w14:solidFill>
                </w14:textFill>
              </w:rPr>
              <w:t>工艺改造成</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A</w:t>
            </w:r>
            <w:r>
              <w:rPr>
                <w:rStyle w:val="34"/>
                <w:rFonts w:eastAsia="宋体"/>
                <w:color w:val="000000" w:themeColor="text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/O</w:t>
            </w:r>
            <w:r>
              <w:rPr>
                <w:rStyle w:val="33"/>
                <w:color w:val="000000" w:themeColor="text1"/>
                <w:highlight w:val="none"/>
                <w:lang w:val="en-US" w:eastAsia="zh-CN" w:bidi="ar"/>
                <w14:textFill>
                  <w14:solidFill>
                    <w14:schemeClr w14:val="tx1"/>
                  </w14:solidFill>
                </w14:textFill>
              </w:rPr>
              <w:t>工艺，改扩建污水处理车间，重新设置自控系统；对路居污水处理厂进行扩容，将目前</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1500m³/</w:t>
            </w:r>
            <w:r>
              <w:rPr>
                <w:rStyle w:val="33"/>
                <w:color w:val="000000" w:themeColor="text1"/>
                <w:highlight w:val="none"/>
                <w:lang w:val="en-US" w:eastAsia="zh-CN" w:bidi="ar"/>
                <w14:textFill>
                  <w14:solidFill>
                    <w14:schemeClr w14:val="tx1"/>
                  </w14:solidFill>
                </w14:textFill>
              </w:rPr>
              <w:t>天处理量提升至</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3000m³/</w:t>
            </w:r>
            <w:r>
              <w:rPr>
                <w:rStyle w:val="33"/>
                <w:color w:val="000000" w:themeColor="text1"/>
                <w:highlight w:val="none"/>
                <w:lang w:val="en-US" w:eastAsia="zh-CN" w:bidi="ar"/>
                <w14:textFill>
                  <w14:solidFill>
                    <w14:schemeClr w14:val="tx1"/>
                  </w14:solidFill>
                </w14:textFill>
              </w:rPr>
              <w:t>天处理量。</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2021-2024</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4200</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4200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澄江市住房和城乡建设局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5"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2</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污水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工程类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澄江市生活垃圾治理项目</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w:t>
            </w:r>
            <w:r>
              <w:rPr>
                <w:rStyle w:val="33"/>
                <w:color w:val="000000" w:themeColor="text1"/>
                <w:highlight w:val="none"/>
                <w:lang w:val="en-US" w:eastAsia="zh-CN" w:bidi="ar"/>
                <w14:textFill>
                  <w14:solidFill>
                    <w14:schemeClr w14:val="tx1"/>
                  </w14:solidFill>
                </w14:textFill>
              </w:rPr>
              <w:t>开展澄江市陈腐垃圾转运处置工程，处置期为</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w:t>
            </w:r>
            <w:r>
              <w:rPr>
                <w:rStyle w:val="33"/>
                <w:color w:val="000000" w:themeColor="text1"/>
                <w:highlight w:val="none"/>
                <w:lang w:val="en-US" w:eastAsia="zh-CN" w:bidi="ar"/>
                <w14:textFill>
                  <w14:solidFill>
                    <w14:schemeClr w14:val="tx1"/>
                  </w14:solidFill>
                </w14:textFill>
              </w:rPr>
              <w:t>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w:t>
            </w:r>
            <w:r>
              <w:rPr>
                <w:rStyle w:val="33"/>
                <w:color w:val="000000" w:themeColor="text1"/>
                <w:highlight w:val="none"/>
                <w:lang w:val="en-US" w:eastAsia="zh-CN" w:bidi="ar"/>
                <w14:textFill>
                  <w14:solidFill>
                    <w14:schemeClr w14:val="tx1"/>
                  </w14:solidFill>
                </w14:textFill>
              </w:rPr>
              <w:t>新建一座日处理</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50</w:t>
            </w:r>
            <w:r>
              <w:rPr>
                <w:rStyle w:val="33"/>
                <w:color w:val="000000" w:themeColor="text1"/>
                <w:highlight w:val="none"/>
                <w:lang w:val="en-US" w:eastAsia="zh-CN" w:bidi="ar"/>
                <w14:textFill>
                  <w14:solidFill>
                    <w14:schemeClr w14:val="tx1"/>
                  </w14:solidFill>
                </w14:textFill>
              </w:rPr>
              <w:t>吨</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天的渗滤液全量化处理站及其他附属配套设施，持续开展</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w:t>
            </w:r>
            <w:r>
              <w:rPr>
                <w:rStyle w:val="33"/>
                <w:color w:val="000000" w:themeColor="text1"/>
                <w:highlight w:val="none"/>
                <w:lang w:val="en-US" w:eastAsia="zh-CN" w:bidi="ar"/>
                <w14:textFill>
                  <w14:solidFill>
                    <w14:schemeClr w14:val="tx1"/>
                  </w14:solidFill>
                </w14:textFill>
              </w:rPr>
              <w:t>年运维服务工作；</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w:t>
            </w:r>
            <w:r>
              <w:rPr>
                <w:rStyle w:val="33"/>
                <w:color w:val="000000" w:themeColor="text1"/>
                <w:highlight w:val="none"/>
                <w:lang w:val="en-US" w:eastAsia="zh-CN" w:bidi="ar"/>
                <w14:textFill>
                  <w14:solidFill>
                    <w14:schemeClr w14:val="tx1"/>
                  </w14:solidFill>
                </w14:textFill>
              </w:rPr>
              <w:t>对餐厨潲水、泔水进行收集，同步配套建设厨余垃圾处理设施，持续开展</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w:t>
            </w:r>
            <w:r>
              <w:rPr>
                <w:rStyle w:val="33"/>
                <w:color w:val="000000" w:themeColor="text1"/>
                <w:highlight w:val="none"/>
                <w:lang w:val="en-US" w:eastAsia="zh-CN" w:bidi="ar"/>
                <w14:textFill>
                  <w14:solidFill>
                    <w14:schemeClr w14:val="tx1"/>
                  </w14:solidFill>
                </w14:textFill>
              </w:rPr>
              <w:t>年运营工作。</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2021-2025</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4707.66</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4707.66</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澄江市住房和城乡建设局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3</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污水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工程类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澄江市抚仙湖全流域截污治污及健康水循环工程项目</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w:t>
            </w:r>
            <w:r>
              <w:rPr>
                <w:rStyle w:val="33"/>
                <w:color w:val="000000" w:themeColor="text1"/>
                <w:highlight w:val="none"/>
                <w:lang w:val="en-US" w:eastAsia="zh-CN" w:bidi="ar"/>
                <w14:textFill>
                  <w14:solidFill>
                    <w14:schemeClr w14:val="tx1"/>
                  </w14:solidFill>
                </w14:textFill>
              </w:rPr>
              <w:t>对全域</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6</w:t>
            </w:r>
            <w:r>
              <w:rPr>
                <w:rStyle w:val="33"/>
                <w:color w:val="000000" w:themeColor="text1"/>
                <w:highlight w:val="none"/>
                <w:lang w:val="en-US" w:eastAsia="zh-CN" w:bidi="ar"/>
                <w14:textFill>
                  <w14:solidFill>
                    <w14:schemeClr w14:val="tx1"/>
                  </w14:solidFill>
                </w14:textFill>
              </w:rPr>
              <w:t>个镇（街道）、</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44</w:t>
            </w:r>
            <w:r>
              <w:rPr>
                <w:rStyle w:val="33"/>
                <w:color w:val="000000" w:themeColor="text1"/>
                <w:highlight w:val="none"/>
                <w:lang w:val="en-US" w:eastAsia="zh-CN" w:bidi="ar"/>
                <w14:textFill>
                  <w14:solidFill>
                    <w14:schemeClr w14:val="tx1"/>
                  </w14:solidFill>
                </w14:textFill>
              </w:rPr>
              <w:t>个行政村（社区）、</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339</w:t>
            </w:r>
            <w:r>
              <w:rPr>
                <w:rStyle w:val="33"/>
                <w:color w:val="000000" w:themeColor="text1"/>
                <w:highlight w:val="none"/>
                <w:lang w:val="en-US" w:eastAsia="zh-CN" w:bidi="ar"/>
                <w14:textFill>
                  <w14:solidFill>
                    <w14:schemeClr w14:val="tx1"/>
                  </w14:solidFill>
                </w14:textFill>
              </w:rPr>
              <w:t>个村（居）民小组污水收集管网系统进行完善提升，实现污水全收集、全处理。</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w:t>
            </w:r>
            <w:r>
              <w:rPr>
                <w:rStyle w:val="33"/>
                <w:color w:val="000000" w:themeColor="text1"/>
                <w:highlight w:val="none"/>
                <w:lang w:val="en-US" w:eastAsia="zh-CN" w:bidi="ar"/>
                <w14:textFill>
                  <w14:solidFill>
                    <w14:schemeClr w14:val="tx1"/>
                  </w14:solidFill>
                </w14:textFill>
              </w:rPr>
              <w:t>实施澄江市海口镇管道修复及新建工程，新建海口污水处理厂</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1453m</w:t>
            </w:r>
            <w:r>
              <w:rPr>
                <w:rStyle w:val="33"/>
                <w:color w:val="000000" w:themeColor="text1"/>
                <w:highlight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DN600</w:t>
            </w:r>
            <w:r>
              <w:rPr>
                <w:rStyle w:val="33"/>
                <w:color w:val="000000" w:themeColor="text1"/>
                <w:highlight w:val="none"/>
                <w:lang w:val="en-US" w:eastAsia="zh-CN" w:bidi="ar"/>
                <w14:textFill>
                  <w14:solidFill>
                    <w14:schemeClr w14:val="tx1"/>
                  </w14:solidFill>
                </w14:textFill>
              </w:rPr>
              <w:t>污水主管及配套附属设施；</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w:t>
            </w:r>
            <w:r>
              <w:rPr>
                <w:rStyle w:val="33"/>
                <w:color w:val="000000" w:themeColor="text1"/>
                <w:highlight w:val="none"/>
                <w:lang w:val="en-US" w:eastAsia="zh-CN" w:bidi="ar"/>
                <w14:textFill>
                  <w14:solidFill>
                    <w14:schemeClr w14:val="tx1"/>
                  </w14:solidFill>
                </w14:textFill>
              </w:rPr>
              <w:t>实施澄江市仙湖大道管网改造工程，整改龙溪路、凤翔路、仙湖路存在雨污混接等</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47</w:t>
            </w:r>
            <w:r>
              <w:rPr>
                <w:rStyle w:val="33"/>
                <w:color w:val="000000" w:themeColor="text1"/>
                <w:highlight w:val="none"/>
                <w:lang w:val="en-US" w:eastAsia="zh-CN" w:bidi="ar"/>
                <w14:textFill>
                  <w14:solidFill>
                    <w14:schemeClr w14:val="tx1"/>
                  </w14:solidFill>
                </w14:textFill>
              </w:rPr>
              <w:t>个问题点；</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4.</w:t>
            </w:r>
            <w:r>
              <w:rPr>
                <w:rStyle w:val="33"/>
                <w:color w:val="000000" w:themeColor="text1"/>
                <w:highlight w:val="none"/>
                <w:lang w:val="en-US" w:eastAsia="zh-CN" w:bidi="ar"/>
                <w14:textFill>
                  <w14:solidFill>
                    <w14:schemeClr w14:val="tx1"/>
                  </w14:solidFill>
                </w14:textFill>
              </w:rPr>
              <w:t>实施澄江市污水管网完善工程，修复北岸片区</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989</w:t>
            </w:r>
            <w:r>
              <w:rPr>
                <w:rStyle w:val="33"/>
                <w:color w:val="000000" w:themeColor="text1"/>
                <w:highlight w:val="none"/>
                <w:lang w:val="en-US" w:eastAsia="zh-CN" w:bidi="ar"/>
                <w14:textFill>
                  <w14:solidFill>
                    <w14:schemeClr w14:val="tx1"/>
                  </w14:solidFill>
                </w14:textFill>
              </w:rPr>
              <w:t>个管道结构性及功能性缺陷；</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5.</w:t>
            </w:r>
            <w:r>
              <w:rPr>
                <w:rStyle w:val="33"/>
                <w:color w:val="000000" w:themeColor="text1"/>
                <w:highlight w:val="none"/>
                <w:lang w:val="en-US" w:eastAsia="zh-CN" w:bidi="ar"/>
                <w14:textFill>
                  <w14:solidFill>
                    <w14:schemeClr w14:val="tx1"/>
                  </w14:solidFill>
                </w14:textFill>
              </w:rPr>
              <w:t>完善农污项目未收尾部分工程内容。</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2021-2025</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107373.44</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107373.44</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澄江市住房和城乡建设局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5"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4</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污水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工程类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澄江市禄充片区农村生活污水治理提升工程</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实施禄充片区农村生活污水和用水管网改造：主要改造污水主管网</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10406</w:t>
            </w:r>
            <w:r>
              <w:rPr>
                <w:rStyle w:val="33"/>
                <w:color w:val="000000" w:themeColor="text1"/>
                <w:highlight w:val="none"/>
                <w:lang w:val="en-US" w:eastAsia="zh-CN" w:bidi="ar"/>
                <w14:textFill>
                  <w14:solidFill>
                    <w14:schemeClr w14:val="tx1"/>
                  </w14:solidFill>
                </w14:textFill>
              </w:rPr>
              <w:t>米，检查井</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578</w:t>
            </w:r>
            <w:r>
              <w:rPr>
                <w:rStyle w:val="33"/>
                <w:color w:val="000000" w:themeColor="text1"/>
                <w:highlight w:val="none"/>
                <w:lang w:val="en-US" w:eastAsia="zh-CN" w:bidi="ar"/>
                <w14:textFill>
                  <w14:solidFill>
                    <w14:schemeClr w14:val="tx1"/>
                  </w14:solidFill>
                </w14:textFill>
              </w:rPr>
              <w:t>座，雨水主管网</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12564</w:t>
            </w:r>
            <w:r>
              <w:rPr>
                <w:rStyle w:val="33"/>
                <w:color w:val="000000" w:themeColor="text1"/>
                <w:highlight w:val="none"/>
                <w:lang w:val="en-US" w:eastAsia="zh-CN" w:bidi="ar"/>
                <w14:textFill>
                  <w14:solidFill>
                    <w14:schemeClr w14:val="tx1"/>
                  </w14:solidFill>
                </w14:textFill>
              </w:rPr>
              <w:t>米，检查井</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698</w:t>
            </w:r>
            <w:r>
              <w:rPr>
                <w:rStyle w:val="33"/>
                <w:color w:val="000000" w:themeColor="text1"/>
                <w:highlight w:val="none"/>
                <w:lang w:val="en-US" w:eastAsia="zh-CN" w:bidi="ar"/>
                <w14:textFill>
                  <w14:solidFill>
                    <w14:schemeClr w14:val="tx1"/>
                  </w14:solidFill>
                </w14:textFill>
              </w:rPr>
              <w:t>座</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改建给水主管网</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11122</w:t>
            </w:r>
            <w:r>
              <w:rPr>
                <w:rStyle w:val="33"/>
                <w:color w:val="000000" w:themeColor="text1"/>
                <w:highlight w:val="none"/>
                <w:lang w:val="en-US" w:eastAsia="zh-CN" w:bidi="ar"/>
                <w14:textFill>
                  <w14:solidFill>
                    <w14:schemeClr w14:val="tx1"/>
                  </w14:solidFill>
                </w14:textFill>
              </w:rPr>
              <w:t>米，检查井</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300</w:t>
            </w:r>
            <w:r>
              <w:rPr>
                <w:rStyle w:val="33"/>
                <w:color w:val="000000" w:themeColor="text1"/>
                <w:highlight w:val="none"/>
                <w:lang w:val="en-US" w:eastAsia="zh-CN" w:bidi="ar"/>
                <w14:textFill>
                  <w14:solidFill>
                    <w14:schemeClr w14:val="tx1"/>
                  </w14:solidFill>
                </w14:textFill>
              </w:rPr>
              <w:t>座。</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2024-2025</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4850.88</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4850.88</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澄江市龙街街道</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488" w:type="pct"/>
            <w:gridSpan w:val="5"/>
            <w:tcBorders>
              <w:top w:val="single" w:color="000000" w:sz="4" w:space="0"/>
              <w:left w:val="single" w:color="000000" w:sz="4" w:space="0"/>
              <w:bottom w:val="single" w:color="000000" w:sz="4" w:space="0"/>
              <w:right w:val="single" w:color="000000" w:sz="4" w:space="0"/>
            </w:tcBorders>
            <w:shd w:val="clear" w:color="auto" w:fill="F2F2F2"/>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小计</w:t>
            </w:r>
          </w:p>
        </w:tc>
        <w:tc>
          <w:tcPr>
            <w:tcW w:w="405" w:type="pct"/>
            <w:tcBorders>
              <w:top w:val="single" w:color="000000" w:sz="4" w:space="0"/>
              <w:left w:val="single" w:color="000000" w:sz="4" w:space="0"/>
              <w:bottom w:val="single" w:color="000000" w:sz="4" w:space="0"/>
              <w:right w:val="single" w:color="000000" w:sz="4" w:space="0"/>
            </w:tcBorders>
            <w:shd w:val="clear" w:color="auto" w:fill="F2F2F2"/>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121132</w:t>
            </w:r>
          </w:p>
        </w:tc>
        <w:tc>
          <w:tcPr>
            <w:tcW w:w="435" w:type="pct"/>
            <w:tcBorders>
              <w:top w:val="single" w:color="000000" w:sz="4" w:space="0"/>
              <w:left w:val="single" w:color="000000" w:sz="4" w:space="0"/>
              <w:bottom w:val="single" w:color="000000" w:sz="4" w:space="0"/>
              <w:right w:val="single" w:color="000000" w:sz="4" w:space="0"/>
            </w:tcBorders>
            <w:shd w:val="clear" w:color="auto" w:fill="F2F2F2"/>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121132</w:t>
            </w:r>
          </w:p>
        </w:tc>
        <w:tc>
          <w:tcPr>
            <w:tcW w:w="447" w:type="pct"/>
            <w:tcBorders>
              <w:top w:val="single" w:color="000000" w:sz="4" w:space="0"/>
              <w:left w:val="single" w:color="000000" w:sz="4" w:space="0"/>
              <w:bottom w:val="single" w:color="000000" w:sz="4" w:space="0"/>
              <w:right w:val="single" w:color="000000" w:sz="4" w:space="0"/>
            </w:tcBorders>
            <w:shd w:val="clear" w:color="auto" w:fill="F2F2F2"/>
            <w:vAlign w:val="center"/>
          </w:tcPr>
          <w:p>
            <w:pPr>
              <w:jc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p>
        </w:tc>
        <w:tc>
          <w:tcPr>
            <w:tcW w:w="224" w:type="pct"/>
            <w:tcBorders>
              <w:top w:val="single" w:color="000000" w:sz="4" w:space="0"/>
              <w:left w:val="single" w:color="000000" w:sz="4" w:space="0"/>
              <w:bottom w:val="single" w:color="000000" w:sz="4" w:space="0"/>
              <w:right w:val="single" w:color="000000" w:sz="4" w:space="0"/>
            </w:tcBorders>
            <w:shd w:val="clear" w:color="auto" w:fill="F2F2F2"/>
            <w:vAlign w:val="center"/>
          </w:tcPr>
          <w:p>
            <w:pPr>
              <w:jc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9"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5</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活水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工程类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南片区供水替代工程</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完成路居干管、江川支管建设，龙泉园区水厂和路居水厂建设及配水管网建设。</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2021-2025</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38400</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38400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玉溪市抚仙湖保护开发投资有限责任公司、玉溪市水利局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0"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6</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活水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工程类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澄江市城乡供水一体化工程项目</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w:t>
            </w:r>
            <w:r>
              <w:rPr>
                <w:rStyle w:val="33"/>
                <w:color w:val="000000" w:themeColor="text1"/>
                <w:highlight w:val="none"/>
                <w:lang w:val="en-US" w:eastAsia="zh-CN" w:bidi="ar"/>
                <w14:textFill>
                  <w14:solidFill>
                    <w14:schemeClr w14:val="tx1"/>
                  </w14:solidFill>
                </w14:textFill>
              </w:rPr>
              <w:t>对梁王大道以西、中山大道以东区域供水系统完善提升，实现抚仙湖北岸坝区供水一体化。</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w:t>
            </w:r>
            <w:r>
              <w:rPr>
                <w:rStyle w:val="33"/>
                <w:color w:val="000000" w:themeColor="text1"/>
                <w:highlight w:val="none"/>
                <w:lang w:val="en-US" w:eastAsia="zh-CN" w:bidi="ar"/>
                <w14:textFill>
                  <w14:solidFill>
                    <w14:schemeClr w14:val="tx1"/>
                  </w14:solidFill>
                </w14:textFill>
              </w:rPr>
              <w:t>实施农村供水保障专项行动。完善供水主管网至各村落之间的支管网建设，并对水源不稳定村组实现正常供水。</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2022-2025</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24820</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24820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澄江市住房和城乡建设局、澄江市水利局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7</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活水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工程类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抚仙湖北岸初期雨水收集循环利用项目</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实施</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w:t>
            </w:r>
            <w:r>
              <w:rPr>
                <w:rStyle w:val="33"/>
                <w:color w:val="000000" w:themeColor="text1"/>
                <w:highlight w:val="none"/>
                <w:lang w:val="en-US" w:eastAsia="zh-CN" w:bidi="ar"/>
                <w14:textFill>
                  <w14:solidFill>
                    <w14:schemeClr w14:val="tx1"/>
                  </w14:solidFill>
                </w14:textFill>
              </w:rPr>
              <w:t>个子项目工程。</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w:t>
            </w:r>
            <w:r>
              <w:rPr>
                <w:rStyle w:val="33"/>
                <w:color w:val="000000" w:themeColor="text1"/>
                <w:highlight w:val="none"/>
                <w:lang w:val="en-US" w:eastAsia="zh-CN" w:bidi="ar"/>
                <w14:textFill>
                  <w14:solidFill>
                    <w14:schemeClr w14:val="tx1"/>
                  </w14:solidFill>
                </w14:textFill>
              </w:rPr>
              <w:t>改造提升原有泵站、新建管道，将调蓄带低污染水抽提灌溉回用。东线工程提至浑水塘水库，设计年总提水量</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541.77</w:t>
            </w:r>
            <w:r>
              <w:rPr>
                <w:rStyle w:val="33"/>
                <w:color w:val="000000" w:themeColor="text1"/>
                <w:highlight w:val="none"/>
                <w:lang w:val="en-US" w:eastAsia="zh-CN" w:bidi="ar"/>
                <w14:textFill>
                  <w14:solidFill>
                    <w14:schemeClr w14:val="tx1"/>
                  </w14:solidFill>
                </w14:textFill>
              </w:rPr>
              <w:t>万</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m³</w:t>
            </w:r>
            <w:r>
              <w:rPr>
                <w:rStyle w:val="33"/>
                <w:color w:val="000000" w:themeColor="text1"/>
                <w:highlight w:val="none"/>
                <w:lang w:val="en-US" w:eastAsia="zh-CN" w:bidi="ar"/>
                <w14:textFill>
                  <w14:solidFill>
                    <w14:schemeClr w14:val="tx1"/>
                  </w14:solidFill>
                </w14:textFill>
              </w:rPr>
              <w:t>，覆盖浑水塘</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2.07</w:t>
            </w:r>
            <w:r>
              <w:rPr>
                <w:rStyle w:val="33"/>
                <w:color w:val="000000" w:themeColor="text1"/>
                <w:highlight w:val="none"/>
                <w:lang w:val="en-US" w:eastAsia="zh-CN" w:bidi="ar"/>
                <w14:textFill>
                  <w14:solidFill>
                    <w14:schemeClr w14:val="tx1"/>
                  </w14:solidFill>
                </w14:textFill>
              </w:rPr>
              <w:t>万亩灌面；西线工程提至山冲河水库高效节水泉池，设计年总提水量</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54.41</w:t>
            </w:r>
            <w:r>
              <w:rPr>
                <w:rStyle w:val="33"/>
                <w:color w:val="000000" w:themeColor="text1"/>
                <w:highlight w:val="none"/>
                <w:lang w:val="en-US" w:eastAsia="zh-CN" w:bidi="ar"/>
                <w14:textFill>
                  <w14:solidFill>
                    <w14:schemeClr w14:val="tx1"/>
                  </w14:solidFill>
                </w14:textFill>
              </w:rPr>
              <w:t>万</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m³</w:t>
            </w:r>
            <w:r>
              <w:rPr>
                <w:rStyle w:val="33"/>
                <w:color w:val="000000" w:themeColor="text1"/>
                <w:highlight w:val="none"/>
                <w:lang w:val="en-US" w:eastAsia="zh-CN" w:bidi="ar"/>
                <w14:textFill>
                  <w14:solidFill>
                    <w14:schemeClr w14:val="tx1"/>
                  </w14:solidFill>
                </w14:textFill>
              </w:rPr>
              <w:t>，覆盖山冲河水库约</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0.6</w:t>
            </w:r>
            <w:r>
              <w:rPr>
                <w:rStyle w:val="33"/>
                <w:color w:val="000000" w:themeColor="text1"/>
                <w:highlight w:val="none"/>
                <w:lang w:val="en-US" w:eastAsia="zh-CN" w:bidi="ar"/>
                <w14:textFill>
                  <w14:solidFill>
                    <w14:schemeClr w14:val="tx1"/>
                  </w14:solidFill>
                </w14:textFill>
              </w:rPr>
              <w:t>万亩灌面。</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w:t>
            </w:r>
            <w:r>
              <w:rPr>
                <w:rStyle w:val="33"/>
                <w:color w:val="000000" w:themeColor="text1"/>
                <w:highlight w:val="none"/>
                <w:lang w:val="en-US" w:eastAsia="zh-CN" w:bidi="ar"/>
                <w14:textFill>
                  <w14:solidFill>
                    <w14:schemeClr w14:val="tx1"/>
                  </w14:solidFill>
                </w14:textFill>
              </w:rPr>
              <w:t>湖外农业循环用水一期，通过新建、改建泵站；新建输水管、调蓄池、闸阀井等，改善东部山区</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3.79</w:t>
            </w:r>
            <w:r>
              <w:rPr>
                <w:rStyle w:val="33"/>
                <w:color w:val="000000" w:themeColor="text1"/>
                <w:highlight w:val="none"/>
                <w:lang w:val="en-US" w:eastAsia="zh-CN" w:bidi="ar"/>
                <w14:textFill>
                  <w14:solidFill>
                    <w14:schemeClr w14:val="tx1"/>
                  </w14:solidFill>
                </w14:textFill>
              </w:rPr>
              <w:t>万亩土地灌溉用水。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w:t>
            </w:r>
            <w:r>
              <w:rPr>
                <w:rStyle w:val="33"/>
                <w:color w:val="000000" w:themeColor="text1"/>
                <w:highlight w:val="none"/>
                <w:lang w:val="en-US" w:eastAsia="zh-CN" w:bidi="ar"/>
                <w14:textFill>
                  <w14:solidFill>
                    <w14:schemeClr w14:val="tx1"/>
                  </w14:solidFill>
                </w14:textFill>
              </w:rPr>
              <w:t>湖外农业循环用水二期，通过新建、改建泵站；新建输水管、调蓄池、闸阀井等，改善坝区</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2.58</w:t>
            </w:r>
            <w:r>
              <w:rPr>
                <w:rStyle w:val="33"/>
                <w:color w:val="000000" w:themeColor="text1"/>
                <w:highlight w:val="none"/>
                <w:lang w:val="en-US" w:eastAsia="zh-CN" w:bidi="ar"/>
                <w14:textFill>
                  <w14:solidFill>
                    <w14:schemeClr w14:val="tx1"/>
                  </w14:solidFill>
                </w14:textFill>
              </w:rPr>
              <w:t>万亩土地灌溉用水。</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2021-2025</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24713</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24713</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澄江市水利局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8</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33"/>
                <w:rFonts w:ascii="宋体" w:hAnsi="宋体" w:eastAsia="宋体" w:cs="宋体"/>
                <w:i w:val="0"/>
                <w:iCs w:val="0"/>
                <w:color w:val="000000" w:themeColor="text1"/>
                <w:highlight w:val="none"/>
                <w:lang w:val="en-US" w:eastAsia="zh-CN" w:bidi="ar"/>
                <w14:textFill>
                  <w14:solidFill>
                    <w14:schemeClr w14:val="tx1"/>
                  </w14:solidFill>
                </w14:textFill>
              </w:rPr>
            </w:pPr>
            <w:r>
              <w:rPr>
                <w:rStyle w:val="33"/>
                <w:rFonts w:hint="default" w:ascii="宋体" w:hAnsi="宋体" w:eastAsia="宋体" w:cs="宋体"/>
                <w:i w:val="0"/>
                <w:iCs w:val="0"/>
                <w:color w:val="000000" w:themeColor="text1"/>
                <w:highlight w:val="none"/>
                <w:lang w:val="en-US" w:eastAsia="zh-CN" w:bidi="ar"/>
                <w14:textFill>
                  <w14:solidFill>
                    <w14:schemeClr w14:val="tx1"/>
                  </w14:solidFill>
                </w14:textFill>
              </w:rPr>
              <w:t>“活水”工程类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33"/>
                <w:rFonts w:hint="eastAsia" w:ascii="宋体" w:hAnsi="宋体" w:eastAsia="宋体" w:cs="宋体"/>
                <w:i w:val="0"/>
                <w:iCs w:val="0"/>
                <w:color w:val="000000" w:themeColor="text1"/>
                <w:highlight w:val="none"/>
                <w:lang w:val="en-US" w:eastAsia="zh-CN" w:bidi="ar"/>
                <w14:textFill>
                  <w14:solidFill>
                    <w14:schemeClr w14:val="tx1"/>
                  </w14:solidFill>
                </w14:textFill>
              </w:rPr>
            </w:pPr>
            <w:r>
              <w:rPr>
                <w:rStyle w:val="33"/>
                <w:rFonts w:hint="eastAsia" w:ascii="宋体" w:hAnsi="宋体" w:eastAsia="宋体" w:cs="宋体"/>
                <w:i w:val="0"/>
                <w:iCs w:val="0"/>
                <w:color w:val="000000" w:themeColor="text1"/>
                <w:highlight w:val="none"/>
                <w:lang w:val="en-US" w:eastAsia="zh-CN" w:bidi="ar"/>
                <w14:textFill>
                  <w14:solidFill>
                    <w14:schemeClr w14:val="tx1"/>
                  </w14:solidFill>
                </w14:textFill>
              </w:rPr>
              <w:t>澄江市大箐沟山洪沟治理工程</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33"/>
                <w:rFonts w:hint="default" w:ascii="宋体" w:hAnsi="宋体" w:eastAsia="宋体" w:cs="宋体"/>
                <w:i w:val="0"/>
                <w:iCs w:val="0"/>
                <w:color w:val="000000" w:themeColor="text1"/>
                <w:highlight w:val="none"/>
                <w:lang w:val="en-US" w:eastAsia="zh-CN" w:bidi="ar"/>
                <w14:textFill>
                  <w14:solidFill>
                    <w14:schemeClr w14:val="tx1"/>
                  </w14:solidFill>
                </w14:textFill>
              </w:rPr>
            </w:pPr>
            <w:r>
              <w:rPr>
                <w:rStyle w:val="33"/>
                <w:rFonts w:hint="default" w:ascii="宋体" w:hAnsi="宋体" w:eastAsia="宋体" w:cs="宋体"/>
                <w:i w:val="0"/>
                <w:iCs w:val="0"/>
                <w:color w:val="000000" w:themeColor="text1"/>
                <w:highlight w:val="none"/>
                <w:lang w:val="en-US" w:eastAsia="zh-CN" w:bidi="ar"/>
                <w14:textFill>
                  <w14:solidFill>
                    <w14:schemeClr w14:val="tx1"/>
                  </w14:solidFill>
                </w14:textFill>
              </w:rPr>
              <w:t>治理长度为1.96km，治理措施主要为建设防洪堤以及布置拦砂坝和固床坝,完善排洪渠，保障村内行洪安全。</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2023-2025</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650</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650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澄江市水利局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3488" w:type="pct"/>
            <w:gridSpan w:val="5"/>
            <w:tcBorders>
              <w:top w:val="single" w:color="000000" w:sz="4" w:space="0"/>
              <w:left w:val="single" w:color="000000" w:sz="4" w:space="0"/>
              <w:bottom w:val="single" w:color="000000" w:sz="4" w:space="0"/>
              <w:right w:val="single" w:color="000000" w:sz="4" w:space="0"/>
            </w:tcBorders>
            <w:shd w:val="clear" w:color="auto" w:fill="F2F2F2"/>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小计</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88583</w:t>
            </w:r>
          </w:p>
        </w:tc>
        <w:tc>
          <w:tcPr>
            <w:tcW w:w="43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88583</w:t>
            </w:r>
          </w:p>
        </w:tc>
        <w:tc>
          <w:tcPr>
            <w:tcW w:w="447" w:type="pct"/>
            <w:tcBorders>
              <w:top w:val="single" w:color="000000" w:sz="4" w:space="0"/>
              <w:left w:val="single" w:color="000000" w:sz="4" w:space="0"/>
              <w:bottom w:val="single" w:color="000000" w:sz="4" w:space="0"/>
              <w:right w:val="single" w:color="000000" w:sz="4" w:space="0"/>
            </w:tcBorders>
            <w:shd w:val="clear" w:color="auto" w:fill="F2F2F2"/>
            <w:vAlign w:val="center"/>
          </w:tcPr>
          <w:p>
            <w:pPr>
              <w:jc w:val="center"/>
              <w:rPr>
                <w:rFonts w:hint="default" w:ascii="仿宋_GB2312" w:hAnsi="宋体" w:eastAsia="仿宋_GB2312" w:cs="仿宋_GB2312"/>
                <w:b/>
                <w:bCs/>
                <w:i w:val="0"/>
                <w:iCs w:val="0"/>
                <w:color w:val="000000" w:themeColor="text1"/>
                <w:sz w:val="20"/>
                <w:szCs w:val="20"/>
                <w:highlight w:val="none"/>
                <w:u w:val="none"/>
                <w14:textFill>
                  <w14:solidFill>
                    <w14:schemeClr w14:val="tx1"/>
                  </w14:solidFill>
                </w14:textFill>
              </w:rPr>
            </w:pPr>
          </w:p>
        </w:tc>
        <w:tc>
          <w:tcPr>
            <w:tcW w:w="224" w:type="pct"/>
            <w:tcBorders>
              <w:top w:val="single" w:color="000000" w:sz="4" w:space="0"/>
              <w:left w:val="single" w:color="000000" w:sz="4" w:space="0"/>
              <w:bottom w:val="single" w:color="000000" w:sz="4" w:space="0"/>
              <w:right w:val="single" w:color="000000" w:sz="4" w:space="0"/>
            </w:tcBorders>
            <w:shd w:val="clear" w:color="auto" w:fill="F2F2F2"/>
            <w:vAlign w:val="center"/>
          </w:tcPr>
          <w:p>
            <w:pPr>
              <w:jc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9</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净水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工程类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抚仙湖入湖河道水质提升工程</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对抚仙湖入湖河道及湿地进行综合整治，划定清水水源及清水通道，设置河滨生态隔离带、封堵排污口、清淤、收割替换水生植物，进行常态化管护，实现清水入湖；消除马房中沟、马房西沟、窑泥沟、大摆沟等河道消除Ⅴ类、劣Ⅴ类水体，实现水质提升。</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2021-2025</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10000</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8800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澄江市水利局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488" w:type="pct"/>
            <w:gridSpan w:val="5"/>
            <w:tcBorders>
              <w:top w:val="single" w:color="000000" w:sz="4" w:space="0"/>
              <w:left w:val="single" w:color="000000" w:sz="4" w:space="0"/>
              <w:bottom w:val="single" w:color="000000" w:sz="4" w:space="0"/>
              <w:right w:val="single" w:color="000000" w:sz="4" w:space="0"/>
            </w:tcBorders>
            <w:shd w:val="clear" w:color="auto" w:fill="F2F2F2"/>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小计</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10000</w:t>
            </w:r>
          </w:p>
        </w:tc>
        <w:tc>
          <w:tcPr>
            <w:tcW w:w="43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8800</w:t>
            </w:r>
          </w:p>
        </w:tc>
        <w:tc>
          <w:tcPr>
            <w:tcW w:w="447" w:type="pct"/>
            <w:tcBorders>
              <w:top w:val="single" w:color="000000" w:sz="4" w:space="0"/>
              <w:left w:val="single" w:color="000000" w:sz="4" w:space="0"/>
              <w:bottom w:val="single" w:color="000000" w:sz="4" w:space="0"/>
              <w:right w:val="single" w:color="000000" w:sz="4" w:space="0"/>
            </w:tcBorders>
            <w:shd w:val="clear" w:color="auto" w:fill="F2F2F2"/>
            <w:vAlign w:val="center"/>
          </w:tcPr>
          <w:p>
            <w:pPr>
              <w:jc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p>
        </w:tc>
        <w:tc>
          <w:tcPr>
            <w:tcW w:w="224" w:type="pct"/>
            <w:tcBorders>
              <w:top w:val="single" w:color="000000" w:sz="4" w:space="0"/>
              <w:left w:val="single" w:color="000000" w:sz="4" w:space="0"/>
              <w:bottom w:val="single" w:color="000000" w:sz="4" w:space="0"/>
              <w:right w:val="single" w:color="000000" w:sz="4" w:space="0"/>
            </w:tcBorders>
            <w:shd w:val="clear" w:color="auto" w:fill="F2F2F2"/>
            <w:vAlign w:val="center"/>
          </w:tcPr>
          <w:p>
            <w:pPr>
              <w:jc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5"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10</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源水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工程类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农业绿色转型升级发展工程</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巩固</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5.8</w:t>
            </w:r>
            <w:r>
              <w:rPr>
                <w:rStyle w:val="33"/>
                <w:color w:val="000000" w:themeColor="text1"/>
                <w:highlight w:val="none"/>
                <w:lang w:val="en-US" w:eastAsia="zh-CN" w:bidi="ar"/>
                <w14:textFill>
                  <w14:solidFill>
                    <w14:schemeClr w14:val="tx1"/>
                  </w14:solidFill>
                </w14:textFill>
              </w:rPr>
              <w:t>万亩土地流转休耕轮作，推进抚仙湖流域农业种植结构调整，强化化肥、农药销售使用及农业灌溉用水管理，实施有机肥代替工程，建设农业标准化示范基地，推广农业大棚、水肥一体化等设施农业。强化流域畜禽养殖、水产养殖退后常态化监管，防止反弹回潮，巩固全面禁养成果。</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2021-2025</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125000</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125000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澄江市农业农村局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11</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源水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工程类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矿山修复项目</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对辖区及托管区内大山采石场、双水塘采石场、郭帅洗沙场等</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13</w:t>
            </w:r>
            <w:r>
              <w:rPr>
                <w:rStyle w:val="33"/>
                <w:color w:val="000000" w:themeColor="text1"/>
                <w:highlight w:val="none"/>
                <w:lang w:val="en-US" w:eastAsia="zh-CN" w:bidi="ar"/>
                <w14:textFill>
                  <w14:solidFill>
                    <w14:schemeClr w14:val="tx1"/>
                  </w14:solidFill>
                </w14:textFill>
              </w:rPr>
              <w:t>个历史遗留矿山进行生态修复，总面积约为</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147.98hm²</w:t>
            </w:r>
            <w:r>
              <w:rPr>
                <w:rStyle w:val="33"/>
                <w:color w:val="000000" w:themeColor="text1"/>
                <w:highlight w:val="none"/>
                <w:lang w:val="en-US" w:eastAsia="zh-CN" w:bidi="ar"/>
                <w14:textFill>
                  <w14:solidFill>
                    <w14:schemeClr w14:val="tx1"/>
                  </w14:solidFill>
                </w14:textFill>
              </w:rPr>
              <w:t>。</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2021-2025</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8999</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8999</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澄江市自然资源局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5"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12</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源水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工程类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澄江市梁王河沙坝生态清洁小流域综合治理工程</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约治理</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30.5</w:t>
            </w:r>
            <w:r>
              <w:rPr>
                <w:rStyle w:val="33"/>
                <w:color w:val="000000" w:themeColor="text1"/>
                <w:highlight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33</w:t>
            </w:r>
            <w:r>
              <w:rPr>
                <w:rStyle w:val="33"/>
                <w:color w:val="000000" w:themeColor="text1"/>
                <w:highlight w:val="none"/>
                <w:lang w:val="en-US" w:eastAsia="zh-CN" w:bidi="ar"/>
                <w14:textFill>
                  <w14:solidFill>
                    <w14:schemeClr w14:val="tx1"/>
                  </w14:solidFill>
                </w14:textFill>
              </w:rPr>
              <w:t>平方公里的水土流失面积。主要实施种植水土保持林和栽植经果林、田间道路工程、谷坊及拦沙坝建设、封禁治理，补植补种、保护性耕作、村落卫生环境整治、沿线建设水土保持科普长廊等内容。</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2023-2025</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1750</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1750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澄江市水利局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13</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源水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工程类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澄江市化肥、农药减量增效项目</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在抚仙湖流域内建设集成实施种植结构调整、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三新</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集成技术、有机肥替代部分化肥、病虫害绿色防控示范和稻谷绿色高质高效等绿色农业技术措施的示范区</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2023-2024</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530</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530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澄江市农业农村局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14</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源水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工程类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2023</w:t>
            </w:r>
            <w:r>
              <w:rPr>
                <w:rStyle w:val="33"/>
                <w:color w:val="000000" w:themeColor="text1"/>
                <w:highlight w:val="none"/>
                <w:lang w:val="en-US" w:eastAsia="zh-CN" w:bidi="ar"/>
                <w14:textFill>
                  <w14:solidFill>
                    <w14:schemeClr w14:val="tx1"/>
                  </w14:solidFill>
                </w14:textFill>
              </w:rPr>
              <w:t>年地膜科学使用试点整县推进项目</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w:t>
            </w:r>
            <w:r>
              <w:rPr>
                <w:rStyle w:val="33"/>
                <w:color w:val="000000" w:themeColor="text1"/>
                <w:highlight w:val="none"/>
                <w:lang w:val="en-US" w:eastAsia="zh-CN" w:bidi="ar"/>
                <w14:textFill>
                  <w14:solidFill>
                    <w14:schemeClr w14:val="tx1"/>
                  </w14:solidFill>
                </w14:textFill>
              </w:rPr>
              <w:t>推广加厚高强度地膜</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4</w:t>
            </w:r>
            <w:r>
              <w:rPr>
                <w:rStyle w:val="33"/>
                <w:color w:val="000000" w:themeColor="text1"/>
                <w:highlight w:val="none"/>
                <w:lang w:val="en-US" w:eastAsia="zh-CN" w:bidi="ar"/>
                <w14:textFill>
                  <w14:solidFill>
                    <w14:schemeClr w14:val="tx1"/>
                  </w14:solidFill>
                </w14:textFill>
              </w:rPr>
              <w:t>万亩；</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w:t>
            </w:r>
            <w:r>
              <w:rPr>
                <w:rStyle w:val="33"/>
                <w:color w:val="000000" w:themeColor="text1"/>
                <w:highlight w:val="none"/>
                <w:lang w:val="en-US" w:eastAsia="zh-CN" w:bidi="ar"/>
                <w14:textFill>
                  <w14:solidFill>
                    <w14:schemeClr w14:val="tx1"/>
                  </w14:solidFill>
                </w14:textFill>
              </w:rPr>
              <w:t>推广全生物降解地膜</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0.4</w:t>
            </w:r>
            <w:r>
              <w:rPr>
                <w:rStyle w:val="33"/>
                <w:color w:val="000000" w:themeColor="text1"/>
                <w:highlight w:val="none"/>
                <w:lang w:val="en-US" w:eastAsia="zh-CN" w:bidi="ar"/>
                <w14:textFill>
                  <w14:solidFill>
                    <w14:schemeClr w14:val="tx1"/>
                  </w14:solidFill>
                </w14:textFill>
              </w:rPr>
              <w:t>万亩；</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w:t>
            </w:r>
            <w:r>
              <w:rPr>
                <w:rStyle w:val="33"/>
                <w:color w:val="000000" w:themeColor="text1"/>
                <w:highlight w:val="none"/>
                <w:lang w:val="en-US" w:eastAsia="zh-CN" w:bidi="ar"/>
                <w14:textFill>
                  <w14:solidFill>
                    <w14:schemeClr w14:val="tx1"/>
                  </w14:solidFill>
                </w14:textFill>
              </w:rPr>
              <w:t>建立农膜回收体系。</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2023-2024</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156</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156</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澄江市农业农村局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15</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源水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工程类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高标准农田建设项目</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完成高标准农田</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12.71</w:t>
            </w:r>
            <w:r>
              <w:rPr>
                <w:rStyle w:val="33"/>
                <w:color w:val="000000" w:themeColor="text1"/>
                <w:highlight w:val="none"/>
                <w:lang w:val="en-US" w:eastAsia="zh-CN" w:bidi="ar"/>
                <w14:textFill>
                  <w14:solidFill>
                    <w14:schemeClr w14:val="tx1"/>
                  </w14:solidFill>
                </w14:textFill>
              </w:rPr>
              <w:t>万亩以上，比重达</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65%</w:t>
            </w:r>
            <w:r>
              <w:rPr>
                <w:rStyle w:val="33"/>
                <w:color w:val="000000" w:themeColor="text1"/>
                <w:highlight w:val="none"/>
                <w:lang w:val="en-US" w:eastAsia="zh-CN" w:bidi="ar"/>
                <w14:textFill>
                  <w14:solidFill>
                    <w14:schemeClr w14:val="tx1"/>
                  </w14:solidFill>
                </w14:textFill>
              </w:rPr>
              <w:t>以上；完善农田灌排体系，配套高效节水灌溉设施。</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2021-2025</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5730</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2255</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澄江市农业农村局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16</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源水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工程类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抚仙湖生物多样性保护工程</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巩固森林抚仙湖</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6</w:t>
            </w:r>
            <w:r>
              <w:rPr>
                <w:rStyle w:val="33"/>
                <w:color w:val="000000" w:themeColor="text1"/>
                <w:highlight w:val="none"/>
                <w:lang w:val="en-US" w:eastAsia="zh-CN" w:bidi="ar"/>
                <w14:textFill>
                  <w14:solidFill>
                    <w14:schemeClr w14:val="tx1"/>
                  </w14:solidFill>
                </w14:textFill>
              </w:rPr>
              <w:t>万亩山地流转，确保森林抚仙湖生态治理林木保存率；对森林抚仙湖项目开展抚育提升，实施抚育提升</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5</w:t>
            </w:r>
            <w:r>
              <w:rPr>
                <w:rStyle w:val="33"/>
                <w:color w:val="000000" w:themeColor="text1"/>
                <w:highlight w:val="none"/>
                <w:lang w:val="en-US" w:eastAsia="zh-CN" w:bidi="ar"/>
                <w14:textFill>
                  <w14:solidFill>
                    <w14:schemeClr w14:val="tx1"/>
                  </w14:solidFill>
                </w14:textFill>
              </w:rPr>
              <w:t>万亩。</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2021-2025</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52500</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52538</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澄江市林业和草原局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3"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17</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源水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工程类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滇中引水二期配套工程-澄江干线</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滇中引水二期配套工程澄江干线，澄江段投资</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5</w:t>
            </w:r>
            <w:r>
              <w:rPr>
                <w:rStyle w:val="33"/>
                <w:color w:val="000000" w:themeColor="text1"/>
                <w:highlight w:val="none"/>
                <w:lang w:val="en-US" w:eastAsia="zh-CN" w:bidi="ar"/>
                <w14:textFill>
                  <w14:solidFill>
                    <w14:schemeClr w14:val="tx1"/>
                  </w14:solidFill>
                </w14:textFill>
              </w:rPr>
              <w:t>点</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w:t>
            </w:r>
            <w:r>
              <w:rPr>
                <w:rStyle w:val="33"/>
                <w:color w:val="000000" w:themeColor="text1"/>
                <w:highlight w:val="none"/>
                <w:lang w:val="en-US" w:eastAsia="zh-CN" w:bidi="ar"/>
                <w14:textFill>
                  <w14:solidFill>
                    <w14:schemeClr w14:val="tx1"/>
                  </w14:solidFill>
                </w14:textFill>
              </w:rPr>
              <w:t>亿，总工期</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58</w:t>
            </w:r>
            <w:r>
              <w:rPr>
                <w:rStyle w:val="33"/>
                <w:color w:val="000000" w:themeColor="text1"/>
                <w:highlight w:val="none"/>
                <w:lang w:val="en-US" w:eastAsia="zh-CN" w:bidi="ar"/>
                <w14:textFill>
                  <w14:solidFill>
                    <w14:schemeClr w14:val="tx1"/>
                  </w14:solidFill>
                </w14:textFill>
              </w:rPr>
              <w:t>个月，从去年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10</w:t>
            </w:r>
            <w:r>
              <w:rPr>
                <w:rStyle w:val="33"/>
                <w:color w:val="000000" w:themeColor="text1"/>
                <w:highlight w:val="none"/>
                <w:lang w:val="en-US" w:eastAsia="zh-CN" w:bidi="ar"/>
                <w14:textFill>
                  <w14:solidFill>
                    <w14:schemeClr w14:val="tx1"/>
                  </w14:solidFill>
                </w14:textFill>
              </w:rPr>
              <w:t>算起，通过水量调度方式调水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3043</w:t>
            </w:r>
            <w:r>
              <w:rPr>
                <w:rStyle w:val="33"/>
                <w:color w:val="000000" w:themeColor="text1"/>
                <w:highlight w:val="none"/>
                <w:lang w:val="en-US" w:eastAsia="zh-CN" w:bidi="ar"/>
                <w14:textFill>
                  <w14:solidFill>
                    <w14:schemeClr w14:val="tx1"/>
                  </w14:solidFill>
                </w14:textFill>
              </w:rPr>
              <w:t>万方，干线包含澄江隧洞，山冲河支线，梁王河支线管网支线，华宁支线至路居，置换供水工程对增加抚仙湖入湖清水量、有效缓解抚仙湖流域水资源过度开发状况、提高抚仙湖流域水资源和水环境承载能力具有重要作用，澄江受水区干线及其下级分干线、支线总长28.39km，共计18个输水建筑物，其中：输水管17条，长21.95km，占线路总长的77.32%；隧洞1条，长6.44km，占线路总长的22.68%。工期58个月。</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2022-2027</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52000</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46000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云南省滇中引水工程建设管理局玉溪分局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18</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源水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工程类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抚仙湖取水替代工程</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（1）抚仙湖东南、西岸配水管网工程：本项目主要将路居水厂管网延伸至隔河村、海门村、孤山村委会、江城镇区域、李家营、牛摩村、翠峰村、明星村，实现抚仙湖东南、西岸供水替代。</w:t>
            </w:r>
          </w:p>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甸垛管网延伸扩建工程：供水规模2.0万立方米/天。供水范围涉及澄江市太阳山片区，澄江市小湾、吉花、海口、新村、松园、永和、海镜以及海关社区共计8个行政村48个村小组的生产生活用水替代。主要工程内容为输水管线20.798km配水管网等。</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2022-2024</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8100</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8100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玉溪市抚仙湖保护开发投资有限责任公司、玉溪市水利局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19</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“源水”工程类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玉溪市滇中山地石漠化项目（澄江）</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项目建设规模9.27万亩，其中：封山育林面积3.82万亩，退化林修复面积5.45万亩；荒漠生态系统综合治理工程为新建水利水保设施水窖（水池、谷坊等）99处。项目概算总投资为6208.46万元。</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2022-2025</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6200</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6200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玉溪市林业和草原局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3488" w:type="pct"/>
            <w:gridSpan w:val="5"/>
            <w:tcBorders>
              <w:top w:val="single" w:color="000000" w:sz="4" w:space="0"/>
              <w:left w:val="single" w:color="000000" w:sz="4" w:space="0"/>
              <w:bottom w:val="single" w:color="000000" w:sz="4" w:space="0"/>
              <w:right w:val="single" w:color="000000" w:sz="4" w:space="0"/>
            </w:tcBorders>
            <w:shd w:val="clear" w:color="auto" w:fill="F2F2F2"/>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小计</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260965</w:t>
            </w:r>
          </w:p>
        </w:tc>
        <w:tc>
          <w:tcPr>
            <w:tcW w:w="43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251528</w:t>
            </w:r>
          </w:p>
        </w:tc>
        <w:tc>
          <w:tcPr>
            <w:tcW w:w="447" w:type="pct"/>
            <w:tcBorders>
              <w:top w:val="single" w:color="000000" w:sz="4" w:space="0"/>
              <w:left w:val="single" w:color="000000" w:sz="4" w:space="0"/>
              <w:bottom w:val="single" w:color="000000" w:sz="4" w:space="0"/>
              <w:right w:val="single" w:color="000000" w:sz="4" w:space="0"/>
            </w:tcBorders>
            <w:shd w:val="clear" w:color="auto" w:fill="F2F2F2"/>
            <w:vAlign w:val="center"/>
          </w:tcPr>
          <w:p>
            <w:pPr>
              <w:jc w:val="center"/>
              <w:rPr>
                <w:rFonts w:hint="default" w:ascii="仿宋_GB2312" w:hAnsi="宋体" w:eastAsia="仿宋_GB2312" w:cs="仿宋_GB2312"/>
                <w:i w:val="0"/>
                <w:iCs w:val="0"/>
                <w:color w:val="000000" w:themeColor="text1"/>
                <w:sz w:val="20"/>
                <w:szCs w:val="20"/>
                <w:highlight w:val="none"/>
                <w:u w:val="none"/>
                <w14:textFill>
                  <w14:solidFill>
                    <w14:schemeClr w14:val="tx1"/>
                  </w14:solidFill>
                </w14:textFill>
              </w:rPr>
            </w:pPr>
          </w:p>
        </w:tc>
        <w:tc>
          <w:tcPr>
            <w:tcW w:w="224" w:type="pct"/>
            <w:tcBorders>
              <w:top w:val="single" w:color="000000" w:sz="4" w:space="0"/>
              <w:left w:val="single" w:color="000000" w:sz="4" w:space="0"/>
              <w:bottom w:val="single" w:color="000000" w:sz="4" w:space="0"/>
              <w:right w:val="single" w:color="000000" w:sz="4" w:space="0"/>
            </w:tcBorders>
            <w:shd w:val="clear" w:color="auto" w:fill="F2F2F2"/>
            <w:vAlign w:val="center"/>
          </w:tcPr>
          <w:p>
            <w:pPr>
              <w:jc w:val="center"/>
              <w:rPr>
                <w:rFonts w:hint="default" w:ascii="仿宋_GB2312" w:hAnsi="宋体" w:eastAsia="仿宋_GB2312" w:cs="仿宋_GB2312"/>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20</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空间管控类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沿湖</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违规违建</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整治及生态恢复项目</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w:t>
            </w:r>
            <w:r>
              <w:rPr>
                <w:rStyle w:val="33"/>
                <w:color w:val="000000" w:themeColor="text1"/>
                <w:highlight w:val="none"/>
                <w:lang w:val="en-US" w:eastAsia="zh-CN" w:bidi="ar"/>
                <w14:textFill>
                  <w14:solidFill>
                    <w14:schemeClr w14:val="tx1"/>
                  </w14:solidFill>
                </w14:textFill>
              </w:rPr>
              <w:t>按照《云南省人民政府关于九大高原湖泊</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三区</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管控的指导意见》、《抚仙湖保护</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三区</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管控实施细则（试行）》对图斑进行重新甄别，共需拆除</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163</w:t>
            </w:r>
            <w:r>
              <w:rPr>
                <w:rStyle w:val="33"/>
                <w:color w:val="000000" w:themeColor="text1"/>
                <w:highlight w:val="none"/>
                <w:lang w:val="en-US" w:eastAsia="zh-CN" w:bidi="ar"/>
                <w14:textFill>
                  <w14:solidFill>
                    <w14:schemeClr w14:val="tx1"/>
                  </w14:solidFill>
                </w14:textFill>
              </w:rPr>
              <w:t>个图斑，其中至（十四五期间）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2025</w:t>
            </w:r>
            <w:r>
              <w:rPr>
                <w:rStyle w:val="33"/>
                <w:color w:val="000000" w:themeColor="text1"/>
                <w:highlight w:val="none"/>
                <w:lang w:val="en-US" w:eastAsia="zh-CN" w:bidi="ar"/>
                <w14:textFill>
                  <w14:solidFill>
                    <w14:schemeClr w14:val="tx1"/>
                  </w14:solidFill>
                </w14:textFill>
              </w:rPr>
              <w:t>年前需拆除图斑</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87</w:t>
            </w:r>
            <w:r>
              <w:rPr>
                <w:rStyle w:val="33"/>
                <w:color w:val="000000" w:themeColor="text1"/>
                <w:highlight w:val="none"/>
                <w:lang w:val="en-US" w:eastAsia="zh-CN" w:bidi="ar"/>
                <w14:textFill>
                  <w14:solidFill>
                    <w14:schemeClr w14:val="tx1"/>
                  </w14:solidFill>
                </w14:textFill>
              </w:rPr>
              <w:t>个，拆除建筑面积</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31052.88</w:t>
            </w:r>
            <w:r>
              <w:rPr>
                <w:rStyle w:val="33"/>
                <w:color w:val="000000" w:themeColor="text1"/>
                <w:highlight w:val="none"/>
                <w:lang w:val="en-US" w:eastAsia="zh-CN" w:bidi="ar"/>
                <w14:textFill>
                  <w14:solidFill>
                    <w14:schemeClr w14:val="tx1"/>
                  </w14:solidFill>
                </w14:textFill>
              </w:rPr>
              <w:t>平方米。</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w:t>
            </w:r>
            <w:r>
              <w:rPr>
                <w:rStyle w:val="33"/>
                <w:color w:val="000000" w:themeColor="text1"/>
                <w:highlight w:val="none"/>
                <w:lang w:val="en-US" w:eastAsia="zh-CN" w:bidi="ar"/>
                <w14:textFill>
                  <w14:solidFill>
                    <w14:schemeClr w14:val="tx1"/>
                  </w14:solidFill>
                </w14:textFill>
              </w:rPr>
              <w:t>实施九龙晟景项目</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14.4</w:t>
            </w:r>
            <w:r>
              <w:rPr>
                <w:rStyle w:val="33"/>
                <w:color w:val="000000" w:themeColor="text1"/>
                <w:highlight w:val="none"/>
                <w:lang w:val="en-US" w:eastAsia="zh-CN" w:bidi="ar"/>
                <w14:textFill>
                  <w14:solidFill>
                    <w14:schemeClr w14:val="tx1"/>
                  </w14:solidFill>
                </w14:textFill>
              </w:rPr>
              <w:t>万平方米建筑面积拆除以及</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4.5</w:t>
            </w:r>
            <w:r>
              <w:rPr>
                <w:rStyle w:val="33"/>
                <w:color w:val="000000" w:themeColor="text1"/>
                <w:highlight w:val="none"/>
                <w:lang w:val="en-US" w:eastAsia="zh-CN" w:bidi="ar"/>
                <w14:textFill>
                  <w14:solidFill>
                    <w14:schemeClr w14:val="tx1"/>
                  </w14:solidFill>
                </w14:textFill>
              </w:rPr>
              <w:t>公顷复绿。</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2021-2030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65548</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7918</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澄江市自然资源局、澄江市林业和草原局、澄江市路居镇</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5"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21</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空间管控类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抚仙湖北岸生态廊道项目</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按照</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三点一线</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的建设规划，主要由抚仙湖广场、东大河至月亮湾湿地、寒武纪矣旧区块湿地三个主要节点，以及以老环湖路为基础串联三个节点的慢行道共同组成，主要建设内容包括生态湿地提升改造工程、生态建设工程、维护管理配套工程、老环湖路提升改造、附属工程等。</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2021-2025</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30429</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30429</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澄江市抚仙湖管理局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22</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空间管控类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抚仙湖空间管控类项目</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w:t>
            </w:r>
            <w:r>
              <w:rPr>
                <w:rStyle w:val="33"/>
                <w:color w:val="000000" w:themeColor="text1"/>
                <w:highlight w:val="none"/>
                <w:lang w:val="en-US" w:eastAsia="zh-CN" w:bidi="ar"/>
                <w14:textFill>
                  <w14:solidFill>
                    <w14:schemeClr w14:val="tx1"/>
                  </w14:solidFill>
                </w14:textFill>
              </w:rPr>
              <w:t>编制完成《澄江市国土空间规划（</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2021</w:t>
            </w:r>
            <w:r>
              <w:rPr>
                <w:rStyle w:val="33"/>
                <w:color w:val="000000" w:themeColor="text1"/>
                <w:highlight w:val="none"/>
                <w:lang w:val="en-US" w:eastAsia="zh-CN" w:bidi="ar"/>
                <w14:textFill>
                  <w14:solidFill>
                    <w14:schemeClr w14:val="tx1"/>
                  </w14:solidFill>
                </w14:textFill>
              </w:rPr>
              <w:t>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—2035</w:t>
            </w:r>
            <w:r>
              <w:rPr>
                <w:rStyle w:val="33"/>
                <w:color w:val="000000" w:themeColor="text1"/>
                <w:highlight w:val="none"/>
                <w:lang w:val="en-US" w:eastAsia="zh-CN" w:bidi="ar"/>
                <w14:textFill>
                  <w14:solidFill>
                    <w14:schemeClr w14:val="tx1"/>
                  </w14:solidFill>
                </w14:textFill>
              </w:rPr>
              <w:t>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w:t>
            </w:r>
            <w:r>
              <w:rPr>
                <w:rStyle w:val="33"/>
                <w:color w:val="000000" w:themeColor="text1"/>
                <w:highlight w:val="none"/>
                <w:lang w:val="en-US" w:eastAsia="zh-CN" w:bidi="ar"/>
                <w14:textFill>
                  <w14:solidFill>
                    <w14:schemeClr w14:val="tx1"/>
                  </w14:solidFill>
                </w14:textFill>
              </w:rPr>
              <w:t>修订《抚仙湖流域国土空间保护和科学利用专项规（</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2018—2035</w:t>
            </w:r>
            <w:r>
              <w:rPr>
                <w:rStyle w:val="33"/>
                <w:color w:val="000000" w:themeColor="text1"/>
                <w:highlight w:val="none"/>
                <w:lang w:val="en-US" w:eastAsia="zh-CN" w:bidi="ar"/>
                <w14:textFill>
                  <w14:solidFill>
                    <w14:schemeClr w14:val="tx1"/>
                  </w14:solidFill>
                </w14:textFill>
              </w:rPr>
              <w:t>年）》。</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w:t>
            </w:r>
            <w:r>
              <w:rPr>
                <w:rStyle w:val="33"/>
                <w:color w:val="000000" w:themeColor="text1"/>
                <w:highlight w:val="none"/>
                <w:lang w:val="en-US" w:eastAsia="zh-CN" w:bidi="ar"/>
                <w14:textFill>
                  <w14:solidFill>
                    <w14:schemeClr w14:val="tx1"/>
                  </w14:solidFill>
                </w14:textFill>
              </w:rPr>
              <w:t>科学论证、划定抚仙湖生态廊道线、环湖公路线。</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4.</w:t>
            </w:r>
            <w:r>
              <w:rPr>
                <w:rStyle w:val="33"/>
                <w:color w:val="000000" w:themeColor="text1"/>
                <w:highlight w:val="none"/>
                <w:lang w:val="en-US" w:eastAsia="zh-CN" w:bidi="ar"/>
                <w14:textFill>
                  <w14:solidFill>
                    <w14:schemeClr w14:val="tx1"/>
                  </w14:solidFill>
                </w14:textFill>
              </w:rPr>
              <w:t>划定抚仙湖流域边界线。</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2021-2024</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1200</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1200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澄江市自然资源局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23</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空间管控类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抚仙湖九龙晟景拆除工程</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落实中央环保督察整改事项，安置九龙晟景项目已拆除房产，涉及964套房屋置换、赔偿及搬迁。</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2022-2025</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46100</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46100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澄江市路居镇</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488" w:type="pct"/>
            <w:gridSpan w:val="5"/>
            <w:tcBorders>
              <w:top w:val="single" w:color="000000" w:sz="4" w:space="0"/>
              <w:left w:val="single" w:color="000000" w:sz="4" w:space="0"/>
              <w:bottom w:val="single" w:color="000000" w:sz="4" w:space="0"/>
              <w:right w:val="single" w:color="000000" w:sz="4" w:space="0"/>
            </w:tcBorders>
            <w:shd w:val="clear" w:color="auto" w:fill="F2F2F2"/>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小计</w:t>
            </w:r>
          </w:p>
        </w:tc>
        <w:tc>
          <w:tcPr>
            <w:tcW w:w="405" w:type="pct"/>
            <w:tcBorders>
              <w:top w:val="single" w:color="000000" w:sz="4" w:space="0"/>
              <w:left w:val="single" w:color="000000" w:sz="4" w:space="0"/>
              <w:bottom w:val="single" w:color="000000" w:sz="4" w:space="0"/>
              <w:right w:val="single" w:color="000000" w:sz="4" w:space="0"/>
            </w:tcBorders>
            <w:shd w:val="clear" w:color="auto" w:fill="F2F2F2"/>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143277</w:t>
            </w:r>
          </w:p>
        </w:tc>
        <w:tc>
          <w:tcPr>
            <w:tcW w:w="435" w:type="pct"/>
            <w:tcBorders>
              <w:top w:val="single" w:color="000000" w:sz="4" w:space="0"/>
              <w:left w:val="single" w:color="000000" w:sz="4" w:space="0"/>
              <w:bottom w:val="single" w:color="000000" w:sz="4" w:space="0"/>
              <w:right w:val="single" w:color="000000" w:sz="4" w:space="0"/>
            </w:tcBorders>
            <w:shd w:val="clear" w:color="auto" w:fill="F2F2F2"/>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85647</w:t>
            </w:r>
          </w:p>
        </w:tc>
        <w:tc>
          <w:tcPr>
            <w:tcW w:w="447" w:type="pct"/>
            <w:tcBorders>
              <w:top w:val="single" w:color="000000" w:sz="4" w:space="0"/>
              <w:left w:val="single" w:color="000000" w:sz="4" w:space="0"/>
              <w:bottom w:val="single" w:color="000000" w:sz="4" w:space="0"/>
              <w:right w:val="single" w:color="000000" w:sz="4" w:space="0"/>
            </w:tcBorders>
            <w:shd w:val="clear" w:color="auto" w:fill="F2F2F2"/>
            <w:vAlign w:val="center"/>
          </w:tcPr>
          <w:p>
            <w:pPr>
              <w:jc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c>
          <w:tcPr>
            <w:tcW w:w="224" w:type="pct"/>
            <w:tcBorders>
              <w:top w:val="single" w:color="000000" w:sz="4" w:space="0"/>
              <w:left w:val="single" w:color="000000" w:sz="4" w:space="0"/>
              <w:bottom w:val="single" w:color="000000" w:sz="4" w:space="0"/>
              <w:right w:val="single" w:color="000000" w:sz="4" w:space="0"/>
            </w:tcBorders>
            <w:shd w:val="clear" w:color="auto" w:fill="F2F2F2"/>
            <w:vAlign w:val="center"/>
          </w:tcPr>
          <w:p>
            <w:pPr>
              <w:jc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9"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24</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河湖监测调度及监管类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澄江市智慧水务监管平台（一水两污监控中心）建设项目</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布设污水监测点；搭建污水数据采集、支撑服务及应用平台，建设基础数据库、时空数据库、监测数据库</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布设污水、垃圾场站设施视频监控；建设一水两污监控中心</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2021-2025</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3300</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3300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澄江市住房和城乡建设局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25</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河湖监测调度及监管类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抚仙湖流域保护治理项目运行管护</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对</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十二五</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以来已建成项目以及抚仙湖保护相关</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专项行动</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的项目进行运营管理，确保设施充分发挥效益。</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2021-2025</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36667</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36667</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各项目营运管护单位</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26</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河湖监测调度及监管类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玉溪市</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三湖</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流域水环境质量自动监测建设项目</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在星云湖、杞麓湖省级地表水监测</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4</w:t>
            </w:r>
            <w:r>
              <w:rPr>
                <w:rStyle w:val="33"/>
                <w:color w:val="000000" w:themeColor="text1"/>
                <w:highlight w:val="none"/>
                <w:lang w:val="en-US" w:eastAsia="zh-CN" w:bidi="ar"/>
                <w14:textFill>
                  <w14:solidFill>
                    <w14:schemeClr w14:val="tx1"/>
                  </w14:solidFill>
                </w14:textFill>
              </w:rPr>
              <w:t>个断面、</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三湖</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”39</w:t>
            </w:r>
            <w:r>
              <w:rPr>
                <w:rStyle w:val="33"/>
                <w:color w:val="000000" w:themeColor="text1"/>
                <w:highlight w:val="none"/>
                <w:lang w:val="en-US" w:eastAsia="zh-CN" w:bidi="ar"/>
                <w14:textFill>
                  <w14:solidFill>
                    <w14:schemeClr w14:val="tx1"/>
                  </w14:solidFill>
                </w14:textFill>
              </w:rPr>
              <w:t>条主要入湖河流入湖口以及</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24</w:t>
            </w:r>
            <w:r>
              <w:rPr>
                <w:rStyle w:val="33"/>
                <w:color w:val="000000" w:themeColor="text1"/>
                <w:highlight w:val="none"/>
                <w:lang w:val="en-US" w:eastAsia="zh-CN" w:bidi="ar"/>
                <w14:textFill>
                  <w14:solidFill>
                    <w14:schemeClr w14:val="tx1"/>
                  </w14:solidFill>
                </w14:textFill>
              </w:rPr>
              <w:t>个调蓄带点位建设</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67</w:t>
            </w:r>
            <w:r>
              <w:rPr>
                <w:rStyle w:val="33"/>
                <w:color w:val="000000" w:themeColor="text1"/>
                <w:highlight w:val="none"/>
                <w:lang w:val="en-US" w:eastAsia="zh-CN" w:bidi="ar"/>
                <w14:textFill>
                  <w14:solidFill>
                    <w14:schemeClr w14:val="tx1"/>
                  </w14:solidFill>
                </w14:textFill>
              </w:rPr>
              <w:t>个水质自动监测站，其中：抚仙湖</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24</w:t>
            </w:r>
            <w:r>
              <w:rPr>
                <w:rStyle w:val="33"/>
                <w:color w:val="000000" w:themeColor="text1"/>
                <w:highlight w:val="none"/>
                <w:lang w:val="en-US" w:eastAsia="zh-CN" w:bidi="ar"/>
                <w14:textFill>
                  <w14:solidFill>
                    <w14:schemeClr w14:val="tx1"/>
                  </w14:solidFill>
                </w14:textFill>
              </w:rPr>
              <w:t>个（包含</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6</w:t>
            </w:r>
            <w:r>
              <w:rPr>
                <w:rStyle w:val="33"/>
                <w:color w:val="000000" w:themeColor="text1"/>
                <w:highlight w:val="none"/>
                <w:lang w:val="en-US" w:eastAsia="zh-CN" w:bidi="ar"/>
                <w14:textFill>
                  <w14:solidFill>
                    <w14:schemeClr w14:val="tx1"/>
                  </w14:solidFill>
                </w14:textFill>
              </w:rPr>
              <w:t>个调蓄带及</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18</w:t>
            </w:r>
            <w:r>
              <w:rPr>
                <w:rStyle w:val="33"/>
                <w:color w:val="000000" w:themeColor="text1"/>
                <w:highlight w:val="none"/>
                <w:lang w:val="en-US" w:eastAsia="zh-CN" w:bidi="ar"/>
                <w14:textFill>
                  <w14:solidFill>
                    <w14:schemeClr w14:val="tx1"/>
                  </w14:solidFill>
                </w14:textFill>
              </w:rPr>
              <w:t>条河道）、星云湖</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22</w:t>
            </w:r>
            <w:r>
              <w:rPr>
                <w:rStyle w:val="33"/>
                <w:color w:val="000000" w:themeColor="text1"/>
                <w:highlight w:val="none"/>
                <w:lang w:val="en-US" w:eastAsia="zh-CN" w:bidi="ar"/>
                <w14:textFill>
                  <w14:solidFill>
                    <w14:schemeClr w14:val="tx1"/>
                  </w14:solidFill>
                </w14:textFill>
              </w:rPr>
              <w:t>个（包含</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w:t>
            </w:r>
            <w:r>
              <w:rPr>
                <w:rStyle w:val="33"/>
                <w:color w:val="000000" w:themeColor="text1"/>
                <w:highlight w:val="none"/>
                <w:lang w:val="en-US" w:eastAsia="zh-CN" w:bidi="ar"/>
                <w14:textFill>
                  <w14:solidFill>
                    <w14:schemeClr w14:val="tx1"/>
                  </w14:solidFill>
                </w14:textFill>
              </w:rPr>
              <w:t>个湖体监测点位、</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9</w:t>
            </w:r>
            <w:r>
              <w:rPr>
                <w:rStyle w:val="33"/>
                <w:color w:val="000000" w:themeColor="text1"/>
                <w:highlight w:val="none"/>
                <w:lang w:val="en-US" w:eastAsia="zh-CN" w:bidi="ar"/>
                <w14:textFill>
                  <w14:solidFill>
                    <w14:schemeClr w14:val="tx1"/>
                  </w14:solidFill>
                </w14:textFill>
              </w:rPr>
              <w:t>个调蓄带及</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11</w:t>
            </w:r>
            <w:r>
              <w:rPr>
                <w:rStyle w:val="33"/>
                <w:color w:val="000000" w:themeColor="text1"/>
                <w:highlight w:val="none"/>
                <w:lang w:val="en-US" w:eastAsia="zh-CN" w:bidi="ar"/>
                <w14:textFill>
                  <w14:solidFill>
                    <w14:schemeClr w14:val="tx1"/>
                  </w14:solidFill>
                </w14:textFill>
              </w:rPr>
              <w:t>条河道）、杞麓湖</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21</w:t>
            </w:r>
            <w:r>
              <w:rPr>
                <w:rStyle w:val="33"/>
                <w:color w:val="000000" w:themeColor="text1"/>
                <w:highlight w:val="none"/>
                <w:lang w:val="en-US" w:eastAsia="zh-CN" w:bidi="ar"/>
                <w14:textFill>
                  <w14:solidFill>
                    <w14:schemeClr w14:val="tx1"/>
                  </w14:solidFill>
                </w14:textFill>
              </w:rPr>
              <w:t>个（包含</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w:t>
            </w:r>
            <w:r>
              <w:rPr>
                <w:rStyle w:val="33"/>
                <w:color w:val="000000" w:themeColor="text1"/>
                <w:highlight w:val="none"/>
                <w:lang w:val="en-US" w:eastAsia="zh-CN" w:bidi="ar"/>
                <w14:textFill>
                  <w14:solidFill>
                    <w14:schemeClr w14:val="tx1"/>
                  </w14:solidFill>
                </w14:textFill>
              </w:rPr>
              <w:t>个湖体监测点位、</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9</w:t>
            </w:r>
            <w:r>
              <w:rPr>
                <w:rStyle w:val="33"/>
                <w:color w:val="000000" w:themeColor="text1"/>
                <w:highlight w:val="none"/>
                <w:lang w:val="en-US" w:eastAsia="zh-CN" w:bidi="ar"/>
                <w14:textFill>
                  <w14:solidFill>
                    <w14:schemeClr w14:val="tx1"/>
                  </w14:solidFill>
                </w14:textFill>
              </w:rPr>
              <w:t>个调蓄带及</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10</w:t>
            </w:r>
            <w:r>
              <w:rPr>
                <w:rStyle w:val="33"/>
                <w:color w:val="000000" w:themeColor="text1"/>
                <w:highlight w:val="none"/>
                <w:lang w:val="en-US" w:eastAsia="zh-CN" w:bidi="ar"/>
                <w14:textFill>
                  <w14:solidFill>
                    <w14:schemeClr w14:val="tx1"/>
                  </w14:solidFill>
                </w14:textFill>
              </w:rPr>
              <w:t>条河道）</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2021-2023</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6000</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6012</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玉溪市生态环境局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48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小计</w:t>
            </w:r>
          </w:p>
        </w:tc>
        <w:tc>
          <w:tcPr>
            <w:tcW w:w="405" w:type="pct"/>
            <w:tcBorders>
              <w:top w:val="single" w:color="000000" w:sz="4" w:space="0"/>
              <w:left w:val="single" w:color="000000" w:sz="4" w:space="0"/>
              <w:bottom w:val="single" w:color="000000" w:sz="4" w:space="0"/>
              <w:right w:val="single" w:color="000000" w:sz="4" w:space="0"/>
            </w:tcBorders>
            <w:shd w:val="clear" w:color="auto" w:fill="F2F2F2"/>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45967</w:t>
            </w:r>
          </w:p>
        </w:tc>
        <w:tc>
          <w:tcPr>
            <w:tcW w:w="435" w:type="pct"/>
            <w:tcBorders>
              <w:top w:val="single" w:color="000000" w:sz="4" w:space="0"/>
              <w:left w:val="single" w:color="000000" w:sz="4" w:space="0"/>
              <w:bottom w:val="single" w:color="000000" w:sz="4" w:space="0"/>
              <w:right w:val="single" w:color="000000" w:sz="4" w:space="0"/>
            </w:tcBorders>
            <w:shd w:val="clear" w:color="auto" w:fill="F2F2F2"/>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45979</w:t>
            </w:r>
          </w:p>
        </w:tc>
        <w:tc>
          <w:tcPr>
            <w:tcW w:w="447" w:type="pct"/>
            <w:tcBorders>
              <w:top w:val="single" w:color="000000" w:sz="4" w:space="0"/>
              <w:left w:val="single" w:color="000000" w:sz="4" w:space="0"/>
              <w:bottom w:val="single" w:color="000000" w:sz="4" w:space="0"/>
              <w:right w:val="single" w:color="000000" w:sz="4" w:space="0"/>
            </w:tcBorders>
            <w:shd w:val="clear" w:color="auto" w:fill="F2F2F2"/>
            <w:vAlign w:val="center"/>
          </w:tcPr>
          <w:p>
            <w:pPr>
              <w:jc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p>
        </w:tc>
        <w:tc>
          <w:tcPr>
            <w:tcW w:w="224" w:type="pct"/>
            <w:tcBorders>
              <w:top w:val="single" w:color="000000" w:sz="4" w:space="0"/>
              <w:left w:val="single" w:color="000000" w:sz="4" w:space="0"/>
              <w:bottom w:val="single" w:color="000000" w:sz="4" w:space="0"/>
              <w:right w:val="single" w:color="000000" w:sz="4" w:space="0"/>
            </w:tcBorders>
            <w:shd w:val="clear" w:color="auto" w:fill="F2F2F2"/>
            <w:vAlign w:val="center"/>
          </w:tcPr>
          <w:p>
            <w:pPr>
              <w:jc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27</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基础研究类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抚仙湖流域再生水综合利用和雨水冲击性负荷研究与示范项目</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通过系统调查研究，完成再生水综合利用和雨水冲击性负荷研究与示范总体实施方案编制。</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2021-2023</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200</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199</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玉溪市生态环境局澄江分局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5"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28</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基础研究类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抚仙湖水环境保护基础调查研究项目</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w:t>
            </w:r>
            <w:r>
              <w:rPr>
                <w:rStyle w:val="33"/>
                <w:color w:val="000000" w:themeColor="text1"/>
                <w:highlight w:val="none"/>
                <w:lang w:val="en-US" w:eastAsia="zh-CN" w:bidi="ar"/>
                <w14:textFill>
                  <w14:solidFill>
                    <w14:schemeClr w14:val="tx1"/>
                  </w14:solidFill>
                </w14:textFill>
              </w:rPr>
              <w:t>开展院校合作，组建上海交通大学</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w:t>
            </w:r>
            <w:r>
              <w:rPr>
                <w:rStyle w:val="33"/>
                <w:color w:val="000000" w:themeColor="text1"/>
                <w:highlight w:val="none"/>
                <w:lang w:val="en-US" w:eastAsia="zh-CN" w:bidi="ar"/>
                <w14:textFill>
                  <w14:solidFill>
                    <w14:schemeClr w14:val="tx1"/>
                  </w14:solidFill>
                </w14:textFill>
              </w:rPr>
              <w:t>玉溪市湖泊联合研究中心，包含租赁办公场地、购买相关仪器设备。</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w:t>
            </w:r>
            <w:r>
              <w:rPr>
                <w:rStyle w:val="33"/>
                <w:color w:val="000000" w:themeColor="text1"/>
                <w:highlight w:val="none"/>
                <w:lang w:val="en-US" w:eastAsia="zh-CN" w:bidi="ar"/>
                <w14:textFill>
                  <w14:solidFill>
                    <w14:schemeClr w14:val="tx1"/>
                  </w14:solidFill>
                </w14:textFill>
              </w:rPr>
              <w:t>按月对湖体及主要入湖河道开展跟踪监测，按月提交分析报告，分析水质、入湖污染负荷、藻类变化情况；每半年提交</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w:t>
            </w:r>
            <w:r>
              <w:rPr>
                <w:rStyle w:val="33"/>
                <w:color w:val="000000" w:themeColor="text1"/>
                <w:highlight w:val="none"/>
                <w:lang w:val="en-US" w:eastAsia="zh-CN" w:bidi="ar"/>
                <w14:textFill>
                  <w14:solidFill>
                    <w14:schemeClr w14:val="tx1"/>
                  </w14:solidFill>
                </w14:textFill>
              </w:rPr>
              <w:t>份问题诊断及治理建议报告。</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2023-2025</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738</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738</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玉溪市湖泊管理局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29</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基础研究类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抚仙湖流域生态产品价值核算和探索实践</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落实《云南省九大高原湖泊流域生态产品价值核算工作方案》的目标任务要求。基于省级构建的九大高原湖泊生态产品价值核算体系，紧密结合抚仙湖流域的自然条件、社会经济发展的特点，按流域的生态系统类型对生态产品进行分类和调查，摸清流域各类生态产品数量、质量、功能等底数，形成流域生态产品目录清单。开展重要数据的现场监测与调查，按照核算体系，进行实物量和价值量核算，汇总得到流域生态产品价值，形成流域生态产品价值核算成果报告。结合抚仙湖流域的特点，有针对性地提出流域生态产品价值核算结果应用建议方案，为下一步在抚仙湖流域推广应用生态产品价值核算结果奠定基础，为抚仙湖流域进一步开展生态产品价值实现和转化提供指导。</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2022-2023</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250</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250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玉溪市湖泊管理局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30</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基础研究类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抚仙湖总磷波动特征及变化机制研究</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阐明近年来抚仙湖总磷波动变化特征，明确造成总磷波动变化的主导因素和关联因子，结合气象条件、藻类群落演替特征，运用分子生物学方法从变化机制上进行探索，提出抚仙湖水生态环境保护对策建议。</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2021-2025</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120</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120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玉溪市湖泊管理局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31</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基础研究类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抚仙湖流域水资源量变化成因与对策研究</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针对抚仙湖水位保障需求，解析隔河改造前后流域来水、供水、用水、排水状况及演变特点，掌握抚仙湖水量平衡状况及补排关系动态变化，揭示入湖水量衰减、出湖路径改变等对抚仙湖水位变化的影响，提出抚仙湖水位保障对策措施建议。主要内容包括抚仙湖流域水循环要素监测及其开发利用调查、抚仙湖流域水资源演变规律及趋势分析、抚仙湖入湖水量变化分析、抚仙湖出湖水量变化分析、抚仙湖水量平衡及水量变化成因分析、抚仙湖水量保障对策研究</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2021-2025</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200</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玉溪市湖泊管理局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488" w:type="pct"/>
            <w:gridSpan w:val="5"/>
            <w:tcBorders>
              <w:top w:val="single" w:color="000000" w:sz="4" w:space="0"/>
              <w:left w:val="single" w:color="000000" w:sz="4" w:space="0"/>
              <w:bottom w:val="single" w:color="000000" w:sz="4" w:space="0"/>
              <w:right w:val="single" w:color="000000" w:sz="4" w:space="0"/>
            </w:tcBorders>
            <w:shd w:val="clear" w:color="auto" w:fill="F2F2F2"/>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小计</w:t>
            </w:r>
          </w:p>
        </w:tc>
        <w:tc>
          <w:tcPr>
            <w:tcW w:w="405" w:type="pct"/>
            <w:tcBorders>
              <w:top w:val="single" w:color="000000" w:sz="4" w:space="0"/>
              <w:left w:val="single" w:color="000000" w:sz="4" w:space="0"/>
              <w:bottom w:val="single" w:color="000000" w:sz="4" w:space="0"/>
              <w:right w:val="single" w:color="000000" w:sz="4" w:space="0"/>
            </w:tcBorders>
            <w:shd w:val="clear" w:color="auto" w:fill="F2F2F2"/>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1508</w:t>
            </w:r>
          </w:p>
        </w:tc>
        <w:tc>
          <w:tcPr>
            <w:tcW w:w="435" w:type="pct"/>
            <w:tcBorders>
              <w:top w:val="single" w:color="000000" w:sz="4" w:space="0"/>
              <w:left w:val="single" w:color="000000" w:sz="4" w:space="0"/>
              <w:bottom w:val="single" w:color="000000" w:sz="4" w:space="0"/>
              <w:right w:val="single" w:color="000000" w:sz="4" w:space="0"/>
            </w:tcBorders>
            <w:shd w:val="clear" w:color="auto" w:fill="F2F2F2"/>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1507</w:t>
            </w:r>
          </w:p>
        </w:tc>
        <w:tc>
          <w:tcPr>
            <w:tcW w:w="447" w:type="pct"/>
            <w:tcBorders>
              <w:top w:val="single" w:color="000000" w:sz="4" w:space="0"/>
              <w:left w:val="single" w:color="000000" w:sz="4" w:space="0"/>
              <w:bottom w:val="single" w:color="000000" w:sz="4" w:space="0"/>
              <w:right w:val="single" w:color="000000" w:sz="4" w:space="0"/>
            </w:tcBorders>
            <w:shd w:val="clear" w:color="auto" w:fill="F2F2F2"/>
            <w:vAlign w:val="center"/>
          </w:tcPr>
          <w:p>
            <w:pPr>
              <w:jc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c>
          <w:tcPr>
            <w:tcW w:w="224" w:type="pct"/>
            <w:tcBorders>
              <w:top w:val="single" w:color="000000" w:sz="4" w:space="0"/>
              <w:left w:val="single" w:color="000000" w:sz="4" w:space="0"/>
              <w:bottom w:val="single" w:color="000000" w:sz="4" w:space="0"/>
              <w:right w:val="single" w:color="000000" w:sz="4" w:space="0"/>
            </w:tcBorders>
            <w:shd w:val="clear" w:color="auto" w:fill="F2F2F2"/>
            <w:vAlign w:val="center"/>
          </w:tcPr>
          <w:p>
            <w:pPr>
              <w:jc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488" w:type="pct"/>
            <w:gridSpan w:val="5"/>
            <w:tcBorders>
              <w:top w:val="single" w:color="000000" w:sz="4" w:space="0"/>
              <w:left w:val="single" w:color="000000" w:sz="4" w:space="0"/>
              <w:bottom w:val="single" w:color="000000" w:sz="4" w:space="0"/>
              <w:right w:val="single" w:color="000000" w:sz="4" w:space="0"/>
            </w:tcBorders>
            <w:shd w:val="clear" w:color="auto" w:fill="F2F2F2"/>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合计</w:t>
            </w:r>
          </w:p>
        </w:tc>
        <w:tc>
          <w:tcPr>
            <w:tcW w:w="405" w:type="pct"/>
            <w:tcBorders>
              <w:top w:val="single" w:color="000000" w:sz="4" w:space="0"/>
              <w:left w:val="single" w:color="000000" w:sz="4" w:space="0"/>
              <w:bottom w:val="single" w:color="000000" w:sz="4" w:space="0"/>
              <w:right w:val="single" w:color="000000" w:sz="4" w:space="0"/>
            </w:tcBorders>
            <w:shd w:val="clear" w:color="auto" w:fill="F2F2F2"/>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671432</w:t>
            </w:r>
          </w:p>
        </w:tc>
        <w:tc>
          <w:tcPr>
            <w:tcW w:w="435" w:type="pct"/>
            <w:tcBorders>
              <w:top w:val="single" w:color="000000" w:sz="4" w:space="0"/>
              <w:left w:val="single" w:color="000000" w:sz="4" w:space="0"/>
              <w:bottom w:val="single" w:color="000000" w:sz="4" w:space="0"/>
              <w:right w:val="single" w:color="000000" w:sz="4" w:space="0"/>
            </w:tcBorders>
            <w:shd w:val="clear" w:color="auto" w:fill="F2F2F2"/>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603176</w:t>
            </w:r>
          </w:p>
        </w:tc>
        <w:tc>
          <w:tcPr>
            <w:tcW w:w="447" w:type="pct"/>
            <w:tcBorders>
              <w:top w:val="single" w:color="000000" w:sz="4" w:space="0"/>
              <w:left w:val="single" w:color="000000" w:sz="4" w:space="0"/>
              <w:bottom w:val="single" w:color="000000" w:sz="4" w:space="0"/>
              <w:right w:val="single" w:color="000000" w:sz="4" w:space="0"/>
            </w:tcBorders>
            <w:shd w:val="clear" w:color="auto" w:fill="F2F2F2"/>
            <w:vAlign w:val="center"/>
          </w:tcPr>
          <w:p>
            <w:pPr>
              <w:jc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c>
          <w:tcPr>
            <w:tcW w:w="224" w:type="pct"/>
            <w:tcBorders>
              <w:top w:val="single" w:color="000000" w:sz="4" w:space="0"/>
              <w:left w:val="single" w:color="000000" w:sz="4" w:space="0"/>
              <w:bottom w:val="single" w:color="000000" w:sz="4" w:space="0"/>
              <w:right w:val="single" w:color="000000" w:sz="4" w:space="0"/>
            </w:tcBorders>
            <w:shd w:val="clear" w:color="auto" w:fill="F2F2F2"/>
            <w:vAlign w:val="center"/>
          </w:tcPr>
          <w:p>
            <w:pPr>
              <w:jc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32</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河湖监测调度及监管类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抚仙湖水文监测中心</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规划建设地点澄江海口水文中心站，配备人员</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5</w:t>
            </w:r>
            <w:r>
              <w:rPr>
                <w:rStyle w:val="33"/>
                <w:color w:val="000000" w:themeColor="text1"/>
                <w:highlight w:val="none"/>
                <w:lang w:val="en-US" w:eastAsia="zh-CN" w:bidi="ar"/>
                <w14:textFill>
                  <w14:solidFill>
                    <w14:schemeClr w14:val="tx1"/>
                  </w14:solidFill>
                </w14:textFill>
              </w:rPr>
              <w:t>人。</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w:t>
            </w:r>
            <w:r>
              <w:rPr>
                <w:rStyle w:val="33"/>
                <w:color w:val="000000" w:themeColor="text1"/>
                <w:highlight w:val="none"/>
                <w:lang w:val="en-US" w:eastAsia="zh-CN" w:bidi="ar"/>
                <w14:textFill>
                  <w14:solidFill>
                    <w14:schemeClr w14:val="tx1"/>
                  </w14:solidFill>
                </w14:textFill>
              </w:rPr>
              <w:t>中心能力；中心充分利用现有资源，仪配置高性能台式计算工作站、高性能便携式计算工作站、交换机、会商系统、视频系统、网络布线等信息系统硬件。配置湖泊水生态监测设备，包括：藻类分类检测仪、水体微生物样品采集系统、浮游生物处理装置、底栖动物分样筛、水体微生物无菌抽滤系统、微分干涉倒置生物荧光显微镜、</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1/32</w:t>
            </w:r>
            <w:r>
              <w:rPr>
                <w:rStyle w:val="33"/>
                <w:color w:val="000000" w:themeColor="text1"/>
                <w:highlight w:val="none"/>
                <w:lang w:val="en-US" w:eastAsia="zh-CN" w:bidi="ar"/>
                <w14:textFill>
                  <w14:solidFill>
                    <w14:schemeClr w14:val="tx1"/>
                  </w14:solidFill>
                </w14:textFill>
              </w:rPr>
              <w:t>抓斗式采泥器、扫描电子显微镜、解剖镜、生物显微镜（正置）等设备。</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w:t>
            </w:r>
            <w:r>
              <w:rPr>
                <w:rStyle w:val="33"/>
                <w:color w:val="000000" w:themeColor="text1"/>
                <w:highlight w:val="none"/>
                <w:lang w:val="en-US" w:eastAsia="zh-CN" w:bidi="ar"/>
                <w14:textFill>
                  <w14:solidFill>
                    <w14:schemeClr w14:val="tx1"/>
                  </w14:solidFill>
                </w14:textFill>
              </w:rPr>
              <w:t>水文站网：</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6</w:t>
            </w:r>
            <w:r>
              <w:rPr>
                <w:rStyle w:val="33"/>
                <w:color w:val="000000" w:themeColor="text1"/>
                <w:highlight w:val="none"/>
                <w:lang w:val="en-US" w:eastAsia="zh-CN" w:bidi="ar"/>
                <w14:textFill>
                  <w14:solidFill>
                    <w14:schemeClr w14:val="tx1"/>
                  </w14:solidFill>
                </w14:textFill>
              </w:rPr>
              <w:t>条主要入湖河流上新建</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6</w:t>
            </w:r>
            <w:r>
              <w:rPr>
                <w:rStyle w:val="33"/>
                <w:color w:val="000000" w:themeColor="text1"/>
                <w:highlight w:val="none"/>
                <w:lang w:val="en-US" w:eastAsia="zh-CN" w:bidi="ar"/>
                <w14:textFill>
                  <w14:solidFill>
                    <w14:schemeClr w14:val="tx1"/>
                  </w14:solidFill>
                </w14:textFill>
              </w:rPr>
              <w:t>个水文巡测断面，</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w:t>
            </w:r>
            <w:r>
              <w:rPr>
                <w:rStyle w:val="33"/>
                <w:color w:val="000000" w:themeColor="text1"/>
                <w:highlight w:val="none"/>
                <w:lang w:val="en-US" w:eastAsia="zh-CN" w:bidi="ar"/>
                <w14:textFill>
                  <w14:solidFill>
                    <w14:schemeClr w14:val="tx1"/>
                  </w14:solidFill>
                </w14:textFill>
              </w:rPr>
              <w:t>日个水文站进行提档升级改造：对流域内</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w:t>
            </w:r>
            <w:r>
              <w:rPr>
                <w:rStyle w:val="33"/>
                <w:color w:val="000000" w:themeColor="text1"/>
                <w:highlight w:val="none"/>
                <w:lang w:val="en-US" w:eastAsia="zh-CN" w:bidi="ar"/>
                <w14:textFill>
                  <w14:solidFill>
                    <w14:schemeClr w14:val="tx1"/>
                  </w14:solidFill>
                </w14:textFill>
              </w:rPr>
              <w:t>个国家级地下水监测站进行改造：对流域内</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5</w:t>
            </w:r>
            <w:r>
              <w:rPr>
                <w:rStyle w:val="33"/>
                <w:color w:val="000000" w:themeColor="text1"/>
                <w:highlight w:val="none"/>
                <w:lang w:val="en-US" w:eastAsia="zh-CN" w:bidi="ar"/>
                <w14:textFill>
                  <w14:solidFill>
                    <w14:schemeClr w14:val="tx1"/>
                  </w14:solidFill>
                </w14:textFill>
              </w:rPr>
              <w:t>个雨量站进行雨量遥测设备更新；新增</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6</w:t>
            </w:r>
            <w:r>
              <w:rPr>
                <w:rStyle w:val="33"/>
                <w:color w:val="000000" w:themeColor="text1"/>
                <w:highlight w:val="none"/>
                <w:lang w:val="en-US" w:eastAsia="zh-CN" w:bidi="ar"/>
                <w14:textFill>
                  <w14:solidFill>
                    <w14:schemeClr w14:val="tx1"/>
                  </w14:solidFill>
                </w14:textFill>
              </w:rPr>
              <w:t>条河流水质监测断面（巡测）。</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2026-2030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1238</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云南省水文水资源局玉溪分局</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储备项目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5"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33</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河湖监测调度及监管类</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三湖流域水环境保护数字化监管系统建设</w:t>
            </w:r>
          </w:p>
        </w:tc>
        <w:tc>
          <w:tcPr>
            <w:tcW w:w="1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搭建数据采集、支撑服务及应用平台；建设基础数据库、时空数据库、监测数据库等</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7</w:t>
            </w:r>
            <w:r>
              <w:rPr>
                <w:rStyle w:val="33"/>
                <w:color w:val="000000" w:themeColor="text1"/>
                <w:highlight w:val="none"/>
                <w:lang w:val="en-US" w:eastAsia="zh-CN" w:bidi="ar"/>
                <w14:textFill>
                  <w14:solidFill>
                    <w14:schemeClr w14:val="tx1"/>
                  </w14:solidFill>
                </w14:textFill>
              </w:rPr>
              <w:t>类数据库，同时布设视频监控、气象水文等感知设备；新建澄江、江川、通海湖泊指挥调度中心。</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2026-2030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rPr>
              <w:t>5000</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themeColor="text1"/>
                <w:sz w:val="20"/>
                <w:szCs w:val="20"/>
                <w:highlight w:val="none"/>
                <w:u w:val="none"/>
                <w14:textFill>
                  <w14:solidFill>
                    <w14:schemeClr w14:val="tx1"/>
                  </w14:solidFill>
                </w14:textFill>
              </w:rPr>
            </w:pP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玉溪市委网信办</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储备项目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488" w:type="pct"/>
            <w:gridSpan w:val="5"/>
            <w:tcBorders>
              <w:top w:val="single" w:color="000000" w:sz="4" w:space="0"/>
              <w:left w:val="single" w:color="000000" w:sz="4" w:space="0"/>
              <w:bottom w:val="single" w:color="000000" w:sz="4" w:space="0"/>
              <w:right w:val="single" w:color="000000" w:sz="4" w:space="0"/>
            </w:tcBorders>
            <w:shd w:val="clear" w:color="auto" w:fill="F2F2F2"/>
            <w:vAlign w:val="center"/>
          </w:tcPr>
          <w:p>
            <w:pPr>
              <w:keepNext w:val="0"/>
              <w:keepLines w:val="0"/>
              <w:widowControl/>
              <w:suppressLineNumbers w:val="0"/>
              <w:jc w:val="center"/>
              <w:textAlignment w:val="center"/>
              <w:rPr>
                <w:rFonts w:hint="default" w:ascii="宋体" w:hAnsi="宋体" w:eastAsia="宋体" w:cs="宋体"/>
                <w:b/>
                <w:bCs/>
                <w:i w:val="0"/>
                <w:iCs w:val="0"/>
                <w:color w:val="000000" w:themeColor="text1"/>
                <w:sz w:val="20"/>
                <w:szCs w:val="20"/>
                <w:highlight w:val="none"/>
                <w:u w:val="none"/>
                <w:lang w:val="en-US"/>
                <w14:textFill>
                  <w14:solidFill>
                    <w14:schemeClr w14:val="tx1"/>
                  </w14:solidFill>
                </w14:textFill>
              </w:rPr>
            </w:pPr>
            <w:r>
              <w:rPr>
                <w:rFonts w:hint="eastAsia" w:ascii="宋体" w:hAnsi="宋体" w:eastAsia="宋体" w:cs="宋体"/>
                <w:b/>
                <w:bCs/>
                <w:i w:val="0"/>
                <w:iCs w:val="0"/>
                <w:color w:val="000000" w:themeColor="text1"/>
                <w:kern w:val="0"/>
                <w:sz w:val="20"/>
                <w:szCs w:val="20"/>
                <w:highlight w:val="none"/>
                <w:u w:val="none"/>
                <w:lang w:val="en-US" w:eastAsia="zh-CN" w:bidi="ar"/>
                <w14:textFill>
                  <w14:solidFill>
                    <w14:schemeClr w14:val="tx1"/>
                  </w14:solidFill>
                </w14:textFill>
              </w:rPr>
              <w:t>储备类项目小计</w:t>
            </w:r>
          </w:p>
        </w:tc>
        <w:tc>
          <w:tcPr>
            <w:tcW w:w="405" w:type="pct"/>
            <w:tcBorders>
              <w:top w:val="single" w:color="000000" w:sz="4" w:space="0"/>
              <w:left w:val="single" w:color="000000" w:sz="4" w:space="0"/>
              <w:bottom w:val="single" w:color="000000" w:sz="4" w:space="0"/>
              <w:right w:val="single" w:color="000000" w:sz="4" w:space="0"/>
            </w:tcBorders>
            <w:shd w:val="clear" w:color="auto" w:fill="F2F2F2"/>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0"/>
                <w:szCs w:val="20"/>
                <w:highlight w:val="none"/>
                <w:u w:val="none"/>
                <w:lang w:val="en-US" w:eastAsia="zh-CN" w:bidi="ar"/>
                <w14:textFill>
                  <w14:solidFill>
                    <w14:schemeClr w14:val="tx1"/>
                  </w14:solidFill>
                </w14:textFill>
              </w:rPr>
              <w:t>6238</w:t>
            </w:r>
          </w:p>
        </w:tc>
        <w:tc>
          <w:tcPr>
            <w:tcW w:w="435" w:type="pct"/>
            <w:tcBorders>
              <w:top w:val="single" w:color="000000" w:sz="4" w:space="0"/>
              <w:left w:val="single" w:color="000000" w:sz="4" w:space="0"/>
              <w:bottom w:val="single" w:color="000000" w:sz="4" w:space="0"/>
              <w:right w:val="single" w:color="000000" w:sz="4" w:space="0"/>
            </w:tcBorders>
            <w:shd w:val="clear" w:color="auto" w:fill="F2F2F2"/>
            <w:vAlign w:val="center"/>
          </w:tcPr>
          <w:p>
            <w:pPr>
              <w:jc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p>
        </w:tc>
        <w:tc>
          <w:tcPr>
            <w:tcW w:w="447" w:type="pct"/>
            <w:tcBorders>
              <w:top w:val="single" w:color="000000" w:sz="4" w:space="0"/>
              <w:left w:val="single" w:color="000000" w:sz="4" w:space="0"/>
              <w:bottom w:val="single" w:color="000000" w:sz="4" w:space="0"/>
              <w:right w:val="single" w:color="000000" w:sz="4" w:space="0"/>
            </w:tcBorders>
            <w:shd w:val="clear" w:color="auto" w:fill="F2F2F2"/>
            <w:noWrap/>
            <w:vAlign w:val="bottom"/>
          </w:tcPr>
          <w:p>
            <w:pPr>
              <w:jc w:val="center"/>
              <w:rPr>
                <w:rFonts w:hint="default" w:ascii="Times New Roman" w:hAnsi="Times New Roman" w:eastAsia="宋体" w:cs="Times New Roman"/>
                <w:b/>
                <w:bCs/>
                <w:i w:val="0"/>
                <w:iCs w:val="0"/>
                <w:color w:val="000000" w:themeColor="text1"/>
                <w:sz w:val="20"/>
                <w:szCs w:val="20"/>
                <w:highlight w:val="none"/>
                <w:u w:val="none"/>
                <w14:textFill>
                  <w14:solidFill>
                    <w14:schemeClr w14:val="tx1"/>
                  </w14:solidFill>
                </w14:textFill>
              </w:rPr>
            </w:pPr>
          </w:p>
        </w:tc>
        <w:tc>
          <w:tcPr>
            <w:tcW w:w="224" w:type="pct"/>
            <w:tcBorders>
              <w:top w:val="single" w:color="000000" w:sz="4" w:space="0"/>
              <w:left w:val="single" w:color="000000" w:sz="4" w:space="0"/>
              <w:bottom w:val="single" w:color="000000" w:sz="4" w:space="0"/>
              <w:right w:val="single" w:color="000000" w:sz="4" w:space="0"/>
            </w:tcBorders>
            <w:shd w:val="clear" w:color="auto" w:fill="F2F2F2"/>
            <w:vAlign w:val="center"/>
          </w:tcPr>
          <w:p>
            <w:pPr>
              <w:jc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3488" w:type="pct"/>
            <w:gridSpan w:val="5"/>
            <w:tcBorders>
              <w:top w:val="single" w:color="000000" w:sz="4" w:space="0"/>
              <w:left w:val="single" w:color="000000" w:sz="4" w:space="0"/>
              <w:bottom w:val="single" w:color="000000" w:sz="4" w:space="0"/>
              <w:right w:val="single" w:color="000000" w:sz="4" w:space="0"/>
            </w:tcBorders>
            <w:shd w:val="clear" w:color="auto" w:fill="F2F2F2"/>
            <w:noWrap/>
            <w:vAlign w:val="bottom"/>
          </w:tcPr>
          <w:p>
            <w:pPr>
              <w:keepNext w:val="0"/>
              <w:keepLines w:val="0"/>
              <w:widowControl/>
              <w:suppressLineNumbers w:val="0"/>
              <w:jc w:val="center"/>
              <w:textAlignment w:val="bottom"/>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总计</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bottom"/>
          </w:tcPr>
          <w:p>
            <w:pPr>
              <w:keepNext w:val="0"/>
              <w:keepLines w:val="0"/>
              <w:widowControl/>
              <w:suppressLineNumbers w:val="0"/>
              <w:jc w:val="center"/>
              <w:textAlignment w:val="bottom"/>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677670</w:t>
            </w:r>
          </w:p>
        </w:tc>
        <w:tc>
          <w:tcPr>
            <w:tcW w:w="435" w:type="pct"/>
            <w:tcBorders>
              <w:top w:val="single" w:color="000000" w:sz="4" w:space="0"/>
              <w:left w:val="single" w:color="000000" w:sz="4" w:space="0"/>
              <w:bottom w:val="single" w:color="000000" w:sz="4" w:space="0"/>
              <w:right w:val="single" w:color="000000" w:sz="4" w:space="0"/>
            </w:tcBorders>
            <w:shd w:val="clear" w:color="auto" w:fill="F2F2F2"/>
            <w:noWrap/>
            <w:vAlign w:val="bottom"/>
          </w:tcPr>
          <w:p>
            <w:pPr>
              <w:keepNext w:val="0"/>
              <w:keepLines w:val="0"/>
              <w:widowControl/>
              <w:suppressLineNumbers w:val="0"/>
              <w:jc w:val="center"/>
              <w:textAlignment w:val="bottom"/>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2"/>
                <w:szCs w:val="22"/>
                <w:highlight w:val="none"/>
                <w:u w:val="none"/>
                <w:lang w:val="en-US" w:eastAsia="zh-CN" w:bidi="ar"/>
                <w14:textFill>
                  <w14:solidFill>
                    <w14:schemeClr w14:val="tx1"/>
                  </w14:solidFill>
                </w14:textFill>
              </w:rPr>
              <w:t>603176</w:t>
            </w:r>
          </w:p>
        </w:tc>
        <w:tc>
          <w:tcPr>
            <w:tcW w:w="447" w:type="pct"/>
            <w:tcBorders>
              <w:top w:val="single" w:color="000000" w:sz="4" w:space="0"/>
              <w:left w:val="single" w:color="000000" w:sz="4" w:space="0"/>
              <w:bottom w:val="single" w:color="000000" w:sz="4" w:space="0"/>
              <w:right w:val="single" w:color="000000" w:sz="4" w:space="0"/>
            </w:tcBorders>
            <w:shd w:val="clear" w:color="auto" w:fill="F2F2F2"/>
            <w:noWrap/>
            <w:vAlign w:val="bottom"/>
          </w:tcPr>
          <w:p>
            <w:pPr>
              <w:jc w:val="center"/>
              <w:rPr>
                <w:rFonts w:hint="eastAsia" w:ascii="宋体" w:hAnsi="宋体" w:eastAsia="宋体" w:cs="宋体"/>
                <w:b/>
                <w:bCs/>
                <w:i w:val="0"/>
                <w:iCs w:val="0"/>
                <w:color w:val="000000" w:themeColor="text1"/>
                <w:sz w:val="22"/>
                <w:szCs w:val="22"/>
                <w:highlight w:val="none"/>
                <w:u w:val="none"/>
                <w14:textFill>
                  <w14:solidFill>
                    <w14:schemeClr w14:val="tx1"/>
                  </w14:solidFill>
                </w14:textFill>
              </w:rPr>
            </w:pPr>
          </w:p>
        </w:tc>
        <w:tc>
          <w:tcPr>
            <w:tcW w:w="224" w:type="pct"/>
            <w:tcBorders>
              <w:top w:val="single" w:color="000000" w:sz="4" w:space="0"/>
              <w:left w:val="single" w:color="000000" w:sz="4" w:space="0"/>
              <w:bottom w:val="single" w:color="000000" w:sz="4" w:space="0"/>
              <w:right w:val="single" w:color="000000" w:sz="4" w:space="0"/>
            </w:tcBorders>
            <w:shd w:val="clear" w:color="auto" w:fill="F2F2F2"/>
            <w:noWrap/>
            <w:vAlign w:val="bottom"/>
          </w:tcPr>
          <w:p>
            <w:pPr>
              <w:jc w:val="center"/>
              <w:rPr>
                <w:rFonts w:hint="eastAsia" w:ascii="宋体" w:hAnsi="宋体" w:eastAsia="宋体" w:cs="宋体"/>
                <w:b/>
                <w:bCs/>
                <w:i w:val="0"/>
                <w:iCs w:val="0"/>
                <w:color w:val="000000" w:themeColor="text1"/>
                <w:sz w:val="20"/>
                <w:szCs w:val="20"/>
                <w:highlight w:val="none"/>
                <w:u w:val="none"/>
                <w14:textFill>
                  <w14:solidFill>
                    <w14:schemeClr w14:val="tx1"/>
                  </w14:solidFill>
                </w14:textFill>
              </w:rPr>
            </w:pPr>
          </w:p>
        </w:tc>
      </w:tr>
    </w:tbl>
    <w:p>
      <w:pPr>
        <w:pStyle w:val="2"/>
        <w:rPr>
          <w:rFonts w:hint="default"/>
          <w:lang w:val="en-US" w:eastAsia="zh-CN"/>
        </w:rPr>
        <w:sectPr>
          <w:pgSz w:w="16838" w:h="11906" w:orient="landscape"/>
          <w:pgMar w:top="1587" w:right="1440" w:bottom="1587" w:left="1440" w:header="851" w:footer="992" w:gutter="0"/>
          <w:pgBorders>
            <w:top w:val="none" w:sz="0" w:space="0"/>
            <w:left w:val="none" w:sz="0" w:space="0"/>
            <w:bottom w:val="none" w:sz="0" w:space="0"/>
            <w:right w:val="none" w:sz="0" w:space="0"/>
          </w:pgBorders>
          <w:cols w:space="425" w:num="1"/>
          <w:rtlGutter w:val="0"/>
          <w:docGrid w:type="lines" w:linePitch="312" w:charSpace="0"/>
        </w:sectPr>
      </w:pPr>
    </w:p>
    <w:p>
      <w:pPr>
        <w:adjustRightInd w:val="0"/>
        <w:snapToGrid w:val="0"/>
        <w:spacing w:before="120" w:beforeLines="50" w:line="360" w:lineRule="auto"/>
        <w:outlineLvl w:val="1"/>
        <w:rPr>
          <w:rFonts w:hint="default" w:ascii="Times New Roman" w:hAnsi="Times New Roman" w:cs="Times New Roman" w:eastAsiaTheme="minorEastAsia"/>
          <w:b/>
          <w:bCs/>
          <w:color w:val="000000" w:themeColor="text1"/>
          <w:sz w:val="30"/>
          <w:szCs w:val="30"/>
          <w:highlight w:val="none"/>
          <w:lang w:val="en-US"/>
          <w14:textFill>
            <w14:solidFill>
              <w14:schemeClr w14:val="tx1"/>
            </w14:solidFill>
          </w14:textFill>
        </w:rPr>
      </w:pPr>
      <w:bookmarkStart w:id="583" w:name="_Toc2438"/>
      <w:r>
        <w:rPr>
          <w:rFonts w:hint="eastAsia" w:cs="Times New Roman" w:eastAsiaTheme="minorEastAsia"/>
          <w:b/>
          <w:bCs/>
          <w:color w:val="000000" w:themeColor="text1"/>
          <w:sz w:val="30"/>
          <w:szCs w:val="30"/>
          <w:highlight w:val="none"/>
          <w:lang w:val="en-US" w:eastAsia="zh-CN"/>
          <w14:textFill>
            <w14:solidFill>
              <w14:schemeClr w14:val="tx1"/>
            </w14:solidFill>
          </w14:textFill>
        </w:rPr>
        <w:t>8</w:t>
      </w:r>
      <w:r>
        <w:rPr>
          <w:rFonts w:hint="default" w:ascii="Times New Roman" w:hAnsi="Times New Roman" w:cs="Times New Roman" w:eastAsiaTheme="minorEastAsia"/>
          <w:b/>
          <w:bCs/>
          <w:color w:val="000000" w:themeColor="text1"/>
          <w:sz w:val="30"/>
          <w:szCs w:val="30"/>
          <w:highlight w:val="none"/>
          <w14:textFill>
            <w14:solidFill>
              <w14:schemeClr w14:val="tx1"/>
            </w14:solidFill>
          </w14:textFill>
        </w:rPr>
        <w:t>.</w:t>
      </w:r>
      <w:r>
        <w:rPr>
          <w:rFonts w:hint="eastAsia" w:ascii="Times New Roman" w:hAnsi="Times New Roman" w:cs="Times New Roman" w:eastAsiaTheme="minorEastAsia"/>
          <w:b/>
          <w:bCs/>
          <w:color w:val="000000" w:themeColor="text1"/>
          <w:sz w:val="30"/>
          <w:szCs w:val="30"/>
          <w:highlight w:val="none"/>
          <w:lang w:val="en-US" w:eastAsia="zh-CN"/>
          <w14:textFill>
            <w14:solidFill>
              <w14:schemeClr w14:val="tx1"/>
            </w14:solidFill>
          </w14:textFill>
        </w:rPr>
        <w:t>4附件专家评审意见</w:t>
      </w:r>
      <w:bookmarkEnd w:id="583"/>
    </w:p>
    <w:p>
      <w:pPr>
        <w:rPr>
          <w:rFonts w:hint="default"/>
          <w:b/>
          <w:bCs/>
          <w:lang w:val="en-US" w:eastAsia="zh-CN"/>
        </w:rPr>
        <w:sectPr>
          <w:pgSz w:w="11906" w:h="16838"/>
          <w:pgMar w:top="1440" w:right="1587" w:bottom="1383" w:left="1587" w:header="851" w:footer="992" w:gutter="0"/>
          <w:pgBorders>
            <w:top w:val="none" w:sz="0" w:space="0"/>
            <w:left w:val="none" w:sz="0" w:space="0"/>
            <w:bottom w:val="none" w:sz="0" w:space="0"/>
            <w:right w:val="none" w:sz="0" w:space="0"/>
          </w:pgBorders>
          <w:cols w:space="425" w:num="1"/>
          <w:rtlGutter w:val="0"/>
          <w:docGrid w:type="lines" w:linePitch="312" w:charSpace="0"/>
        </w:sectPr>
      </w:pPr>
      <w:r>
        <w:rPr>
          <w:rFonts w:hint="default"/>
          <w:lang w:val="en-US" w:eastAsia="zh-CN"/>
        </w:rPr>
        <w:drawing>
          <wp:inline distT="0" distB="0" distL="114300" distR="114300">
            <wp:extent cx="5543550" cy="7909560"/>
            <wp:effectExtent l="0" t="0" r="3810" b="0"/>
            <wp:docPr id="24" name="图片 24" descr="专家意见_0000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专家意见_000034"/>
                    <pic:cNvPicPr>
                      <a:picLocks noChangeAspect="true"/>
                    </pic:cNvPicPr>
                  </pic:nvPicPr>
                  <pic:blipFill>
                    <a:blip r:embed="rId47"/>
                    <a:stretch>
                      <a:fillRect/>
                    </a:stretch>
                  </pic:blipFill>
                  <pic:spPr>
                    <a:xfrm>
                      <a:off x="0" y="0"/>
                      <a:ext cx="5543550" cy="7909560"/>
                    </a:xfrm>
                    <a:prstGeom prst="rect">
                      <a:avLst/>
                    </a:prstGeom>
                  </pic:spPr>
                </pic:pic>
              </a:graphicData>
            </a:graphic>
          </wp:inline>
        </w:drawing>
      </w:r>
      <w:r>
        <w:rPr>
          <w:rFonts w:hint="default"/>
          <w:b/>
          <w:bCs/>
          <w:lang w:val="en-US" w:eastAsia="zh-CN"/>
        </w:rPr>
        <w:drawing>
          <wp:inline distT="0" distB="0" distL="114300" distR="114300">
            <wp:extent cx="5543550" cy="7909560"/>
            <wp:effectExtent l="0" t="0" r="3810" b="0"/>
            <wp:docPr id="25" name="图片 25" descr="专家意见_0000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专家意见_000035"/>
                    <pic:cNvPicPr>
                      <a:picLocks noChangeAspect="true"/>
                    </pic:cNvPicPr>
                  </pic:nvPicPr>
                  <pic:blipFill>
                    <a:blip r:embed="rId48"/>
                    <a:stretch>
                      <a:fillRect/>
                    </a:stretch>
                  </pic:blipFill>
                  <pic:spPr>
                    <a:xfrm>
                      <a:off x="0" y="0"/>
                      <a:ext cx="5543550" cy="7909560"/>
                    </a:xfrm>
                    <a:prstGeom prst="rect">
                      <a:avLst/>
                    </a:prstGeom>
                  </pic:spPr>
                </pic:pic>
              </a:graphicData>
            </a:graphic>
          </wp:inline>
        </w:drawing>
      </w:r>
    </w:p>
    <w:p>
      <w:pPr>
        <w:rPr>
          <w:rFonts w:hint="default"/>
          <w:b/>
          <w:bCs/>
          <w:lang w:val="en-US" w:eastAsia="zh-CN"/>
        </w:rPr>
      </w:pPr>
      <w:r>
        <w:rPr>
          <w:rFonts w:hint="default"/>
          <w:b/>
          <w:bCs/>
          <w:lang w:val="en-US" w:eastAsia="zh-CN"/>
        </w:rPr>
        <w:drawing>
          <wp:inline distT="0" distB="0" distL="114300" distR="114300">
            <wp:extent cx="5543550" cy="7909560"/>
            <wp:effectExtent l="0" t="0" r="0" b="3810"/>
            <wp:docPr id="26" name="图片 26" descr="专家签到表_0000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专家签到表_000036"/>
                    <pic:cNvPicPr>
                      <a:picLocks noChangeAspect="true"/>
                    </pic:cNvPicPr>
                  </pic:nvPicPr>
                  <pic:blipFill>
                    <a:blip r:embed="rId49"/>
                    <a:stretch>
                      <a:fillRect/>
                    </a:stretch>
                  </pic:blipFill>
                  <pic:spPr>
                    <a:xfrm rot="16200000">
                      <a:off x="0" y="0"/>
                      <a:ext cx="5543550" cy="7909560"/>
                    </a:xfrm>
                    <a:prstGeom prst="rect">
                      <a:avLst/>
                    </a:prstGeom>
                  </pic:spPr>
                </pic:pic>
              </a:graphicData>
            </a:graphic>
          </wp:inline>
        </w:drawing>
      </w:r>
    </w:p>
    <w:sectPr>
      <w:pgSz w:w="16838" w:h="11906" w:orient="landscape"/>
      <w:pgMar w:top="1587" w:right="1440" w:bottom="1587" w:left="1383" w:header="851" w:footer="992" w:gutter="0"/>
      <w:pgBorders>
        <w:top w:val="none" w:sz="0" w:space="0"/>
        <w:left w:val="none" w:sz="0" w:space="0"/>
        <w:bottom w:val="none" w:sz="0" w:space="0"/>
        <w:right w:val="none" w:sz="0" w:space="0"/>
      </w:pgBorders>
      <w:cols w:space="425"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等线">
    <w:panose1 w:val="02010600030101010101"/>
    <w:charset w:val="86"/>
    <w:family w:val="auto"/>
    <w:pitch w:val="default"/>
    <w:sig w:usb0="A00002BF" w:usb1="38CF7CFA" w:usb2="00000016" w:usb3="00000000" w:csb0="0004000F"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9525">
                        <a:noFill/>
                      </a:ln>
                      <a:effectLst/>
                    </wps:spPr>
                    <wps:txbx>
                      <w:txbxContent>
                        <w:p>
                          <w:pPr>
                            <w:pStyle w:val="12"/>
                          </w:pPr>
                          <w:r>
                            <w:fldChar w:fldCharType="begin"/>
                          </w:r>
                          <w:r>
                            <w:instrText xml:space="preserve"> PAGE  \* MERGEFORMAT </w:instrText>
                          </w:r>
                          <w:r>
                            <w:fldChar w:fldCharType="separate"/>
                          </w:r>
                          <w:r>
                            <w:t>104</w:t>
                          </w:r>
                          <w:r>
                            <w:fldChar w:fldCharType="end"/>
                          </w:r>
                        </w:p>
                      </w:txbxContent>
                    </wps:txbx>
                    <wps:bodyPr wrap="none" lIns="0" tIns="0" rIns="0" bIns="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WAAAA&#10;ZHJzL1BLAQIUABQAAAAIAIdO4kDOqXm5zwAAAAUBAAAPAAAAAAAAAAEAIAAAADgAAABkcnMvZG93&#10;bnJldi54bWxQSwECFAAUAAAACACHTuJARaiTH7oBAABaAwAADgAAAAAAAAABACAAAAA0AQAAZHJz&#10;L2Uyb0RvYy54bWxQSwUGAAAAAAYABgBZAQAAYAU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enter" w:pos="4153"/>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20650" cy="196850"/>
              <wp:effectExtent l="0" t="0" r="0" b="0"/>
              <wp:wrapNone/>
              <wp:docPr id="39" name="文本框 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9525">
                        <a:noFill/>
                      </a:ln>
                      <a:effectLst/>
                    </wps:spPr>
                    <wps:txbx>
                      <w:txbxContent>
                        <w:p>
                          <w:pPr>
                            <w:pStyle w:val="12"/>
                          </w:pPr>
                          <w:r>
                            <w:fldChar w:fldCharType="begin"/>
                          </w:r>
                          <w:r>
                            <w:instrText xml:space="preserve"> PAGE  \* MERGEFORMAT </w:instrText>
                          </w:r>
                          <w:r>
                            <w:fldChar w:fldCharType="separate"/>
                          </w:r>
                          <w:r>
                            <w:t>V</w:t>
                          </w:r>
                          <w:r>
                            <w:fldChar w:fldCharType="end"/>
                          </w:r>
                        </w:p>
                      </w:txbxContent>
                    </wps:txbx>
                    <wps:bodyPr vert="horz" wrap="none" lIns="0" tIns="0" rIns="0" bIns="0" anchor="t">
                      <a:spAutoFit/>
                    </wps:bodyPr>
                  </wps:wsp>
                </a:graphicData>
              </a:graphic>
            </wp:anchor>
          </w:drawing>
        </mc:Choice>
        <mc:Fallback>
          <w:pict>
            <v:shape id="文本框 8" o:spid="_x0000_s1026" o:spt="202" type="#_x0000_t202" style="position:absolute;left:0pt;margin-top:0pt;height:15.5pt;width:9.5pt;mso-position-horizontal:center;mso-position-horizontal-relative:margin;mso-wrap-style:none;z-index:251661312;mso-width-relative:page;mso-height-relative:page;" filled="f" stroked="f" coordsize="21600,21600" o:gfxdata="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CMMMSW0AAAAAMBAAAPAAAAAAAAAAEA&#10;IAAAADgAAABkcnMvZG93bnJldi54bWxQSwECFAAUAAAACACHTuJA0q0e2cgBAABxAwAADgAAAAAA&#10;AAABACAAAAA1AQAAZHJzL2Uyb0RvYy54bWxQSwUGAAAAAAYABgBZAQAAbwU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V</w:t>
                    </w:r>
                    <w:r>
                      <w:fldChar w:fldCharType="end"/>
                    </w: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ente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96850"/>
              <wp:effectExtent l="0" t="0" r="0" b="0"/>
              <wp:wrapNone/>
              <wp:docPr id="40" name="文本框 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9525">
                        <a:noFill/>
                      </a:ln>
                      <a:effectLst/>
                    </wps:spPr>
                    <wps:txbx>
                      <w:txbxContent>
                        <w:p>
                          <w:pPr>
                            <w:pStyle w:val="12"/>
                          </w:pPr>
                          <w:r>
                            <w:fldChar w:fldCharType="begin"/>
                          </w:r>
                          <w:r>
                            <w:instrText xml:space="preserve"> PAGE  \* MERGEFORMAT </w:instrText>
                          </w:r>
                          <w:r>
                            <w:fldChar w:fldCharType="separate"/>
                          </w:r>
                          <w:r>
                            <w:t>45</w:t>
                          </w:r>
                          <w:r>
                            <w:fldChar w:fldCharType="end"/>
                          </w:r>
                        </w:p>
                      </w:txbxContent>
                    </wps:txbx>
                    <wps:bodyPr wrap="none" lIns="0" tIns="0" rIns="0" bIns="0">
                      <a:spAutoFit/>
                    </wps:bodyPr>
                  </wps:wsp>
                </a:graphicData>
              </a:graphic>
            </wp:anchor>
          </w:drawing>
        </mc:Choice>
        <mc:Fallback>
          <w:pict>
            <v:shape id="文本框 9" o:spid="_x0000_s1026" o:spt="202" type="#_x0000_t202" style="position:absolute;left:0pt;margin-top:0pt;height:15.5pt;width:9.05pt;mso-position-horizontal:center;mso-position-horizontal-relative:margin;mso-wrap-style:none;z-index:251662336;mso-width-relative:page;mso-height-relative:page;" filled="f" stroked="f" coordsize="21600,21600" o:gfxdata="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WAAAA&#10;ZHJzL1BLAQIUABQAAAAIAIdO4kDQ1v350AAAAAMBAAAPAAAAAAAAAAEAIAAAADgAAABkcnMvZG93&#10;bnJldi54bWxQSwECFAAUAAAACACHTuJA9nS8jrkBAABaAwAADgAAAAAAAAABACAAAAA1AQAAZHJz&#10;L2Uyb0RvYy54bWxQSwUGAAAAAAYABgBZAQAAYAU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45</w:t>
                    </w:r>
                    <w:r>
                      <w:fldChar w:fldCharType="end"/>
                    </w: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jc w:val="right"/>
      <w:rPr>
        <w:rFonts w:ascii="微软雅黑" w:hAnsi="微软雅黑" w:eastAsia="微软雅黑" w:cs="微软雅黑"/>
        <w:sz w:val="28"/>
        <w:szCs w:val="28"/>
      </w:rPr>
    </w:pPr>
    <w:r>
      <w:rPr>
        <w:sz w:val="2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76IwHQIAACk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mr/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XvojAdAgAAKQQAAA4AAAAAAAAAAQAgAAAANQ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iMuAO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iMuAOGwIAACkEAAAOAAAAAAAAAAEAIAAAADU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y2DMHAIAACkEAAAOAAAAZHJz&#10;L2Uyb0RvYy54bWytU82O0zAQviPxDpbvNGkRq27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K8tgzBwCAAApBAAADgAAAAAAAAABACAAAAA1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44</w:t>
                    </w:r>
                    <w:r>
                      <w:fldChar w:fldCharType="end"/>
                    </w:r>
                  </w:p>
                </w:txbxContent>
              </v:textbox>
            </v:shape>
          </w:pict>
        </mc:Fallback>
      </mc:AlternateContent>
    </w: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457200" cy="105410"/>
              <wp:effectExtent l="0" t="0" r="0" b="0"/>
              <wp:wrapNone/>
              <wp:docPr id="5" name="Shape 1"/>
              <wp:cNvGraphicFramePr/>
              <a:graphic xmlns:a="http://schemas.openxmlformats.org/drawingml/2006/main">
                <a:graphicData uri="http://schemas.microsoft.com/office/word/2010/wordprocessingShape">
                  <wps:wsp>
                    <wps:cNvSpPr txBox="true"/>
                    <wps:spPr>
                      <a:xfrm>
                        <a:off x="0" y="0"/>
                        <a:ext cx="457200" cy="105410"/>
                      </a:xfrm>
                      <a:prstGeom prst="rect">
                        <a:avLst/>
                      </a:prstGeom>
                      <a:noFill/>
                    </wps:spPr>
                    <wps:txbx>
                      <w:txbxContent>
                        <w:p>
                          <w:pPr>
                            <w:pStyle w:val="31"/>
                            <w:spacing w:line="240" w:lineRule="auto"/>
                            <w:jc w:val="left"/>
                            <w:rPr>
                              <w:sz w:val="24"/>
                              <w:szCs w:val="24"/>
                            </w:rPr>
                          </w:pPr>
                        </w:p>
                      </w:txbxContent>
                    </wps:txbx>
                    <wps:bodyPr wrap="none" lIns="0" tIns="0" rIns="0" bIns="0">
                      <a:spAutoFit/>
                    </wps:bodyPr>
                  </wps:wsp>
                </a:graphicData>
              </a:graphic>
            </wp:anchor>
          </w:drawing>
        </mc:Choice>
        <mc:Fallback>
          <w:pict>
            <v:shape id="Shape 1" o:spid="_x0000_s1026" o:spt="202" type="#_x0000_t202" style="position:absolute;left:0pt;margin-top:0pt;height:8.3pt;width:36pt;mso-position-horizontal:center;mso-position-horizontal-relative:margin;mso-wrap-style:none;z-index:251659264;mso-width-relative:page;mso-height-relative:page;" filled="f" stroked="f" coordsize="21600,21600" o:gfxdata="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WAAAAZHJzL1BLAQIUABQAAAAIAIdO4kAno4iQzwAAAAMBAAAPAAAAAAAA&#10;AAEAIAAAADgAAABkcnMvZG93bnJldi54bWxQSwECFAAUAAAACACHTuJAPIxCe5MBAAAkAwAADgAA&#10;AAAAAAABACAAAAA0AQAAZHJzL2Uyb0RvYy54bWxQSwUGAAAAAAYABgBZAQAAOQUAAAAA&#10;">
              <v:fill on="f" focussize="0,0"/>
              <v:stroke on="f"/>
              <v:imagedata o:title=""/>
              <o:lock v:ext="edit" aspectratio="f"/>
              <v:textbox inset="0mm,0mm,0mm,0mm" style="mso-fit-shape-to-text:t;">
                <w:txbxContent>
                  <w:p>
                    <w:pPr>
                      <w:pStyle w:val="31"/>
                      <w:spacing w:line="240" w:lineRule="auto"/>
                      <w:jc w:val="left"/>
                      <w:rPr>
                        <w:sz w:val="24"/>
                        <w:szCs w:val="24"/>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enter" w:pos="4153"/>
        <w:tab w:val="right" w:pos="8306"/>
      </w:tabs>
      <w:jc w:val="center"/>
    </w:pPr>
    <w:r>
      <w:fldChar w:fldCharType="begin"/>
    </w:r>
    <w:r>
      <w:instrText xml:space="preserve"> PAGE   \* MERGEFORMAT </w:instrText>
    </w:r>
    <w:r>
      <w:fldChar w:fldCharType="separate"/>
    </w:r>
    <w:r>
      <w:rPr>
        <w:lang w:val="zh-CN"/>
      </w:rPr>
      <w:t>284</w:t>
    </w:r>
    <w:r>
      <w:fldChar w:fldCharType="end"/>
    </w:r>
  </w:p>
  <w:p>
    <w:pPr>
      <w:pStyle w:val="12"/>
      <w:tabs>
        <w:tab w:val="center" w:pos="4153"/>
        <w:tab w:val="right" w:pos="8306"/>
      </w:tabs>
      <w:ind w:left="525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enter" w:pos="4153"/>
        <w:tab w:val="right" w:pos="8306"/>
      </w:tabs>
      <w:jc w:val="center"/>
    </w:pPr>
    <w:r>
      <w:fldChar w:fldCharType="begin"/>
    </w:r>
    <w:r>
      <w:instrText xml:space="preserve"> PAGE   \* MERGEFORMAT </w:instrText>
    </w:r>
    <w:r>
      <w:fldChar w:fldCharType="separate"/>
    </w:r>
    <w:r>
      <w:rPr>
        <w:lang w:val="zh-CN"/>
      </w:rPr>
      <w:t>290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B4D096"/>
    <w:multiLevelType w:val="singleLevel"/>
    <w:tmpl w:val="8FB4D096"/>
    <w:lvl w:ilvl="0" w:tentative="0">
      <w:start w:val="1"/>
      <w:numFmt w:val="chineseCounting"/>
      <w:suff w:val="nothing"/>
      <w:lvlText w:val="%1、"/>
      <w:lvlJc w:val="left"/>
      <w:rPr>
        <w:rFonts w:hint="eastAsia"/>
      </w:rPr>
    </w:lvl>
  </w:abstractNum>
  <w:abstractNum w:abstractNumId="1">
    <w:nsid w:val="968C92D1"/>
    <w:multiLevelType w:val="singleLevel"/>
    <w:tmpl w:val="968C92D1"/>
    <w:lvl w:ilvl="0" w:tentative="0">
      <w:start w:val="2"/>
      <w:numFmt w:val="decimal"/>
      <w:suff w:val="nothing"/>
      <w:lvlText w:val="（%1）"/>
      <w:lvlJc w:val="left"/>
    </w:lvl>
  </w:abstractNum>
  <w:abstractNum w:abstractNumId="2">
    <w:nsid w:val="B7712277"/>
    <w:multiLevelType w:val="singleLevel"/>
    <w:tmpl w:val="B7712277"/>
    <w:lvl w:ilvl="0" w:tentative="0">
      <w:start w:val="2"/>
      <w:numFmt w:val="decimal"/>
      <w:suff w:val="nothing"/>
      <w:lvlText w:val="（%1）"/>
      <w:lvlJc w:val="left"/>
    </w:lvl>
  </w:abstractNum>
  <w:abstractNum w:abstractNumId="3">
    <w:nsid w:val="BB58228A"/>
    <w:multiLevelType w:val="singleLevel"/>
    <w:tmpl w:val="BB58228A"/>
    <w:lvl w:ilvl="0" w:tentative="0">
      <w:start w:val="2"/>
      <w:numFmt w:val="decimal"/>
      <w:suff w:val="nothing"/>
      <w:lvlText w:val="（%1）"/>
      <w:lvlJc w:val="left"/>
    </w:lvl>
  </w:abstractNum>
  <w:abstractNum w:abstractNumId="4">
    <w:nsid w:val="C17B6C8F"/>
    <w:multiLevelType w:val="singleLevel"/>
    <w:tmpl w:val="C17B6C8F"/>
    <w:lvl w:ilvl="0" w:tentative="0">
      <w:start w:val="2"/>
      <w:numFmt w:val="decimal"/>
      <w:suff w:val="nothing"/>
      <w:lvlText w:val="（%1）"/>
      <w:lvlJc w:val="left"/>
    </w:lvl>
  </w:abstractNum>
  <w:abstractNum w:abstractNumId="5">
    <w:nsid w:val="C489D03C"/>
    <w:multiLevelType w:val="singleLevel"/>
    <w:tmpl w:val="C489D03C"/>
    <w:lvl w:ilvl="0" w:tentative="0">
      <w:start w:val="2"/>
      <w:numFmt w:val="decimal"/>
      <w:suff w:val="nothing"/>
      <w:lvlText w:val="（%1）"/>
      <w:lvlJc w:val="left"/>
    </w:lvl>
  </w:abstractNum>
  <w:abstractNum w:abstractNumId="6">
    <w:nsid w:val="C6D86A84"/>
    <w:multiLevelType w:val="singleLevel"/>
    <w:tmpl w:val="C6D86A84"/>
    <w:lvl w:ilvl="0" w:tentative="0">
      <w:start w:val="2"/>
      <w:numFmt w:val="decimal"/>
      <w:suff w:val="nothing"/>
      <w:lvlText w:val="%1、"/>
      <w:lvlJc w:val="left"/>
    </w:lvl>
  </w:abstractNum>
  <w:abstractNum w:abstractNumId="7">
    <w:nsid w:val="FF836DF6"/>
    <w:multiLevelType w:val="singleLevel"/>
    <w:tmpl w:val="FF836DF6"/>
    <w:lvl w:ilvl="0" w:tentative="0">
      <w:start w:val="1"/>
      <w:numFmt w:val="decimal"/>
      <w:suff w:val="nothing"/>
      <w:lvlText w:val="%1、"/>
      <w:lvlJc w:val="left"/>
    </w:lvl>
  </w:abstractNum>
  <w:abstractNum w:abstractNumId="8">
    <w:nsid w:val="01EABF07"/>
    <w:multiLevelType w:val="singleLevel"/>
    <w:tmpl w:val="01EABF07"/>
    <w:lvl w:ilvl="0" w:tentative="0">
      <w:start w:val="2"/>
      <w:numFmt w:val="decimal"/>
      <w:suff w:val="nothing"/>
      <w:lvlText w:val="（%1）"/>
      <w:lvlJc w:val="left"/>
    </w:lvl>
  </w:abstractNum>
  <w:abstractNum w:abstractNumId="9">
    <w:nsid w:val="044CDD39"/>
    <w:multiLevelType w:val="singleLevel"/>
    <w:tmpl w:val="044CDD39"/>
    <w:lvl w:ilvl="0" w:tentative="0">
      <w:start w:val="1"/>
      <w:numFmt w:val="decimal"/>
      <w:suff w:val="nothing"/>
      <w:lvlText w:val="%1、"/>
      <w:lvlJc w:val="left"/>
    </w:lvl>
  </w:abstractNum>
  <w:abstractNum w:abstractNumId="10">
    <w:nsid w:val="09335785"/>
    <w:multiLevelType w:val="singleLevel"/>
    <w:tmpl w:val="09335785"/>
    <w:lvl w:ilvl="0" w:tentative="0">
      <w:start w:val="2"/>
      <w:numFmt w:val="decimal"/>
      <w:suff w:val="nothing"/>
      <w:lvlText w:val="（%1）"/>
      <w:lvlJc w:val="left"/>
    </w:lvl>
  </w:abstractNum>
  <w:abstractNum w:abstractNumId="11">
    <w:nsid w:val="16B7D5DF"/>
    <w:multiLevelType w:val="singleLevel"/>
    <w:tmpl w:val="16B7D5DF"/>
    <w:lvl w:ilvl="0" w:tentative="0">
      <w:start w:val="3"/>
      <w:numFmt w:val="chineseCounting"/>
      <w:suff w:val="nothing"/>
      <w:lvlText w:val="（%1）"/>
      <w:lvlJc w:val="left"/>
      <w:rPr>
        <w:rFonts w:hint="eastAsia"/>
      </w:rPr>
    </w:lvl>
  </w:abstractNum>
  <w:abstractNum w:abstractNumId="12">
    <w:nsid w:val="2A927337"/>
    <w:multiLevelType w:val="singleLevel"/>
    <w:tmpl w:val="2A927337"/>
    <w:lvl w:ilvl="0" w:tentative="0">
      <w:start w:val="1"/>
      <w:numFmt w:val="decimal"/>
      <w:suff w:val="nothing"/>
      <w:lvlText w:val="（%1）"/>
      <w:lvlJc w:val="left"/>
    </w:lvl>
  </w:abstractNum>
  <w:abstractNum w:abstractNumId="13">
    <w:nsid w:val="2D5E35D9"/>
    <w:multiLevelType w:val="multilevel"/>
    <w:tmpl w:val="2D5E35D9"/>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410AF311"/>
    <w:multiLevelType w:val="singleLevel"/>
    <w:tmpl w:val="410AF311"/>
    <w:lvl w:ilvl="0" w:tentative="0">
      <w:start w:val="2"/>
      <w:numFmt w:val="decimal"/>
      <w:suff w:val="nothing"/>
      <w:lvlText w:val="（%1）"/>
      <w:lvlJc w:val="left"/>
    </w:lvl>
  </w:abstractNum>
  <w:abstractNum w:abstractNumId="15">
    <w:nsid w:val="43B89C71"/>
    <w:multiLevelType w:val="singleLevel"/>
    <w:tmpl w:val="43B89C71"/>
    <w:lvl w:ilvl="0" w:tentative="0">
      <w:start w:val="2"/>
      <w:numFmt w:val="decimal"/>
      <w:suff w:val="nothing"/>
      <w:lvlText w:val="（%1）"/>
      <w:lvlJc w:val="left"/>
    </w:lvl>
  </w:abstractNum>
  <w:abstractNum w:abstractNumId="16">
    <w:nsid w:val="58FA36F1"/>
    <w:multiLevelType w:val="singleLevel"/>
    <w:tmpl w:val="58FA36F1"/>
    <w:lvl w:ilvl="0" w:tentative="0">
      <w:start w:val="2"/>
      <w:numFmt w:val="decimal"/>
      <w:suff w:val="nothing"/>
      <w:lvlText w:val="（%1）"/>
      <w:lvlJc w:val="left"/>
    </w:lvl>
  </w:abstractNum>
  <w:abstractNum w:abstractNumId="17">
    <w:nsid w:val="5BFF8B5D"/>
    <w:multiLevelType w:val="singleLevel"/>
    <w:tmpl w:val="5BFF8B5D"/>
    <w:lvl w:ilvl="0" w:tentative="0">
      <w:start w:val="2"/>
      <w:numFmt w:val="decimal"/>
      <w:suff w:val="nothing"/>
      <w:lvlText w:val="（%1）"/>
      <w:lvlJc w:val="left"/>
    </w:lvl>
  </w:abstractNum>
  <w:abstractNum w:abstractNumId="18">
    <w:nsid w:val="5DEBAF4C"/>
    <w:multiLevelType w:val="singleLevel"/>
    <w:tmpl w:val="5DEBAF4C"/>
    <w:lvl w:ilvl="0" w:tentative="0">
      <w:start w:val="2"/>
      <w:numFmt w:val="decimal"/>
      <w:suff w:val="nothing"/>
      <w:lvlText w:val="（%1）"/>
      <w:lvlJc w:val="left"/>
    </w:lvl>
  </w:abstractNum>
  <w:abstractNum w:abstractNumId="19">
    <w:nsid w:val="63E1548C"/>
    <w:multiLevelType w:val="singleLevel"/>
    <w:tmpl w:val="63E1548C"/>
    <w:lvl w:ilvl="0" w:tentative="0">
      <w:start w:val="1"/>
      <w:numFmt w:val="decimal"/>
      <w:suff w:val="nothing"/>
      <w:lvlText w:val="（%1）"/>
      <w:lvlJc w:val="left"/>
    </w:lvl>
  </w:abstractNum>
  <w:abstractNum w:abstractNumId="20">
    <w:nsid w:val="6EEFB658"/>
    <w:multiLevelType w:val="singleLevel"/>
    <w:tmpl w:val="6EEFB658"/>
    <w:lvl w:ilvl="0" w:tentative="0">
      <w:start w:val="2"/>
      <w:numFmt w:val="decimal"/>
      <w:suff w:val="nothing"/>
      <w:lvlText w:val="（%1）"/>
      <w:lvlJc w:val="left"/>
    </w:lvl>
  </w:abstractNum>
  <w:abstractNum w:abstractNumId="21">
    <w:nsid w:val="72DD2789"/>
    <w:multiLevelType w:val="singleLevel"/>
    <w:tmpl w:val="72DD2789"/>
    <w:lvl w:ilvl="0" w:tentative="0">
      <w:start w:val="2"/>
      <w:numFmt w:val="decimal"/>
      <w:suff w:val="nothing"/>
      <w:lvlText w:val="（%1）"/>
      <w:lvlJc w:val="left"/>
    </w:lvl>
  </w:abstractNum>
  <w:abstractNum w:abstractNumId="22">
    <w:nsid w:val="7A07E3DD"/>
    <w:multiLevelType w:val="singleLevel"/>
    <w:tmpl w:val="7A07E3DD"/>
    <w:lvl w:ilvl="0" w:tentative="0">
      <w:start w:val="2"/>
      <w:numFmt w:val="decimal"/>
      <w:suff w:val="nothing"/>
      <w:lvlText w:val="（%1）"/>
      <w:lvlJc w:val="left"/>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4"/>
  </w:num>
  <w:num w:numId="4">
    <w:abstractNumId w:val="6"/>
  </w:num>
  <w:num w:numId="5">
    <w:abstractNumId w:val="17"/>
  </w:num>
  <w:num w:numId="6">
    <w:abstractNumId w:val="19"/>
  </w:num>
  <w:num w:numId="7">
    <w:abstractNumId w:val="7"/>
  </w:num>
  <w:num w:numId="8">
    <w:abstractNumId w:val="15"/>
  </w:num>
  <w:num w:numId="9">
    <w:abstractNumId w:val="3"/>
  </w:num>
  <w:num w:numId="10">
    <w:abstractNumId w:val="11"/>
  </w:num>
  <w:num w:numId="11">
    <w:abstractNumId w:val="5"/>
  </w:num>
  <w:num w:numId="12">
    <w:abstractNumId w:val="9"/>
  </w:num>
  <w:num w:numId="13">
    <w:abstractNumId w:val="12"/>
  </w:num>
  <w:num w:numId="14">
    <w:abstractNumId w:val="2"/>
  </w:num>
  <w:num w:numId="15">
    <w:abstractNumId w:val="1"/>
  </w:num>
  <w:num w:numId="16">
    <w:abstractNumId w:val="20"/>
  </w:num>
  <w:num w:numId="17">
    <w:abstractNumId w:val="0"/>
  </w:num>
  <w:num w:numId="18">
    <w:abstractNumId w:val="22"/>
  </w:num>
  <w:num w:numId="19">
    <w:abstractNumId w:val="8"/>
  </w:num>
  <w:num w:numId="20">
    <w:abstractNumId w:val="18"/>
  </w:num>
  <w:num w:numId="21">
    <w:abstractNumId w:val="10"/>
  </w:num>
  <w:num w:numId="22">
    <w:abstractNumId w:val="2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embedTrueTypeFonts/>
  <w:saveSubset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JjOWM1ZDk4ZTlkNzVlOGVkMmQyM2NlNTVhMTEwZWUifQ=="/>
  </w:docVars>
  <w:rsids>
    <w:rsidRoot w:val="00172A27"/>
    <w:rsid w:val="000F27A2"/>
    <w:rsid w:val="00172A27"/>
    <w:rsid w:val="003B0798"/>
    <w:rsid w:val="003B35E5"/>
    <w:rsid w:val="004669E1"/>
    <w:rsid w:val="00A36BD9"/>
    <w:rsid w:val="00D13F17"/>
    <w:rsid w:val="00EE324D"/>
    <w:rsid w:val="021022A8"/>
    <w:rsid w:val="021B4171"/>
    <w:rsid w:val="02D45BA1"/>
    <w:rsid w:val="02F204B6"/>
    <w:rsid w:val="03E104BD"/>
    <w:rsid w:val="042F1F8C"/>
    <w:rsid w:val="0473284B"/>
    <w:rsid w:val="0721282E"/>
    <w:rsid w:val="07222102"/>
    <w:rsid w:val="077706A0"/>
    <w:rsid w:val="08005AB1"/>
    <w:rsid w:val="080C0E25"/>
    <w:rsid w:val="08A54080"/>
    <w:rsid w:val="08DD406B"/>
    <w:rsid w:val="09276A4E"/>
    <w:rsid w:val="0A100FB7"/>
    <w:rsid w:val="0A3C60F0"/>
    <w:rsid w:val="0B813678"/>
    <w:rsid w:val="0BDB169A"/>
    <w:rsid w:val="0D4C0CB8"/>
    <w:rsid w:val="0E2E4A01"/>
    <w:rsid w:val="0E582DEA"/>
    <w:rsid w:val="0E915DA9"/>
    <w:rsid w:val="0F353B77"/>
    <w:rsid w:val="0FF521BC"/>
    <w:rsid w:val="109B4E4D"/>
    <w:rsid w:val="11331D52"/>
    <w:rsid w:val="11550E7F"/>
    <w:rsid w:val="1183590C"/>
    <w:rsid w:val="12A45E47"/>
    <w:rsid w:val="12B4555C"/>
    <w:rsid w:val="12DD6347"/>
    <w:rsid w:val="1331362A"/>
    <w:rsid w:val="139B0E4D"/>
    <w:rsid w:val="13D44784"/>
    <w:rsid w:val="14511BD8"/>
    <w:rsid w:val="15EE48BD"/>
    <w:rsid w:val="197607B7"/>
    <w:rsid w:val="19C07074"/>
    <w:rsid w:val="1A36150D"/>
    <w:rsid w:val="1CBD3DFD"/>
    <w:rsid w:val="1DDE4B7D"/>
    <w:rsid w:val="1F8D05BA"/>
    <w:rsid w:val="1FC40ED7"/>
    <w:rsid w:val="20236346"/>
    <w:rsid w:val="22DF561F"/>
    <w:rsid w:val="23455D6C"/>
    <w:rsid w:val="23D753A2"/>
    <w:rsid w:val="25257535"/>
    <w:rsid w:val="25454827"/>
    <w:rsid w:val="25B11FCA"/>
    <w:rsid w:val="25C9729A"/>
    <w:rsid w:val="26334DB7"/>
    <w:rsid w:val="26F309D1"/>
    <w:rsid w:val="27715FC1"/>
    <w:rsid w:val="279A5E21"/>
    <w:rsid w:val="27DC037F"/>
    <w:rsid w:val="2B037CFE"/>
    <w:rsid w:val="2C8774C3"/>
    <w:rsid w:val="2CC736D7"/>
    <w:rsid w:val="2D132597"/>
    <w:rsid w:val="2DEC664E"/>
    <w:rsid w:val="2FAA48BF"/>
    <w:rsid w:val="2FF66353"/>
    <w:rsid w:val="302E3742"/>
    <w:rsid w:val="31F205D4"/>
    <w:rsid w:val="31F6738D"/>
    <w:rsid w:val="345117AD"/>
    <w:rsid w:val="346807FC"/>
    <w:rsid w:val="36703FB2"/>
    <w:rsid w:val="36DC6D6A"/>
    <w:rsid w:val="37B97295"/>
    <w:rsid w:val="386F601A"/>
    <w:rsid w:val="38D02691"/>
    <w:rsid w:val="397720D5"/>
    <w:rsid w:val="3A25005F"/>
    <w:rsid w:val="3AA759CB"/>
    <w:rsid w:val="3C0F4E9D"/>
    <w:rsid w:val="3D653956"/>
    <w:rsid w:val="3D7415F8"/>
    <w:rsid w:val="3F0136B0"/>
    <w:rsid w:val="3FBB4B46"/>
    <w:rsid w:val="3FDC5506"/>
    <w:rsid w:val="406703B2"/>
    <w:rsid w:val="42505D3E"/>
    <w:rsid w:val="42D04AD3"/>
    <w:rsid w:val="448B2EA5"/>
    <w:rsid w:val="455A2B22"/>
    <w:rsid w:val="45B04682"/>
    <w:rsid w:val="45D31BB7"/>
    <w:rsid w:val="45F77D0F"/>
    <w:rsid w:val="47D96E7C"/>
    <w:rsid w:val="48677399"/>
    <w:rsid w:val="48AE37A5"/>
    <w:rsid w:val="48CC7D25"/>
    <w:rsid w:val="48DC0945"/>
    <w:rsid w:val="497A75A0"/>
    <w:rsid w:val="49DE4881"/>
    <w:rsid w:val="4A1C0D7F"/>
    <w:rsid w:val="4B1C5C5C"/>
    <w:rsid w:val="4BB64955"/>
    <w:rsid w:val="4BCB37D7"/>
    <w:rsid w:val="4C001818"/>
    <w:rsid w:val="4C9D6597"/>
    <w:rsid w:val="4EEA14FA"/>
    <w:rsid w:val="4F4F086D"/>
    <w:rsid w:val="4F8C7A5C"/>
    <w:rsid w:val="4FE94A01"/>
    <w:rsid w:val="50670D77"/>
    <w:rsid w:val="511D718F"/>
    <w:rsid w:val="538C05FC"/>
    <w:rsid w:val="546958C1"/>
    <w:rsid w:val="54FE70BC"/>
    <w:rsid w:val="550D4714"/>
    <w:rsid w:val="561A0D4A"/>
    <w:rsid w:val="575C02E5"/>
    <w:rsid w:val="5768418C"/>
    <w:rsid w:val="588F6E06"/>
    <w:rsid w:val="58937239"/>
    <w:rsid w:val="58C53004"/>
    <w:rsid w:val="59191293"/>
    <w:rsid w:val="59367D12"/>
    <w:rsid w:val="594B2A21"/>
    <w:rsid w:val="5AF47194"/>
    <w:rsid w:val="5B1C0A8C"/>
    <w:rsid w:val="5B756EAF"/>
    <w:rsid w:val="5C190553"/>
    <w:rsid w:val="5C9D73D6"/>
    <w:rsid w:val="5D340D71"/>
    <w:rsid w:val="60334EB8"/>
    <w:rsid w:val="61693135"/>
    <w:rsid w:val="62514EEA"/>
    <w:rsid w:val="628538BE"/>
    <w:rsid w:val="63841BD1"/>
    <w:rsid w:val="63AC083D"/>
    <w:rsid w:val="64F92C05"/>
    <w:rsid w:val="663C01C3"/>
    <w:rsid w:val="664115AF"/>
    <w:rsid w:val="67AF7E66"/>
    <w:rsid w:val="67B310A5"/>
    <w:rsid w:val="687F4499"/>
    <w:rsid w:val="690D3E7B"/>
    <w:rsid w:val="69992FE2"/>
    <w:rsid w:val="6A266C5C"/>
    <w:rsid w:val="6AEA11D4"/>
    <w:rsid w:val="6B1D00CC"/>
    <w:rsid w:val="6B490561"/>
    <w:rsid w:val="6B71455E"/>
    <w:rsid w:val="6B9127A1"/>
    <w:rsid w:val="6C905814"/>
    <w:rsid w:val="6D0F39D8"/>
    <w:rsid w:val="6DFA2755"/>
    <w:rsid w:val="6E4F3F58"/>
    <w:rsid w:val="6E595864"/>
    <w:rsid w:val="6E9E208C"/>
    <w:rsid w:val="6F3D105C"/>
    <w:rsid w:val="6F8F3080"/>
    <w:rsid w:val="72474CB8"/>
    <w:rsid w:val="726E5B0F"/>
    <w:rsid w:val="729C412D"/>
    <w:rsid w:val="73827086"/>
    <w:rsid w:val="7489740D"/>
    <w:rsid w:val="74F6547D"/>
    <w:rsid w:val="76FE0619"/>
    <w:rsid w:val="771147F0"/>
    <w:rsid w:val="774976CC"/>
    <w:rsid w:val="7757183F"/>
    <w:rsid w:val="77B746D8"/>
    <w:rsid w:val="77F21ED2"/>
    <w:rsid w:val="785E40EC"/>
    <w:rsid w:val="79872B48"/>
    <w:rsid w:val="79925777"/>
    <w:rsid w:val="7AC61781"/>
    <w:rsid w:val="7BDA1110"/>
    <w:rsid w:val="7CD43E12"/>
    <w:rsid w:val="7D474996"/>
    <w:rsid w:val="7E17093E"/>
    <w:rsid w:val="7E5661AC"/>
    <w:rsid w:val="7EF31D47"/>
    <w:rsid w:val="7F900113"/>
    <w:rsid w:val="93DF1B97"/>
    <w:rsid w:val="9FBCB121"/>
    <w:rsid w:val="AF4DFADF"/>
    <w:rsid w:val="D3F71F60"/>
    <w:rsid w:val="E3FF1B5A"/>
    <w:rsid w:val="FACADF88"/>
    <w:rsid w:val="FE77D326"/>
    <w:rsid w:val="FF66E3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lang w:val="en-US" w:eastAsia="zh-CN" w:bidi="ar-SA"/>
    </w:rPr>
  </w:style>
  <w:style w:type="paragraph" w:styleId="3">
    <w:name w:val="heading 1"/>
    <w:basedOn w:val="1"/>
    <w:next w:val="1"/>
    <w:qFormat/>
    <w:uiPriority w:val="9"/>
    <w:pPr>
      <w:keepNext/>
      <w:keepLines/>
      <w:spacing w:line="413" w:lineRule="auto"/>
      <w:outlineLvl w:val="0"/>
    </w:pPr>
    <w:rPr>
      <w:b/>
      <w:kern w:val="44"/>
      <w:sz w:val="44"/>
    </w:rPr>
  </w:style>
  <w:style w:type="paragraph" w:styleId="4">
    <w:name w:val="heading 2"/>
    <w:basedOn w:val="1"/>
    <w:next w:val="1"/>
    <w:qFormat/>
    <w:uiPriority w:val="0"/>
    <w:pPr>
      <w:keepNext/>
      <w:keepLines/>
      <w:spacing w:line="413" w:lineRule="auto"/>
      <w:outlineLvl w:val="1"/>
    </w:pPr>
    <w:rPr>
      <w:rFonts w:ascii="Arial" w:hAnsi="Arial"/>
      <w:b/>
      <w:sz w:val="32"/>
    </w:rPr>
  </w:style>
  <w:style w:type="paragraph" w:styleId="5">
    <w:name w:val="heading 3"/>
    <w:basedOn w:val="1"/>
    <w:next w:val="1"/>
    <w:unhideWhenUsed/>
    <w:qFormat/>
    <w:uiPriority w:val="9"/>
    <w:pPr>
      <w:keepNext/>
      <w:keepLines/>
      <w:spacing w:before="260" w:after="260" w:line="416" w:lineRule="auto"/>
      <w:outlineLvl w:val="2"/>
    </w:pPr>
    <w:rPr>
      <w:b/>
      <w:bCs/>
      <w:sz w:val="32"/>
      <w:szCs w:val="32"/>
    </w:rPr>
  </w:style>
  <w:style w:type="paragraph" w:styleId="6">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snapToGrid w:val="0"/>
      <w:spacing w:line="300" w:lineRule="auto"/>
      <w:ind w:firstLine="556"/>
    </w:pPr>
    <w:rPr>
      <w:rFonts w:ascii="仿宋_GB2312" w:hAnsi="仿宋_GB2312"/>
      <w:kern w:val="0"/>
    </w:rPr>
  </w:style>
  <w:style w:type="paragraph" w:styleId="7">
    <w:name w:val="Body Text"/>
    <w:basedOn w:val="1"/>
    <w:qFormat/>
    <w:uiPriority w:val="0"/>
  </w:style>
  <w:style w:type="paragraph" w:styleId="8">
    <w:name w:val="Body Text Indent"/>
    <w:basedOn w:val="1"/>
    <w:qFormat/>
    <w:uiPriority w:val="0"/>
    <w:pPr>
      <w:ind w:firstLine="480" w:firstLineChars="200"/>
    </w:pPr>
    <w:rPr>
      <w:kern w:val="0"/>
    </w:rPr>
  </w:style>
  <w:style w:type="paragraph" w:styleId="9">
    <w:name w:val="toc 5"/>
    <w:basedOn w:val="1"/>
    <w:next w:val="1"/>
    <w:qFormat/>
    <w:uiPriority w:val="0"/>
    <w:pPr>
      <w:ind w:left="1680" w:leftChars="800"/>
    </w:pPr>
    <w:rPr>
      <w:rFonts w:ascii="Calibri" w:hAnsi="Calibri"/>
    </w:rPr>
  </w:style>
  <w:style w:type="paragraph" w:styleId="10">
    <w:name w:val="toc 3"/>
    <w:basedOn w:val="1"/>
    <w:next w:val="1"/>
    <w:unhideWhenUsed/>
    <w:qFormat/>
    <w:uiPriority w:val="39"/>
    <w:pPr>
      <w:spacing w:before="100" w:beforeAutospacing="1" w:after="100" w:afterAutospacing="1"/>
      <w:ind w:left="840" w:leftChars="400"/>
    </w:pPr>
  </w:style>
  <w:style w:type="paragraph" w:styleId="11">
    <w:name w:val="Body Text Indent 2"/>
    <w:basedOn w:val="1"/>
    <w:qFormat/>
    <w:uiPriority w:val="0"/>
    <w:pPr>
      <w:spacing w:after="120" w:line="480" w:lineRule="auto"/>
      <w:ind w:left="420" w:leftChars="200"/>
    </w:pPr>
  </w:style>
  <w:style w:type="paragraph" w:styleId="12">
    <w:name w:val="footer"/>
    <w:basedOn w:val="1"/>
    <w:unhideWhenUsed/>
    <w:qFormat/>
    <w:uiPriority w:val="0"/>
    <w:pPr>
      <w:snapToGrid w:val="0"/>
      <w:jc w:val="left"/>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4">
    <w:name w:val="toc 1"/>
    <w:basedOn w:val="1"/>
    <w:next w:val="1"/>
    <w:unhideWhenUsed/>
    <w:qFormat/>
    <w:uiPriority w:val="39"/>
  </w:style>
  <w:style w:type="paragraph" w:styleId="15">
    <w:name w:val="toc 4"/>
    <w:basedOn w:val="1"/>
    <w:next w:val="1"/>
    <w:unhideWhenUsed/>
    <w:qFormat/>
    <w:uiPriority w:val="39"/>
    <w:pPr>
      <w:spacing w:before="100" w:beforeAutospacing="1" w:after="100" w:afterAutospacing="1"/>
      <w:ind w:left="1260" w:leftChars="600"/>
    </w:pPr>
  </w:style>
  <w:style w:type="paragraph" w:styleId="16">
    <w:name w:val="toc 2"/>
    <w:basedOn w:val="1"/>
    <w:next w:val="1"/>
    <w:unhideWhenUsed/>
    <w:qFormat/>
    <w:uiPriority w:val="39"/>
    <w:pPr>
      <w:spacing w:before="100" w:beforeAutospacing="1" w:after="100" w:afterAutospacing="1"/>
      <w:ind w:left="420" w:leftChars="200"/>
    </w:pPr>
  </w:style>
  <w:style w:type="table" w:styleId="18">
    <w:name w:val="Table Grid"/>
    <w:basedOn w:val="17"/>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qFormat/>
    <w:uiPriority w:val="99"/>
    <w:rPr>
      <w:color w:val="0000FF"/>
      <w:u w:val="single"/>
    </w:rPr>
  </w:style>
  <w:style w:type="character" w:customStyle="1" w:styleId="21">
    <w:name w:val="font11"/>
    <w:basedOn w:val="19"/>
    <w:qFormat/>
    <w:uiPriority w:val="0"/>
    <w:rPr>
      <w:rFonts w:hint="default" w:ascii="Times New Roman" w:hAnsi="Times New Roman" w:cs="Times New Roman"/>
      <w:color w:val="000000"/>
      <w:sz w:val="24"/>
      <w:szCs w:val="24"/>
      <w:u w:val="none"/>
    </w:rPr>
  </w:style>
  <w:style w:type="character" w:customStyle="1" w:styleId="22">
    <w:name w:val="font31"/>
    <w:basedOn w:val="19"/>
    <w:qFormat/>
    <w:uiPriority w:val="0"/>
    <w:rPr>
      <w:rFonts w:hint="eastAsia" w:ascii="宋体" w:hAnsi="宋体" w:eastAsia="宋体" w:cs="宋体"/>
      <w:color w:val="000000"/>
      <w:sz w:val="24"/>
      <w:szCs w:val="24"/>
      <w:u w:val="none"/>
    </w:rPr>
  </w:style>
  <w:style w:type="character" w:customStyle="1" w:styleId="23">
    <w:name w:val="font71"/>
    <w:basedOn w:val="19"/>
    <w:qFormat/>
    <w:uiPriority w:val="0"/>
    <w:rPr>
      <w:rFonts w:hint="default" w:ascii="Times New Roman" w:hAnsi="Times New Roman" w:cs="Times New Roman"/>
      <w:color w:val="000000"/>
      <w:sz w:val="24"/>
      <w:szCs w:val="24"/>
      <w:u w:val="none"/>
    </w:rPr>
  </w:style>
  <w:style w:type="character" w:customStyle="1" w:styleId="24">
    <w:name w:val="font21"/>
    <w:basedOn w:val="19"/>
    <w:qFormat/>
    <w:uiPriority w:val="0"/>
    <w:rPr>
      <w:rFonts w:hint="eastAsia" w:ascii="宋体" w:hAnsi="宋体" w:eastAsia="宋体" w:cs="宋体"/>
      <w:color w:val="000000"/>
      <w:sz w:val="24"/>
      <w:szCs w:val="24"/>
      <w:u w:val="none"/>
    </w:rPr>
  </w:style>
  <w:style w:type="character" w:customStyle="1" w:styleId="25">
    <w:name w:val="font112"/>
    <w:basedOn w:val="19"/>
    <w:qFormat/>
    <w:uiPriority w:val="0"/>
    <w:rPr>
      <w:rFonts w:ascii="方正书宋_GBK" w:hAnsi="方正书宋_GBK" w:eastAsia="方正书宋_GBK" w:cs="方正书宋_GBK"/>
      <w:color w:val="000000"/>
      <w:sz w:val="24"/>
      <w:szCs w:val="24"/>
      <w:u w:val="none"/>
    </w:rPr>
  </w:style>
  <w:style w:type="character" w:customStyle="1" w:styleId="26">
    <w:name w:val="font41"/>
    <w:basedOn w:val="19"/>
    <w:qFormat/>
    <w:uiPriority w:val="0"/>
    <w:rPr>
      <w:rFonts w:hint="eastAsia" w:ascii="宋体" w:hAnsi="宋体" w:eastAsia="宋体" w:cs="宋体"/>
      <w:color w:val="000000"/>
      <w:sz w:val="22"/>
      <w:szCs w:val="22"/>
      <w:u w:val="none"/>
    </w:rPr>
  </w:style>
  <w:style w:type="table" w:customStyle="1" w:styleId="27">
    <w:name w:val="Table Normal"/>
    <w:semiHidden/>
    <w:unhideWhenUsed/>
    <w:qFormat/>
    <w:uiPriority w:val="0"/>
    <w:tblPr>
      <w:tblCellMar>
        <w:top w:w="0" w:type="dxa"/>
        <w:left w:w="0" w:type="dxa"/>
        <w:bottom w:w="0" w:type="dxa"/>
        <w:right w:w="0" w:type="dxa"/>
      </w:tblCellMar>
    </w:tblPr>
  </w:style>
  <w:style w:type="paragraph" w:customStyle="1" w:styleId="28">
    <w:name w:val="正文首行缩进 21"/>
    <w:basedOn w:val="1"/>
    <w:qFormat/>
    <w:uiPriority w:val="99"/>
    <w:pPr>
      <w:spacing w:after="120"/>
      <w:ind w:left="420" w:leftChars="200" w:firstLine="420" w:firstLineChars="200"/>
    </w:pPr>
    <w:rPr>
      <w:kern w:val="0"/>
      <w:sz w:val="28"/>
      <w:szCs w:val="28"/>
    </w:rPr>
  </w:style>
  <w:style w:type="character" w:customStyle="1" w:styleId="29">
    <w:name w:val="font61"/>
    <w:basedOn w:val="19"/>
    <w:qFormat/>
    <w:uiPriority w:val="0"/>
    <w:rPr>
      <w:rFonts w:hint="eastAsia" w:ascii="宋体" w:hAnsi="宋体" w:eastAsia="宋体" w:cs="宋体"/>
      <w:b/>
      <w:color w:val="000000"/>
      <w:sz w:val="18"/>
      <w:szCs w:val="18"/>
      <w:u w:val="none"/>
    </w:rPr>
  </w:style>
  <w:style w:type="paragraph" w:customStyle="1" w:styleId="30">
    <w:name w:val="Body text|1"/>
    <w:basedOn w:val="1"/>
    <w:qFormat/>
    <w:uiPriority w:val="0"/>
    <w:pPr>
      <w:spacing w:line="415" w:lineRule="auto"/>
      <w:ind w:firstLine="400"/>
    </w:pPr>
    <w:rPr>
      <w:rFonts w:ascii="宋体" w:hAnsi="宋体" w:cs="宋体"/>
      <w:sz w:val="30"/>
      <w:szCs w:val="30"/>
      <w:lang w:val="zh-TW" w:eastAsia="zh-TW" w:bidi="zh-TW"/>
    </w:rPr>
  </w:style>
  <w:style w:type="paragraph" w:customStyle="1" w:styleId="31">
    <w:name w:val="Header or footer|2"/>
    <w:basedOn w:val="1"/>
    <w:qFormat/>
    <w:uiPriority w:val="0"/>
    <w:rPr>
      <w:sz w:val="20"/>
      <w:lang w:val="zh-TW" w:eastAsia="zh-TW" w:bidi="zh-TW"/>
    </w:rPr>
  </w:style>
  <w:style w:type="character" w:customStyle="1" w:styleId="32">
    <w:name w:val="font51"/>
    <w:basedOn w:val="19"/>
    <w:qFormat/>
    <w:uiPriority w:val="0"/>
    <w:rPr>
      <w:rFonts w:hint="eastAsia" w:ascii="宋体" w:hAnsi="宋体" w:eastAsia="宋体" w:cs="宋体"/>
      <w:color w:val="000000"/>
      <w:sz w:val="20"/>
      <w:szCs w:val="20"/>
      <w:u w:val="none"/>
    </w:rPr>
  </w:style>
  <w:style w:type="character" w:customStyle="1" w:styleId="33">
    <w:name w:val="font12"/>
    <w:basedOn w:val="19"/>
    <w:qFormat/>
    <w:uiPriority w:val="0"/>
    <w:rPr>
      <w:rFonts w:hint="eastAsia" w:ascii="宋体" w:hAnsi="宋体" w:eastAsia="宋体" w:cs="宋体"/>
      <w:color w:val="000000"/>
      <w:sz w:val="20"/>
      <w:szCs w:val="20"/>
      <w:u w:val="none"/>
    </w:rPr>
  </w:style>
  <w:style w:type="character" w:customStyle="1" w:styleId="34">
    <w:name w:val="font111"/>
    <w:basedOn w:val="19"/>
    <w:qFormat/>
    <w:uiPriority w:val="0"/>
    <w:rPr>
      <w:rFonts w:hint="default" w:ascii="Times New Roman" w:hAnsi="Times New Roman" w:cs="Times New Roman"/>
      <w:color w:val="000000"/>
      <w:sz w:val="20"/>
      <w:szCs w:val="20"/>
      <w:u w:val="none"/>
      <w:vertAlign w:val="superscript"/>
    </w:rPr>
  </w:style>
  <w:style w:type="paragraph" w:customStyle="1" w:styleId="35">
    <w:name w:val="Table Text"/>
    <w:basedOn w:val="1"/>
    <w:semiHidden/>
    <w:qFormat/>
    <w:uiPriority w:val="0"/>
    <w:rPr>
      <w:rFonts w:ascii="微软雅黑" w:hAnsi="微软雅黑" w:eastAsia="微软雅黑" w:cs="微软雅黑"/>
      <w:sz w:val="18"/>
      <w:szCs w:val="18"/>
      <w:lang w:val="en-US" w:eastAsia="en-US" w:bidi="ar-SA"/>
    </w:rPr>
  </w:style>
  <w:style w:type="table" w:customStyle="1" w:styleId="36">
    <w:name w:val="网格型41"/>
    <w:basedOn w:val="1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1.xml"/><Relationship Id="rId49" Type="http://schemas.openxmlformats.org/officeDocument/2006/relationships/image" Target="media/image29.jpeg"/><Relationship Id="rId48" Type="http://schemas.openxmlformats.org/officeDocument/2006/relationships/image" Target="media/image28.jpeg"/><Relationship Id="rId47" Type="http://schemas.openxmlformats.org/officeDocument/2006/relationships/image" Target="media/image27.jpeg"/><Relationship Id="rId46" Type="http://schemas.openxmlformats.org/officeDocument/2006/relationships/image" Target="media/image26.jpeg"/><Relationship Id="rId45" Type="http://schemas.openxmlformats.org/officeDocument/2006/relationships/image" Target="media/image25.jpeg"/><Relationship Id="rId44" Type="http://schemas.openxmlformats.org/officeDocument/2006/relationships/image" Target="media/image24.jpeg"/><Relationship Id="rId43" Type="http://schemas.openxmlformats.org/officeDocument/2006/relationships/image" Target="media/image23.jpeg"/><Relationship Id="rId42" Type="http://schemas.openxmlformats.org/officeDocument/2006/relationships/image" Target="media/image22.jpeg"/><Relationship Id="rId41" Type="http://schemas.openxmlformats.org/officeDocument/2006/relationships/image" Target="media/image21.jpeg"/><Relationship Id="rId40" Type="http://schemas.openxmlformats.org/officeDocument/2006/relationships/image" Target="media/image20.jpeg"/><Relationship Id="rId4" Type="http://schemas.openxmlformats.org/officeDocument/2006/relationships/endnotes" Target="endnotes.xml"/><Relationship Id="rId39" Type="http://schemas.openxmlformats.org/officeDocument/2006/relationships/image" Target="media/image19.jpeg"/><Relationship Id="rId38" Type="http://schemas.openxmlformats.org/officeDocument/2006/relationships/image" Target="media/image18.jpeg"/><Relationship Id="rId37" Type="http://schemas.openxmlformats.org/officeDocument/2006/relationships/image" Target="media/image17.jpeg"/><Relationship Id="rId36" Type="http://schemas.openxmlformats.org/officeDocument/2006/relationships/image" Target="media/image16.jpeg"/><Relationship Id="rId35" Type="http://schemas.openxmlformats.org/officeDocument/2006/relationships/image" Target="media/image15.jpeg"/><Relationship Id="rId34" Type="http://schemas.openxmlformats.org/officeDocument/2006/relationships/image" Target="media/image14.jpeg"/><Relationship Id="rId33" Type="http://schemas.openxmlformats.org/officeDocument/2006/relationships/image" Target="media/image13.jpeg"/><Relationship Id="rId32" Type="http://schemas.openxmlformats.org/officeDocument/2006/relationships/image" Target="media/image12.jpe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footnotes" Target="footnotes.xml"/><Relationship Id="rId29" Type="http://schemas.openxmlformats.org/officeDocument/2006/relationships/image" Target="media/image9.jpeg"/><Relationship Id="rId28" Type="http://schemas.openxmlformats.org/officeDocument/2006/relationships/chart" Target="charts/chart6.xml"/><Relationship Id="rId27" Type="http://schemas.openxmlformats.org/officeDocument/2006/relationships/chart" Target="charts/chart5.xml"/><Relationship Id="rId26" Type="http://schemas.openxmlformats.org/officeDocument/2006/relationships/chart" Target="charts/chart4.xml"/><Relationship Id="rId25" Type="http://schemas.openxmlformats.org/officeDocument/2006/relationships/image" Target="media/image8.png"/><Relationship Id="rId24" Type="http://schemas.openxmlformats.org/officeDocument/2006/relationships/chart" Target="charts/chart3.xml"/><Relationship Id="rId23" Type="http://schemas.openxmlformats.org/officeDocument/2006/relationships/chart" Target="charts/chart2.xml"/><Relationship Id="rId22" Type="http://schemas.openxmlformats.org/officeDocument/2006/relationships/chart" Target="charts/chart1.xml"/><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themeOverride" Target="../theme/themeOverride5.xml"/><Relationship Id="rId1" Type="http://schemas.openxmlformats.org/officeDocument/2006/relationships/oleObject" Target="file:///C:\Users\203\Desktop\23.7.14(&#20316;&#22270;)&#29579;&#26356;&#25242;&#20185;&#28246;&#27700;&#36136;&#27719;&#24635;202304.xlsx"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2.xml"/><Relationship Id="rId1" Type="http://schemas.openxmlformats.org/officeDocument/2006/relationships/oleObject" Target="file:///C:\Users\203\Desktop\23.7.14(&#20316;&#22270;)&#29579;&#26356;&#25242;&#20185;&#28246;&#27700;&#36136;&#27719;&#24635;202304.xlsx"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3.xml"/><Relationship Id="rId1" Type="http://schemas.openxmlformats.org/officeDocument/2006/relationships/oleObject" Target="file:///C:\Users\203\Desktop\23.7.14(&#20316;&#22270;)&#29579;&#26356;&#25242;&#20185;&#28246;&#27700;&#36136;&#27719;&#24635;202304.xlsx" TargetMode="External"/></Relationships>
</file>

<file path=word/charts/_rels/chart4.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4.xml"/><Relationship Id="rId1" Type="http://schemas.openxmlformats.org/officeDocument/2006/relationships/oleObject" Target="file:///H:\&#25242;&#20185;&#28246;&#21313;&#22235;&#20116;&#20013;&#26399;&#35780;&#20272;\12&#26376;8&#26085;&#25913;\&#21313;&#22235;&#20116;&#39033;&#30446;&#34920;--12&#26376;.xlsx" TargetMode="External"/></Relationships>
</file>

<file path=word/charts/_rels/chart5.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1.xml"/><Relationship Id="rId1" Type="http://schemas.openxmlformats.org/officeDocument/2006/relationships/oleObject" Target="file:///H:\&#25242;&#20185;&#28246;&#21313;&#22235;&#20116;&#20013;&#26399;&#35780;&#20272;\12&#26376;8&#26085;&#25913;\&#21313;&#22235;&#20116;&#39033;&#30446;&#34920;--12&#26376;.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I:\&#25242;&#20185;&#28246;&#21313;&#22235;&#20116;&#20013;&#26399;&#35780;&#20272;\&#21313;&#22235;&#20116;&#39033;&#3044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true" forceAA="false"/>
          <a:lstStyle/>
          <a:p>
            <a:pPr>
              <a:defRPr lang="zh-CN" sz="1400" b="0" i="0" u="none" strike="noStrike" kern="1200" spc="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rPr>
              <a:t>抚仙湖2015年-2023年逐月TP变化趋势图</a:t>
            </a:r>
            <a:endParaRPr>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20614920582698"/>
          <c:y val="0.0238584511376291"/>
        </c:manualLayout>
      </c:layout>
      <c:overlay val="false"/>
      <c:spPr>
        <a:solidFill>
          <a:schemeClr val="bg1"/>
        </a:solidFill>
        <a:ln>
          <a:noFill/>
        </a:ln>
        <a:effectLst/>
      </c:spPr>
    </c:title>
    <c:autoTitleDeleted val="false"/>
    <c:plotArea>
      <c:layout/>
      <c:lineChart>
        <c:grouping val="standard"/>
        <c:varyColors val="false"/>
        <c:ser>
          <c:idx val="0"/>
          <c:order val="0"/>
          <c:tx>
            <c:strRef>
              <c:f>'[23.7.14(作图)王更抚仙湖水质汇总202304.xlsx]全湖-图'!$L$1</c:f>
              <c:strCache>
                <c:ptCount val="1"/>
                <c:pt idx="0">
                  <c:v>TP</c:v>
                </c:pt>
              </c:strCache>
            </c:strRef>
          </c:tx>
          <c:spPr>
            <a:ln w="28575" cap="rnd" cmpd="sng">
              <a:solidFill>
                <a:schemeClr val="accent1"/>
              </a:solidFill>
              <a:prstDash val="solid"/>
              <a:round/>
            </a:ln>
            <a:effectLst/>
          </c:spPr>
          <c:marker>
            <c:symbol val="none"/>
          </c:marker>
          <c:dLbls>
            <c:delete val="true"/>
          </c:dLbls>
          <c:cat>
            <c:strRef>
              <c:f>'[23.7.14(作图)王更抚仙湖水质汇总202304.xlsx]全湖-图'!$A$50:$A$157</c:f>
              <c:strCache>
                <c:ptCount val="108"/>
                <c:pt idx="0" c:formatCode="yyyy&quot;年&quot;m&quot;月&quot;;@">
                  <c:v>2015年1月</c:v>
                </c:pt>
                <c:pt idx="1" c:formatCode="yyyy&quot;年&quot;m&quot;月&quot;;@">
                  <c:v>2月</c:v>
                </c:pt>
                <c:pt idx="2" c:formatCode="yyyy&quot;年&quot;m&quot;月&quot;;@">
                  <c:v>3月</c:v>
                </c:pt>
                <c:pt idx="3" c:formatCode="yyyy&quot;年&quot;m&quot;月&quot;;@">
                  <c:v>4月</c:v>
                </c:pt>
                <c:pt idx="4" c:formatCode="yyyy&quot;年&quot;m&quot;月&quot;;@">
                  <c:v>5月</c:v>
                </c:pt>
                <c:pt idx="5" c:formatCode="yyyy&quot;年&quot;m&quot;月&quot;;@">
                  <c:v>6月</c:v>
                </c:pt>
                <c:pt idx="6" c:formatCode="yyyy&quot;年&quot;m&quot;月&quot;;@">
                  <c:v>7月</c:v>
                </c:pt>
                <c:pt idx="7" c:formatCode="yyyy&quot;年&quot;m&quot;月&quot;;@">
                  <c:v>8月</c:v>
                </c:pt>
                <c:pt idx="8" c:formatCode="yyyy&quot;年&quot;m&quot;月&quot;;@">
                  <c:v>9月</c:v>
                </c:pt>
                <c:pt idx="9" c:formatCode="yyyy&quot;年&quot;m&quot;月&quot;;@">
                  <c:v>10月</c:v>
                </c:pt>
                <c:pt idx="10" c:formatCode="yyyy&quot;年&quot;m&quot;月&quot;;@">
                  <c:v>11月</c:v>
                </c:pt>
                <c:pt idx="11" c:formatCode="yyyy&quot;年&quot;m&quot;月&quot;;@">
                  <c:v>12月</c:v>
                </c:pt>
                <c:pt idx="12" c:formatCode="@">
                  <c:v>2016年1月</c:v>
                </c:pt>
                <c:pt idx="13" c:formatCode="yyyy&quot;年&quot;m&quot;月&quot;;@">
                  <c:v>2月</c:v>
                </c:pt>
                <c:pt idx="14" c:formatCode="yyyy&quot;年&quot;m&quot;月&quot;;@">
                  <c:v>3月</c:v>
                </c:pt>
                <c:pt idx="15" c:formatCode="yyyy&quot;年&quot;m&quot;月&quot;;@">
                  <c:v>4月</c:v>
                </c:pt>
                <c:pt idx="16" c:formatCode="yyyy&quot;年&quot;m&quot;月&quot;;@">
                  <c:v>5月</c:v>
                </c:pt>
                <c:pt idx="17" c:formatCode="yyyy&quot;年&quot;m&quot;月&quot;;@">
                  <c:v>6月</c:v>
                </c:pt>
                <c:pt idx="18" c:formatCode="yyyy&quot;年&quot;m&quot;月&quot;;@">
                  <c:v>7月</c:v>
                </c:pt>
                <c:pt idx="19" c:formatCode="yyyy&quot;年&quot;m&quot;月&quot;;@">
                  <c:v>8月</c:v>
                </c:pt>
                <c:pt idx="20" c:formatCode="yyyy&quot;年&quot;m&quot;月&quot;;@">
                  <c:v>9月</c:v>
                </c:pt>
                <c:pt idx="21" c:formatCode="yyyy&quot;年&quot;m&quot;月&quot;;@">
                  <c:v>10月</c:v>
                </c:pt>
                <c:pt idx="22" c:formatCode="yyyy&quot;年&quot;m&quot;月&quot;;@">
                  <c:v>11月</c:v>
                </c:pt>
                <c:pt idx="23" c:formatCode="yyyy&quot;年&quot;m&quot;月&quot;;@">
                  <c:v>12月</c:v>
                </c:pt>
                <c:pt idx="24" c:formatCode="yyyy&quot;年&quot;m&quot;月&quot;;@">
                  <c:v>2017年1月</c:v>
                </c:pt>
                <c:pt idx="25" c:formatCode="yyyy&quot;年&quot;m&quot;月&quot;;@">
                  <c:v>2月</c:v>
                </c:pt>
                <c:pt idx="26" c:formatCode="yyyy&quot;年&quot;m&quot;月&quot;;@">
                  <c:v>3月</c:v>
                </c:pt>
                <c:pt idx="27" c:formatCode="yyyy&quot;年&quot;m&quot;月&quot;;@">
                  <c:v>4月</c:v>
                </c:pt>
                <c:pt idx="28" c:formatCode="yyyy&quot;年&quot;m&quot;月&quot;;@">
                  <c:v>5月</c:v>
                </c:pt>
                <c:pt idx="29" c:formatCode="yyyy&quot;年&quot;m&quot;月&quot;;@">
                  <c:v>6月</c:v>
                </c:pt>
                <c:pt idx="30" c:formatCode="yyyy&quot;年&quot;m&quot;月&quot;;@">
                  <c:v>7月</c:v>
                </c:pt>
                <c:pt idx="31" c:formatCode="yyyy&quot;年&quot;m&quot;月&quot;;@">
                  <c:v>8月</c:v>
                </c:pt>
                <c:pt idx="32" c:formatCode="yyyy&quot;年&quot;m&quot;月&quot;;@">
                  <c:v>9月</c:v>
                </c:pt>
                <c:pt idx="33" c:formatCode="yyyy&quot;年&quot;m&quot;月&quot;;@">
                  <c:v>10月</c:v>
                </c:pt>
                <c:pt idx="34" c:formatCode="yyyy&quot;年&quot;m&quot;月&quot;;@">
                  <c:v>11月</c:v>
                </c:pt>
                <c:pt idx="35" c:formatCode="yyyy&quot;年&quot;m&quot;月&quot;;@">
                  <c:v>12月</c:v>
                </c:pt>
                <c:pt idx="36" c:formatCode="yyyy&quot;年&quot;m&quot;月&quot;;@">
                  <c:v>2018年1月</c:v>
                </c:pt>
                <c:pt idx="37" c:formatCode="yyyy&quot;年&quot;m&quot;月&quot;;@">
                  <c:v>2月</c:v>
                </c:pt>
                <c:pt idx="38" c:formatCode="yyyy&quot;年&quot;m&quot;月&quot;;@">
                  <c:v>3月</c:v>
                </c:pt>
                <c:pt idx="39" c:formatCode="yyyy&quot;年&quot;m&quot;月&quot;;@">
                  <c:v>4月</c:v>
                </c:pt>
                <c:pt idx="40" c:formatCode="yyyy&quot;年&quot;m&quot;月&quot;;@">
                  <c:v>5月</c:v>
                </c:pt>
                <c:pt idx="41" c:formatCode="yyyy&quot;年&quot;m&quot;月&quot;;@">
                  <c:v>6月</c:v>
                </c:pt>
                <c:pt idx="42" c:formatCode="yyyy&quot;年&quot;m&quot;月&quot;;@">
                  <c:v>7月</c:v>
                </c:pt>
                <c:pt idx="43" c:formatCode="yyyy&quot;年&quot;m&quot;月&quot;;@">
                  <c:v>8月</c:v>
                </c:pt>
                <c:pt idx="44" c:formatCode="yyyy&quot;年&quot;m&quot;月&quot;;@">
                  <c:v>9月</c:v>
                </c:pt>
                <c:pt idx="45" c:formatCode="yyyy&quot;年&quot;m&quot;月&quot;;@">
                  <c:v>10月</c:v>
                </c:pt>
                <c:pt idx="46" c:formatCode="yyyy&quot;年&quot;m&quot;月&quot;;@">
                  <c:v>11月</c:v>
                </c:pt>
                <c:pt idx="47" c:formatCode="yyyy&quot;年&quot;m&quot;月&quot;;@">
                  <c:v>12月</c:v>
                </c:pt>
                <c:pt idx="48" c:formatCode="yyyy&quot;年&quot;m&quot;月&quot;">
                  <c:v>2019年1月</c:v>
                </c:pt>
                <c:pt idx="49" c:formatCode="yyyy&quot;年&quot;m&quot;月&quot;;@">
                  <c:v>2月</c:v>
                </c:pt>
                <c:pt idx="50" c:formatCode="yyyy&quot;年&quot;m&quot;月&quot;;@">
                  <c:v>3月</c:v>
                </c:pt>
                <c:pt idx="51" c:formatCode="yyyy&quot;年&quot;m&quot;月&quot;;@">
                  <c:v>4月</c:v>
                </c:pt>
                <c:pt idx="52" c:formatCode="yyyy&quot;年&quot;m&quot;月&quot;;@">
                  <c:v>5月</c:v>
                </c:pt>
                <c:pt idx="53" c:formatCode="yyyy&quot;年&quot;m&quot;月&quot;;@">
                  <c:v>6月</c:v>
                </c:pt>
                <c:pt idx="54" c:formatCode="yyyy&quot;年&quot;m&quot;月&quot;;@">
                  <c:v>7月</c:v>
                </c:pt>
                <c:pt idx="55" c:formatCode="yyyy&quot;年&quot;m&quot;月&quot;;@">
                  <c:v>8月</c:v>
                </c:pt>
                <c:pt idx="56" c:formatCode="yyyy&quot;年&quot;m&quot;月&quot;;@">
                  <c:v>9月</c:v>
                </c:pt>
                <c:pt idx="57" c:formatCode="yyyy&quot;年&quot;m&quot;月&quot;;@">
                  <c:v>10月</c:v>
                </c:pt>
                <c:pt idx="58" c:formatCode="yyyy&quot;年&quot;m&quot;月&quot;;@">
                  <c:v>11月</c:v>
                </c:pt>
                <c:pt idx="59" c:formatCode="yyyy&quot;年&quot;m&quot;月&quot;;@">
                  <c:v>12月</c:v>
                </c:pt>
                <c:pt idx="60" c:formatCode="yyyy&quot;年&quot;m&quot;月&quot;">
                  <c:v>2020年1月</c:v>
                </c:pt>
                <c:pt idx="61" c:formatCode="yyyy&quot;年&quot;m&quot;月&quot;;@">
                  <c:v>2月</c:v>
                </c:pt>
                <c:pt idx="62" c:formatCode="yyyy&quot;年&quot;m&quot;月&quot;;@">
                  <c:v>3月</c:v>
                </c:pt>
                <c:pt idx="63" c:formatCode="yyyy&quot;年&quot;m&quot;月&quot;;@">
                  <c:v>4月</c:v>
                </c:pt>
                <c:pt idx="64" c:formatCode="yyyy&quot;年&quot;m&quot;月&quot;;@">
                  <c:v>5月</c:v>
                </c:pt>
                <c:pt idx="65" c:formatCode="yyyy&quot;年&quot;m&quot;月&quot;;@">
                  <c:v>6月</c:v>
                </c:pt>
                <c:pt idx="66" c:formatCode="yyyy&quot;年&quot;m&quot;月&quot;;@">
                  <c:v>7月</c:v>
                </c:pt>
                <c:pt idx="67" c:formatCode="yyyy&quot;年&quot;m&quot;月&quot;;@">
                  <c:v>8月</c:v>
                </c:pt>
                <c:pt idx="68" c:formatCode="yyyy&quot;年&quot;m&quot;月&quot;;@">
                  <c:v>9月</c:v>
                </c:pt>
                <c:pt idx="69" c:formatCode="yyyy&quot;年&quot;m&quot;月&quot;;@">
                  <c:v>10月</c:v>
                </c:pt>
                <c:pt idx="70" c:formatCode="yyyy&quot;年&quot;m&quot;月&quot;;@">
                  <c:v>11月</c:v>
                </c:pt>
                <c:pt idx="71" c:formatCode="yyyy&quot;年&quot;m&quot;月&quot;;@">
                  <c:v>12月</c:v>
                </c:pt>
                <c:pt idx="72" c:formatCode="yyyy&quot;年&quot;m&quot;月&quot;">
                  <c:v>2021年1月</c:v>
                </c:pt>
                <c:pt idx="73" c:formatCode="yyyy&quot;年&quot;m&quot;月&quot;;@">
                  <c:v>2月</c:v>
                </c:pt>
                <c:pt idx="74" c:formatCode="yyyy&quot;年&quot;m&quot;月&quot;;@">
                  <c:v>3月</c:v>
                </c:pt>
                <c:pt idx="75" c:formatCode="yyyy&quot;年&quot;m&quot;月&quot;;@">
                  <c:v>4月</c:v>
                </c:pt>
                <c:pt idx="76" c:formatCode="yyyy&quot;年&quot;m&quot;月&quot;;@">
                  <c:v>5月</c:v>
                </c:pt>
                <c:pt idx="77" c:formatCode="yyyy&quot;年&quot;m&quot;月&quot;;@">
                  <c:v>6月</c:v>
                </c:pt>
                <c:pt idx="78" c:formatCode="yyyy&quot;年&quot;m&quot;月&quot;;@">
                  <c:v>7月</c:v>
                </c:pt>
                <c:pt idx="79" c:formatCode="yyyy&quot;年&quot;m&quot;月&quot;;@">
                  <c:v>8月</c:v>
                </c:pt>
                <c:pt idx="80" c:formatCode="yyyy&quot;年&quot;m&quot;月&quot;;@">
                  <c:v>9月</c:v>
                </c:pt>
                <c:pt idx="81" c:formatCode="yyyy&quot;年&quot;m&quot;月&quot;;@">
                  <c:v>10月</c:v>
                </c:pt>
                <c:pt idx="82" c:formatCode="yyyy&quot;年&quot;m&quot;月&quot;;@">
                  <c:v>11月</c:v>
                </c:pt>
                <c:pt idx="83" c:formatCode="yyyy&quot;年&quot;m&quot;月&quot;;@">
                  <c:v>12月</c:v>
                </c:pt>
                <c:pt idx="84" c:formatCode="yyyy&quot;年&quot;m&quot;月&quot;">
                  <c:v>2022年1月</c:v>
                </c:pt>
                <c:pt idx="85" c:formatCode="yyyy&quot;年&quot;m&quot;月&quot;;@">
                  <c:v>2月</c:v>
                </c:pt>
                <c:pt idx="86" c:formatCode="yyyy&quot;年&quot;m&quot;月&quot;;@">
                  <c:v>3月</c:v>
                </c:pt>
                <c:pt idx="87" c:formatCode="yyyy&quot;年&quot;m&quot;月&quot;;@">
                  <c:v>4月</c:v>
                </c:pt>
                <c:pt idx="88" c:formatCode="yyyy&quot;年&quot;m&quot;月&quot;;@">
                  <c:v>5月</c:v>
                </c:pt>
                <c:pt idx="89" c:formatCode="yyyy&quot;年&quot;m&quot;月&quot;;@">
                  <c:v>6月</c:v>
                </c:pt>
                <c:pt idx="90" c:formatCode="yyyy&quot;年&quot;m&quot;月&quot;;@">
                  <c:v>7月</c:v>
                </c:pt>
                <c:pt idx="91" c:formatCode="yyyy&quot;年&quot;m&quot;月&quot;;@">
                  <c:v>8月</c:v>
                </c:pt>
                <c:pt idx="92" c:formatCode="yyyy&quot;年&quot;m&quot;月&quot;;@">
                  <c:v>9月</c:v>
                </c:pt>
                <c:pt idx="93" c:formatCode="yyyy&quot;年&quot;m&quot;月&quot;;@">
                  <c:v>10月</c:v>
                </c:pt>
                <c:pt idx="94" c:formatCode="yyyy&quot;年&quot;m&quot;月&quot;;@">
                  <c:v>11月</c:v>
                </c:pt>
                <c:pt idx="95" c:formatCode="yyyy&quot;年&quot;m&quot;月&quot;;@">
                  <c:v>12月</c:v>
                </c:pt>
                <c:pt idx="96" c:formatCode="yyyy&quot;年&quot;m&quot;月&quot;">
                  <c:v>2023年1月</c:v>
                </c:pt>
                <c:pt idx="97" c:formatCode="yyyy&quot;年&quot;m&quot;月&quot;;@">
                  <c:v>2月</c:v>
                </c:pt>
                <c:pt idx="98" c:formatCode="yyyy&quot;年&quot;m&quot;月&quot;;@">
                  <c:v>3月</c:v>
                </c:pt>
                <c:pt idx="99" c:formatCode="yyyy&quot;年&quot;m&quot;月&quot;;@">
                  <c:v>4月</c:v>
                </c:pt>
                <c:pt idx="100" c:formatCode="yyyy&quot;年&quot;m&quot;月&quot;;@">
                  <c:v>5月</c:v>
                </c:pt>
                <c:pt idx="101" c:formatCode="yyyy&quot;年&quot;m&quot;月&quot;;@">
                  <c:v>6月</c:v>
                </c:pt>
                <c:pt idx="102" c:formatCode="yyyy&quot;年&quot;m&quot;月&quot;;@">
                  <c:v>7月</c:v>
                </c:pt>
                <c:pt idx="103" c:formatCode="yyyy&quot;年&quot;m&quot;月&quot;;@">
                  <c:v>8月</c:v>
                </c:pt>
                <c:pt idx="104" c:formatCode="yyyy&quot;年&quot;m&quot;月&quot;;@">
                  <c:v>9月</c:v>
                </c:pt>
                <c:pt idx="105" c:formatCode="yyyy&quot;年&quot;m&quot;月&quot;;@">
                  <c:v>10月</c:v>
                </c:pt>
                <c:pt idx="106" c:formatCode="yyyy&quot;年&quot;m&quot;月&quot;;@">
                  <c:v>11月</c:v>
                </c:pt>
                <c:pt idx="107" c:formatCode="yyyy&quot;年&quot;m&quot;月&quot;;@">
                  <c:v>12月</c:v>
                </c:pt>
              </c:strCache>
            </c:strRef>
          </c:cat>
          <c:val>
            <c:numRef>
              <c:f>'[23.7.14(作图)王更抚仙湖水质汇总202304.xlsx]全湖-图'!$L$50:$L$157</c:f>
              <c:numCache>
                <c:formatCode>General</c:formatCode>
                <c:ptCount val="108"/>
                <c:pt idx="0">
                  <c:v>0.007</c:v>
                </c:pt>
                <c:pt idx="1">
                  <c:v>0.006</c:v>
                </c:pt>
                <c:pt idx="2">
                  <c:v>0.006</c:v>
                </c:pt>
                <c:pt idx="3">
                  <c:v>0.005</c:v>
                </c:pt>
                <c:pt idx="4">
                  <c:v>0.0025</c:v>
                </c:pt>
                <c:pt idx="5">
                  <c:v>0.005</c:v>
                </c:pt>
                <c:pt idx="6">
                  <c:v>0.007</c:v>
                </c:pt>
                <c:pt idx="7">
                  <c:v>0.0025</c:v>
                </c:pt>
                <c:pt idx="8">
                  <c:v>0.006</c:v>
                </c:pt>
                <c:pt idx="9">
                  <c:v>0.0025</c:v>
                </c:pt>
                <c:pt idx="10">
                  <c:v>0.0025</c:v>
                </c:pt>
                <c:pt idx="11">
                  <c:v>0.006</c:v>
                </c:pt>
                <c:pt idx="12">
                  <c:v>0.005</c:v>
                </c:pt>
                <c:pt idx="13">
                  <c:v>0.005</c:v>
                </c:pt>
                <c:pt idx="14">
                  <c:v>0.005</c:v>
                </c:pt>
                <c:pt idx="15">
                  <c:v>0.005</c:v>
                </c:pt>
                <c:pt idx="16">
                  <c:v>0.005</c:v>
                </c:pt>
                <c:pt idx="17">
                  <c:v>0.005</c:v>
                </c:pt>
                <c:pt idx="18">
                  <c:v>0.005</c:v>
                </c:pt>
                <c:pt idx="19">
                  <c:v>0.005</c:v>
                </c:pt>
                <c:pt idx="20">
                  <c:v>0.005</c:v>
                </c:pt>
                <c:pt idx="21">
                  <c:v>0.005</c:v>
                </c:pt>
                <c:pt idx="22">
                  <c:v>0.005</c:v>
                </c:pt>
                <c:pt idx="23">
                  <c:v>0.005</c:v>
                </c:pt>
                <c:pt idx="24">
                  <c:v>0.005</c:v>
                </c:pt>
                <c:pt idx="25">
                  <c:v>0.005</c:v>
                </c:pt>
                <c:pt idx="26">
                  <c:v>0.005</c:v>
                </c:pt>
                <c:pt idx="27">
                  <c:v>0.005</c:v>
                </c:pt>
                <c:pt idx="28">
                  <c:v>0.005</c:v>
                </c:pt>
                <c:pt idx="29">
                  <c:v>0.005</c:v>
                </c:pt>
                <c:pt idx="30">
                  <c:v>0.005</c:v>
                </c:pt>
                <c:pt idx="31">
                  <c:v>0.005</c:v>
                </c:pt>
                <c:pt idx="32">
                  <c:v>0.005</c:v>
                </c:pt>
                <c:pt idx="33">
                  <c:v>0.005</c:v>
                </c:pt>
                <c:pt idx="34">
                  <c:v>0.005</c:v>
                </c:pt>
                <c:pt idx="35">
                  <c:v>0.005</c:v>
                </c:pt>
                <c:pt idx="36">
                  <c:v>0.005</c:v>
                </c:pt>
                <c:pt idx="37">
                  <c:v>0.01</c:v>
                </c:pt>
                <c:pt idx="38" c:formatCode="@">
                  <c:v>0.005</c:v>
                </c:pt>
                <c:pt idx="39">
                  <c:v>0.01</c:v>
                </c:pt>
                <c:pt idx="40">
                  <c:v>0.01</c:v>
                </c:pt>
                <c:pt idx="41">
                  <c:v>0.02</c:v>
                </c:pt>
                <c:pt idx="42">
                  <c:v>0.005</c:v>
                </c:pt>
                <c:pt idx="43">
                  <c:v>0.005</c:v>
                </c:pt>
                <c:pt idx="44">
                  <c:v>0.01</c:v>
                </c:pt>
                <c:pt idx="45">
                  <c:v>0.02</c:v>
                </c:pt>
                <c:pt idx="46">
                  <c:v>0.02</c:v>
                </c:pt>
                <c:pt idx="47">
                  <c:v>0.01</c:v>
                </c:pt>
                <c:pt idx="48">
                  <c:v>0.01</c:v>
                </c:pt>
                <c:pt idx="49">
                  <c:v>0.02</c:v>
                </c:pt>
                <c:pt idx="50">
                  <c:v>0.005</c:v>
                </c:pt>
                <c:pt idx="51">
                  <c:v>0.005</c:v>
                </c:pt>
                <c:pt idx="52">
                  <c:v>0.005</c:v>
                </c:pt>
                <c:pt idx="53">
                  <c:v>0.005</c:v>
                </c:pt>
                <c:pt idx="54">
                  <c:v>0.005</c:v>
                </c:pt>
                <c:pt idx="55">
                  <c:v>0.005</c:v>
                </c:pt>
                <c:pt idx="56">
                  <c:v>0.005</c:v>
                </c:pt>
                <c:pt idx="57">
                  <c:v>0.005</c:v>
                </c:pt>
                <c:pt idx="58">
                  <c:v>0.005</c:v>
                </c:pt>
                <c:pt idx="59">
                  <c:v>0.005</c:v>
                </c:pt>
                <c:pt idx="60">
                  <c:v>0.005</c:v>
                </c:pt>
                <c:pt idx="61">
                  <c:v>0.005</c:v>
                </c:pt>
                <c:pt idx="62">
                  <c:v>0.005</c:v>
                </c:pt>
                <c:pt idx="63">
                  <c:v>0.005</c:v>
                </c:pt>
                <c:pt idx="64">
                  <c:v>0.005</c:v>
                </c:pt>
                <c:pt idx="65">
                  <c:v>0.006</c:v>
                </c:pt>
                <c:pt idx="66">
                  <c:v>0.008</c:v>
                </c:pt>
                <c:pt idx="67">
                  <c:v>0.009</c:v>
                </c:pt>
                <c:pt idx="68">
                  <c:v>0.005</c:v>
                </c:pt>
                <c:pt idx="69">
                  <c:v>0.005</c:v>
                </c:pt>
                <c:pt idx="70">
                  <c:v>0.005</c:v>
                </c:pt>
                <c:pt idx="71">
                  <c:v>0.005</c:v>
                </c:pt>
                <c:pt idx="72">
                  <c:v>0.008</c:v>
                </c:pt>
                <c:pt idx="73">
                  <c:v>0.008</c:v>
                </c:pt>
                <c:pt idx="74">
                  <c:v>0.009</c:v>
                </c:pt>
                <c:pt idx="75">
                  <c:v>0.008</c:v>
                </c:pt>
                <c:pt idx="76">
                  <c:v>0.01</c:v>
                </c:pt>
                <c:pt idx="77">
                  <c:v>0.006</c:v>
                </c:pt>
                <c:pt idx="78">
                  <c:v>0.005</c:v>
                </c:pt>
                <c:pt idx="79">
                  <c:v>0.006</c:v>
                </c:pt>
                <c:pt idx="80">
                  <c:v>0.005</c:v>
                </c:pt>
                <c:pt idx="81">
                  <c:v>0.009</c:v>
                </c:pt>
                <c:pt idx="82">
                  <c:v>0.01</c:v>
                </c:pt>
                <c:pt idx="83">
                  <c:v>0.008</c:v>
                </c:pt>
                <c:pt idx="84">
                  <c:v>0.008</c:v>
                </c:pt>
                <c:pt idx="85">
                  <c:v>0.01</c:v>
                </c:pt>
                <c:pt idx="86">
                  <c:v>0.02</c:v>
                </c:pt>
                <c:pt idx="87">
                  <c:v>0.019</c:v>
                </c:pt>
                <c:pt idx="88">
                  <c:v>0.016</c:v>
                </c:pt>
                <c:pt idx="89">
                  <c:v>0.011</c:v>
                </c:pt>
                <c:pt idx="90">
                  <c:v>0.011</c:v>
                </c:pt>
                <c:pt idx="91">
                  <c:v>0.01</c:v>
                </c:pt>
                <c:pt idx="92">
                  <c:v>0.009</c:v>
                </c:pt>
                <c:pt idx="93">
                  <c:v>0.009</c:v>
                </c:pt>
                <c:pt idx="94">
                  <c:v>0.009</c:v>
                </c:pt>
                <c:pt idx="95">
                  <c:v>0.009</c:v>
                </c:pt>
                <c:pt idx="96">
                  <c:v>0.01</c:v>
                </c:pt>
                <c:pt idx="97">
                  <c:v>0.019</c:v>
                </c:pt>
                <c:pt idx="98">
                  <c:v>0.019</c:v>
                </c:pt>
                <c:pt idx="99">
                  <c:v>0.016</c:v>
                </c:pt>
                <c:pt idx="100">
                  <c:v>0.012</c:v>
                </c:pt>
                <c:pt idx="101">
                  <c:v>0.013</c:v>
                </c:pt>
                <c:pt idx="102">
                  <c:v>0.012</c:v>
                </c:pt>
                <c:pt idx="103">
                  <c:v>0.013</c:v>
                </c:pt>
                <c:pt idx="104">
                  <c:v>0.01</c:v>
                </c:pt>
                <c:pt idx="105">
                  <c:v>0.01</c:v>
                </c:pt>
                <c:pt idx="106">
                  <c:v>0.009</c:v>
                </c:pt>
                <c:pt idx="107">
                  <c:v>0.009</c:v>
                </c:pt>
              </c:numCache>
            </c:numRef>
          </c:val>
          <c:smooth val="true"/>
        </c:ser>
        <c:ser>
          <c:idx val="1"/>
          <c:order val="1"/>
          <c:tx>
            <c:strRef>
              <c:f>'[23.7.14(作图)王更抚仙湖水质汇总202304.xlsx]全湖-图'!$M$1</c:f>
              <c:strCache>
                <c:ptCount val="1"/>
                <c:pt idx="0">
                  <c:v>TP I类限值</c:v>
                </c:pt>
              </c:strCache>
            </c:strRef>
          </c:tx>
          <c:spPr>
            <a:ln w="28575" cap="rnd" cmpd="sng">
              <a:solidFill>
                <a:schemeClr val="accent2"/>
              </a:solidFill>
              <a:prstDash val="solid"/>
              <a:round/>
            </a:ln>
            <a:effectLst/>
          </c:spPr>
          <c:marker>
            <c:symbol val="none"/>
          </c:marker>
          <c:dLbls>
            <c:delete val="true"/>
          </c:dLbls>
          <c:cat>
            <c:strRef>
              <c:f>'[23.7.14(作图)王更抚仙湖水质汇总202304.xlsx]全湖-图'!$A$50:$A$157</c:f>
              <c:strCache>
                <c:ptCount val="108"/>
                <c:pt idx="0" c:formatCode="yyyy&quot;年&quot;m&quot;月&quot;;@">
                  <c:v>2015年1月</c:v>
                </c:pt>
                <c:pt idx="1" c:formatCode="yyyy&quot;年&quot;m&quot;月&quot;;@">
                  <c:v>2月</c:v>
                </c:pt>
                <c:pt idx="2" c:formatCode="yyyy&quot;年&quot;m&quot;月&quot;;@">
                  <c:v>3月</c:v>
                </c:pt>
                <c:pt idx="3" c:formatCode="yyyy&quot;年&quot;m&quot;月&quot;;@">
                  <c:v>4月</c:v>
                </c:pt>
                <c:pt idx="4" c:formatCode="yyyy&quot;年&quot;m&quot;月&quot;;@">
                  <c:v>5月</c:v>
                </c:pt>
                <c:pt idx="5" c:formatCode="yyyy&quot;年&quot;m&quot;月&quot;;@">
                  <c:v>6月</c:v>
                </c:pt>
                <c:pt idx="6" c:formatCode="yyyy&quot;年&quot;m&quot;月&quot;;@">
                  <c:v>7月</c:v>
                </c:pt>
                <c:pt idx="7" c:formatCode="yyyy&quot;年&quot;m&quot;月&quot;;@">
                  <c:v>8月</c:v>
                </c:pt>
                <c:pt idx="8" c:formatCode="yyyy&quot;年&quot;m&quot;月&quot;;@">
                  <c:v>9月</c:v>
                </c:pt>
                <c:pt idx="9" c:formatCode="yyyy&quot;年&quot;m&quot;月&quot;;@">
                  <c:v>10月</c:v>
                </c:pt>
                <c:pt idx="10" c:formatCode="yyyy&quot;年&quot;m&quot;月&quot;;@">
                  <c:v>11月</c:v>
                </c:pt>
                <c:pt idx="11" c:formatCode="yyyy&quot;年&quot;m&quot;月&quot;;@">
                  <c:v>12月</c:v>
                </c:pt>
                <c:pt idx="12" c:formatCode="@">
                  <c:v>2016年1月</c:v>
                </c:pt>
                <c:pt idx="13" c:formatCode="yyyy&quot;年&quot;m&quot;月&quot;;@">
                  <c:v>2月</c:v>
                </c:pt>
                <c:pt idx="14" c:formatCode="yyyy&quot;年&quot;m&quot;月&quot;;@">
                  <c:v>3月</c:v>
                </c:pt>
                <c:pt idx="15" c:formatCode="yyyy&quot;年&quot;m&quot;月&quot;;@">
                  <c:v>4月</c:v>
                </c:pt>
                <c:pt idx="16" c:formatCode="yyyy&quot;年&quot;m&quot;月&quot;;@">
                  <c:v>5月</c:v>
                </c:pt>
                <c:pt idx="17" c:formatCode="yyyy&quot;年&quot;m&quot;月&quot;;@">
                  <c:v>6月</c:v>
                </c:pt>
                <c:pt idx="18" c:formatCode="yyyy&quot;年&quot;m&quot;月&quot;;@">
                  <c:v>7月</c:v>
                </c:pt>
                <c:pt idx="19" c:formatCode="yyyy&quot;年&quot;m&quot;月&quot;;@">
                  <c:v>8月</c:v>
                </c:pt>
                <c:pt idx="20" c:formatCode="yyyy&quot;年&quot;m&quot;月&quot;;@">
                  <c:v>9月</c:v>
                </c:pt>
                <c:pt idx="21" c:formatCode="yyyy&quot;年&quot;m&quot;月&quot;;@">
                  <c:v>10月</c:v>
                </c:pt>
                <c:pt idx="22" c:formatCode="yyyy&quot;年&quot;m&quot;月&quot;;@">
                  <c:v>11月</c:v>
                </c:pt>
                <c:pt idx="23" c:formatCode="yyyy&quot;年&quot;m&quot;月&quot;;@">
                  <c:v>12月</c:v>
                </c:pt>
                <c:pt idx="24" c:formatCode="yyyy&quot;年&quot;m&quot;月&quot;;@">
                  <c:v>2017年1月</c:v>
                </c:pt>
                <c:pt idx="25" c:formatCode="yyyy&quot;年&quot;m&quot;月&quot;;@">
                  <c:v>2月</c:v>
                </c:pt>
                <c:pt idx="26" c:formatCode="yyyy&quot;年&quot;m&quot;月&quot;;@">
                  <c:v>3月</c:v>
                </c:pt>
                <c:pt idx="27" c:formatCode="yyyy&quot;年&quot;m&quot;月&quot;;@">
                  <c:v>4月</c:v>
                </c:pt>
                <c:pt idx="28" c:formatCode="yyyy&quot;年&quot;m&quot;月&quot;;@">
                  <c:v>5月</c:v>
                </c:pt>
                <c:pt idx="29" c:formatCode="yyyy&quot;年&quot;m&quot;月&quot;;@">
                  <c:v>6月</c:v>
                </c:pt>
                <c:pt idx="30" c:formatCode="yyyy&quot;年&quot;m&quot;月&quot;;@">
                  <c:v>7月</c:v>
                </c:pt>
                <c:pt idx="31" c:formatCode="yyyy&quot;年&quot;m&quot;月&quot;;@">
                  <c:v>8月</c:v>
                </c:pt>
                <c:pt idx="32" c:formatCode="yyyy&quot;年&quot;m&quot;月&quot;;@">
                  <c:v>9月</c:v>
                </c:pt>
                <c:pt idx="33" c:formatCode="yyyy&quot;年&quot;m&quot;月&quot;;@">
                  <c:v>10月</c:v>
                </c:pt>
                <c:pt idx="34" c:formatCode="yyyy&quot;年&quot;m&quot;月&quot;;@">
                  <c:v>11月</c:v>
                </c:pt>
                <c:pt idx="35" c:formatCode="yyyy&quot;年&quot;m&quot;月&quot;;@">
                  <c:v>12月</c:v>
                </c:pt>
                <c:pt idx="36" c:formatCode="yyyy&quot;年&quot;m&quot;月&quot;;@">
                  <c:v>2018年1月</c:v>
                </c:pt>
                <c:pt idx="37" c:formatCode="yyyy&quot;年&quot;m&quot;月&quot;;@">
                  <c:v>2月</c:v>
                </c:pt>
                <c:pt idx="38" c:formatCode="yyyy&quot;年&quot;m&quot;月&quot;;@">
                  <c:v>3月</c:v>
                </c:pt>
                <c:pt idx="39" c:formatCode="yyyy&quot;年&quot;m&quot;月&quot;;@">
                  <c:v>4月</c:v>
                </c:pt>
                <c:pt idx="40" c:formatCode="yyyy&quot;年&quot;m&quot;月&quot;;@">
                  <c:v>5月</c:v>
                </c:pt>
                <c:pt idx="41" c:formatCode="yyyy&quot;年&quot;m&quot;月&quot;;@">
                  <c:v>6月</c:v>
                </c:pt>
                <c:pt idx="42" c:formatCode="yyyy&quot;年&quot;m&quot;月&quot;;@">
                  <c:v>7月</c:v>
                </c:pt>
                <c:pt idx="43" c:formatCode="yyyy&quot;年&quot;m&quot;月&quot;;@">
                  <c:v>8月</c:v>
                </c:pt>
                <c:pt idx="44" c:formatCode="yyyy&quot;年&quot;m&quot;月&quot;;@">
                  <c:v>9月</c:v>
                </c:pt>
                <c:pt idx="45" c:formatCode="yyyy&quot;年&quot;m&quot;月&quot;;@">
                  <c:v>10月</c:v>
                </c:pt>
                <c:pt idx="46" c:formatCode="yyyy&quot;年&quot;m&quot;月&quot;;@">
                  <c:v>11月</c:v>
                </c:pt>
                <c:pt idx="47" c:formatCode="yyyy&quot;年&quot;m&quot;月&quot;;@">
                  <c:v>12月</c:v>
                </c:pt>
                <c:pt idx="48" c:formatCode="yyyy&quot;年&quot;m&quot;月&quot;">
                  <c:v>2019年1月</c:v>
                </c:pt>
                <c:pt idx="49" c:formatCode="yyyy&quot;年&quot;m&quot;月&quot;;@">
                  <c:v>2月</c:v>
                </c:pt>
                <c:pt idx="50" c:formatCode="yyyy&quot;年&quot;m&quot;月&quot;;@">
                  <c:v>3月</c:v>
                </c:pt>
                <c:pt idx="51" c:formatCode="yyyy&quot;年&quot;m&quot;月&quot;;@">
                  <c:v>4月</c:v>
                </c:pt>
                <c:pt idx="52" c:formatCode="yyyy&quot;年&quot;m&quot;月&quot;;@">
                  <c:v>5月</c:v>
                </c:pt>
                <c:pt idx="53" c:formatCode="yyyy&quot;年&quot;m&quot;月&quot;;@">
                  <c:v>6月</c:v>
                </c:pt>
                <c:pt idx="54" c:formatCode="yyyy&quot;年&quot;m&quot;月&quot;;@">
                  <c:v>7月</c:v>
                </c:pt>
                <c:pt idx="55" c:formatCode="yyyy&quot;年&quot;m&quot;月&quot;;@">
                  <c:v>8月</c:v>
                </c:pt>
                <c:pt idx="56" c:formatCode="yyyy&quot;年&quot;m&quot;月&quot;;@">
                  <c:v>9月</c:v>
                </c:pt>
                <c:pt idx="57" c:formatCode="yyyy&quot;年&quot;m&quot;月&quot;;@">
                  <c:v>10月</c:v>
                </c:pt>
                <c:pt idx="58" c:formatCode="yyyy&quot;年&quot;m&quot;月&quot;;@">
                  <c:v>11月</c:v>
                </c:pt>
                <c:pt idx="59" c:formatCode="yyyy&quot;年&quot;m&quot;月&quot;;@">
                  <c:v>12月</c:v>
                </c:pt>
                <c:pt idx="60" c:formatCode="yyyy&quot;年&quot;m&quot;月&quot;">
                  <c:v>2020年1月</c:v>
                </c:pt>
                <c:pt idx="61" c:formatCode="yyyy&quot;年&quot;m&quot;月&quot;;@">
                  <c:v>2月</c:v>
                </c:pt>
                <c:pt idx="62" c:formatCode="yyyy&quot;年&quot;m&quot;月&quot;;@">
                  <c:v>3月</c:v>
                </c:pt>
                <c:pt idx="63" c:formatCode="yyyy&quot;年&quot;m&quot;月&quot;;@">
                  <c:v>4月</c:v>
                </c:pt>
                <c:pt idx="64" c:formatCode="yyyy&quot;年&quot;m&quot;月&quot;;@">
                  <c:v>5月</c:v>
                </c:pt>
                <c:pt idx="65" c:formatCode="yyyy&quot;年&quot;m&quot;月&quot;;@">
                  <c:v>6月</c:v>
                </c:pt>
                <c:pt idx="66" c:formatCode="yyyy&quot;年&quot;m&quot;月&quot;;@">
                  <c:v>7月</c:v>
                </c:pt>
                <c:pt idx="67" c:formatCode="yyyy&quot;年&quot;m&quot;月&quot;;@">
                  <c:v>8月</c:v>
                </c:pt>
                <c:pt idx="68" c:formatCode="yyyy&quot;年&quot;m&quot;月&quot;;@">
                  <c:v>9月</c:v>
                </c:pt>
                <c:pt idx="69" c:formatCode="yyyy&quot;年&quot;m&quot;月&quot;;@">
                  <c:v>10月</c:v>
                </c:pt>
                <c:pt idx="70" c:formatCode="yyyy&quot;年&quot;m&quot;月&quot;;@">
                  <c:v>11月</c:v>
                </c:pt>
                <c:pt idx="71" c:formatCode="yyyy&quot;年&quot;m&quot;月&quot;;@">
                  <c:v>12月</c:v>
                </c:pt>
                <c:pt idx="72" c:formatCode="yyyy&quot;年&quot;m&quot;月&quot;">
                  <c:v>2021年1月</c:v>
                </c:pt>
                <c:pt idx="73" c:formatCode="yyyy&quot;年&quot;m&quot;月&quot;;@">
                  <c:v>2月</c:v>
                </c:pt>
                <c:pt idx="74" c:formatCode="yyyy&quot;年&quot;m&quot;月&quot;;@">
                  <c:v>3月</c:v>
                </c:pt>
                <c:pt idx="75" c:formatCode="yyyy&quot;年&quot;m&quot;月&quot;;@">
                  <c:v>4月</c:v>
                </c:pt>
                <c:pt idx="76" c:formatCode="yyyy&quot;年&quot;m&quot;月&quot;;@">
                  <c:v>5月</c:v>
                </c:pt>
                <c:pt idx="77" c:formatCode="yyyy&quot;年&quot;m&quot;月&quot;;@">
                  <c:v>6月</c:v>
                </c:pt>
                <c:pt idx="78" c:formatCode="yyyy&quot;年&quot;m&quot;月&quot;;@">
                  <c:v>7月</c:v>
                </c:pt>
                <c:pt idx="79" c:formatCode="yyyy&quot;年&quot;m&quot;月&quot;;@">
                  <c:v>8月</c:v>
                </c:pt>
                <c:pt idx="80" c:formatCode="yyyy&quot;年&quot;m&quot;月&quot;;@">
                  <c:v>9月</c:v>
                </c:pt>
                <c:pt idx="81" c:formatCode="yyyy&quot;年&quot;m&quot;月&quot;;@">
                  <c:v>10月</c:v>
                </c:pt>
                <c:pt idx="82" c:formatCode="yyyy&quot;年&quot;m&quot;月&quot;;@">
                  <c:v>11月</c:v>
                </c:pt>
                <c:pt idx="83" c:formatCode="yyyy&quot;年&quot;m&quot;月&quot;;@">
                  <c:v>12月</c:v>
                </c:pt>
                <c:pt idx="84" c:formatCode="yyyy&quot;年&quot;m&quot;月&quot;">
                  <c:v>2022年1月</c:v>
                </c:pt>
                <c:pt idx="85" c:formatCode="yyyy&quot;年&quot;m&quot;月&quot;;@">
                  <c:v>2月</c:v>
                </c:pt>
                <c:pt idx="86" c:formatCode="yyyy&quot;年&quot;m&quot;月&quot;;@">
                  <c:v>3月</c:v>
                </c:pt>
                <c:pt idx="87" c:formatCode="yyyy&quot;年&quot;m&quot;月&quot;;@">
                  <c:v>4月</c:v>
                </c:pt>
                <c:pt idx="88" c:formatCode="yyyy&quot;年&quot;m&quot;月&quot;;@">
                  <c:v>5月</c:v>
                </c:pt>
                <c:pt idx="89" c:formatCode="yyyy&quot;年&quot;m&quot;月&quot;;@">
                  <c:v>6月</c:v>
                </c:pt>
                <c:pt idx="90" c:formatCode="yyyy&quot;年&quot;m&quot;月&quot;;@">
                  <c:v>7月</c:v>
                </c:pt>
                <c:pt idx="91" c:formatCode="yyyy&quot;年&quot;m&quot;月&quot;;@">
                  <c:v>8月</c:v>
                </c:pt>
                <c:pt idx="92" c:formatCode="yyyy&quot;年&quot;m&quot;月&quot;;@">
                  <c:v>9月</c:v>
                </c:pt>
                <c:pt idx="93" c:formatCode="yyyy&quot;年&quot;m&quot;月&quot;;@">
                  <c:v>10月</c:v>
                </c:pt>
                <c:pt idx="94" c:formatCode="yyyy&quot;年&quot;m&quot;月&quot;;@">
                  <c:v>11月</c:v>
                </c:pt>
                <c:pt idx="95" c:formatCode="yyyy&quot;年&quot;m&quot;月&quot;;@">
                  <c:v>12月</c:v>
                </c:pt>
                <c:pt idx="96" c:formatCode="yyyy&quot;年&quot;m&quot;月&quot;">
                  <c:v>2023年1月</c:v>
                </c:pt>
                <c:pt idx="97" c:formatCode="yyyy&quot;年&quot;m&quot;月&quot;;@">
                  <c:v>2月</c:v>
                </c:pt>
                <c:pt idx="98" c:formatCode="yyyy&quot;年&quot;m&quot;月&quot;;@">
                  <c:v>3月</c:v>
                </c:pt>
                <c:pt idx="99" c:formatCode="yyyy&quot;年&quot;m&quot;月&quot;;@">
                  <c:v>4月</c:v>
                </c:pt>
                <c:pt idx="100" c:formatCode="yyyy&quot;年&quot;m&quot;月&quot;;@">
                  <c:v>5月</c:v>
                </c:pt>
                <c:pt idx="101" c:formatCode="yyyy&quot;年&quot;m&quot;月&quot;;@">
                  <c:v>6月</c:v>
                </c:pt>
                <c:pt idx="102" c:formatCode="yyyy&quot;年&quot;m&quot;月&quot;;@">
                  <c:v>7月</c:v>
                </c:pt>
                <c:pt idx="103" c:formatCode="yyyy&quot;年&quot;m&quot;月&quot;;@">
                  <c:v>8月</c:v>
                </c:pt>
                <c:pt idx="104" c:formatCode="yyyy&quot;年&quot;m&quot;月&quot;;@">
                  <c:v>9月</c:v>
                </c:pt>
                <c:pt idx="105" c:formatCode="yyyy&quot;年&quot;m&quot;月&quot;;@">
                  <c:v>10月</c:v>
                </c:pt>
                <c:pt idx="106" c:formatCode="yyyy&quot;年&quot;m&quot;月&quot;;@">
                  <c:v>11月</c:v>
                </c:pt>
                <c:pt idx="107" c:formatCode="yyyy&quot;年&quot;m&quot;月&quot;;@">
                  <c:v>12月</c:v>
                </c:pt>
              </c:strCache>
            </c:strRef>
          </c:cat>
          <c:val>
            <c:numRef>
              <c:f>'[23.7.14(作图)王更抚仙湖水质汇总202304.xlsx]全湖-图'!$M$50:$M$157</c:f>
              <c:numCache>
                <c:formatCode>General</c:formatCode>
                <c:ptCount val="108"/>
                <c:pt idx="0">
                  <c:v>0.01</c:v>
                </c:pt>
                <c:pt idx="1">
                  <c:v>0.01</c:v>
                </c:pt>
                <c:pt idx="2">
                  <c:v>0.01</c:v>
                </c:pt>
                <c:pt idx="3">
                  <c:v>0.01</c:v>
                </c:pt>
                <c:pt idx="4">
                  <c:v>0.01</c:v>
                </c:pt>
                <c:pt idx="5">
                  <c:v>0.01</c:v>
                </c:pt>
                <c:pt idx="6">
                  <c:v>0.01</c:v>
                </c:pt>
                <c:pt idx="7">
                  <c:v>0.01</c:v>
                </c:pt>
                <c:pt idx="8">
                  <c:v>0.01</c:v>
                </c:pt>
                <c:pt idx="9">
                  <c:v>0.01</c:v>
                </c:pt>
                <c:pt idx="10">
                  <c:v>0.01</c:v>
                </c:pt>
                <c:pt idx="11">
                  <c:v>0.01</c:v>
                </c:pt>
                <c:pt idx="12">
                  <c:v>0.01</c:v>
                </c:pt>
                <c:pt idx="13">
                  <c:v>0.01</c:v>
                </c:pt>
                <c:pt idx="14">
                  <c:v>0.01</c:v>
                </c:pt>
                <c:pt idx="15">
                  <c:v>0.01</c:v>
                </c:pt>
                <c:pt idx="16">
                  <c:v>0.01</c:v>
                </c:pt>
                <c:pt idx="17">
                  <c:v>0.01</c:v>
                </c:pt>
                <c:pt idx="18">
                  <c:v>0.01</c:v>
                </c:pt>
                <c:pt idx="19">
                  <c:v>0.01</c:v>
                </c:pt>
                <c:pt idx="20">
                  <c:v>0.01</c:v>
                </c:pt>
                <c:pt idx="21">
                  <c:v>0.01</c:v>
                </c:pt>
                <c:pt idx="22">
                  <c:v>0.01</c:v>
                </c:pt>
                <c:pt idx="23">
                  <c:v>0.01</c:v>
                </c:pt>
                <c:pt idx="24">
                  <c:v>0.01</c:v>
                </c:pt>
                <c:pt idx="25">
                  <c:v>0.01</c:v>
                </c:pt>
                <c:pt idx="26">
                  <c:v>0.01</c:v>
                </c:pt>
                <c:pt idx="27">
                  <c:v>0.01</c:v>
                </c:pt>
                <c:pt idx="28">
                  <c:v>0.01</c:v>
                </c:pt>
                <c:pt idx="29">
                  <c:v>0.01</c:v>
                </c:pt>
                <c:pt idx="30">
                  <c:v>0.01</c:v>
                </c:pt>
                <c:pt idx="31">
                  <c:v>0.01</c:v>
                </c:pt>
                <c:pt idx="32">
                  <c:v>0.01</c:v>
                </c:pt>
                <c:pt idx="33">
                  <c:v>0.01</c:v>
                </c:pt>
                <c:pt idx="34">
                  <c:v>0.01</c:v>
                </c:pt>
                <c:pt idx="35">
                  <c:v>0.01</c:v>
                </c:pt>
                <c:pt idx="36">
                  <c:v>0.01</c:v>
                </c:pt>
                <c:pt idx="37">
                  <c:v>0.01</c:v>
                </c:pt>
                <c:pt idx="38">
                  <c:v>0.01</c:v>
                </c:pt>
                <c:pt idx="39">
                  <c:v>0.01</c:v>
                </c:pt>
                <c:pt idx="40">
                  <c:v>0.01</c:v>
                </c:pt>
                <c:pt idx="41">
                  <c:v>0.01</c:v>
                </c:pt>
                <c:pt idx="42">
                  <c:v>0.01</c:v>
                </c:pt>
                <c:pt idx="43">
                  <c:v>0.01</c:v>
                </c:pt>
                <c:pt idx="44">
                  <c:v>0.01</c:v>
                </c:pt>
                <c:pt idx="45">
                  <c:v>0.01</c:v>
                </c:pt>
                <c:pt idx="46">
                  <c:v>0.01</c:v>
                </c:pt>
                <c:pt idx="47">
                  <c:v>0.01</c:v>
                </c:pt>
                <c:pt idx="48">
                  <c:v>0.01</c:v>
                </c:pt>
                <c:pt idx="49">
                  <c:v>0.01</c:v>
                </c:pt>
                <c:pt idx="50">
                  <c:v>0.01</c:v>
                </c:pt>
                <c:pt idx="51">
                  <c:v>0.01</c:v>
                </c:pt>
                <c:pt idx="52">
                  <c:v>0.01</c:v>
                </c:pt>
                <c:pt idx="53">
                  <c:v>0.01</c:v>
                </c:pt>
                <c:pt idx="54">
                  <c:v>0.01</c:v>
                </c:pt>
                <c:pt idx="55">
                  <c:v>0.01</c:v>
                </c:pt>
                <c:pt idx="56">
                  <c:v>0.01</c:v>
                </c:pt>
                <c:pt idx="57">
                  <c:v>0.01</c:v>
                </c:pt>
                <c:pt idx="58">
                  <c:v>0.01</c:v>
                </c:pt>
                <c:pt idx="59">
                  <c:v>0.01</c:v>
                </c:pt>
                <c:pt idx="60">
                  <c:v>0.01</c:v>
                </c:pt>
                <c:pt idx="61">
                  <c:v>0.01</c:v>
                </c:pt>
                <c:pt idx="62">
                  <c:v>0.01</c:v>
                </c:pt>
                <c:pt idx="63">
                  <c:v>0.01</c:v>
                </c:pt>
                <c:pt idx="64">
                  <c:v>0.01</c:v>
                </c:pt>
                <c:pt idx="65">
                  <c:v>0.01</c:v>
                </c:pt>
                <c:pt idx="66">
                  <c:v>0.01</c:v>
                </c:pt>
                <c:pt idx="67">
                  <c:v>0.01</c:v>
                </c:pt>
                <c:pt idx="68">
                  <c:v>0.01</c:v>
                </c:pt>
                <c:pt idx="69">
                  <c:v>0.01</c:v>
                </c:pt>
                <c:pt idx="70">
                  <c:v>0.01</c:v>
                </c:pt>
                <c:pt idx="71">
                  <c:v>0.01</c:v>
                </c:pt>
                <c:pt idx="72">
                  <c:v>0.01</c:v>
                </c:pt>
                <c:pt idx="73">
                  <c:v>0.01</c:v>
                </c:pt>
                <c:pt idx="74">
                  <c:v>0.01</c:v>
                </c:pt>
                <c:pt idx="75">
                  <c:v>0.01</c:v>
                </c:pt>
                <c:pt idx="76">
                  <c:v>0.01</c:v>
                </c:pt>
                <c:pt idx="77">
                  <c:v>0.01</c:v>
                </c:pt>
                <c:pt idx="78">
                  <c:v>0.01</c:v>
                </c:pt>
                <c:pt idx="79">
                  <c:v>0.01</c:v>
                </c:pt>
                <c:pt idx="80">
                  <c:v>0.01</c:v>
                </c:pt>
                <c:pt idx="81">
                  <c:v>0.01</c:v>
                </c:pt>
                <c:pt idx="82">
                  <c:v>0.01</c:v>
                </c:pt>
                <c:pt idx="83">
                  <c:v>0.01</c:v>
                </c:pt>
                <c:pt idx="84">
                  <c:v>0.01</c:v>
                </c:pt>
                <c:pt idx="85">
                  <c:v>0.01</c:v>
                </c:pt>
                <c:pt idx="86">
                  <c:v>0.01</c:v>
                </c:pt>
                <c:pt idx="87">
                  <c:v>0.01</c:v>
                </c:pt>
                <c:pt idx="88">
                  <c:v>0.01</c:v>
                </c:pt>
                <c:pt idx="89">
                  <c:v>0.01</c:v>
                </c:pt>
                <c:pt idx="90">
                  <c:v>0.01</c:v>
                </c:pt>
                <c:pt idx="91">
                  <c:v>0.01</c:v>
                </c:pt>
                <c:pt idx="92">
                  <c:v>0.01</c:v>
                </c:pt>
                <c:pt idx="93">
                  <c:v>0.01</c:v>
                </c:pt>
                <c:pt idx="94">
                  <c:v>0.01</c:v>
                </c:pt>
                <c:pt idx="95">
                  <c:v>0.01</c:v>
                </c:pt>
                <c:pt idx="96">
                  <c:v>0.01</c:v>
                </c:pt>
                <c:pt idx="97">
                  <c:v>0.01</c:v>
                </c:pt>
                <c:pt idx="98">
                  <c:v>0.01</c:v>
                </c:pt>
                <c:pt idx="99">
                  <c:v>0.01</c:v>
                </c:pt>
                <c:pt idx="100">
                  <c:v>0.01</c:v>
                </c:pt>
                <c:pt idx="101">
                  <c:v>0.01</c:v>
                </c:pt>
                <c:pt idx="102">
                  <c:v>0.01</c:v>
                </c:pt>
                <c:pt idx="103">
                  <c:v>0.01</c:v>
                </c:pt>
                <c:pt idx="104">
                  <c:v>0.01</c:v>
                </c:pt>
                <c:pt idx="105">
                  <c:v>0.01</c:v>
                </c:pt>
                <c:pt idx="106">
                  <c:v>0.01</c:v>
                </c:pt>
                <c:pt idx="107">
                  <c:v>0.01</c:v>
                </c:pt>
              </c:numCache>
            </c:numRef>
          </c:val>
          <c:smooth val="true"/>
        </c:ser>
        <c:dLbls>
          <c:showLegendKey val="false"/>
          <c:showVal val="false"/>
          <c:showCatName val="false"/>
          <c:showSerName val="false"/>
          <c:showPercent val="false"/>
          <c:showBubbleSize val="false"/>
        </c:dLbls>
        <c:dropLines>
          <c:spPr>
            <a:ln w="12700" cap="flat" cmpd="sng" algn="ctr">
              <a:noFill/>
              <a:prstDash val="sysDash"/>
              <a:round/>
            </a:ln>
            <a:effectLst/>
          </c:spPr>
        </c:dropLines>
        <c:marker val="false"/>
        <c:smooth val="true"/>
        <c:axId val="603987280"/>
        <c:axId val="1"/>
      </c:lineChart>
      <c:catAx>
        <c:axId val="603987280"/>
        <c:scaling>
          <c:orientation val="minMax"/>
        </c:scaling>
        <c:delete val="false"/>
        <c:axPos val="b"/>
        <c:majorGridlines>
          <c:spPr>
            <a:ln w="9525" cap="flat" cmpd="sng" algn="ctr">
              <a:solidFill>
                <a:schemeClr val="bg1">
                  <a:lumMod val="95000"/>
                </a:schemeClr>
              </a:solidFill>
              <a:round/>
            </a:ln>
            <a:effectLst/>
          </c:spPr>
        </c:majorGridlines>
        <c:numFmt formatCode="General" sourceLinked="true"/>
        <c:majorTickMark val="none"/>
        <c:minorTickMark val="none"/>
        <c:tickLblPos val="nextTo"/>
        <c:spPr>
          <a:noFill/>
          <a:ln w="9525" cap="flat" cmpd="sng" algn="ctr">
            <a:solidFill>
              <a:schemeClr val="bg1">
                <a:lumMod val="95000"/>
              </a:schemeClr>
            </a:solidFill>
            <a:round/>
          </a:ln>
          <a:effectLst/>
        </c:spPr>
        <c:txPr>
          <a:bodyPr rot="-60000000" spcFirstLastPara="0" vertOverflow="ellipsis" vert="horz" wrap="square" anchor="ctr" anchorCtr="true" forceAA="fals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
        <c:crosses val="autoZero"/>
        <c:auto val="true"/>
        <c:lblAlgn val="ctr"/>
        <c:lblOffset val="100"/>
        <c:noMultiLvlLbl val="false"/>
      </c:catAx>
      <c:valAx>
        <c:axId val="1"/>
        <c:scaling>
          <c:orientation val="minMax"/>
        </c:scaling>
        <c:delete val="false"/>
        <c:axPos val="l"/>
        <c:majorGridlines>
          <c:spPr>
            <a:ln w="12700" cap="flat" cmpd="sng" algn="ctr">
              <a:solidFill>
                <a:schemeClr val="bg1">
                  <a:lumMod val="95000"/>
                </a:schemeClr>
              </a:solidFill>
              <a:prstDash val="solid"/>
              <a:round/>
            </a:ln>
            <a:effectLst/>
          </c:spPr>
        </c:majorGridlines>
        <c:numFmt formatCode="General" sourceLinked="true"/>
        <c:majorTickMark val="none"/>
        <c:minorTickMark val="none"/>
        <c:tickLblPos val="nextTo"/>
        <c:spPr>
          <a:noFill/>
          <a:ln w="9525" cap="flat" cmpd="sng" algn="ctr">
            <a:noFill/>
            <a:round/>
          </a:ln>
          <a:effectLst/>
        </c:spPr>
        <c:txPr>
          <a:bodyPr rot="-60000000" spcFirstLastPara="0" vertOverflow="ellipsis" vert="horz" wrap="square" anchor="ctr" anchorCtr="true" forceAA="fals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603987280"/>
        <c:crosses val="autoZero"/>
        <c:crossBetween val="between"/>
      </c:valAx>
      <c:spPr>
        <a:noFill/>
        <a:ln>
          <a:noFill/>
        </a:ln>
        <a:effectLst/>
      </c:spPr>
    </c:plotArea>
    <c:legend>
      <c:legendPos val="t"/>
      <c:legendEntry>
        <c:idx val="0"/>
        <c:txPr>
          <a:bodyPr rot="0" spcFirstLastPara="0" vertOverflow="ellipsis" vert="horz" wrap="square" anchor="ctr" anchorCtr="true"/>
          <a:lstStyle/>
          <a:p>
            <a:pPr>
              <a:defRPr lang="zh-CN" sz="14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true"/>
          <a:lstStyle/>
          <a:p>
            <a:pPr>
              <a:defRPr lang="zh-CN" sz="14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overlay val="false"/>
      <c:spPr>
        <a:noFill/>
        <a:ln>
          <a:noFill/>
        </a:ln>
        <a:effectLst/>
      </c:spPr>
      <c:txPr>
        <a:bodyPr rot="0" spcFirstLastPara="0" vertOverflow="ellipsis" vert="horz" wrap="square" anchor="ctr" anchorCtr="true" forceAA="fals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true"/>
    <c:dispBlanksAs val="gap"/>
    <c:showDLblsOverMax val="false"/>
  </c:chart>
  <c:spPr>
    <a:solidFill>
      <a:schemeClr val="bg1"/>
    </a:solidFill>
    <a:ln w="12700" cap="flat" cmpd="sng" algn="ctr">
      <a:solidFill>
        <a:schemeClr val="bg1">
          <a:lumMod val="85000"/>
        </a:schemeClr>
      </a:solidFill>
      <a:prstDash val="dashDot"/>
      <a:round/>
    </a:ln>
    <a:effectLst>
      <a:outerShdw blurRad="63500" dist="37357" dir="2700000" sx="0" sy="0" rotWithShape="0">
        <a:scrgbClr r="0" g="0" b="0"/>
      </a:outerShdw>
    </a:effectLst>
  </c:spPr>
  <c:txPr>
    <a:bodyPr anchor="ctr"/>
    <a:lstStyle/>
    <a:p>
      <a:pPr>
        <a:defRPr lang="zh-CN" sz="140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true" forceAA="false"/>
          <a:lstStyle/>
          <a:p>
            <a:pPr>
              <a:defRPr lang="zh-CN" sz="1400" b="0" i="0" u="none" strike="noStrike" kern="1200" spc="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rPr>
              <a:t>抚仙湖2015年-2023年逐月DO变化趋势图</a:t>
            </a:r>
            <a:endParaRPr>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133625659736373"/>
          <c:y val="0.0506058899843829"/>
        </c:manualLayout>
      </c:layout>
      <c:overlay val="false"/>
      <c:spPr>
        <a:solidFill>
          <a:schemeClr val="bg1"/>
        </a:solidFill>
        <a:ln>
          <a:noFill/>
        </a:ln>
        <a:effectLst/>
      </c:spPr>
    </c:title>
    <c:autoTitleDeleted val="false"/>
    <c:plotArea>
      <c:layout/>
      <c:lineChart>
        <c:grouping val="standard"/>
        <c:varyColors val="false"/>
        <c:ser>
          <c:idx val="0"/>
          <c:order val="0"/>
          <c:tx>
            <c:strRef>
              <c:f>'[23.7.14(作图)王更抚仙湖水质汇总202304.xlsx]全湖-图'!$B$1</c:f>
              <c:strCache>
                <c:ptCount val="1"/>
                <c:pt idx="0">
                  <c:v>DO</c:v>
                </c:pt>
              </c:strCache>
            </c:strRef>
          </c:tx>
          <c:spPr>
            <a:ln w="28575" cap="rnd" cmpd="sng">
              <a:solidFill>
                <a:schemeClr val="accent1"/>
              </a:solidFill>
              <a:prstDash val="solid"/>
              <a:round/>
            </a:ln>
            <a:effectLst/>
          </c:spPr>
          <c:marker>
            <c:symbol val="none"/>
          </c:marker>
          <c:dLbls>
            <c:delete val="true"/>
          </c:dLbls>
          <c:cat>
            <c:strRef>
              <c:f>'[23.7.14(作图)王更抚仙湖水质汇总202304.xlsx]全湖-图'!$A$50:$A$157</c:f>
              <c:strCache>
                <c:ptCount val="108"/>
                <c:pt idx="0" c:formatCode="yyyy&quot;年&quot;m&quot;月&quot;;@">
                  <c:v>2015年1月</c:v>
                </c:pt>
                <c:pt idx="1" c:formatCode="yyyy&quot;年&quot;m&quot;月&quot;;@">
                  <c:v>2月</c:v>
                </c:pt>
                <c:pt idx="2" c:formatCode="yyyy&quot;年&quot;m&quot;月&quot;;@">
                  <c:v>3月</c:v>
                </c:pt>
                <c:pt idx="3" c:formatCode="yyyy&quot;年&quot;m&quot;月&quot;;@">
                  <c:v>4月</c:v>
                </c:pt>
                <c:pt idx="4" c:formatCode="yyyy&quot;年&quot;m&quot;月&quot;;@">
                  <c:v>5月</c:v>
                </c:pt>
                <c:pt idx="5" c:formatCode="yyyy&quot;年&quot;m&quot;月&quot;;@">
                  <c:v>6月</c:v>
                </c:pt>
                <c:pt idx="6" c:formatCode="yyyy&quot;年&quot;m&quot;月&quot;;@">
                  <c:v>7月</c:v>
                </c:pt>
                <c:pt idx="7" c:formatCode="yyyy&quot;年&quot;m&quot;月&quot;;@">
                  <c:v>8月</c:v>
                </c:pt>
                <c:pt idx="8" c:formatCode="yyyy&quot;年&quot;m&quot;月&quot;;@">
                  <c:v>9月</c:v>
                </c:pt>
                <c:pt idx="9" c:formatCode="yyyy&quot;年&quot;m&quot;月&quot;;@">
                  <c:v>10月</c:v>
                </c:pt>
                <c:pt idx="10" c:formatCode="yyyy&quot;年&quot;m&quot;月&quot;;@">
                  <c:v>11月</c:v>
                </c:pt>
                <c:pt idx="11" c:formatCode="yyyy&quot;年&quot;m&quot;月&quot;;@">
                  <c:v>12月</c:v>
                </c:pt>
                <c:pt idx="12" c:formatCode="@">
                  <c:v>2016年1月</c:v>
                </c:pt>
                <c:pt idx="13" c:formatCode="yyyy&quot;年&quot;m&quot;月&quot;;@">
                  <c:v>2月</c:v>
                </c:pt>
                <c:pt idx="14" c:formatCode="yyyy&quot;年&quot;m&quot;月&quot;;@">
                  <c:v>3月</c:v>
                </c:pt>
                <c:pt idx="15" c:formatCode="yyyy&quot;年&quot;m&quot;月&quot;;@">
                  <c:v>4月</c:v>
                </c:pt>
                <c:pt idx="16" c:formatCode="yyyy&quot;年&quot;m&quot;月&quot;;@">
                  <c:v>5月</c:v>
                </c:pt>
                <c:pt idx="17" c:formatCode="yyyy&quot;年&quot;m&quot;月&quot;;@">
                  <c:v>6月</c:v>
                </c:pt>
                <c:pt idx="18" c:formatCode="yyyy&quot;年&quot;m&quot;月&quot;;@">
                  <c:v>7月</c:v>
                </c:pt>
                <c:pt idx="19" c:formatCode="yyyy&quot;年&quot;m&quot;月&quot;;@">
                  <c:v>8月</c:v>
                </c:pt>
                <c:pt idx="20" c:formatCode="yyyy&quot;年&quot;m&quot;月&quot;;@">
                  <c:v>9月</c:v>
                </c:pt>
                <c:pt idx="21" c:formatCode="yyyy&quot;年&quot;m&quot;月&quot;;@">
                  <c:v>10月</c:v>
                </c:pt>
                <c:pt idx="22" c:formatCode="yyyy&quot;年&quot;m&quot;月&quot;;@">
                  <c:v>11月</c:v>
                </c:pt>
                <c:pt idx="23" c:formatCode="yyyy&quot;年&quot;m&quot;月&quot;;@">
                  <c:v>12月</c:v>
                </c:pt>
                <c:pt idx="24" c:formatCode="yyyy&quot;年&quot;m&quot;月&quot;;@">
                  <c:v>2017年1月</c:v>
                </c:pt>
                <c:pt idx="25" c:formatCode="yyyy&quot;年&quot;m&quot;月&quot;;@">
                  <c:v>2月</c:v>
                </c:pt>
                <c:pt idx="26" c:formatCode="yyyy&quot;年&quot;m&quot;月&quot;;@">
                  <c:v>3月</c:v>
                </c:pt>
                <c:pt idx="27" c:formatCode="yyyy&quot;年&quot;m&quot;月&quot;;@">
                  <c:v>4月</c:v>
                </c:pt>
                <c:pt idx="28" c:formatCode="yyyy&quot;年&quot;m&quot;月&quot;;@">
                  <c:v>5月</c:v>
                </c:pt>
                <c:pt idx="29" c:formatCode="yyyy&quot;年&quot;m&quot;月&quot;;@">
                  <c:v>6月</c:v>
                </c:pt>
                <c:pt idx="30" c:formatCode="yyyy&quot;年&quot;m&quot;月&quot;;@">
                  <c:v>7月</c:v>
                </c:pt>
                <c:pt idx="31" c:formatCode="yyyy&quot;年&quot;m&quot;月&quot;;@">
                  <c:v>8月</c:v>
                </c:pt>
                <c:pt idx="32" c:formatCode="yyyy&quot;年&quot;m&quot;月&quot;;@">
                  <c:v>9月</c:v>
                </c:pt>
                <c:pt idx="33" c:formatCode="yyyy&quot;年&quot;m&quot;月&quot;;@">
                  <c:v>10月</c:v>
                </c:pt>
                <c:pt idx="34" c:formatCode="yyyy&quot;年&quot;m&quot;月&quot;;@">
                  <c:v>11月</c:v>
                </c:pt>
                <c:pt idx="35" c:formatCode="yyyy&quot;年&quot;m&quot;月&quot;;@">
                  <c:v>12月</c:v>
                </c:pt>
                <c:pt idx="36" c:formatCode="yyyy&quot;年&quot;m&quot;月&quot;;@">
                  <c:v>2018年1月</c:v>
                </c:pt>
                <c:pt idx="37" c:formatCode="yyyy&quot;年&quot;m&quot;月&quot;;@">
                  <c:v>2月</c:v>
                </c:pt>
                <c:pt idx="38" c:formatCode="yyyy&quot;年&quot;m&quot;月&quot;;@">
                  <c:v>3月</c:v>
                </c:pt>
                <c:pt idx="39" c:formatCode="yyyy&quot;年&quot;m&quot;月&quot;;@">
                  <c:v>4月</c:v>
                </c:pt>
                <c:pt idx="40" c:formatCode="yyyy&quot;年&quot;m&quot;月&quot;;@">
                  <c:v>5月</c:v>
                </c:pt>
                <c:pt idx="41" c:formatCode="yyyy&quot;年&quot;m&quot;月&quot;;@">
                  <c:v>6月</c:v>
                </c:pt>
                <c:pt idx="42" c:formatCode="yyyy&quot;年&quot;m&quot;月&quot;;@">
                  <c:v>7月</c:v>
                </c:pt>
                <c:pt idx="43" c:formatCode="yyyy&quot;年&quot;m&quot;月&quot;;@">
                  <c:v>8月</c:v>
                </c:pt>
                <c:pt idx="44" c:formatCode="yyyy&quot;年&quot;m&quot;月&quot;;@">
                  <c:v>9月</c:v>
                </c:pt>
                <c:pt idx="45" c:formatCode="yyyy&quot;年&quot;m&quot;月&quot;;@">
                  <c:v>10月</c:v>
                </c:pt>
                <c:pt idx="46" c:formatCode="yyyy&quot;年&quot;m&quot;月&quot;;@">
                  <c:v>11月</c:v>
                </c:pt>
                <c:pt idx="47" c:formatCode="yyyy&quot;年&quot;m&quot;月&quot;;@">
                  <c:v>12月</c:v>
                </c:pt>
                <c:pt idx="48" c:formatCode="yyyy&quot;年&quot;m&quot;月&quot;">
                  <c:v>2019年1月</c:v>
                </c:pt>
                <c:pt idx="49" c:formatCode="yyyy&quot;年&quot;m&quot;月&quot;;@">
                  <c:v>2月</c:v>
                </c:pt>
                <c:pt idx="50" c:formatCode="yyyy&quot;年&quot;m&quot;月&quot;;@">
                  <c:v>3月</c:v>
                </c:pt>
                <c:pt idx="51" c:formatCode="yyyy&quot;年&quot;m&quot;月&quot;;@">
                  <c:v>4月</c:v>
                </c:pt>
                <c:pt idx="52" c:formatCode="yyyy&quot;年&quot;m&quot;月&quot;;@">
                  <c:v>5月</c:v>
                </c:pt>
                <c:pt idx="53" c:formatCode="yyyy&quot;年&quot;m&quot;月&quot;;@">
                  <c:v>6月</c:v>
                </c:pt>
                <c:pt idx="54" c:formatCode="yyyy&quot;年&quot;m&quot;月&quot;;@">
                  <c:v>7月</c:v>
                </c:pt>
                <c:pt idx="55" c:formatCode="yyyy&quot;年&quot;m&quot;月&quot;;@">
                  <c:v>8月</c:v>
                </c:pt>
                <c:pt idx="56" c:formatCode="yyyy&quot;年&quot;m&quot;月&quot;;@">
                  <c:v>9月</c:v>
                </c:pt>
                <c:pt idx="57" c:formatCode="yyyy&quot;年&quot;m&quot;月&quot;;@">
                  <c:v>10月</c:v>
                </c:pt>
                <c:pt idx="58" c:formatCode="yyyy&quot;年&quot;m&quot;月&quot;;@">
                  <c:v>11月</c:v>
                </c:pt>
                <c:pt idx="59" c:formatCode="yyyy&quot;年&quot;m&quot;月&quot;;@">
                  <c:v>12月</c:v>
                </c:pt>
                <c:pt idx="60" c:formatCode="yyyy&quot;年&quot;m&quot;月&quot;">
                  <c:v>2020年1月</c:v>
                </c:pt>
                <c:pt idx="61" c:formatCode="yyyy&quot;年&quot;m&quot;月&quot;;@">
                  <c:v>2月</c:v>
                </c:pt>
                <c:pt idx="62" c:formatCode="yyyy&quot;年&quot;m&quot;月&quot;;@">
                  <c:v>3月</c:v>
                </c:pt>
                <c:pt idx="63" c:formatCode="yyyy&quot;年&quot;m&quot;月&quot;;@">
                  <c:v>4月</c:v>
                </c:pt>
                <c:pt idx="64" c:formatCode="yyyy&quot;年&quot;m&quot;月&quot;;@">
                  <c:v>5月</c:v>
                </c:pt>
                <c:pt idx="65" c:formatCode="yyyy&quot;年&quot;m&quot;月&quot;;@">
                  <c:v>6月</c:v>
                </c:pt>
                <c:pt idx="66" c:formatCode="yyyy&quot;年&quot;m&quot;月&quot;;@">
                  <c:v>7月</c:v>
                </c:pt>
                <c:pt idx="67" c:formatCode="yyyy&quot;年&quot;m&quot;月&quot;;@">
                  <c:v>8月</c:v>
                </c:pt>
                <c:pt idx="68" c:formatCode="yyyy&quot;年&quot;m&quot;月&quot;;@">
                  <c:v>9月</c:v>
                </c:pt>
                <c:pt idx="69" c:formatCode="yyyy&quot;年&quot;m&quot;月&quot;;@">
                  <c:v>10月</c:v>
                </c:pt>
                <c:pt idx="70" c:formatCode="yyyy&quot;年&quot;m&quot;月&quot;;@">
                  <c:v>11月</c:v>
                </c:pt>
                <c:pt idx="71" c:formatCode="yyyy&quot;年&quot;m&quot;月&quot;;@">
                  <c:v>12月</c:v>
                </c:pt>
                <c:pt idx="72" c:formatCode="yyyy&quot;年&quot;m&quot;月&quot;">
                  <c:v>2021年1月</c:v>
                </c:pt>
                <c:pt idx="73" c:formatCode="yyyy&quot;年&quot;m&quot;月&quot;;@">
                  <c:v>2月</c:v>
                </c:pt>
                <c:pt idx="74" c:formatCode="yyyy&quot;年&quot;m&quot;月&quot;;@">
                  <c:v>3月</c:v>
                </c:pt>
                <c:pt idx="75" c:formatCode="yyyy&quot;年&quot;m&quot;月&quot;;@">
                  <c:v>4月</c:v>
                </c:pt>
                <c:pt idx="76" c:formatCode="yyyy&quot;年&quot;m&quot;月&quot;;@">
                  <c:v>5月</c:v>
                </c:pt>
                <c:pt idx="77" c:formatCode="yyyy&quot;年&quot;m&quot;月&quot;;@">
                  <c:v>6月</c:v>
                </c:pt>
                <c:pt idx="78" c:formatCode="yyyy&quot;年&quot;m&quot;月&quot;;@">
                  <c:v>7月</c:v>
                </c:pt>
                <c:pt idx="79" c:formatCode="yyyy&quot;年&quot;m&quot;月&quot;;@">
                  <c:v>8月</c:v>
                </c:pt>
                <c:pt idx="80" c:formatCode="yyyy&quot;年&quot;m&quot;月&quot;;@">
                  <c:v>9月</c:v>
                </c:pt>
                <c:pt idx="81" c:formatCode="yyyy&quot;年&quot;m&quot;月&quot;;@">
                  <c:v>10月</c:v>
                </c:pt>
                <c:pt idx="82" c:formatCode="yyyy&quot;年&quot;m&quot;月&quot;;@">
                  <c:v>11月</c:v>
                </c:pt>
                <c:pt idx="83" c:formatCode="yyyy&quot;年&quot;m&quot;月&quot;;@">
                  <c:v>12月</c:v>
                </c:pt>
                <c:pt idx="84" c:formatCode="yyyy&quot;年&quot;m&quot;月&quot;">
                  <c:v>2022年1月</c:v>
                </c:pt>
                <c:pt idx="85" c:formatCode="yyyy&quot;年&quot;m&quot;月&quot;;@">
                  <c:v>2月</c:v>
                </c:pt>
                <c:pt idx="86" c:formatCode="yyyy&quot;年&quot;m&quot;月&quot;;@">
                  <c:v>3月</c:v>
                </c:pt>
                <c:pt idx="87" c:formatCode="yyyy&quot;年&quot;m&quot;月&quot;;@">
                  <c:v>4月</c:v>
                </c:pt>
                <c:pt idx="88" c:formatCode="yyyy&quot;年&quot;m&quot;月&quot;;@">
                  <c:v>5月</c:v>
                </c:pt>
                <c:pt idx="89" c:formatCode="yyyy&quot;年&quot;m&quot;月&quot;;@">
                  <c:v>6月</c:v>
                </c:pt>
                <c:pt idx="90" c:formatCode="yyyy&quot;年&quot;m&quot;月&quot;;@">
                  <c:v>7月</c:v>
                </c:pt>
                <c:pt idx="91" c:formatCode="yyyy&quot;年&quot;m&quot;月&quot;;@">
                  <c:v>8月</c:v>
                </c:pt>
                <c:pt idx="92" c:formatCode="yyyy&quot;年&quot;m&quot;月&quot;;@">
                  <c:v>9月</c:v>
                </c:pt>
                <c:pt idx="93" c:formatCode="yyyy&quot;年&quot;m&quot;月&quot;;@">
                  <c:v>10月</c:v>
                </c:pt>
                <c:pt idx="94" c:formatCode="yyyy&quot;年&quot;m&quot;月&quot;;@">
                  <c:v>11月</c:v>
                </c:pt>
                <c:pt idx="95" c:formatCode="yyyy&quot;年&quot;m&quot;月&quot;;@">
                  <c:v>12月</c:v>
                </c:pt>
                <c:pt idx="96" c:formatCode="yyyy&quot;年&quot;m&quot;月&quot;">
                  <c:v>2023年1月</c:v>
                </c:pt>
                <c:pt idx="97" c:formatCode="yyyy&quot;年&quot;m&quot;月&quot;;@">
                  <c:v>2月</c:v>
                </c:pt>
                <c:pt idx="98" c:formatCode="yyyy&quot;年&quot;m&quot;月&quot;;@">
                  <c:v>3月</c:v>
                </c:pt>
                <c:pt idx="99" c:formatCode="yyyy&quot;年&quot;m&quot;月&quot;;@">
                  <c:v>4月</c:v>
                </c:pt>
                <c:pt idx="100" c:formatCode="yyyy&quot;年&quot;m&quot;月&quot;;@">
                  <c:v>5月</c:v>
                </c:pt>
                <c:pt idx="101" c:formatCode="yyyy&quot;年&quot;m&quot;月&quot;;@">
                  <c:v>6月</c:v>
                </c:pt>
                <c:pt idx="102" c:formatCode="yyyy&quot;年&quot;m&quot;月&quot;;@">
                  <c:v>7月</c:v>
                </c:pt>
                <c:pt idx="103" c:formatCode="yyyy&quot;年&quot;m&quot;月&quot;;@">
                  <c:v>8月</c:v>
                </c:pt>
                <c:pt idx="104" c:formatCode="yyyy&quot;年&quot;m&quot;月&quot;;@">
                  <c:v>9月</c:v>
                </c:pt>
                <c:pt idx="105" c:formatCode="yyyy&quot;年&quot;m&quot;月&quot;;@">
                  <c:v>10月</c:v>
                </c:pt>
                <c:pt idx="106" c:formatCode="yyyy&quot;年&quot;m&quot;月&quot;;@">
                  <c:v>11月</c:v>
                </c:pt>
                <c:pt idx="107" c:formatCode="yyyy&quot;年&quot;m&quot;月&quot;;@">
                  <c:v>12月</c:v>
                </c:pt>
              </c:strCache>
            </c:strRef>
          </c:cat>
          <c:val>
            <c:numRef>
              <c:f>'[23.7.14(作图)王更抚仙湖水质汇总202304.xlsx]全湖-图'!$B$50:$B$157</c:f>
              <c:numCache>
                <c:formatCode>General</c:formatCode>
                <c:ptCount val="108"/>
                <c:pt idx="0">
                  <c:v>7.5</c:v>
                </c:pt>
                <c:pt idx="1">
                  <c:v>7.6</c:v>
                </c:pt>
                <c:pt idx="2">
                  <c:v>8.4</c:v>
                </c:pt>
                <c:pt idx="3">
                  <c:v>8.4</c:v>
                </c:pt>
                <c:pt idx="4">
                  <c:v>8.1</c:v>
                </c:pt>
                <c:pt idx="5">
                  <c:v>7.5</c:v>
                </c:pt>
                <c:pt idx="6">
                  <c:v>7.6</c:v>
                </c:pt>
                <c:pt idx="7">
                  <c:v>7.6</c:v>
                </c:pt>
                <c:pt idx="8">
                  <c:v>7.7</c:v>
                </c:pt>
                <c:pt idx="9">
                  <c:v>7.6</c:v>
                </c:pt>
                <c:pt idx="10">
                  <c:v>7.9</c:v>
                </c:pt>
                <c:pt idx="11">
                  <c:v>7.6</c:v>
                </c:pt>
                <c:pt idx="12">
                  <c:v>7.6</c:v>
                </c:pt>
                <c:pt idx="13">
                  <c:v>7.5</c:v>
                </c:pt>
                <c:pt idx="14">
                  <c:v>7.7</c:v>
                </c:pt>
                <c:pt idx="15">
                  <c:v>8.7</c:v>
                </c:pt>
                <c:pt idx="16">
                  <c:v>7.8</c:v>
                </c:pt>
                <c:pt idx="17">
                  <c:v>7.6</c:v>
                </c:pt>
                <c:pt idx="18">
                  <c:v>7.5</c:v>
                </c:pt>
                <c:pt idx="19">
                  <c:v>7.5</c:v>
                </c:pt>
                <c:pt idx="20">
                  <c:v>7.8</c:v>
                </c:pt>
                <c:pt idx="21">
                  <c:v>7.5</c:v>
                </c:pt>
                <c:pt idx="22">
                  <c:v>7.6</c:v>
                </c:pt>
                <c:pt idx="23">
                  <c:v>7.5</c:v>
                </c:pt>
                <c:pt idx="24" c:formatCode="@">
                  <c:v>7.7</c:v>
                </c:pt>
                <c:pt idx="25" c:formatCode="@">
                  <c:v>7.9</c:v>
                </c:pt>
                <c:pt idx="26" c:formatCode="@">
                  <c:v>8</c:v>
                </c:pt>
                <c:pt idx="27" c:formatCode="@">
                  <c:v>8.5</c:v>
                </c:pt>
                <c:pt idx="28" c:formatCode="@">
                  <c:v>8.8</c:v>
                </c:pt>
                <c:pt idx="29" c:formatCode="@">
                  <c:v>7.6</c:v>
                </c:pt>
                <c:pt idx="30" c:formatCode="@">
                  <c:v>8.2</c:v>
                </c:pt>
                <c:pt idx="31" c:formatCode="@">
                  <c:v>8.4</c:v>
                </c:pt>
                <c:pt idx="32" c:formatCode="@">
                  <c:v>7.5</c:v>
                </c:pt>
                <c:pt idx="33" c:formatCode="@">
                  <c:v>7.5</c:v>
                </c:pt>
                <c:pt idx="34" c:formatCode="@">
                  <c:v>7.04</c:v>
                </c:pt>
                <c:pt idx="35" c:formatCode="@">
                  <c:v>7.1</c:v>
                </c:pt>
                <c:pt idx="36" c:formatCode="@">
                  <c:v>7.5</c:v>
                </c:pt>
                <c:pt idx="37" c:formatCode="@">
                  <c:v>7.2</c:v>
                </c:pt>
                <c:pt idx="38" c:formatCode="@">
                  <c:v>8.08</c:v>
                </c:pt>
                <c:pt idx="39" c:formatCode="@">
                  <c:v>8.4</c:v>
                </c:pt>
                <c:pt idx="40" c:formatCode="@">
                  <c:v>8.1</c:v>
                </c:pt>
                <c:pt idx="41" c:formatCode="@">
                  <c:v>7.5</c:v>
                </c:pt>
                <c:pt idx="42">
                  <c:v>7.5</c:v>
                </c:pt>
                <c:pt idx="43">
                  <c:v>8.49</c:v>
                </c:pt>
                <c:pt idx="44">
                  <c:v>7.9</c:v>
                </c:pt>
                <c:pt idx="46">
                  <c:v>7.5</c:v>
                </c:pt>
                <c:pt idx="47">
                  <c:v>7.5</c:v>
                </c:pt>
                <c:pt idx="48" c:formatCode="@">
                  <c:v>7.5</c:v>
                </c:pt>
                <c:pt idx="49" c:formatCode="@">
                  <c:v>7.7</c:v>
                </c:pt>
                <c:pt idx="50" c:formatCode="@">
                  <c:v>8</c:v>
                </c:pt>
                <c:pt idx="51" c:formatCode="@">
                  <c:v>7.7</c:v>
                </c:pt>
                <c:pt idx="52" c:formatCode="@">
                  <c:v>7.5</c:v>
                </c:pt>
                <c:pt idx="53" c:formatCode="@">
                  <c:v>8.3</c:v>
                </c:pt>
                <c:pt idx="54" c:formatCode="@">
                  <c:v>7.8</c:v>
                </c:pt>
                <c:pt idx="55" c:formatCode="@">
                  <c:v>7.8</c:v>
                </c:pt>
                <c:pt idx="56" c:formatCode="@">
                  <c:v>7.6</c:v>
                </c:pt>
                <c:pt idx="57" c:formatCode="@">
                  <c:v>7.5</c:v>
                </c:pt>
                <c:pt idx="58" c:formatCode="@">
                  <c:v>7.5</c:v>
                </c:pt>
                <c:pt idx="59" c:formatCode="@">
                  <c:v>7.6</c:v>
                </c:pt>
                <c:pt idx="60">
                  <c:v>7.5</c:v>
                </c:pt>
                <c:pt idx="61">
                  <c:v>7.7</c:v>
                </c:pt>
                <c:pt idx="62">
                  <c:v>8</c:v>
                </c:pt>
                <c:pt idx="63">
                  <c:v>8.7</c:v>
                </c:pt>
                <c:pt idx="64">
                  <c:v>10.7</c:v>
                </c:pt>
                <c:pt idx="65">
                  <c:v>7.2</c:v>
                </c:pt>
                <c:pt idx="66">
                  <c:v>7.2</c:v>
                </c:pt>
                <c:pt idx="67">
                  <c:v>7.5</c:v>
                </c:pt>
                <c:pt idx="68">
                  <c:v>7.1</c:v>
                </c:pt>
                <c:pt idx="69">
                  <c:v>9.2</c:v>
                </c:pt>
                <c:pt idx="70">
                  <c:v>9.2</c:v>
                </c:pt>
                <c:pt idx="71">
                  <c:v>9.2</c:v>
                </c:pt>
                <c:pt idx="72">
                  <c:v>7.8</c:v>
                </c:pt>
                <c:pt idx="73">
                  <c:v>8</c:v>
                </c:pt>
                <c:pt idx="74">
                  <c:v>8.3</c:v>
                </c:pt>
                <c:pt idx="75">
                  <c:v>8.3</c:v>
                </c:pt>
                <c:pt idx="76">
                  <c:v>8.1</c:v>
                </c:pt>
                <c:pt idx="77">
                  <c:v>7.8</c:v>
                </c:pt>
                <c:pt idx="78">
                  <c:v>7.4</c:v>
                </c:pt>
                <c:pt idx="79">
                  <c:v>7.8</c:v>
                </c:pt>
                <c:pt idx="80">
                  <c:v>7.5</c:v>
                </c:pt>
                <c:pt idx="81">
                  <c:v>6.8</c:v>
                </c:pt>
                <c:pt idx="82">
                  <c:v>7.3</c:v>
                </c:pt>
                <c:pt idx="83">
                  <c:v>7.3</c:v>
                </c:pt>
                <c:pt idx="84">
                  <c:v>8</c:v>
                </c:pt>
                <c:pt idx="85">
                  <c:v>7.4</c:v>
                </c:pt>
                <c:pt idx="86">
                  <c:v>7.9</c:v>
                </c:pt>
                <c:pt idx="87">
                  <c:v>8.3</c:v>
                </c:pt>
                <c:pt idx="88">
                  <c:v>8.3</c:v>
                </c:pt>
                <c:pt idx="89">
                  <c:v>8.5</c:v>
                </c:pt>
                <c:pt idx="90">
                  <c:v>8.1</c:v>
                </c:pt>
                <c:pt idx="91">
                  <c:v>7.6</c:v>
                </c:pt>
                <c:pt idx="92">
                  <c:v>7.6</c:v>
                </c:pt>
                <c:pt idx="93">
                  <c:v>7.2</c:v>
                </c:pt>
                <c:pt idx="94">
                  <c:v>7.4</c:v>
                </c:pt>
                <c:pt idx="95">
                  <c:v>7.2</c:v>
                </c:pt>
                <c:pt idx="96">
                  <c:v>7.1</c:v>
                </c:pt>
                <c:pt idx="97">
                  <c:v>7.4</c:v>
                </c:pt>
                <c:pt idx="98">
                  <c:v>7.8</c:v>
                </c:pt>
                <c:pt idx="99">
                  <c:v>8.5</c:v>
                </c:pt>
                <c:pt idx="100">
                  <c:v>8</c:v>
                </c:pt>
                <c:pt idx="101">
                  <c:v>7.9</c:v>
                </c:pt>
                <c:pt idx="102">
                  <c:v>7.8</c:v>
                </c:pt>
                <c:pt idx="103">
                  <c:v>8.2</c:v>
                </c:pt>
                <c:pt idx="104">
                  <c:v>7.6</c:v>
                </c:pt>
                <c:pt idx="105">
                  <c:v>6.9</c:v>
                </c:pt>
                <c:pt idx="106">
                  <c:v>7.3</c:v>
                </c:pt>
                <c:pt idx="107">
                  <c:v>7.2</c:v>
                </c:pt>
              </c:numCache>
            </c:numRef>
          </c:val>
          <c:smooth val="true"/>
        </c:ser>
        <c:ser>
          <c:idx val="1"/>
          <c:order val="1"/>
          <c:tx>
            <c:strRef>
              <c:f>'[23.7.14(作图)王更抚仙湖水质汇总202304.xlsx]全湖-图'!$C$1</c:f>
              <c:strCache>
                <c:ptCount val="1"/>
                <c:pt idx="0">
                  <c:v>DO I类限值</c:v>
                </c:pt>
              </c:strCache>
            </c:strRef>
          </c:tx>
          <c:spPr>
            <a:ln w="28575" cap="rnd" cmpd="sng">
              <a:solidFill>
                <a:schemeClr val="accent2"/>
              </a:solidFill>
              <a:prstDash val="solid"/>
              <a:round/>
            </a:ln>
            <a:effectLst/>
          </c:spPr>
          <c:marker>
            <c:symbol val="none"/>
          </c:marker>
          <c:dLbls>
            <c:delete val="true"/>
          </c:dLbls>
          <c:cat>
            <c:strRef>
              <c:f>'[23.7.14(作图)王更抚仙湖水质汇总202304.xlsx]全湖-图'!$A$50:$A$157</c:f>
              <c:strCache>
                <c:ptCount val="108"/>
                <c:pt idx="0" c:formatCode="yyyy&quot;年&quot;m&quot;月&quot;;@">
                  <c:v>2015年1月</c:v>
                </c:pt>
                <c:pt idx="1" c:formatCode="yyyy&quot;年&quot;m&quot;月&quot;;@">
                  <c:v>2月</c:v>
                </c:pt>
                <c:pt idx="2" c:formatCode="yyyy&quot;年&quot;m&quot;月&quot;;@">
                  <c:v>3月</c:v>
                </c:pt>
                <c:pt idx="3" c:formatCode="yyyy&quot;年&quot;m&quot;月&quot;;@">
                  <c:v>4月</c:v>
                </c:pt>
                <c:pt idx="4" c:formatCode="yyyy&quot;年&quot;m&quot;月&quot;;@">
                  <c:v>5月</c:v>
                </c:pt>
                <c:pt idx="5" c:formatCode="yyyy&quot;年&quot;m&quot;月&quot;;@">
                  <c:v>6月</c:v>
                </c:pt>
                <c:pt idx="6" c:formatCode="yyyy&quot;年&quot;m&quot;月&quot;;@">
                  <c:v>7月</c:v>
                </c:pt>
                <c:pt idx="7" c:formatCode="yyyy&quot;年&quot;m&quot;月&quot;;@">
                  <c:v>8月</c:v>
                </c:pt>
                <c:pt idx="8" c:formatCode="yyyy&quot;年&quot;m&quot;月&quot;;@">
                  <c:v>9月</c:v>
                </c:pt>
                <c:pt idx="9" c:formatCode="yyyy&quot;年&quot;m&quot;月&quot;;@">
                  <c:v>10月</c:v>
                </c:pt>
                <c:pt idx="10" c:formatCode="yyyy&quot;年&quot;m&quot;月&quot;;@">
                  <c:v>11月</c:v>
                </c:pt>
                <c:pt idx="11" c:formatCode="yyyy&quot;年&quot;m&quot;月&quot;;@">
                  <c:v>12月</c:v>
                </c:pt>
                <c:pt idx="12" c:formatCode="@">
                  <c:v>2016年1月</c:v>
                </c:pt>
                <c:pt idx="13" c:formatCode="yyyy&quot;年&quot;m&quot;月&quot;;@">
                  <c:v>2月</c:v>
                </c:pt>
                <c:pt idx="14" c:formatCode="yyyy&quot;年&quot;m&quot;月&quot;;@">
                  <c:v>3月</c:v>
                </c:pt>
                <c:pt idx="15" c:formatCode="yyyy&quot;年&quot;m&quot;月&quot;;@">
                  <c:v>4月</c:v>
                </c:pt>
                <c:pt idx="16" c:formatCode="yyyy&quot;年&quot;m&quot;月&quot;;@">
                  <c:v>5月</c:v>
                </c:pt>
                <c:pt idx="17" c:formatCode="yyyy&quot;年&quot;m&quot;月&quot;;@">
                  <c:v>6月</c:v>
                </c:pt>
                <c:pt idx="18" c:formatCode="yyyy&quot;年&quot;m&quot;月&quot;;@">
                  <c:v>7月</c:v>
                </c:pt>
                <c:pt idx="19" c:formatCode="yyyy&quot;年&quot;m&quot;月&quot;;@">
                  <c:v>8月</c:v>
                </c:pt>
                <c:pt idx="20" c:formatCode="yyyy&quot;年&quot;m&quot;月&quot;;@">
                  <c:v>9月</c:v>
                </c:pt>
                <c:pt idx="21" c:formatCode="yyyy&quot;年&quot;m&quot;月&quot;;@">
                  <c:v>10月</c:v>
                </c:pt>
                <c:pt idx="22" c:formatCode="yyyy&quot;年&quot;m&quot;月&quot;;@">
                  <c:v>11月</c:v>
                </c:pt>
                <c:pt idx="23" c:formatCode="yyyy&quot;年&quot;m&quot;月&quot;;@">
                  <c:v>12月</c:v>
                </c:pt>
                <c:pt idx="24" c:formatCode="yyyy&quot;年&quot;m&quot;月&quot;;@">
                  <c:v>2017年1月</c:v>
                </c:pt>
                <c:pt idx="25" c:formatCode="yyyy&quot;年&quot;m&quot;月&quot;;@">
                  <c:v>2月</c:v>
                </c:pt>
                <c:pt idx="26" c:formatCode="yyyy&quot;年&quot;m&quot;月&quot;;@">
                  <c:v>3月</c:v>
                </c:pt>
                <c:pt idx="27" c:formatCode="yyyy&quot;年&quot;m&quot;月&quot;;@">
                  <c:v>4月</c:v>
                </c:pt>
                <c:pt idx="28" c:formatCode="yyyy&quot;年&quot;m&quot;月&quot;;@">
                  <c:v>5月</c:v>
                </c:pt>
                <c:pt idx="29" c:formatCode="yyyy&quot;年&quot;m&quot;月&quot;;@">
                  <c:v>6月</c:v>
                </c:pt>
                <c:pt idx="30" c:formatCode="yyyy&quot;年&quot;m&quot;月&quot;;@">
                  <c:v>7月</c:v>
                </c:pt>
                <c:pt idx="31" c:formatCode="yyyy&quot;年&quot;m&quot;月&quot;;@">
                  <c:v>8月</c:v>
                </c:pt>
                <c:pt idx="32" c:formatCode="yyyy&quot;年&quot;m&quot;月&quot;;@">
                  <c:v>9月</c:v>
                </c:pt>
                <c:pt idx="33" c:formatCode="yyyy&quot;年&quot;m&quot;月&quot;;@">
                  <c:v>10月</c:v>
                </c:pt>
                <c:pt idx="34" c:formatCode="yyyy&quot;年&quot;m&quot;月&quot;;@">
                  <c:v>11月</c:v>
                </c:pt>
                <c:pt idx="35" c:formatCode="yyyy&quot;年&quot;m&quot;月&quot;;@">
                  <c:v>12月</c:v>
                </c:pt>
                <c:pt idx="36" c:formatCode="yyyy&quot;年&quot;m&quot;月&quot;;@">
                  <c:v>2018年1月</c:v>
                </c:pt>
                <c:pt idx="37" c:formatCode="yyyy&quot;年&quot;m&quot;月&quot;;@">
                  <c:v>2月</c:v>
                </c:pt>
                <c:pt idx="38" c:formatCode="yyyy&quot;年&quot;m&quot;月&quot;;@">
                  <c:v>3月</c:v>
                </c:pt>
                <c:pt idx="39" c:formatCode="yyyy&quot;年&quot;m&quot;月&quot;;@">
                  <c:v>4月</c:v>
                </c:pt>
                <c:pt idx="40" c:formatCode="yyyy&quot;年&quot;m&quot;月&quot;;@">
                  <c:v>5月</c:v>
                </c:pt>
                <c:pt idx="41" c:formatCode="yyyy&quot;年&quot;m&quot;月&quot;;@">
                  <c:v>6月</c:v>
                </c:pt>
                <c:pt idx="42" c:formatCode="yyyy&quot;年&quot;m&quot;月&quot;;@">
                  <c:v>7月</c:v>
                </c:pt>
                <c:pt idx="43" c:formatCode="yyyy&quot;年&quot;m&quot;月&quot;;@">
                  <c:v>8月</c:v>
                </c:pt>
                <c:pt idx="44" c:formatCode="yyyy&quot;年&quot;m&quot;月&quot;;@">
                  <c:v>9月</c:v>
                </c:pt>
                <c:pt idx="45" c:formatCode="yyyy&quot;年&quot;m&quot;月&quot;;@">
                  <c:v>10月</c:v>
                </c:pt>
                <c:pt idx="46" c:formatCode="yyyy&quot;年&quot;m&quot;月&quot;;@">
                  <c:v>11月</c:v>
                </c:pt>
                <c:pt idx="47" c:formatCode="yyyy&quot;年&quot;m&quot;月&quot;;@">
                  <c:v>12月</c:v>
                </c:pt>
                <c:pt idx="48" c:formatCode="yyyy&quot;年&quot;m&quot;月&quot;">
                  <c:v>2019年1月</c:v>
                </c:pt>
                <c:pt idx="49" c:formatCode="yyyy&quot;年&quot;m&quot;月&quot;;@">
                  <c:v>2月</c:v>
                </c:pt>
                <c:pt idx="50" c:formatCode="yyyy&quot;年&quot;m&quot;月&quot;;@">
                  <c:v>3月</c:v>
                </c:pt>
                <c:pt idx="51" c:formatCode="yyyy&quot;年&quot;m&quot;月&quot;;@">
                  <c:v>4月</c:v>
                </c:pt>
                <c:pt idx="52" c:formatCode="yyyy&quot;年&quot;m&quot;月&quot;;@">
                  <c:v>5月</c:v>
                </c:pt>
                <c:pt idx="53" c:formatCode="yyyy&quot;年&quot;m&quot;月&quot;;@">
                  <c:v>6月</c:v>
                </c:pt>
                <c:pt idx="54" c:formatCode="yyyy&quot;年&quot;m&quot;月&quot;;@">
                  <c:v>7月</c:v>
                </c:pt>
                <c:pt idx="55" c:formatCode="yyyy&quot;年&quot;m&quot;月&quot;;@">
                  <c:v>8月</c:v>
                </c:pt>
                <c:pt idx="56" c:formatCode="yyyy&quot;年&quot;m&quot;月&quot;;@">
                  <c:v>9月</c:v>
                </c:pt>
                <c:pt idx="57" c:formatCode="yyyy&quot;年&quot;m&quot;月&quot;;@">
                  <c:v>10月</c:v>
                </c:pt>
                <c:pt idx="58" c:formatCode="yyyy&quot;年&quot;m&quot;月&quot;;@">
                  <c:v>11月</c:v>
                </c:pt>
                <c:pt idx="59" c:formatCode="yyyy&quot;年&quot;m&quot;月&quot;;@">
                  <c:v>12月</c:v>
                </c:pt>
                <c:pt idx="60" c:formatCode="yyyy&quot;年&quot;m&quot;月&quot;">
                  <c:v>2020年1月</c:v>
                </c:pt>
                <c:pt idx="61" c:formatCode="yyyy&quot;年&quot;m&quot;月&quot;;@">
                  <c:v>2月</c:v>
                </c:pt>
                <c:pt idx="62" c:formatCode="yyyy&quot;年&quot;m&quot;月&quot;;@">
                  <c:v>3月</c:v>
                </c:pt>
                <c:pt idx="63" c:formatCode="yyyy&quot;年&quot;m&quot;月&quot;;@">
                  <c:v>4月</c:v>
                </c:pt>
                <c:pt idx="64" c:formatCode="yyyy&quot;年&quot;m&quot;月&quot;;@">
                  <c:v>5月</c:v>
                </c:pt>
                <c:pt idx="65" c:formatCode="yyyy&quot;年&quot;m&quot;月&quot;;@">
                  <c:v>6月</c:v>
                </c:pt>
                <c:pt idx="66" c:formatCode="yyyy&quot;年&quot;m&quot;月&quot;;@">
                  <c:v>7月</c:v>
                </c:pt>
                <c:pt idx="67" c:formatCode="yyyy&quot;年&quot;m&quot;月&quot;;@">
                  <c:v>8月</c:v>
                </c:pt>
                <c:pt idx="68" c:formatCode="yyyy&quot;年&quot;m&quot;月&quot;;@">
                  <c:v>9月</c:v>
                </c:pt>
                <c:pt idx="69" c:formatCode="yyyy&quot;年&quot;m&quot;月&quot;;@">
                  <c:v>10月</c:v>
                </c:pt>
                <c:pt idx="70" c:formatCode="yyyy&quot;年&quot;m&quot;月&quot;;@">
                  <c:v>11月</c:v>
                </c:pt>
                <c:pt idx="71" c:formatCode="yyyy&quot;年&quot;m&quot;月&quot;;@">
                  <c:v>12月</c:v>
                </c:pt>
                <c:pt idx="72" c:formatCode="yyyy&quot;年&quot;m&quot;月&quot;">
                  <c:v>2021年1月</c:v>
                </c:pt>
                <c:pt idx="73" c:formatCode="yyyy&quot;年&quot;m&quot;月&quot;;@">
                  <c:v>2月</c:v>
                </c:pt>
                <c:pt idx="74" c:formatCode="yyyy&quot;年&quot;m&quot;月&quot;;@">
                  <c:v>3月</c:v>
                </c:pt>
                <c:pt idx="75" c:formatCode="yyyy&quot;年&quot;m&quot;月&quot;;@">
                  <c:v>4月</c:v>
                </c:pt>
                <c:pt idx="76" c:formatCode="yyyy&quot;年&quot;m&quot;月&quot;;@">
                  <c:v>5月</c:v>
                </c:pt>
                <c:pt idx="77" c:formatCode="yyyy&quot;年&quot;m&quot;月&quot;;@">
                  <c:v>6月</c:v>
                </c:pt>
                <c:pt idx="78" c:formatCode="yyyy&quot;年&quot;m&quot;月&quot;;@">
                  <c:v>7月</c:v>
                </c:pt>
                <c:pt idx="79" c:formatCode="yyyy&quot;年&quot;m&quot;月&quot;;@">
                  <c:v>8月</c:v>
                </c:pt>
                <c:pt idx="80" c:formatCode="yyyy&quot;年&quot;m&quot;月&quot;;@">
                  <c:v>9月</c:v>
                </c:pt>
                <c:pt idx="81" c:formatCode="yyyy&quot;年&quot;m&quot;月&quot;;@">
                  <c:v>10月</c:v>
                </c:pt>
                <c:pt idx="82" c:formatCode="yyyy&quot;年&quot;m&quot;月&quot;;@">
                  <c:v>11月</c:v>
                </c:pt>
                <c:pt idx="83" c:formatCode="yyyy&quot;年&quot;m&quot;月&quot;;@">
                  <c:v>12月</c:v>
                </c:pt>
                <c:pt idx="84" c:formatCode="yyyy&quot;年&quot;m&quot;月&quot;">
                  <c:v>2022年1月</c:v>
                </c:pt>
                <c:pt idx="85" c:formatCode="yyyy&quot;年&quot;m&quot;月&quot;;@">
                  <c:v>2月</c:v>
                </c:pt>
                <c:pt idx="86" c:formatCode="yyyy&quot;年&quot;m&quot;月&quot;;@">
                  <c:v>3月</c:v>
                </c:pt>
                <c:pt idx="87" c:formatCode="yyyy&quot;年&quot;m&quot;月&quot;;@">
                  <c:v>4月</c:v>
                </c:pt>
                <c:pt idx="88" c:formatCode="yyyy&quot;年&quot;m&quot;月&quot;;@">
                  <c:v>5月</c:v>
                </c:pt>
                <c:pt idx="89" c:formatCode="yyyy&quot;年&quot;m&quot;月&quot;;@">
                  <c:v>6月</c:v>
                </c:pt>
                <c:pt idx="90" c:formatCode="yyyy&quot;年&quot;m&quot;月&quot;;@">
                  <c:v>7月</c:v>
                </c:pt>
                <c:pt idx="91" c:formatCode="yyyy&quot;年&quot;m&quot;月&quot;;@">
                  <c:v>8月</c:v>
                </c:pt>
                <c:pt idx="92" c:formatCode="yyyy&quot;年&quot;m&quot;月&quot;;@">
                  <c:v>9月</c:v>
                </c:pt>
                <c:pt idx="93" c:formatCode="yyyy&quot;年&quot;m&quot;月&quot;;@">
                  <c:v>10月</c:v>
                </c:pt>
                <c:pt idx="94" c:formatCode="yyyy&quot;年&quot;m&quot;月&quot;;@">
                  <c:v>11月</c:v>
                </c:pt>
                <c:pt idx="95" c:formatCode="yyyy&quot;年&quot;m&quot;月&quot;;@">
                  <c:v>12月</c:v>
                </c:pt>
                <c:pt idx="96" c:formatCode="yyyy&quot;年&quot;m&quot;月&quot;">
                  <c:v>2023年1月</c:v>
                </c:pt>
                <c:pt idx="97" c:formatCode="yyyy&quot;年&quot;m&quot;月&quot;;@">
                  <c:v>2月</c:v>
                </c:pt>
                <c:pt idx="98" c:formatCode="yyyy&quot;年&quot;m&quot;月&quot;;@">
                  <c:v>3月</c:v>
                </c:pt>
                <c:pt idx="99" c:formatCode="yyyy&quot;年&quot;m&quot;月&quot;;@">
                  <c:v>4月</c:v>
                </c:pt>
                <c:pt idx="100" c:formatCode="yyyy&quot;年&quot;m&quot;月&quot;;@">
                  <c:v>5月</c:v>
                </c:pt>
                <c:pt idx="101" c:formatCode="yyyy&quot;年&quot;m&quot;月&quot;;@">
                  <c:v>6月</c:v>
                </c:pt>
                <c:pt idx="102" c:formatCode="yyyy&quot;年&quot;m&quot;月&quot;;@">
                  <c:v>7月</c:v>
                </c:pt>
                <c:pt idx="103" c:formatCode="yyyy&quot;年&quot;m&quot;月&quot;;@">
                  <c:v>8月</c:v>
                </c:pt>
                <c:pt idx="104" c:formatCode="yyyy&quot;年&quot;m&quot;月&quot;;@">
                  <c:v>9月</c:v>
                </c:pt>
                <c:pt idx="105" c:formatCode="yyyy&quot;年&quot;m&quot;月&quot;;@">
                  <c:v>10月</c:v>
                </c:pt>
                <c:pt idx="106" c:formatCode="yyyy&quot;年&quot;m&quot;月&quot;;@">
                  <c:v>11月</c:v>
                </c:pt>
                <c:pt idx="107" c:formatCode="yyyy&quot;年&quot;m&quot;月&quot;;@">
                  <c:v>12月</c:v>
                </c:pt>
              </c:strCache>
            </c:strRef>
          </c:cat>
          <c:val>
            <c:numRef>
              <c:f>'[23.7.14(作图)王更抚仙湖水质汇总202304.xlsx]全湖-图'!$C$50:$C$157</c:f>
              <c:numCache>
                <c:formatCode>General</c:formatCode>
                <c:ptCount val="108"/>
                <c:pt idx="0">
                  <c:v>7.5</c:v>
                </c:pt>
                <c:pt idx="1">
                  <c:v>7.5</c:v>
                </c:pt>
                <c:pt idx="2">
                  <c:v>7.5</c:v>
                </c:pt>
                <c:pt idx="3">
                  <c:v>7.5</c:v>
                </c:pt>
                <c:pt idx="4">
                  <c:v>7.5</c:v>
                </c:pt>
                <c:pt idx="5">
                  <c:v>7.5</c:v>
                </c:pt>
                <c:pt idx="6">
                  <c:v>7.5</c:v>
                </c:pt>
                <c:pt idx="7">
                  <c:v>7.5</c:v>
                </c:pt>
                <c:pt idx="8">
                  <c:v>7.5</c:v>
                </c:pt>
                <c:pt idx="9">
                  <c:v>7.5</c:v>
                </c:pt>
                <c:pt idx="10">
                  <c:v>7.5</c:v>
                </c:pt>
                <c:pt idx="11">
                  <c:v>7.5</c:v>
                </c:pt>
                <c:pt idx="12">
                  <c:v>7.5</c:v>
                </c:pt>
                <c:pt idx="13">
                  <c:v>7.5</c:v>
                </c:pt>
                <c:pt idx="14">
                  <c:v>7.5</c:v>
                </c:pt>
                <c:pt idx="15">
                  <c:v>7.5</c:v>
                </c:pt>
                <c:pt idx="16">
                  <c:v>7.5</c:v>
                </c:pt>
                <c:pt idx="17">
                  <c:v>7.5</c:v>
                </c:pt>
                <c:pt idx="18">
                  <c:v>7.5</c:v>
                </c:pt>
                <c:pt idx="19">
                  <c:v>7.5</c:v>
                </c:pt>
                <c:pt idx="20">
                  <c:v>7.5</c:v>
                </c:pt>
                <c:pt idx="21">
                  <c:v>7.5</c:v>
                </c:pt>
                <c:pt idx="22">
                  <c:v>7.5</c:v>
                </c:pt>
                <c:pt idx="23">
                  <c:v>7.5</c:v>
                </c:pt>
                <c:pt idx="24">
                  <c:v>7.5</c:v>
                </c:pt>
                <c:pt idx="25">
                  <c:v>7.5</c:v>
                </c:pt>
                <c:pt idx="26">
                  <c:v>7.5</c:v>
                </c:pt>
                <c:pt idx="27">
                  <c:v>7.5</c:v>
                </c:pt>
                <c:pt idx="28">
                  <c:v>7.5</c:v>
                </c:pt>
                <c:pt idx="29">
                  <c:v>7.5</c:v>
                </c:pt>
                <c:pt idx="30">
                  <c:v>7.5</c:v>
                </c:pt>
                <c:pt idx="31">
                  <c:v>7.5</c:v>
                </c:pt>
                <c:pt idx="32">
                  <c:v>7.5</c:v>
                </c:pt>
                <c:pt idx="33">
                  <c:v>7.5</c:v>
                </c:pt>
                <c:pt idx="34">
                  <c:v>7.5</c:v>
                </c:pt>
                <c:pt idx="35">
                  <c:v>7.5</c:v>
                </c:pt>
                <c:pt idx="36">
                  <c:v>7.5</c:v>
                </c:pt>
                <c:pt idx="37">
                  <c:v>7.5</c:v>
                </c:pt>
                <c:pt idx="38">
                  <c:v>7.5</c:v>
                </c:pt>
                <c:pt idx="39">
                  <c:v>7.5</c:v>
                </c:pt>
                <c:pt idx="40">
                  <c:v>7.5</c:v>
                </c:pt>
                <c:pt idx="41">
                  <c:v>7.5</c:v>
                </c:pt>
                <c:pt idx="42">
                  <c:v>7.5</c:v>
                </c:pt>
                <c:pt idx="43">
                  <c:v>7.5</c:v>
                </c:pt>
                <c:pt idx="44">
                  <c:v>7.5</c:v>
                </c:pt>
                <c:pt idx="45">
                  <c:v>7.5</c:v>
                </c:pt>
                <c:pt idx="46">
                  <c:v>7.5</c:v>
                </c:pt>
                <c:pt idx="47">
                  <c:v>7.5</c:v>
                </c:pt>
                <c:pt idx="48">
                  <c:v>7.5</c:v>
                </c:pt>
                <c:pt idx="49">
                  <c:v>7.5</c:v>
                </c:pt>
                <c:pt idx="50">
                  <c:v>7.5</c:v>
                </c:pt>
                <c:pt idx="51">
                  <c:v>7.5</c:v>
                </c:pt>
                <c:pt idx="52">
                  <c:v>7.5</c:v>
                </c:pt>
                <c:pt idx="53">
                  <c:v>7.5</c:v>
                </c:pt>
                <c:pt idx="54">
                  <c:v>7.5</c:v>
                </c:pt>
                <c:pt idx="55">
                  <c:v>7.5</c:v>
                </c:pt>
                <c:pt idx="56">
                  <c:v>7.5</c:v>
                </c:pt>
                <c:pt idx="57">
                  <c:v>7.5</c:v>
                </c:pt>
                <c:pt idx="58">
                  <c:v>7.5</c:v>
                </c:pt>
                <c:pt idx="59">
                  <c:v>7.5</c:v>
                </c:pt>
                <c:pt idx="60">
                  <c:v>7.5</c:v>
                </c:pt>
                <c:pt idx="61">
                  <c:v>7.5</c:v>
                </c:pt>
                <c:pt idx="62">
                  <c:v>7.5</c:v>
                </c:pt>
                <c:pt idx="63">
                  <c:v>7.5</c:v>
                </c:pt>
                <c:pt idx="64">
                  <c:v>7.5</c:v>
                </c:pt>
                <c:pt idx="65">
                  <c:v>7.5</c:v>
                </c:pt>
                <c:pt idx="66">
                  <c:v>7.5</c:v>
                </c:pt>
                <c:pt idx="67">
                  <c:v>7.5</c:v>
                </c:pt>
                <c:pt idx="68">
                  <c:v>7.5</c:v>
                </c:pt>
                <c:pt idx="69">
                  <c:v>7.5</c:v>
                </c:pt>
                <c:pt idx="70">
                  <c:v>7.5</c:v>
                </c:pt>
                <c:pt idx="71">
                  <c:v>7.5</c:v>
                </c:pt>
                <c:pt idx="72">
                  <c:v>7.5</c:v>
                </c:pt>
                <c:pt idx="73">
                  <c:v>7.5</c:v>
                </c:pt>
                <c:pt idx="74">
                  <c:v>7.5</c:v>
                </c:pt>
                <c:pt idx="75">
                  <c:v>7.5</c:v>
                </c:pt>
                <c:pt idx="76">
                  <c:v>7.5</c:v>
                </c:pt>
                <c:pt idx="77">
                  <c:v>7.5</c:v>
                </c:pt>
                <c:pt idx="78">
                  <c:v>7.5</c:v>
                </c:pt>
                <c:pt idx="79">
                  <c:v>7.5</c:v>
                </c:pt>
                <c:pt idx="80">
                  <c:v>7.5</c:v>
                </c:pt>
                <c:pt idx="81">
                  <c:v>7.5</c:v>
                </c:pt>
                <c:pt idx="82">
                  <c:v>7.5</c:v>
                </c:pt>
                <c:pt idx="83">
                  <c:v>7.5</c:v>
                </c:pt>
                <c:pt idx="84">
                  <c:v>7.5</c:v>
                </c:pt>
                <c:pt idx="85">
                  <c:v>7.5</c:v>
                </c:pt>
                <c:pt idx="86">
                  <c:v>7.5</c:v>
                </c:pt>
                <c:pt idx="87">
                  <c:v>7.5</c:v>
                </c:pt>
                <c:pt idx="88">
                  <c:v>7.5</c:v>
                </c:pt>
                <c:pt idx="89">
                  <c:v>7.5</c:v>
                </c:pt>
                <c:pt idx="90">
                  <c:v>7.5</c:v>
                </c:pt>
                <c:pt idx="91">
                  <c:v>7.5</c:v>
                </c:pt>
                <c:pt idx="92">
                  <c:v>7.5</c:v>
                </c:pt>
                <c:pt idx="93">
                  <c:v>7.5</c:v>
                </c:pt>
                <c:pt idx="94">
                  <c:v>7.5</c:v>
                </c:pt>
                <c:pt idx="95">
                  <c:v>7.5</c:v>
                </c:pt>
                <c:pt idx="96">
                  <c:v>7.5</c:v>
                </c:pt>
                <c:pt idx="97">
                  <c:v>7.5</c:v>
                </c:pt>
                <c:pt idx="98">
                  <c:v>7.5</c:v>
                </c:pt>
                <c:pt idx="99">
                  <c:v>7.5</c:v>
                </c:pt>
                <c:pt idx="100">
                  <c:v>7.5</c:v>
                </c:pt>
                <c:pt idx="101">
                  <c:v>7.5</c:v>
                </c:pt>
                <c:pt idx="102">
                  <c:v>7.5</c:v>
                </c:pt>
                <c:pt idx="103">
                  <c:v>7.5</c:v>
                </c:pt>
                <c:pt idx="104">
                  <c:v>7.5</c:v>
                </c:pt>
                <c:pt idx="105">
                  <c:v>7.5</c:v>
                </c:pt>
                <c:pt idx="106">
                  <c:v>7.5</c:v>
                </c:pt>
                <c:pt idx="107">
                  <c:v>7.5</c:v>
                </c:pt>
              </c:numCache>
            </c:numRef>
          </c:val>
          <c:smooth val="true"/>
        </c:ser>
        <c:dLbls>
          <c:showLegendKey val="false"/>
          <c:showVal val="false"/>
          <c:showCatName val="false"/>
          <c:showSerName val="false"/>
          <c:showPercent val="false"/>
          <c:showBubbleSize val="false"/>
        </c:dLbls>
        <c:dropLines>
          <c:spPr>
            <a:ln w="12700" cap="flat" cmpd="sng" algn="ctr">
              <a:noFill/>
              <a:prstDash val="sysDash"/>
              <a:round/>
            </a:ln>
            <a:effectLst/>
          </c:spPr>
        </c:dropLines>
        <c:marker val="false"/>
        <c:smooth val="true"/>
        <c:axId val="543749456"/>
        <c:axId val="1"/>
      </c:lineChart>
      <c:catAx>
        <c:axId val="543749456"/>
        <c:scaling>
          <c:orientation val="minMax"/>
        </c:scaling>
        <c:delete val="false"/>
        <c:axPos val="b"/>
        <c:majorGridlines>
          <c:spPr>
            <a:ln w="9525" cap="flat" cmpd="sng" algn="ctr">
              <a:solidFill>
                <a:schemeClr val="bg1">
                  <a:lumMod val="95000"/>
                </a:schemeClr>
              </a:solidFill>
              <a:round/>
            </a:ln>
            <a:effectLst/>
          </c:spPr>
        </c:majorGridlines>
        <c:numFmt formatCode="General" sourceLinked="true"/>
        <c:majorTickMark val="none"/>
        <c:minorTickMark val="none"/>
        <c:tickLblPos val="nextTo"/>
        <c:spPr>
          <a:noFill/>
          <a:ln w="9525" cap="flat" cmpd="sng" algn="ctr">
            <a:solidFill>
              <a:schemeClr val="bg1">
                <a:lumMod val="95000"/>
              </a:schemeClr>
            </a:solidFill>
            <a:round/>
          </a:ln>
          <a:effectLst/>
        </c:spPr>
        <c:txPr>
          <a:bodyPr rot="-60000000" spcFirstLastPara="0" vertOverflow="ellipsis" vert="horz" wrap="square" anchor="ctr" anchorCtr="true" forceAA="fals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
        <c:crosses val="autoZero"/>
        <c:auto val="true"/>
        <c:lblAlgn val="ctr"/>
        <c:lblOffset val="100"/>
        <c:noMultiLvlLbl val="false"/>
      </c:catAx>
      <c:valAx>
        <c:axId val="1"/>
        <c:scaling>
          <c:orientation val="minMax"/>
        </c:scaling>
        <c:delete val="false"/>
        <c:axPos val="l"/>
        <c:majorGridlines>
          <c:spPr>
            <a:ln w="12700" cap="flat" cmpd="sng" algn="ctr">
              <a:solidFill>
                <a:schemeClr val="bg1">
                  <a:lumMod val="95000"/>
                </a:schemeClr>
              </a:solidFill>
              <a:prstDash val="solid"/>
              <a:round/>
            </a:ln>
            <a:effectLst/>
          </c:spPr>
        </c:majorGridlines>
        <c:numFmt formatCode="General" sourceLinked="true"/>
        <c:majorTickMark val="none"/>
        <c:minorTickMark val="none"/>
        <c:tickLblPos val="nextTo"/>
        <c:spPr>
          <a:noFill/>
          <a:ln w="9525" cap="flat" cmpd="sng" algn="ctr">
            <a:noFill/>
            <a:round/>
          </a:ln>
          <a:effectLst/>
        </c:spPr>
        <c:txPr>
          <a:bodyPr rot="-60000000" spcFirstLastPara="0" vertOverflow="ellipsis" vert="horz" wrap="square" anchor="ctr" anchorCtr="true" forceAA="fals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43749456"/>
        <c:crosses val="autoZero"/>
        <c:crossBetween val="between"/>
      </c:valAx>
      <c:spPr>
        <a:noFill/>
        <a:ln>
          <a:noFill/>
        </a:ln>
        <a:effectLst/>
      </c:spPr>
    </c:plotArea>
    <c:legend>
      <c:legendPos val="t"/>
      <c:legendEntry>
        <c:idx val="0"/>
        <c:txPr>
          <a:bodyPr rot="0" spcFirstLastPara="0" vertOverflow="ellipsis" vert="horz" wrap="square" anchor="ctr" anchorCtr="true"/>
          <a:lstStyle/>
          <a:p>
            <a:pPr>
              <a:defRPr lang="zh-CN" sz="14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true"/>
          <a:lstStyle/>
          <a:p>
            <a:pPr>
              <a:defRPr lang="zh-CN" sz="14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overlay val="false"/>
      <c:spPr>
        <a:noFill/>
        <a:ln>
          <a:noFill/>
        </a:ln>
        <a:effectLst/>
      </c:spPr>
      <c:txPr>
        <a:bodyPr rot="0" spcFirstLastPara="0" vertOverflow="ellipsis" vert="horz" wrap="square" anchor="ctr" anchorCtr="true" forceAA="fals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true"/>
    <c:dispBlanksAs val="gap"/>
    <c:showDLblsOverMax val="false"/>
  </c:chart>
  <c:spPr>
    <a:solidFill>
      <a:schemeClr val="bg1"/>
    </a:solidFill>
    <a:ln w="12700" cap="flat" cmpd="sng" algn="ctr">
      <a:solidFill>
        <a:schemeClr val="bg1">
          <a:lumMod val="85000"/>
        </a:schemeClr>
      </a:solidFill>
      <a:prstDash val="dashDot"/>
      <a:round/>
    </a:ln>
    <a:effectLst>
      <a:outerShdw blurRad="63500" dist="37357" dir="2700000" sx="0" sy="0" rotWithShape="0">
        <a:scrgbClr r="0" g="0" b="0"/>
      </a:outerShdw>
    </a:effectLst>
  </c:spPr>
  <c:txPr>
    <a:bodyPr anchor="ctr"/>
    <a:lstStyle/>
    <a:p>
      <a:pPr>
        <a:defRPr lang="zh-CN" sz="140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false"/>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true" forceAA="false"/>
          <a:lstStyle/>
          <a:p>
            <a:pPr>
              <a:defRPr lang="zh-CN" sz="1400" b="0" i="0" u="none" strike="noStrike" kern="1200" spc="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抚仙湖2015年-2023年逐月TN变化趋势图</a:t>
            </a:r>
            <a:endParaRPr>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245277158091935"/>
          <c:y val="0.075312877222547"/>
        </c:manualLayout>
      </c:layout>
      <c:overlay val="false"/>
      <c:spPr>
        <a:solidFill>
          <a:schemeClr val="bg1"/>
        </a:solidFill>
        <a:ln>
          <a:noFill/>
        </a:ln>
        <a:effectLst/>
      </c:spPr>
    </c:title>
    <c:autoTitleDeleted val="false"/>
    <c:plotArea>
      <c:layout/>
      <c:lineChart>
        <c:grouping val="standard"/>
        <c:varyColors val="false"/>
        <c:ser>
          <c:idx val="0"/>
          <c:order val="0"/>
          <c:tx>
            <c:strRef>
              <c:f>'[23.7.14(作图)王更抚仙湖水质汇总202304.xlsx]全湖-图'!$N$1</c:f>
              <c:strCache>
                <c:ptCount val="1"/>
                <c:pt idx="0">
                  <c:v>TN</c:v>
                </c:pt>
              </c:strCache>
            </c:strRef>
          </c:tx>
          <c:spPr>
            <a:ln w="28575" cap="rnd" cmpd="sng">
              <a:solidFill>
                <a:schemeClr val="accent1"/>
              </a:solidFill>
              <a:prstDash val="solid"/>
              <a:round/>
            </a:ln>
            <a:effectLst/>
          </c:spPr>
          <c:marker>
            <c:symbol val="none"/>
          </c:marker>
          <c:dLbls>
            <c:delete val="true"/>
          </c:dLbls>
          <c:cat>
            <c:strRef>
              <c:f>'[23.7.14(作图)王更抚仙湖水质汇总202304.xlsx]全湖-图'!$A$50:$A$156</c:f>
              <c:strCache>
                <c:ptCount val="107"/>
                <c:pt idx="0" c:formatCode="yyyy&quot;年&quot;m&quot;月&quot;;@">
                  <c:v>2015年1月</c:v>
                </c:pt>
                <c:pt idx="1" c:formatCode="yyyy&quot;年&quot;m&quot;月&quot;;@">
                  <c:v>2月</c:v>
                </c:pt>
                <c:pt idx="2" c:formatCode="yyyy&quot;年&quot;m&quot;月&quot;;@">
                  <c:v>3月</c:v>
                </c:pt>
                <c:pt idx="3" c:formatCode="yyyy&quot;年&quot;m&quot;月&quot;;@">
                  <c:v>4月</c:v>
                </c:pt>
                <c:pt idx="4" c:formatCode="yyyy&quot;年&quot;m&quot;月&quot;;@">
                  <c:v>5月</c:v>
                </c:pt>
                <c:pt idx="5" c:formatCode="yyyy&quot;年&quot;m&quot;月&quot;;@">
                  <c:v>6月</c:v>
                </c:pt>
                <c:pt idx="6" c:formatCode="yyyy&quot;年&quot;m&quot;月&quot;;@">
                  <c:v>7月</c:v>
                </c:pt>
                <c:pt idx="7" c:formatCode="yyyy&quot;年&quot;m&quot;月&quot;;@">
                  <c:v>8月</c:v>
                </c:pt>
                <c:pt idx="8" c:formatCode="yyyy&quot;年&quot;m&quot;月&quot;;@">
                  <c:v>9月</c:v>
                </c:pt>
                <c:pt idx="9" c:formatCode="yyyy&quot;年&quot;m&quot;月&quot;;@">
                  <c:v>10月</c:v>
                </c:pt>
                <c:pt idx="10" c:formatCode="yyyy&quot;年&quot;m&quot;月&quot;;@">
                  <c:v>11月</c:v>
                </c:pt>
                <c:pt idx="11" c:formatCode="yyyy&quot;年&quot;m&quot;月&quot;;@">
                  <c:v>12月</c:v>
                </c:pt>
                <c:pt idx="12" c:formatCode="@">
                  <c:v>2016年1月</c:v>
                </c:pt>
                <c:pt idx="13" c:formatCode="yyyy&quot;年&quot;m&quot;月&quot;;@">
                  <c:v>2月</c:v>
                </c:pt>
                <c:pt idx="14" c:formatCode="yyyy&quot;年&quot;m&quot;月&quot;;@">
                  <c:v>3月</c:v>
                </c:pt>
                <c:pt idx="15" c:formatCode="yyyy&quot;年&quot;m&quot;月&quot;;@">
                  <c:v>4月</c:v>
                </c:pt>
                <c:pt idx="16" c:formatCode="yyyy&quot;年&quot;m&quot;月&quot;;@">
                  <c:v>5月</c:v>
                </c:pt>
                <c:pt idx="17" c:formatCode="yyyy&quot;年&quot;m&quot;月&quot;;@">
                  <c:v>6月</c:v>
                </c:pt>
                <c:pt idx="18" c:formatCode="yyyy&quot;年&quot;m&quot;月&quot;;@">
                  <c:v>7月</c:v>
                </c:pt>
                <c:pt idx="19" c:formatCode="yyyy&quot;年&quot;m&quot;月&quot;;@">
                  <c:v>8月</c:v>
                </c:pt>
                <c:pt idx="20" c:formatCode="yyyy&quot;年&quot;m&quot;月&quot;;@">
                  <c:v>9月</c:v>
                </c:pt>
                <c:pt idx="21" c:formatCode="yyyy&quot;年&quot;m&quot;月&quot;;@">
                  <c:v>10月</c:v>
                </c:pt>
                <c:pt idx="22" c:formatCode="yyyy&quot;年&quot;m&quot;月&quot;;@">
                  <c:v>11月</c:v>
                </c:pt>
                <c:pt idx="23" c:formatCode="yyyy&quot;年&quot;m&quot;月&quot;;@">
                  <c:v>12月</c:v>
                </c:pt>
                <c:pt idx="24" c:formatCode="yyyy&quot;年&quot;m&quot;月&quot;;@">
                  <c:v>2017年1月</c:v>
                </c:pt>
                <c:pt idx="25" c:formatCode="yyyy&quot;年&quot;m&quot;月&quot;;@">
                  <c:v>2月</c:v>
                </c:pt>
                <c:pt idx="26" c:formatCode="yyyy&quot;年&quot;m&quot;月&quot;;@">
                  <c:v>3月</c:v>
                </c:pt>
                <c:pt idx="27" c:formatCode="yyyy&quot;年&quot;m&quot;月&quot;;@">
                  <c:v>4月</c:v>
                </c:pt>
                <c:pt idx="28" c:formatCode="yyyy&quot;年&quot;m&quot;月&quot;;@">
                  <c:v>5月</c:v>
                </c:pt>
                <c:pt idx="29" c:formatCode="yyyy&quot;年&quot;m&quot;月&quot;;@">
                  <c:v>6月</c:v>
                </c:pt>
                <c:pt idx="30" c:formatCode="yyyy&quot;年&quot;m&quot;月&quot;;@">
                  <c:v>7月</c:v>
                </c:pt>
                <c:pt idx="31" c:formatCode="yyyy&quot;年&quot;m&quot;月&quot;;@">
                  <c:v>8月</c:v>
                </c:pt>
                <c:pt idx="32" c:formatCode="yyyy&quot;年&quot;m&quot;月&quot;;@">
                  <c:v>9月</c:v>
                </c:pt>
                <c:pt idx="33" c:formatCode="yyyy&quot;年&quot;m&quot;月&quot;;@">
                  <c:v>10月</c:v>
                </c:pt>
                <c:pt idx="34" c:formatCode="yyyy&quot;年&quot;m&quot;月&quot;;@">
                  <c:v>11月</c:v>
                </c:pt>
                <c:pt idx="35" c:formatCode="yyyy&quot;年&quot;m&quot;月&quot;;@">
                  <c:v>12月</c:v>
                </c:pt>
                <c:pt idx="36" c:formatCode="yyyy&quot;年&quot;m&quot;月&quot;;@">
                  <c:v>2018年1月</c:v>
                </c:pt>
                <c:pt idx="37" c:formatCode="yyyy&quot;年&quot;m&quot;月&quot;;@">
                  <c:v>2月</c:v>
                </c:pt>
                <c:pt idx="38" c:formatCode="yyyy&quot;年&quot;m&quot;月&quot;;@">
                  <c:v>3月</c:v>
                </c:pt>
                <c:pt idx="39" c:formatCode="yyyy&quot;年&quot;m&quot;月&quot;;@">
                  <c:v>4月</c:v>
                </c:pt>
                <c:pt idx="40" c:formatCode="yyyy&quot;年&quot;m&quot;月&quot;;@">
                  <c:v>5月</c:v>
                </c:pt>
                <c:pt idx="41" c:formatCode="yyyy&quot;年&quot;m&quot;月&quot;;@">
                  <c:v>6月</c:v>
                </c:pt>
                <c:pt idx="42" c:formatCode="yyyy&quot;年&quot;m&quot;月&quot;;@">
                  <c:v>7月</c:v>
                </c:pt>
                <c:pt idx="43" c:formatCode="yyyy&quot;年&quot;m&quot;月&quot;;@">
                  <c:v>8月</c:v>
                </c:pt>
                <c:pt idx="44" c:formatCode="yyyy&quot;年&quot;m&quot;月&quot;;@">
                  <c:v>9月</c:v>
                </c:pt>
                <c:pt idx="45" c:formatCode="yyyy&quot;年&quot;m&quot;月&quot;;@">
                  <c:v>10月</c:v>
                </c:pt>
                <c:pt idx="46" c:formatCode="yyyy&quot;年&quot;m&quot;月&quot;;@">
                  <c:v>11月</c:v>
                </c:pt>
                <c:pt idx="47" c:formatCode="yyyy&quot;年&quot;m&quot;月&quot;;@">
                  <c:v>12月</c:v>
                </c:pt>
                <c:pt idx="48" c:formatCode="yyyy&quot;年&quot;m&quot;月&quot;">
                  <c:v>2019年1月</c:v>
                </c:pt>
                <c:pt idx="49" c:formatCode="yyyy&quot;年&quot;m&quot;月&quot;;@">
                  <c:v>2月</c:v>
                </c:pt>
                <c:pt idx="50" c:formatCode="yyyy&quot;年&quot;m&quot;月&quot;;@">
                  <c:v>3月</c:v>
                </c:pt>
                <c:pt idx="51" c:formatCode="yyyy&quot;年&quot;m&quot;月&quot;;@">
                  <c:v>4月</c:v>
                </c:pt>
                <c:pt idx="52" c:formatCode="yyyy&quot;年&quot;m&quot;月&quot;;@">
                  <c:v>5月</c:v>
                </c:pt>
                <c:pt idx="53" c:formatCode="yyyy&quot;年&quot;m&quot;月&quot;;@">
                  <c:v>6月</c:v>
                </c:pt>
                <c:pt idx="54" c:formatCode="yyyy&quot;年&quot;m&quot;月&quot;;@">
                  <c:v>7月</c:v>
                </c:pt>
                <c:pt idx="55" c:formatCode="yyyy&quot;年&quot;m&quot;月&quot;;@">
                  <c:v>8月</c:v>
                </c:pt>
                <c:pt idx="56" c:formatCode="yyyy&quot;年&quot;m&quot;月&quot;;@">
                  <c:v>9月</c:v>
                </c:pt>
                <c:pt idx="57" c:formatCode="yyyy&quot;年&quot;m&quot;月&quot;;@">
                  <c:v>10月</c:v>
                </c:pt>
                <c:pt idx="58" c:formatCode="yyyy&quot;年&quot;m&quot;月&quot;;@">
                  <c:v>11月</c:v>
                </c:pt>
                <c:pt idx="59" c:formatCode="yyyy&quot;年&quot;m&quot;月&quot;;@">
                  <c:v>12月</c:v>
                </c:pt>
                <c:pt idx="60" c:formatCode="yyyy&quot;年&quot;m&quot;月&quot;">
                  <c:v>2020年1月</c:v>
                </c:pt>
                <c:pt idx="61" c:formatCode="yyyy&quot;年&quot;m&quot;月&quot;;@">
                  <c:v>2月</c:v>
                </c:pt>
                <c:pt idx="62" c:formatCode="yyyy&quot;年&quot;m&quot;月&quot;;@">
                  <c:v>3月</c:v>
                </c:pt>
                <c:pt idx="63" c:formatCode="yyyy&quot;年&quot;m&quot;月&quot;;@">
                  <c:v>4月</c:v>
                </c:pt>
                <c:pt idx="64" c:formatCode="yyyy&quot;年&quot;m&quot;月&quot;;@">
                  <c:v>5月</c:v>
                </c:pt>
                <c:pt idx="65" c:formatCode="yyyy&quot;年&quot;m&quot;月&quot;;@">
                  <c:v>6月</c:v>
                </c:pt>
                <c:pt idx="66" c:formatCode="yyyy&quot;年&quot;m&quot;月&quot;;@">
                  <c:v>7月</c:v>
                </c:pt>
                <c:pt idx="67" c:formatCode="yyyy&quot;年&quot;m&quot;月&quot;;@">
                  <c:v>8月</c:v>
                </c:pt>
                <c:pt idx="68" c:formatCode="yyyy&quot;年&quot;m&quot;月&quot;;@">
                  <c:v>9月</c:v>
                </c:pt>
                <c:pt idx="69" c:formatCode="yyyy&quot;年&quot;m&quot;月&quot;;@">
                  <c:v>10月</c:v>
                </c:pt>
                <c:pt idx="70" c:formatCode="yyyy&quot;年&quot;m&quot;月&quot;;@">
                  <c:v>11月</c:v>
                </c:pt>
                <c:pt idx="71" c:formatCode="yyyy&quot;年&quot;m&quot;月&quot;;@">
                  <c:v>12月</c:v>
                </c:pt>
                <c:pt idx="72" c:formatCode="yyyy&quot;年&quot;m&quot;月&quot;">
                  <c:v>2021年1月</c:v>
                </c:pt>
                <c:pt idx="73" c:formatCode="yyyy&quot;年&quot;m&quot;月&quot;;@">
                  <c:v>2月</c:v>
                </c:pt>
                <c:pt idx="74" c:formatCode="yyyy&quot;年&quot;m&quot;月&quot;;@">
                  <c:v>3月</c:v>
                </c:pt>
                <c:pt idx="75" c:formatCode="yyyy&quot;年&quot;m&quot;月&quot;;@">
                  <c:v>4月</c:v>
                </c:pt>
                <c:pt idx="76" c:formatCode="yyyy&quot;年&quot;m&quot;月&quot;;@">
                  <c:v>5月</c:v>
                </c:pt>
                <c:pt idx="77" c:formatCode="yyyy&quot;年&quot;m&quot;月&quot;;@">
                  <c:v>6月</c:v>
                </c:pt>
                <c:pt idx="78" c:formatCode="yyyy&quot;年&quot;m&quot;月&quot;;@">
                  <c:v>7月</c:v>
                </c:pt>
                <c:pt idx="79" c:formatCode="yyyy&quot;年&quot;m&quot;月&quot;;@">
                  <c:v>8月</c:v>
                </c:pt>
                <c:pt idx="80" c:formatCode="yyyy&quot;年&quot;m&quot;月&quot;;@">
                  <c:v>9月</c:v>
                </c:pt>
                <c:pt idx="81" c:formatCode="yyyy&quot;年&quot;m&quot;月&quot;;@">
                  <c:v>10月</c:v>
                </c:pt>
                <c:pt idx="82" c:formatCode="yyyy&quot;年&quot;m&quot;月&quot;;@">
                  <c:v>11月</c:v>
                </c:pt>
                <c:pt idx="83" c:formatCode="yyyy&quot;年&quot;m&quot;月&quot;;@">
                  <c:v>12月</c:v>
                </c:pt>
                <c:pt idx="84" c:formatCode="yyyy&quot;年&quot;m&quot;月&quot;">
                  <c:v>2022年1月</c:v>
                </c:pt>
                <c:pt idx="85" c:formatCode="yyyy&quot;年&quot;m&quot;月&quot;;@">
                  <c:v>2月</c:v>
                </c:pt>
                <c:pt idx="86" c:formatCode="yyyy&quot;年&quot;m&quot;月&quot;;@">
                  <c:v>3月</c:v>
                </c:pt>
                <c:pt idx="87" c:formatCode="yyyy&quot;年&quot;m&quot;月&quot;;@">
                  <c:v>4月</c:v>
                </c:pt>
                <c:pt idx="88" c:formatCode="yyyy&quot;年&quot;m&quot;月&quot;;@">
                  <c:v>5月</c:v>
                </c:pt>
                <c:pt idx="89" c:formatCode="yyyy&quot;年&quot;m&quot;月&quot;;@">
                  <c:v>6月</c:v>
                </c:pt>
                <c:pt idx="90" c:formatCode="yyyy&quot;年&quot;m&quot;月&quot;;@">
                  <c:v>7月</c:v>
                </c:pt>
                <c:pt idx="91" c:formatCode="yyyy&quot;年&quot;m&quot;月&quot;;@">
                  <c:v>8月</c:v>
                </c:pt>
                <c:pt idx="92" c:formatCode="yyyy&quot;年&quot;m&quot;月&quot;;@">
                  <c:v>9月</c:v>
                </c:pt>
                <c:pt idx="93" c:formatCode="yyyy&quot;年&quot;m&quot;月&quot;;@">
                  <c:v>10月</c:v>
                </c:pt>
                <c:pt idx="94" c:formatCode="yyyy&quot;年&quot;m&quot;月&quot;;@">
                  <c:v>11月</c:v>
                </c:pt>
                <c:pt idx="95" c:formatCode="yyyy&quot;年&quot;m&quot;月&quot;;@">
                  <c:v>12月</c:v>
                </c:pt>
                <c:pt idx="96" c:formatCode="yyyy&quot;年&quot;m&quot;月&quot;">
                  <c:v>2023年1月</c:v>
                </c:pt>
                <c:pt idx="97" c:formatCode="yyyy&quot;年&quot;m&quot;月&quot;;@">
                  <c:v>2月</c:v>
                </c:pt>
                <c:pt idx="98" c:formatCode="yyyy&quot;年&quot;m&quot;月&quot;;@">
                  <c:v>3月</c:v>
                </c:pt>
                <c:pt idx="99" c:formatCode="yyyy&quot;年&quot;m&quot;月&quot;;@">
                  <c:v>4月</c:v>
                </c:pt>
                <c:pt idx="100" c:formatCode="yyyy&quot;年&quot;m&quot;月&quot;;@">
                  <c:v>5月</c:v>
                </c:pt>
                <c:pt idx="101" c:formatCode="yyyy&quot;年&quot;m&quot;月&quot;;@">
                  <c:v>6月</c:v>
                </c:pt>
                <c:pt idx="102" c:formatCode="yyyy&quot;年&quot;m&quot;月&quot;;@">
                  <c:v>7月</c:v>
                </c:pt>
                <c:pt idx="103" c:formatCode="yyyy&quot;年&quot;m&quot;月&quot;;@">
                  <c:v>8月</c:v>
                </c:pt>
                <c:pt idx="104" c:formatCode="yyyy&quot;年&quot;m&quot;月&quot;;@">
                  <c:v>9月</c:v>
                </c:pt>
                <c:pt idx="105" c:formatCode="yyyy&quot;年&quot;m&quot;月&quot;;@">
                  <c:v>10月</c:v>
                </c:pt>
                <c:pt idx="106" c:formatCode="yyyy&quot;年&quot;m&quot;月&quot;;@">
                  <c:v>11月</c:v>
                </c:pt>
              </c:strCache>
            </c:strRef>
          </c:cat>
          <c:val>
            <c:numRef>
              <c:f>'[23.7.14(作图)王更抚仙湖水质汇总202304.xlsx]全湖-图'!$N$50:$N$156</c:f>
              <c:numCache>
                <c:formatCode>General</c:formatCode>
                <c:ptCount val="107"/>
                <c:pt idx="0">
                  <c:v>0.18</c:v>
                </c:pt>
                <c:pt idx="1">
                  <c:v>0.17</c:v>
                </c:pt>
                <c:pt idx="2">
                  <c:v>0.14</c:v>
                </c:pt>
                <c:pt idx="3">
                  <c:v>0.15</c:v>
                </c:pt>
                <c:pt idx="4">
                  <c:v>0.16</c:v>
                </c:pt>
                <c:pt idx="5">
                  <c:v>0.18</c:v>
                </c:pt>
                <c:pt idx="6">
                  <c:v>0.17</c:v>
                </c:pt>
                <c:pt idx="7">
                  <c:v>0.16</c:v>
                </c:pt>
                <c:pt idx="8">
                  <c:v>0.15</c:v>
                </c:pt>
                <c:pt idx="9">
                  <c:v>0.18</c:v>
                </c:pt>
                <c:pt idx="10">
                  <c:v>0.19</c:v>
                </c:pt>
                <c:pt idx="11">
                  <c:v>0.2</c:v>
                </c:pt>
                <c:pt idx="12">
                  <c:v>0.19</c:v>
                </c:pt>
                <c:pt idx="13">
                  <c:v>0.185</c:v>
                </c:pt>
                <c:pt idx="14">
                  <c:v>0.19</c:v>
                </c:pt>
                <c:pt idx="15">
                  <c:v>0.17</c:v>
                </c:pt>
                <c:pt idx="16">
                  <c:v>0.15</c:v>
                </c:pt>
                <c:pt idx="17">
                  <c:v>0.15</c:v>
                </c:pt>
                <c:pt idx="18">
                  <c:v>0.17</c:v>
                </c:pt>
                <c:pt idx="19">
                  <c:v>0.16</c:v>
                </c:pt>
                <c:pt idx="20">
                  <c:v>0.19</c:v>
                </c:pt>
                <c:pt idx="21">
                  <c:v>0.16</c:v>
                </c:pt>
                <c:pt idx="22">
                  <c:v>0.15</c:v>
                </c:pt>
                <c:pt idx="23">
                  <c:v>0.19</c:v>
                </c:pt>
                <c:pt idx="24" c:formatCode="@">
                  <c:v>0.18</c:v>
                </c:pt>
                <c:pt idx="25" c:formatCode="@">
                  <c:v>0.18</c:v>
                </c:pt>
                <c:pt idx="26" c:formatCode="@">
                  <c:v>0.19</c:v>
                </c:pt>
                <c:pt idx="27" c:formatCode="@">
                  <c:v>0.18</c:v>
                </c:pt>
                <c:pt idx="28" c:formatCode="@">
                  <c:v>0.18</c:v>
                </c:pt>
                <c:pt idx="29" c:formatCode="@">
                  <c:v>0.16</c:v>
                </c:pt>
                <c:pt idx="30" c:formatCode="@">
                  <c:v>0.18</c:v>
                </c:pt>
                <c:pt idx="31" c:formatCode="@">
                  <c:v>0.17</c:v>
                </c:pt>
                <c:pt idx="32" c:formatCode="@">
                  <c:v>0.17</c:v>
                </c:pt>
                <c:pt idx="33" c:formatCode="@">
                  <c:v>0.19</c:v>
                </c:pt>
                <c:pt idx="34" c:formatCode="@">
                  <c:v>0.18</c:v>
                </c:pt>
                <c:pt idx="35" c:formatCode="@">
                  <c:v>0.18</c:v>
                </c:pt>
                <c:pt idx="36" c:formatCode="@">
                  <c:v>0.26</c:v>
                </c:pt>
                <c:pt idx="37" c:formatCode="@">
                  <c:v>0.245</c:v>
                </c:pt>
                <c:pt idx="38" c:formatCode="@">
                  <c:v>0.18</c:v>
                </c:pt>
                <c:pt idx="40" c:formatCode="@">
                  <c:v>0.16</c:v>
                </c:pt>
                <c:pt idx="41" c:formatCode="@">
                  <c:v>0.14</c:v>
                </c:pt>
                <c:pt idx="42">
                  <c:v>0.2</c:v>
                </c:pt>
                <c:pt idx="43">
                  <c:v>0.16</c:v>
                </c:pt>
                <c:pt idx="44">
                  <c:v>0.19</c:v>
                </c:pt>
                <c:pt idx="45">
                  <c:v>0.2</c:v>
                </c:pt>
                <c:pt idx="46">
                  <c:v>0.24</c:v>
                </c:pt>
                <c:pt idx="47">
                  <c:v>0.13</c:v>
                </c:pt>
                <c:pt idx="48" c:formatCode="@">
                  <c:v>0.17</c:v>
                </c:pt>
                <c:pt idx="49" c:formatCode="@">
                  <c:v>0.1</c:v>
                </c:pt>
                <c:pt idx="50" c:formatCode="@">
                  <c:v>0.28</c:v>
                </c:pt>
                <c:pt idx="51" c:formatCode="@">
                  <c:v>0.12</c:v>
                </c:pt>
                <c:pt idx="52" c:formatCode="@">
                  <c:v>0.09</c:v>
                </c:pt>
                <c:pt idx="53" c:formatCode="@">
                  <c:v>0.12</c:v>
                </c:pt>
                <c:pt idx="54" c:formatCode="@">
                  <c:v>0.17</c:v>
                </c:pt>
                <c:pt idx="55" c:formatCode="@">
                  <c:v>0.18</c:v>
                </c:pt>
                <c:pt idx="56" c:formatCode="@">
                  <c:v>0.14</c:v>
                </c:pt>
                <c:pt idx="57" c:formatCode="@">
                  <c:v>0.12</c:v>
                </c:pt>
                <c:pt idx="58" c:formatCode="@">
                  <c:v>0.24</c:v>
                </c:pt>
                <c:pt idx="59" c:formatCode="@">
                  <c:v>0.09</c:v>
                </c:pt>
                <c:pt idx="60">
                  <c:v>0.1</c:v>
                </c:pt>
                <c:pt idx="61">
                  <c:v>0.02</c:v>
                </c:pt>
                <c:pt idx="62">
                  <c:v>0.02</c:v>
                </c:pt>
                <c:pt idx="63">
                  <c:v>0.3</c:v>
                </c:pt>
                <c:pt idx="64">
                  <c:v>0.3</c:v>
                </c:pt>
                <c:pt idx="65">
                  <c:v>0.08</c:v>
                </c:pt>
                <c:pt idx="66">
                  <c:v>0.12</c:v>
                </c:pt>
                <c:pt idx="67">
                  <c:v>0.08</c:v>
                </c:pt>
                <c:pt idx="68">
                  <c:v>0.16</c:v>
                </c:pt>
                <c:pt idx="69">
                  <c:v>0.2</c:v>
                </c:pt>
                <c:pt idx="70">
                  <c:v>0.2</c:v>
                </c:pt>
                <c:pt idx="71">
                  <c:v>0.08</c:v>
                </c:pt>
                <c:pt idx="72">
                  <c:v>0.16</c:v>
                </c:pt>
                <c:pt idx="73">
                  <c:v>0.15</c:v>
                </c:pt>
                <c:pt idx="74">
                  <c:v>0.16</c:v>
                </c:pt>
                <c:pt idx="75">
                  <c:v>0.16</c:v>
                </c:pt>
                <c:pt idx="76">
                  <c:v>0.17</c:v>
                </c:pt>
                <c:pt idx="77">
                  <c:v>0.15</c:v>
                </c:pt>
                <c:pt idx="78">
                  <c:v>0.17</c:v>
                </c:pt>
                <c:pt idx="79">
                  <c:v>0.18</c:v>
                </c:pt>
                <c:pt idx="80">
                  <c:v>0.15</c:v>
                </c:pt>
                <c:pt idx="81">
                  <c:v>0.16</c:v>
                </c:pt>
                <c:pt idx="82">
                  <c:v>0.15</c:v>
                </c:pt>
                <c:pt idx="83">
                  <c:v>0.18</c:v>
                </c:pt>
                <c:pt idx="84">
                  <c:v>0.18</c:v>
                </c:pt>
                <c:pt idx="85">
                  <c:v>0.17</c:v>
                </c:pt>
                <c:pt idx="86">
                  <c:v>0.006</c:v>
                </c:pt>
                <c:pt idx="87">
                  <c:v>0.18</c:v>
                </c:pt>
                <c:pt idx="88">
                  <c:v>0.18</c:v>
                </c:pt>
                <c:pt idx="89">
                  <c:v>0.18</c:v>
                </c:pt>
                <c:pt idx="90">
                  <c:v>0.18</c:v>
                </c:pt>
                <c:pt idx="91">
                  <c:v>0.17</c:v>
                </c:pt>
                <c:pt idx="92">
                  <c:v>0.003</c:v>
                </c:pt>
                <c:pt idx="93">
                  <c:v>0.19</c:v>
                </c:pt>
                <c:pt idx="94">
                  <c:v>0.16</c:v>
                </c:pt>
                <c:pt idx="95">
                  <c:v>0.14</c:v>
                </c:pt>
                <c:pt idx="96">
                  <c:v>0.13</c:v>
                </c:pt>
                <c:pt idx="97">
                  <c:v>0.14</c:v>
                </c:pt>
                <c:pt idx="98">
                  <c:v>0.14</c:v>
                </c:pt>
                <c:pt idx="99">
                  <c:v>0.15</c:v>
                </c:pt>
                <c:pt idx="100">
                  <c:v>0.18</c:v>
                </c:pt>
                <c:pt idx="101">
                  <c:v>0.18</c:v>
                </c:pt>
                <c:pt idx="102">
                  <c:v>0.17</c:v>
                </c:pt>
                <c:pt idx="103">
                  <c:v>0.15</c:v>
                </c:pt>
                <c:pt idx="104">
                  <c:v>0.14</c:v>
                </c:pt>
                <c:pt idx="105">
                  <c:v>0.16</c:v>
                </c:pt>
                <c:pt idx="106">
                  <c:v>0.17</c:v>
                </c:pt>
              </c:numCache>
            </c:numRef>
          </c:val>
          <c:smooth val="true"/>
        </c:ser>
        <c:ser>
          <c:idx val="1"/>
          <c:order val="1"/>
          <c:tx>
            <c:strRef>
              <c:f>'[23.7.14(作图)王更抚仙湖水质汇总202304.xlsx]全湖-图'!$O$1</c:f>
              <c:strCache>
                <c:ptCount val="1"/>
                <c:pt idx="0">
                  <c:v>TN I类限值</c:v>
                </c:pt>
              </c:strCache>
            </c:strRef>
          </c:tx>
          <c:spPr>
            <a:ln w="28575" cap="rnd" cmpd="sng">
              <a:solidFill>
                <a:schemeClr val="accent2"/>
              </a:solidFill>
              <a:prstDash val="solid"/>
              <a:round/>
            </a:ln>
            <a:effectLst/>
          </c:spPr>
          <c:marker>
            <c:symbol val="none"/>
          </c:marker>
          <c:dLbls>
            <c:delete val="true"/>
          </c:dLbls>
          <c:cat>
            <c:strRef>
              <c:f>'[23.7.14(作图)王更抚仙湖水质汇总202304.xlsx]全湖-图'!$A$50:$A$156</c:f>
              <c:strCache>
                <c:ptCount val="107"/>
                <c:pt idx="0" c:formatCode="yyyy&quot;年&quot;m&quot;月&quot;;@">
                  <c:v>2015年1月</c:v>
                </c:pt>
                <c:pt idx="1" c:formatCode="yyyy&quot;年&quot;m&quot;月&quot;;@">
                  <c:v>2月</c:v>
                </c:pt>
                <c:pt idx="2" c:formatCode="yyyy&quot;年&quot;m&quot;月&quot;;@">
                  <c:v>3月</c:v>
                </c:pt>
                <c:pt idx="3" c:formatCode="yyyy&quot;年&quot;m&quot;月&quot;;@">
                  <c:v>4月</c:v>
                </c:pt>
                <c:pt idx="4" c:formatCode="yyyy&quot;年&quot;m&quot;月&quot;;@">
                  <c:v>5月</c:v>
                </c:pt>
                <c:pt idx="5" c:formatCode="yyyy&quot;年&quot;m&quot;月&quot;;@">
                  <c:v>6月</c:v>
                </c:pt>
                <c:pt idx="6" c:formatCode="yyyy&quot;年&quot;m&quot;月&quot;;@">
                  <c:v>7月</c:v>
                </c:pt>
                <c:pt idx="7" c:formatCode="yyyy&quot;年&quot;m&quot;月&quot;;@">
                  <c:v>8月</c:v>
                </c:pt>
                <c:pt idx="8" c:formatCode="yyyy&quot;年&quot;m&quot;月&quot;;@">
                  <c:v>9月</c:v>
                </c:pt>
                <c:pt idx="9" c:formatCode="yyyy&quot;年&quot;m&quot;月&quot;;@">
                  <c:v>10月</c:v>
                </c:pt>
                <c:pt idx="10" c:formatCode="yyyy&quot;年&quot;m&quot;月&quot;;@">
                  <c:v>11月</c:v>
                </c:pt>
                <c:pt idx="11" c:formatCode="yyyy&quot;年&quot;m&quot;月&quot;;@">
                  <c:v>12月</c:v>
                </c:pt>
                <c:pt idx="12" c:formatCode="@">
                  <c:v>2016年1月</c:v>
                </c:pt>
                <c:pt idx="13" c:formatCode="yyyy&quot;年&quot;m&quot;月&quot;;@">
                  <c:v>2月</c:v>
                </c:pt>
                <c:pt idx="14" c:formatCode="yyyy&quot;年&quot;m&quot;月&quot;;@">
                  <c:v>3月</c:v>
                </c:pt>
                <c:pt idx="15" c:formatCode="yyyy&quot;年&quot;m&quot;月&quot;;@">
                  <c:v>4月</c:v>
                </c:pt>
                <c:pt idx="16" c:formatCode="yyyy&quot;年&quot;m&quot;月&quot;;@">
                  <c:v>5月</c:v>
                </c:pt>
                <c:pt idx="17" c:formatCode="yyyy&quot;年&quot;m&quot;月&quot;;@">
                  <c:v>6月</c:v>
                </c:pt>
                <c:pt idx="18" c:formatCode="yyyy&quot;年&quot;m&quot;月&quot;;@">
                  <c:v>7月</c:v>
                </c:pt>
                <c:pt idx="19" c:formatCode="yyyy&quot;年&quot;m&quot;月&quot;;@">
                  <c:v>8月</c:v>
                </c:pt>
                <c:pt idx="20" c:formatCode="yyyy&quot;年&quot;m&quot;月&quot;;@">
                  <c:v>9月</c:v>
                </c:pt>
                <c:pt idx="21" c:formatCode="yyyy&quot;年&quot;m&quot;月&quot;;@">
                  <c:v>10月</c:v>
                </c:pt>
                <c:pt idx="22" c:formatCode="yyyy&quot;年&quot;m&quot;月&quot;;@">
                  <c:v>11月</c:v>
                </c:pt>
                <c:pt idx="23" c:formatCode="yyyy&quot;年&quot;m&quot;月&quot;;@">
                  <c:v>12月</c:v>
                </c:pt>
                <c:pt idx="24" c:formatCode="yyyy&quot;年&quot;m&quot;月&quot;;@">
                  <c:v>2017年1月</c:v>
                </c:pt>
                <c:pt idx="25" c:formatCode="yyyy&quot;年&quot;m&quot;月&quot;;@">
                  <c:v>2月</c:v>
                </c:pt>
                <c:pt idx="26" c:formatCode="yyyy&quot;年&quot;m&quot;月&quot;;@">
                  <c:v>3月</c:v>
                </c:pt>
                <c:pt idx="27" c:formatCode="yyyy&quot;年&quot;m&quot;月&quot;;@">
                  <c:v>4月</c:v>
                </c:pt>
                <c:pt idx="28" c:formatCode="yyyy&quot;年&quot;m&quot;月&quot;;@">
                  <c:v>5月</c:v>
                </c:pt>
                <c:pt idx="29" c:formatCode="yyyy&quot;年&quot;m&quot;月&quot;;@">
                  <c:v>6月</c:v>
                </c:pt>
                <c:pt idx="30" c:formatCode="yyyy&quot;年&quot;m&quot;月&quot;;@">
                  <c:v>7月</c:v>
                </c:pt>
                <c:pt idx="31" c:formatCode="yyyy&quot;年&quot;m&quot;月&quot;;@">
                  <c:v>8月</c:v>
                </c:pt>
                <c:pt idx="32" c:formatCode="yyyy&quot;年&quot;m&quot;月&quot;;@">
                  <c:v>9月</c:v>
                </c:pt>
                <c:pt idx="33" c:formatCode="yyyy&quot;年&quot;m&quot;月&quot;;@">
                  <c:v>10月</c:v>
                </c:pt>
                <c:pt idx="34" c:formatCode="yyyy&quot;年&quot;m&quot;月&quot;;@">
                  <c:v>11月</c:v>
                </c:pt>
                <c:pt idx="35" c:formatCode="yyyy&quot;年&quot;m&quot;月&quot;;@">
                  <c:v>12月</c:v>
                </c:pt>
                <c:pt idx="36" c:formatCode="yyyy&quot;年&quot;m&quot;月&quot;;@">
                  <c:v>2018年1月</c:v>
                </c:pt>
                <c:pt idx="37" c:formatCode="yyyy&quot;年&quot;m&quot;月&quot;;@">
                  <c:v>2月</c:v>
                </c:pt>
                <c:pt idx="38" c:formatCode="yyyy&quot;年&quot;m&quot;月&quot;;@">
                  <c:v>3月</c:v>
                </c:pt>
                <c:pt idx="39" c:formatCode="yyyy&quot;年&quot;m&quot;月&quot;;@">
                  <c:v>4月</c:v>
                </c:pt>
                <c:pt idx="40" c:formatCode="yyyy&quot;年&quot;m&quot;月&quot;;@">
                  <c:v>5月</c:v>
                </c:pt>
                <c:pt idx="41" c:formatCode="yyyy&quot;年&quot;m&quot;月&quot;;@">
                  <c:v>6月</c:v>
                </c:pt>
                <c:pt idx="42" c:formatCode="yyyy&quot;年&quot;m&quot;月&quot;;@">
                  <c:v>7月</c:v>
                </c:pt>
                <c:pt idx="43" c:formatCode="yyyy&quot;年&quot;m&quot;月&quot;;@">
                  <c:v>8月</c:v>
                </c:pt>
                <c:pt idx="44" c:formatCode="yyyy&quot;年&quot;m&quot;月&quot;;@">
                  <c:v>9月</c:v>
                </c:pt>
                <c:pt idx="45" c:formatCode="yyyy&quot;年&quot;m&quot;月&quot;;@">
                  <c:v>10月</c:v>
                </c:pt>
                <c:pt idx="46" c:formatCode="yyyy&quot;年&quot;m&quot;月&quot;;@">
                  <c:v>11月</c:v>
                </c:pt>
                <c:pt idx="47" c:formatCode="yyyy&quot;年&quot;m&quot;月&quot;;@">
                  <c:v>12月</c:v>
                </c:pt>
                <c:pt idx="48" c:formatCode="yyyy&quot;年&quot;m&quot;月&quot;">
                  <c:v>2019年1月</c:v>
                </c:pt>
                <c:pt idx="49" c:formatCode="yyyy&quot;年&quot;m&quot;月&quot;;@">
                  <c:v>2月</c:v>
                </c:pt>
                <c:pt idx="50" c:formatCode="yyyy&quot;年&quot;m&quot;月&quot;;@">
                  <c:v>3月</c:v>
                </c:pt>
                <c:pt idx="51" c:formatCode="yyyy&quot;年&quot;m&quot;月&quot;;@">
                  <c:v>4月</c:v>
                </c:pt>
                <c:pt idx="52" c:formatCode="yyyy&quot;年&quot;m&quot;月&quot;;@">
                  <c:v>5月</c:v>
                </c:pt>
                <c:pt idx="53" c:formatCode="yyyy&quot;年&quot;m&quot;月&quot;;@">
                  <c:v>6月</c:v>
                </c:pt>
                <c:pt idx="54" c:formatCode="yyyy&quot;年&quot;m&quot;月&quot;;@">
                  <c:v>7月</c:v>
                </c:pt>
                <c:pt idx="55" c:formatCode="yyyy&quot;年&quot;m&quot;月&quot;;@">
                  <c:v>8月</c:v>
                </c:pt>
                <c:pt idx="56" c:formatCode="yyyy&quot;年&quot;m&quot;月&quot;;@">
                  <c:v>9月</c:v>
                </c:pt>
                <c:pt idx="57" c:formatCode="yyyy&quot;年&quot;m&quot;月&quot;;@">
                  <c:v>10月</c:v>
                </c:pt>
                <c:pt idx="58" c:formatCode="yyyy&quot;年&quot;m&quot;月&quot;;@">
                  <c:v>11月</c:v>
                </c:pt>
                <c:pt idx="59" c:formatCode="yyyy&quot;年&quot;m&quot;月&quot;;@">
                  <c:v>12月</c:v>
                </c:pt>
                <c:pt idx="60" c:formatCode="yyyy&quot;年&quot;m&quot;月&quot;">
                  <c:v>2020年1月</c:v>
                </c:pt>
                <c:pt idx="61" c:formatCode="yyyy&quot;年&quot;m&quot;月&quot;;@">
                  <c:v>2月</c:v>
                </c:pt>
                <c:pt idx="62" c:formatCode="yyyy&quot;年&quot;m&quot;月&quot;;@">
                  <c:v>3月</c:v>
                </c:pt>
                <c:pt idx="63" c:formatCode="yyyy&quot;年&quot;m&quot;月&quot;;@">
                  <c:v>4月</c:v>
                </c:pt>
                <c:pt idx="64" c:formatCode="yyyy&quot;年&quot;m&quot;月&quot;;@">
                  <c:v>5月</c:v>
                </c:pt>
                <c:pt idx="65" c:formatCode="yyyy&quot;年&quot;m&quot;月&quot;;@">
                  <c:v>6月</c:v>
                </c:pt>
                <c:pt idx="66" c:formatCode="yyyy&quot;年&quot;m&quot;月&quot;;@">
                  <c:v>7月</c:v>
                </c:pt>
                <c:pt idx="67" c:formatCode="yyyy&quot;年&quot;m&quot;月&quot;;@">
                  <c:v>8月</c:v>
                </c:pt>
                <c:pt idx="68" c:formatCode="yyyy&quot;年&quot;m&quot;月&quot;;@">
                  <c:v>9月</c:v>
                </c:pt>
                <c:pt idx="69" c:formatCode="yyyy&quot;年&quot;m&quot;月&quot;;@">
                  <c:v>10月</c:v>
                </c:pt>
                <c:pt idx="70" c:formatCode="yyyy&quot;年&quot;m&quot;月&quot;;@">
                  <c:v>11月</c:v>
                </c:pt>
                <c:pt idx="71" c:formatCode="yyyy&quot;年&quot;m&quot;月&quot;;@">
                  <c:v>12月</c:v>
                </c:pt>
                <c:pt idx="72" c:formatCode="yyyy&quot;年&quot;m&quot;月&quot;">
                  <c:v>2021年1月</c:v>
                </c:pt>
                <c:pt idx="73" c:formatCode="yyyy&quot;年&quot;m&quot;月&quot;;@">
                  <c:v>2月</c:v>
                </c:pt>
                <c:pt idx="74" c:formatCode="yyyy&quot;年&quot;m&quot;月&quot;;@">
                  <c:v>3月</c:v>
                </c:pt>
                <c:pt idx="75" c:formatCode="yyyy&quot;年&quot;m&quot;月&quot;;@">
                  <c:v>4月</c:v>
                </c:pt>
                <c:pt idx="76" c:formatCode="yyyy&quot;年&quot;m&quot;月&quot;;@">
                  <c:v>5月</c:v>
                </c:pt>
                <c:pt idx="77" c:formatCode="yyyy&quot;年&quot;m&quot;月&quot;;@">
                  <c:v>6月</c:v>
                </c:pt>
                <c:pt idx="78" c:formatCode="yyyy&quot;年&quot;m&quot;月&quot;;@">
                  <c:v>7月</c:v>
                </c:pt>
                <c:pt idx="79" c:formatCode="yyyy&quot;年&quot;m&quot;月&quot;;@">
                  <c:v>8月</c:v>
                </c:pt>
                <c:pt idx="80" c:formatCode="yyyy&quot;年&quot;m&quot;月&quot;;@">
                  <c:v>9月</c:v>
                </c:pt>
                <c:pt idx="81" c:formatCode="yyyy&quot;年&quot;m&quot;月&quot;;@">
                  <c:v>10月</c:v>
                </c:pt>
                <c:pt idx="82" c:formatCode="yyyy&quot;年&quot;m&quot;月&quot;;@">
                  <c:v>11月</c:v>
                </c:pt>
                <c:pt idx="83" c:formatCode="yyyy&quot;年&quot;m&quot;月&quot;;@">
                  <c:v>12月</c:v>
                </c:pt>
                <c:pt idx="84" c:formatCode="yyyy&quot;年&quot;m&quot;月&quot;">
                  <c:v>2022年1月</c:v>
                </c:pt>
                <c:pt idx="85" c:formatCode="yyyy&quot;年&quot;m&quot;月&quot;;@">
                  <c:v>2月</c:v>
                </c:pt>
                <c:pt idx="86" c:formatCode="yyyy&quot;年&quot;m&quot;月&quot;;@">
                  <c:v>3月</c:v>
                </c:pt>
                <c:pt idx="87" c:formatCode="yyyy&quot;年&quot;m&quot;月&quot;;@">
                  <c:v>4月</c:v>
                </c:pt>
                <c:pt idx="88" c:formatCode="yyyy&quot;年&quot;m&quot;月&quot;;@">
                  <c:v>5月</c:v>
                </c:pt>
                <c:pt idx="89" c:formatCode="yyyy&quot;年&quot;m&quot;月&quot;;@">
                  <c:v>6月</c:v>
                </c:pt>
                <c:pt idx="90" c:formatCode="yyyy&quot;年&quot;m&quot;月&quot;;@">
                  <c:v>7月</c:v>
                </c:pt>
                <c:pt idx="91" c:formatCode="yyyy&quot;年&quot;m&quot;月&quot;;@">
                  <c:v>8月</c:v>
                </c:pt>
                <c:pt idx="92" c:formatCode="yyyy&quot;年&quot;m&quot;月&quot;;@">
                  <c:v>9月</c:v>
                </c:pt>
                <c:pt idx="93" c:formatCode="yyyy&quot;年&quot;m&quot;月&quot;;@">
                  <c:v>10月</c:v>
                </c:pt>
                <c:pt idx="94" c:formatCode="yyyy&quot;年&quot;m&quot;月&quot;;@">
                  <c:v>11月</c:v>
                </c:pt>
                <c:pt idx="95" c:formatCode="yyyy&quot;年&quot;m&quot;月&quot;;@">
                  <c:v>12月</c:v>
                </c:pt>
                <c:pt idx="96" c:formatCode="yyyy&quot;年&quot;m&quot;月&quot;">
                  <c:v>2023年1月</c:v>
                </c:pt>
                <c:pt idx="97" c:formatCode="yyyy&quot;年&quot;m&quot;月&quot;;@">
                  <c:v>2月</c:v>
                </c:pt>
                <c:pt idx="98" c:formatCode="yyyy&quot;年&quot;m&quot;月&quot;;@">
                  <c:v>3月</c:v>
                </c:pt>
                <c:pt idx="99" c:formatCode="yyyy&quot;年&quot;m&quot;月&quot;;@">
                  <c:v>4月</c:v>
                </c:pt>
                <c:pt idx="100" c:formatCode="yyyy&quot;年&quot;m&quot;月&quot;;@">
                  <c:v>5月</c:v>
                </c:pt>
                <c:pt idx="101" c:formatCode="yyyy&quot;年&quot;m&quot;月&quot;;@">
                  <c:v>6月</c:v>
                </c:pt>
                <c:pt idx="102" c:formatCode="yyyy&quot;年&quot;m&quot;月&quot;;@">
                  <c:v>7月</c:v>
                </c:pt>
                <c:pt idx="103" c:formatCode="yyyy&quot;年&quot;m&quot;月&quot;;@">
                  <c:v>8月</c:v>
                </c:pt>
                <c:pt idx="104" c:formatCode="yyyy&quot;年&quot;m&quot;月&quot;;@">
                  <c:v>9月</c:v>
                </c:pt>
                <c:pt idx="105" c:formatCode="yyyy&quot;年&quot;m&quot;月&quot;;@">
                  <c:v>10月</c:v>
                </c:pt>
                <c:pt idx="106" c:formatCode="yyyy&quot;年&quot;m&quot;月&quot;;@">
                  <c:v>11月</c:v>
                </c:pt>
              </c:strCache>
            </c:strRef>
          </c:cat>
          <c:val>
            <c:numRef>
              <c:f>'[23.7.14(作图)王更抚仙湖水质汇总202304.xlsx]全湖-图'!$O$50:$O$156</c:f>
              <c:numCache>
                <c:formatCode>General</c:formatCode>
                <c:ptCount val="107"/>
                <c:pt idx="0">
                  <c:v>0.2</c:v>
                </c:pt>
                <c:pt idx="1">
                  <c:v>0.2</c:v>
                </c:pt>
                <c:pt idx="2">
                  <c:v>0.2</c:v>
                </c:pt>
                <c:pt idx="3">
                  <c:v>0.2</c:v>
                </c:pt>
                <c:pt idx="4">
                  <c:v>0.2</c:v>
                </c:pt>
                <c:pt idx="5">
                  <c:v>0.2</c:v>
                </c:pt>
                <c:pt idx="6">
                  <c:v>0.2</c:v>
                </c:pt>
                <c:pt idx="7">
                  <c:v>0.2</c:v>
                </c:pt>
                <c:pt idx="8">
                  <c:v>0.2</c:v>
                </c:pt>
                <c:pt idx="9">
                  <c:v>0.2</c:v>
                </c:pt>
                <c:pt idx="10">
                  <c:v>0.2</c:v>
                </c:pt>
                <c:pt idx="11">
                  <c:v>0.2</c:v>
                </c:pt>
                <c:pt idx="12">
                  <c:v>0.2</c:v>
                </c:pt>
                <c:pt idx="13">
                  <c:v>0.2</c:v>
                </c:pt>
                <c:pt idx="14">
                  <c:v>0.2</c:v>
                </c:pt>
                <c:pt idx="15">
                  <c:v>0.2</c:v>
                </c:pt>
                <c:pt idx="16">
                  <c:v>0.2</c:v>
                </c:pt>
                <c:pt idx="17">
                  <c:v>0.2</c:v>
                </c:pt>
                <c:pt idx="18">
                  <c:v>0.2</c:v>
                </c:pt>
                <c:pt idx="19">
                  <c:v>0.2</c:v>
                </c:pt>
                <c:pt idx="20">
                  <c:v>0.2</c:v>
                </c:pt>
                <c:pt idx="21">
                  <c:v>0.2</c:v>
                </c:pt>
                <c:pt idx="22">
                  <c:v>0.2</c:v>
                </c:pt>
                <c:pt idx="23">
                  <c:v>0.2</c:v>
                </c:pt>
                <c:pt idx="24">
                  <c:v>0.2</c:v>
                </c:pt>
                <c:pt idx="25">
                  <c:v>0.2</c:v>
                </c:pt>
                <c:pt idx="26">
                  <c:v>0.2</c:v>
                </c:pt>
                <c:pt idx="27">
                  <c:v>0.2</c:v>
                </c:pt>
                <c:pt idx="28">
                  <c:v>0.2</c:v>
                </c:pt>
                <c:pt idx="29">
                  <c:v>0.2</c:v>
                </c:pt>
                <c:pt idx="30">
                  <c:v>0.2</c:v>
                </c:pt>
                <c:pt idx="31">
                  <c:v>0.2</c:v>
                </c:pt>
                <c:pt idx="32">
                  <c:v>0.2</c:v>
                </c:pt>
                <c:pt idx="33">
                  <c:v>0.2</c:v>
                </c:pt>
                <c:pt idx="34">
                  <c:v>0.2</c:v>
                </c:pt>
                <c:pt idx="35">
                  <c:v>0.2</c:v>
                </c:pt>
                <c:pt idx="36">
                  <c:v>0.2</c:v>
                </c:pt>
                <c:pt idx="37">
                  <c:v>0.2</c:v>
                </c:pt>
                <c:pt idx="38">
                  <c:v>0.2</c:v>
                </c:pt>
                <c:pt idx="39">
                  <c:v>0.2</c:v>
                </c:pt>
                <c:pt idx="40">
                  <c:v>0.2</c:v>
                </c:pt>
                <c:pt idx="41">
                  <c:v>0.2</c:v>
                </c:pt>
                <c:pt idx="42">
                  <c:v>0.2</c:v>
                </c:pt>
                <c:pt idx="43">
                  <c:v>0.2</c:v>
                </c:pt>
                <c:pt idx="44">
                  <c:v>0.2</c:v>
                </c:pt>
                <c:pt idx="45">
                  <c:v>0.2</c:v>
                </c:pt>
                <c:pt idx="46">
                  <c:v>0.2</c:v>
                </c:pt>
                <c:pt idx="47">
                  <c:v>0.2</c:v>
                </c:pt>
                <c:pt idx="48">
                  <c:v>0.2</c:v>
                </c:pt>
                <c:pt idx="49">
                  <c:v>0.2</c:v>
                </c:pt>
                <c:pt idx="50">
                  <c:v>0.2</c:v>
                </c:pt>
                <c:pt idx="51">
                  <c:v>0.2</c:v>
                </c:pt>
                <c:pt idx="52">
                  <c:v>0.2</c:v>
                </c:pt>
                <c:pt idx="53">
                  <c:v>0.2</c:v>
                </c:pt>
                <c:pt idx="54">
                  <c:v>0.2</c:v>
                </c:pt>
                <c:pt idx="55">
                  <c:v>0.2</c:v>
                </c:pt>
                <c:pt idx="56">
                  <c:v>0.2</c:v>
                </c:pt>
                <c:pt idx="57">
                  <c:v>0.2</c:v>
                </c:pt>
                <c:pt idx="58">
                  <c:v>0.2</c:v>
                </c:pt>
                <c:pt idx="59">
                  <c:v>0.2</c:v>
                </c:pt>
                <c:pt idx="60">
                  <c:v>0.2</c:v>
                </c:pt>
                <c:pt idx="61">
                  <c:v>0.2</c:v>
                </c:pt>
                <c:pt idx="62">
                  <c:v>0.2</c:v>
                </c:pt>
                <c:pt idx="63">
                  <c:v>0.2</c:v>
                </c:pt>
                <c:pt idx="64">
                  <c:v>0.2</c:v>
                </c:pt>
                <c:pt idx="65">
                  <c:v>0.2</c:v>
                </c:pt>
                <c:pt idx="66">
                  <c:v>0.2</c:v>
                </c:pt>
                <c:pt idx="67">
                  <c:v>0.2</c:v>
                </c:pt>
                <c:pt idx="68">
                  <c:v>0.2</c:v>
                </c:pt>
                <c:pt idx="69">
                  <c:v>0.2</c:v>
                </c:pt>
                <c:pt idx="70">
                  <c:v>0.2</c:v>
                </c:pt>
                <c:pt idx="71">
                  <c:v>0.2</c:v>
                </c:pt>
                <c:pt idx="72">
                  <c:v>0.2</c:v>
                </c:pt>
                <c:pt idx="73">
                  <c:v>0.2</c:v>
                </c:pt>
                <c:pt idx="74">
                  <c:v>0.2</c:v>
                </c:pt>
                <c:pt idx="75">
                  <c:v>0.2</c:v>
                </c:pt>
                <c:pt idx="76">
                  <c:v>0.2</c:v>
                </c:pt>
                <c:pt idx="77">
                  <c:v>0.2</c:v>
                </c:pt>
                <c:pt idx="78">
                  <c:v>0.2</c:v>
                </c:pt>
                <c:pt idx="79">
                  <c:v>0.2</c:v>
                </c:pt>
                <c:pt idx="80">
                  <c:v>0.2</c:v>
                </c:pt>
                <c:pt idx="81">
                  <c:v>0.2</c:v>
                </c:pt>
                <c:pt idx="82">
                  <c:v>0.2</c:v>
                </c:pt>
                <c:pt idx="83">
                  <c:v>0.2</c:v>
                </c:pt>
                <c:pt idx="84">
                  <c:v>0.2</c:v>
                </c:pt>
                <c:pt idx="85">
                  <c:v>0.2</c:v>
                </c:pt>
                <c:pt idx="86">
                  <c:v>0.2</c:v>
                </c:pt>
                <c:pt idx="87">
                  <c:v>0.2</c:v>
                </c:pt>
                <c:pt idx="88">
                  <c:v>0.2</c:v>
                </c:pt>
                <c:pt idx="89">
                  <c:v>0.2</c:v>
                </c:pt>
                <c:pt idx="90">
                  <c:v>0.2</c:v>
                </c:pt>
                <c:pt idx="91">
                  <c:v>0.2</c:v>
                </c:pt>
                <c:pt idx="92">
                  <c:v>0.2</c:v>
                </c:pt>
                <c:pt idx="93">
                  <c:v>0.2</c:v>
                </c:pt>
                <c:pt idx="94">
                  <c:v>0.2</c:v>
                </c:pt>
                <c:pt idx="95">
                  <c:v>0.2</c:v>
                </c:pt>
                <c:pt idx="96">
                  <c:v>0.2</c:v>
                </c:pt>
                <c:pt idx="97">
                  <c:v>0.2</c:v>
                </c:pt>
                <c:pt idx="98">
                  <c:v>0.2</c:v>
                </c:pt>
                <c:pt idx="99">
                  <c:v>0.2</c:v>
                </c:pt>
                <c:pt idx="100">
                  <c:v>0.2</c:v>
                </c:pt>
                <c:pt idx="101">
                  <c:v>0.2</c:v>
                </c:pt>
                <c:pt idx="102">
                  <c:v>0.2</c:v>
                </c:pt>
                <c:pt idx="103">
                  <c:v>0.2</c:v>
                </c:pt>
                <c:pt idx="104">
                  <c:v>0.2</c:v>
                </c:pt>
                <c:pt idx="105">
                  <c:v>0.2</c:v>
                </c:pt>
                <c:pt idx="106">
                  <c:v>0.2</c:v>
                </c:pt>
              </c:numCache>
            </c:numRef>
          </c:val>
          <c:smooth val="true"/>
        </c:ser>
        <c:dLbls>
          <c:showLegendKey val="false"/>
          <c:showVal val="false"/>
          <c:showCatName val="false"/>
          <c:showSerName val="false"/>
          <c:showPercent val="false"/>
          <c:showBubbleSize val="false"/>
        </c:dLbls>
        <c:dropLines>
          <c:spPr>
            <a:ln w="12700" cap="flat" cmpd="sng" algn="ctr">
              <a:noFill/>
              <a:prstDash val="sysDash"/>
              <a:round/>
            </a:ln>
            <a:effectLst/>
          </c:spPr>
        </c:dropLines>
        <c:marker val="false"/>
        <c:smooth val="true"/>
        <c:axId val="582412528"/>
        <c:axId val="1"/>
      </c:lineChart>
      <c:catAx>
        <c:axId val="582412528"/>
        <c:scaling>
          <c:orientation val="minMax"/>
        </c:scaling>
        <c:delete val="false"/>
        <c:axPos val="b"/>
        <c:majorGridlines>
          <c:spPr>
            <a:ln w="9525" cap="flat" cmpd="sng" algn="ctr">
              <a:solidFill>
                <a:schemeClr val="bg1">
                  <a:lumMod val="95000"/>
                </a:schemeClr>
              </a:solidFill>
              <a:round/>
            </a:ln>
            <a:effectLst/>
          </c:spPr>
        </c:majorGridlines>
        <c:numFmt formatCode="General" sourceLinked="true"/>
        <c:majorTickMark val="none"/>
        <c:minorTickMark val="none"/>
        <c:tickLblPos val="nextTo"/>
        <c:spPr>
          <a:noFill/>
          <a:ln w="9525" cap="flat" cmpd="sng" algn="ctr">
            <a:solidFill>
              <a:schemeClr val="bg1">
                <a:lumMod val="95000"/>
              </a:schemeClr>
            </a:solidFill>
            <a:round/>
          </a:ln>
          <a:effectLst/>
        </c:spPr>
        <c:txPr>
          <a:bodyPr rot="-60000000" spcFirstLastPara="0" vertOverflow="ellipsis" vert="horz" wrap="square" anchor="ctr" anchorCtr="true" forceAA="false"/>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
        <c:crosses val="autoZero"/>
        <c:auto val="true"/>
        <c:lblAlgn val="ctr"/>
        <c:lblOffset val="100"/>
        <c:noMultiLvlLbl val="false"/>
      </c:catAx>
      <c:valAx>
        <c:axId val="1"/>
        <c:scaling>
          <c:orientation val="minMax"/>
        </c:scaling>
        <c:delete val="false"/>
        <c:axPos val="l"/>
        <c:majorGridlines>
          <c:spPr>
            <a:ln w="12700" cap="flat" cmpd="sng" algn="ctr">
              <a:solidFill>
                <a:schemeClr val="bg1">
                  <a:lumMod val="95000"/>
                </a:schemeClr>
              </a:solidFill>
              <a:prstDash val="solid"/>
              <a:round/>
            </a:ln>
            <a:effectLst/>
          </c:spPr>
        </c:majorGridlines>
        <c:numFmt formatCode="General" sourceLinked="true"/>
        <c:majorTickMark val="none"/>
        <c:minorTickMark val="none"/>
        <c:tickLblPos val="nextTo"/>
        <c:spPr>
          <a:noFill/>
          <a:ln w="9525" cap="flat" cmpd="sng" algn="ctr">
            <a:noFill/>
            <a:round/>
          </a:ln>
          <a:effectLst/>
        </c:spPr>
        <c:txPr>
          <a:bodyPr rot="-60000000" spcFirstLastPara="0" vertOverflow="ellipsis" vert="horz" wrap="square" anchor="ctr" anchorCtr="true" forceAA="false"/>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582412528"/>
        <c:crosses val="autoZero"/>
        <c:crossBetween val="between"/>
      </c:valAx>
      <c:spPr>
        <a:noFill/>
        <a:ln>
          <a:noFill/>
        </a:ln>
        <a:effectLst/>
      </c:spPr>
    </c:plotArea>
    <c:legend>
      <c:legendPos val="t"/>
      <c:legendEntry>
        <c:idx val="0"/>
        <c:txPr>
          <a:bodyPr rot="0" spcFirstLastPara="0" vertOverflow="ellipsis" vert="horz" wrap="square" anchor="ctr" anchorCtr="true"/>
          <a:lstStyle/>
          <a:p>
            <a:pPr>
              <a:defRPr lang="zh-CN" sz="14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true"/>
          <a:lstStyle/>
          <a:p>
            <a:pPr>
              <a:defRPr lang="zh-CN" sz="14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overlay val="false"/>
      <c:spPr>
        <a:noFill/>
        <a:ln>
          <a:noFill/>
        </a:ln>
        <a:effectLst/>
      </c:spPr>
      <c:txPr>
        <a:bodyPr rot="0" spcFirstLastPara="0" vertOverflow="ellipsis" vert="horz" wrap="square" anchor="ctr" anchorCtr="true" forceAA="false"/>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true"/>
    <c:dispBlanksAs val="gap"/>
    <c:showDLblsOverMax val="false"/>
  </c:chart>
  <c:spPr>
    <a:solidFill>
      <a:schemeClr val="bg1"/>
    </a:solidFill>
    <a:ln w="12700" cap="flat" cmpd="sng" algn="ctr">
      <a:solidFill>
        <a:schemeClr val="bg1">
          <a:lumMod val="85000"/>
        </a:schemeClr>
      </a:solidFill>
      <a:prstDash val="dashDot"/>
      <a:round/>
    </a:ln>
    <a:effectLst>
      <a:outerShdw blurRad="63500" dist="37357" dir="2700000" sx="0" sy="0" rotWithShape="0">
        <a:scrgbClr r="0" g="0" b="0"/>
      </a:outerShdw>
    </a:effectLst>
  </c:spPr>
  <c:txPr>
    <a:bodyPr anchor="ctr"/>
    <a:lstStyle/>
    <a:p>
      <a:pPr>
        <a:defRPr lang="zh-CN" sz="140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false"/>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manualLayout>
          <c:layoutTarget val="inner"/>
          <c:xMode val="edge"/>
          <c:yMode val="edge"/>
          <c:x val="0.138541389406441"/>
          <c:y val="0.152594410183679"/>
          <c:w val="0.498630580287343"/>
          <c:h val="0.790611981489575"/>
        </c:manualLayout>
      </c:layout>
      <c:pieChart>
        <c:varyColors val="true"/>
        <c:ser>
          <c:idx val="0"/>
          <c:order val="0"/>
          <c:spPr/>
          <c:explosion val="0"/>
          <c:dPt>
            <c:idx val="0"/>
            <c:bubble3D val="false"/>
            <c:spPr>
              <a:solidFill>
                <a:srgbClr val="5B9BD5"/>
              </a:solidFill>
              <a:ln w="19050">
                <a:solidFill>
                  <a:sysClr val="window" lastClr="FFFFFF"/>
                </a:solidFill>
              </a:ln>
              <a:effectLst/>
            </c:spPr>
          </c:dPt>
          <c:dPt>
            <c:idx val="1"/>
            <c:bubble3D val="false"/>
            <c:spPr>
              <a:gradFill>
                <a:gsLst>
                  <a:gs pos="0">
                    <a:srgbClr val="7B32B2"/>
                  </a:gs>
                  <a:gs pos="100000">
                    <a:srgbClr val="401A5D"/>
                  </a:gs>
                </a:gsLst>
                <a:lin ang="5400000" scaled="false"/>
              </a:gradFill>
              <a:ln w="19050">
                <a:solidFill>
                  <a:sysClr val="window" lastClr="FFFFFF"/>
                </a:solidFill>
              </a:ln>
              <a:effectLst/>
            </c:spPr>
          </c:dPt>
          <c:dPt>
            <c:idx val="2"/>
            <c:bubble3D val="false"/>
            <c:spPr>
              <a:solidFill>
                <a:srgbClr val="A5A5A5"/>
              </a:solidFill>
              <a:ln w="19050">
                <a:solidFill>
                  <a:sysClr val="window" lastClr="FFFFFF"/>
                </a:solidFill>
              </a:ln>
              <a:effectLst/>
            </c:spPr>
          </c:dPt>
          <c:dPt>
            <c:idx val="3"/>
            <c:bubble3D val="false"/>
            <c:spPr>
              <a:solidFill>
                <a:srgbClr val="FFC000"/>
              </a:solidFill>
              <a:ln w="19050">
                <a:solidFill>
                  <a:sysClr val="window" lastClr="FFFFFF"/>
                </a:solidFill>
              </a:ln>
              <a:effectLst/>
            </c:spPr>
          </c:dPt>
          <c:dPt>
            <c:idx val="4"/>
            <c:bubble3D val="false"/>
            <c:spPr>
              <a:solidFill>
                <a:srgbClr val="00B050"/>
              </a:solidFill>
              <a:ln w="19050">
                <a:solidFill>
                  <a:sysClr val="window" lastClr="FFFFFF"/>
                </a:solidFill>
              </a:ln>
              <a:effectLst/>
            </c:spPr>
          </c:dPt>
          <c:dPt>
            <c:idx val="5"/>
            <c:bubble3D val="false"/>
            <c:spPr>
              <a:solidFill>
                <a:srgbClr val="C00000"/>
              </a:solidFill>
              <a:ln w="19050">
                <a:solidFill>
                  <a:sysClr val="window" lastClr="FFFFFF"/>
                </a:solidFill>
              </a:ln>
              <a:effectLst/>
            </c:spPr>
          </c:dPt>
          <c:dLbls>
            <c:dLbl>
              <c:idx val="0"/>
              <c:layout/>
              <c:tx>
                <c:rich>
                  <a:bodyPr rot="0" spcFirstLastPara="0" vertOverflow="ellipsis" vert="horz" wrap="square" lIns="38100" tIns="19050" rIns="38100" bIns="19050" anchor="ctr" anchorCtr="true"/>
                  <a:lstStyle/>
                  <a:p>
                    <a:pPr defTabSz="914400">
                      <a:defRPr lang="zh-CN" sz="11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tLang="zh-CN">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rPr>
                      <a:t>4.17</a:t>
                    </a:r>
                    <a:r>
                      <a:rPr>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rPr>
                      <a:t>%</a:t>
                    </a:r>
                    <a:endParaRPr>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dLblPos val="bestFit"/>
              <c:showLegendKey val="false"/>
              <c:showVal val="true"/>
              <c:showCatName val="false"/>
              <c:showSerName val="false"/>
              <c:showPercent val="false"/>
              <c:showBubbleSize val="false"/>
              <c:extLst>
                <c:ext xmlns:c15="http://schemas.microsoft.com/office/drawing/2012/chart" uri="{CE6537A1-D6FC-4f65-9D91-7224C49458BB}"/>
              </c:extLst>
            </c:dLbl>
            <c:dLbl>
              <c:idx val="1"/>
              <c:delete val="true"/>
            </c:dLbl>
            <c:dLbl>
              <c:idx val="2"/>
              <c:delete val="true"/>
            </c:dLbl>
            <c:dLbl>
              <c:idx val="3"/>
              <c:layout>
                <c:manualLayout>
                  <c:x val="-0.0370369847916097"/>
                  <c:y val="-0.225800012966544"/>
                </c:manualLayout>
              </c:layout>
              <c:dLblPos val="bestFit"/>
              <c:showLegendKey val="false"/>
              <c:showVal val="true"/>
              <c:showCatName val="false"/>
              <c:showSerName val="false"/>
              <c:showPercent val="false"/>
              <c:showBubbleSize val="false"/>
              <c:extLst>
                <c:ext xmlns:c15="http://schemas.microsoft.com/office/drawing/2012/chart" uri="{CE6537A1-D6FC-4f65-9D91-7224C49458BB}">
                  <c15:layout/>
                </c:ext>
              </c:extLst>
            </c:dLbl>
            <c:dLbl>
              <c:idx val="4"/>
              <c:layout>
                <c:manualLayout>
                  <c:x val="-0.0111707811354483"/>
                  <c:y val="0.0168791106613569"/>
                </c:manualLayout>
              </c:layout>
              <c:dLblPos val="bestFit"/>
              <c:showLegendKey val="false"/>
              <c:showVal val="true"/>
              <c:showCatName val="false"/>
              <c:showSerName val="false"/>
              <c:showPercent val="false"/>
              <c:showBubbleSize val="false"/>
              <c:extLst>
                <c:ext xmlns:c15="http://schemas.microsoft.com/office/drawing/2012/chart" uri="{CE6537A1-D6FC-4f65-9D91-7224C49458BB}">
                  <c15:layout/>
                </c:ext>
              </c:extLst>
            </c:dLbl>
            <c:dLbl>
              <c:idx val="5"/>
              <c:layout>
                <c:manualLayout>
                  <c:x val="-0.0174447990206103"/>
                  <c:y val="-0.00784484112981907"/>
                </c:manualLayout>
              </c:layout>
              <c:dLblPos val="bestFit"/>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11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false"/>
            <c:showVal val="true"/>
            <c:showCatName val="false"/>
            <c:showSerName val="false"/>
            <c:showPercent val="false"/>
            <c:showBubbleSize val="false"/>
            <c:showLeaderLines val="true"/>
            <c:extLst>
              <c:ext xmlns:c15="http://schemas.microsoft.com/office/drawing/2012/chart" uri="{CE6537A1-D6FC-4f65-9D91-7224C49458BB}">
                <c15:layout/>
                <c15:showLeaderLines val="true"/>
                <c15:leaderLines>
                  <c:spPr>
                    <a:ln w="9525" cap="flat" cmpd="sng" algn="ctr">
                      <a:solidFill>
                        <a:sysClr val="windowText" lastClr="000000">
                          <a:lumMod val="35000"/>
                          <a:lumOff val="65000"/>
                        </a:sysClr>
                      </a:solidFill>
                      <a:round/>
                    </a:ln>
                    <a:effectLst/>
                  </c:spPr>
                </c15:leaderLines>
              </c:ext>
            </c:extLst>
          </c:dLbls>
          <c:cat>
            <c:strRef>
              <c:f>'[十四五项目表--12月.xlsx]进度'!$C$29:$H$29</c:f>
              <c:strCache>
                <c:ptCount val="6"/>
                <c:pt idx="0">
                  <c:v>投入正常运行</c:v>
                </c:pt>
                <c:pt idx="1">
                  <c:v>已竣工验收</c:v>
                </c:pt>
                <c:pt idx="2">
                  <c:v>调试</c:v>
                </c:pt>
                <c:pt idx="3">
                  <c:v>在建</c:v>
                </c:pt>
                <c:pt idx="4">
                  <c:v>前期</c:v>
                </c:pt>
                <c:pt idx="5">
                  <c:v>未启动</c:v>
                </c:pt>
              </c:strCache>
            </c:strRef>
          </c:cat>
          <c:val>
            <c:numRef>
              <c:f>'[十四五项目表--12月.xlsx]进度'!$C$28:$H$28</c:f>
              <c:numCache>
                <c:formatCode>0.00%</c:formatCode>
                <c:ptCount val="6"/>
                <c:pt idx="0">
                  <c:v>0.0416666666666667</c:v>
                </c:pt>
                <c:pt idx="1">
                  <c:v>0</c:v>
                </c:pt>
                <c:pt idx="2">
                  <c:v>0</c:v>
                </c:pt>
                <c:pt idx="3">
                  <c:v>0.708333333333333</c:v>
                </c:pt>
                <c:pt idx="4">
                  <c:v>0.0416666666666667</c:v>
                </c:pt>
                <c:pt idx="5">
                  <c:v>0.208333333333333</c:v>
                </c:pt>
              </c:numCache>
            </c:numRef>
          </c:val>
        </c:ser>
        <c:dLbls>
          <c:showLegendKey val="false"/>
          <c:showVal val="true"/>
          <c:showCatName val="false"/>
          <c:showSerName val="false"/>
          <c:showPercent val="false"/>
          <c:showBubbleSize val="false"/>
          <c:showLeaderLines val="true"/>
        </c:dLbls>
        <c:firstSliceAng val="0"/>
      </c:pieChart>
      <c:spPr>
        <a:noFill/>
        <a:ln>
          <a:noFill/>
        </a:ln>
        <a:effectLst/>
      </c:spPr>
    </c:plotArea>
    <c:legend>
      <c:legendPos val="r"/>
      <c:legendEntry>
        <c:idx val="0"/>
        <c:txPr>
          <a:bodyPr rot="0" spcFirstLastPara="0" vertOverflow="ellipsis" vert="horz" wrap="square" anchor="ctr" anchorCtr="tru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tru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tru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tru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4"/>
        <c:txPr>
          <a:bodyPr rot="0" spcFirstLastPara="0" vertOverflow="ellipsis" vert="horz" wrap="square" anchor="ctr" anchorCtr="tru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5"/>
        <c:txPr>
          <a:bodyPr rot="0" spcFirstLastPara="0" vertOverflow="ellipsis" vert="horz" wrap="square" anchor="ctr" anchorCtr="tru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725277816851878"/>
          <c:y val="0.205882352941176"/>
          <c:w val="0.208749472499648"/>
          <c:h val="0.532897603485839"/>
        </c:manualLayout>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true"/>
    <c:dispBlanksAs val="gap"/>
    <c:showDLblsOverMax val="false"/>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false"/>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bar"/>
        <c:grouping val="percentStacked"/>
        <c:varyColors val="false"/>
        <c:ser>
          <c:idx val="0"/>
          <c:order val="0"/>
          <c:tx>
            <c:strRef>
              <c:f>'[十四五项目表--12月.xlsx]分类统计'!$C$14</c:f>
              <c:strCache>
                <c:ptCount val="1"/>
                <c:pt idx="0">
                  <c:v>投入正常运行</c:v>
                </c:pt>
              </c:strCache>
            </c:strRef>
          </c:tx>
          <c:spPr>
            <a:solidFill>
              <a:srgbClr val="00B050">
                <a:alpha val="70000"/>
              </a:srgbClr>
            </a:solidFill>
            <a:ln>
              <a:noFill/>
            </a:ln>
            <a:effectLst/>
          </c:spPr>
          <c:invertIfNegative val="false"/>
          <c:dPt>
            <c:idx val="0"/>
            <c:invertIfNegative val="false"/>
            <c:bubble3D val="false"/>
          </c:dPt>
          <c:dLbls>
            <c:dLbl>
              <c:idx val="0"/>
              <c:layout>
                <c:manualLayout>
                  <c:x val="0.0680615074363499"/>
                  <c:y val="0.00326868598823273"/>
                </c:manualLayout>
              </c:layout>
              <c:dLblPos val="ct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delete val="true"/>
            </c:dLbl>
            <c:dLbl>
              <c:idx val="2"/>
              <c:delete val="true"/>
            </c:dLbl>
            <c:dLbl>
              <c:idx val="3"/>
              <c:delete val="true"/>
            </c:dLbl>
            <c:dLbl>
              <c:idx val="4"/>
              <c:delete val="true"/>
            </c:dLbl>
            <c:dLbl>
              <c:idx val="5"/>
              <c:delete val="true"/>
            </c:dLbl>
            <c:dLbl>
              <c:idx val="6"/>
              <c:delete val="true"/>
            </c:dLbl>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a:solidFill>
                        <a:sysClr val="windowText" lastClr="000000">
                          <a:lumMod val="35000"/>
                          <a:lumOff val="65000"/>
                        </a:sysClr>
                      </a:solidFill>
                    </a:ln>
                    <a:effectLst/>
                  </c:spPr>
                </c15:leaderLines>
              </c:ext>
            </c:extLst>
          </c:dLbls>
          <c:cat>
            <c:strRef>
              <c:f>'[十四五项目表--12月.xlsx]分类统计'!$B$15:$B$21</c:f>
              <c:strCache>
                <c:ptCount val="7"/>
                <c:pt idx="0">
                  <c:v>空间管控</c:v>
                </c:pt>
                <c:pt idx="1">
                  <c:v>水资源保护与利用</c:v>
                </c:pt>
                <c:pt idx="2">
                  <c:v>水污染防治</c:v>
                </c:pt>
                <c:pt idx="3">
                  <c:v>水环境治理</c:v>
                </c:pt>
                <c:pt idx="4">
                  <c:v>水生态修复</c:v>
                </c:pt>
                <c:pt idx="5">
                  <c:v>水灾害防治</c:v>
                </c:pt>
                <c:pt idx="6">
                  <c:v>执法监管</c:v>
                </c:pt>
              </c:strCache>
            </c:strRef>
          </c:cat>
          <c:val>
            <c:numRef>
              <c:f>'[十四五项目表--12月.xlsx]分类统计'!$C$15:$C$21</c:f>
              <c:numCache>
                <c:formatCode>0.00%</c:formatCode>
                <c:ptCount val="7"/>
                <c:pt idx="0">
                  <c:v>0.2</c:v>
                </c:pt>
                <c:pt idx="1">
                  <c:v>0</c:v>
                </c:pt>
                <c:pt idx="2">
                  <c:v>0</c:v>
                </c:pt>
                <c:pt idx="3">
                  <c:v>0</c:v>
                </c:pt>
                <c:pt idx="4">
                  <c:v>0</c:v>
                </c:pt>
                <c:pt idx="5">
                  <c:v>0</c:v>
                </c:pt>
                <c:pt idx="6">
                  <c:v>0</c:v>
                </c:pt>
              </c:numCache>
            </c:numRef>
          </c:val>
        </c:ser>
        <c:ser>
          <c:idx val="1"/>
          <c:order val="1"/>
          <c:tx>
            <c:strRef>
              <c:f>'[十四五项目表--12月.xlsx]分类统计'!$D$14</c:f>
              <c:strCache>
                <c:ptCount val="1"/>
                <c:pt idx="0">
                  <c:v>已竣工验收</c:v>
                </c:pt>
              </c:strCache>
            </c:strRef>
          </c:tx>
          <c:spPr>
            <a:solidFill>
              <a:srgbClr val="ED7D31">
                <a:alpha val="70000"/>
              </a:srgbClr>
            </a:solidFill>
            <a:ln>
              <a:noFill/>
            </a:ln>
            <a:effectLst/>
          </c:spPr>
          <c:invertIfNegative val="false"/>
          <c:dLbls>
            <c:dLbl>
              <c:idx val="0"/>
              <c:delete val="true"/>
            </c:dLbl>
            <c:dLbl>
              <c:idx val="1"/>
              <c:delete val="true"/>
            </c:dLbl>
            <c:dLbl>
              <c:idx val="2"/>
              <c:delete val="true"/>
            </c:dLbl>
            <c:dLbl>
              <c:idx val="3"/>
              <c:delete val="true"/>
            </c:dLbl>
            <c:dLbl>
              <c:idx val="4"/>
              <c:delete val="true"/>
            </c:dLbl>
            <c:dLbl>
              <c:idx val="5"/>
              <c:delete val="true"/>
            </c:dLbl>
            <c:dLbl>
              <c:idx val="6"/>
              <c:delete val="true"/>
            </c:dLbl>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a:solidFill>
                        <a:sysClr val="windowText" lastClr="000000">
                          <a:lumMod val="35000"/>
                          <a:lumOff val="65000"/>
                        </a:sysClr>
                      </a:solidFill>
                    </a:ln>
                    <a:effectLst/>
                  </c:spPr>
                </c15:leaderLines>
              </c:ext>
            </c:extLst>
          </c:dLbls>
          <c:cat>
            <c:strRef>
              <c:f>'[十四五项目表--12月.xlsx]分类统计'!$B$15:$B$21</c:f>
              <c:strCache>
                <c:ptCount val="7"/>
                <c:pt idx="0">
                  <c:v>空间管控</c:v>
                </c:pt>
                <c:pt idx="1">
                  <c:v>水资源保护与利用</c:v>
                </c:pt>
                <c:pt idx="2">
                  <c:v>水污染防治</c:v>
                </c:pt>
                <c:pt idx="3">
                  <c:v>水环境治理</c:v>
                </c:pt>
                <c:pt idx="4">
                  <c:v>水生态修复</c:v>
                </c:pt>
                <c:pt idx="5">
                  <c:v>水灾害防治</c:v>
                </c:pt>
                <c:pt idx="6">
                  <c:v>执法监管</c:v>
                </c:pt>
              </c:strCache>
            </c:strRef>
          </c:cat>
          <c:val>
            <c:numRef>
              <c:f>'[十四五项目表--12月.xlsx]分类统计'!$D$15:$D$21</c:f>
              <c:numCache>
                <c:formatCode>0.00%</c:formatCode>
                <c:ptCount val="7"/>
                <c:pt idx="0">
                  <c:v>0</c:v>
                </c:pt>
                <c:pt idx="1">
                  <c:v>0</c:v>
                </c:pt>
                <c:pt idx="2">
                  <c:v>0</c:v>
                </c:pt>
                <c:pt idx="3">
                  <c:v>0</c:v>
                </c:pt>
                <c:pt idx="4">
                  <c:v>0</c:v>
                </c:pt>
                <c:pt idx="5">
                  <c:v>0</c:v>
                </c:pt>
                <c:pt idx="6">
                  <c:v>0</c:v>
                </c:pt>
              </c:numCache>
            </c:numRef>
          </c:val>
        </c:ser>
        <c:ser>
          <c:idx val="2"/>
          <c:order val="2"/>
          <c:tx>
            <c:strRef>
              <c:f>'[十四五项目表--12月.xlsx]分类统计'!$E$14</c:f>
              <c:strCache>
                <c:ptCount val="1"/>
                <c:pt idx="0">
                  <c:v>调试</c:v>
                </c:pt>
              </c:strCache>
            </c:strRef>
          </c:tx>
          <c:spPr>
            <a:solidFill>
              <a:srgbClr val="70AD47">
                <a:alpha val="70000"/>
              </a:srgbClr>
            </a:solidFill>
            <a:ln>
              <a:noFill/>
            </a:ln>
            <a:effectLst/>
          </c:spPr>
          <c:invertIfNegative val="false"/>
          <c:dPt>
            <c:idx val="0"/>
            <c:invertIfNegative val="false"/>
            <c:bubble3D val="false"/>
          </c:dPt>
          <c:dLbls>
            <c:delete val="true"/>
          </c:dLbls>
          <c:cat>
            <c:strRef>
              <c:f>'[十四五项目表--12月.xlsx]分类统计'!$B$15:$B$21</c:f>
              <c:strCache>
                <c:ptCount val="7"/>
                <c:pt idx="0">
                  <c:v>空间管控</c:v>
                </c:pt>
                <c:pt idx="1">
                  <c:v>水资源保护与利用</c:v>
                </c:pt>
                <c:pt idx="2">
                  <c:v>水污染防治</c:v>
                </c:pt>
                <c:pt idx="3">
                  <c:v>水环境治理</c:v>
                </c:pt>
                <c:pt idx="4">
                  <c:v>水生态修复</c:v>
                </c:pt>
                <c:pt idx="5">
                  <c:v>水灾害防治</c:v>
                </c:pt>
                <c:pt idx="6">
                  <c:v>执法监管</c:v>
                </c:pt>
              </c:strCache>
            </c:strRef>
          </c:cat>
          <c:val>
            <c:numRef>
              <c:f>'[十四五项目表--12月.xlsx]分类统计'!$E$15:$E$21</c:f>
              <c:numCache>
                <c:formatCode>0.00%</c:formatCode>
                <c:ptCount val="7"/>
                <c:pt idx="0">
                  <c:v>0</c:v>
                </c:pt>
                <c:pt idx="1">
                  <c:v>0</c:v>
                </c:pt>
                <c:pt idx="2">
                  <c:v>0</c:v>
                </c:pt>
                <c:pt idx="3">
                  <c:v>0</c:v>
                </c:pt>
                <c:pt idx="4">
                  <c:v>0</c:v>
                </c:pt>
                <c:pt idx="5">
                  <c:v>0</c:v>
                </c:pt>
                <c:pt idx="6">
                  <c:v>0</c:v>
                </c:pt>
              </c:numCache>
            </c:numRef>
          </c:val>
        </c:ser>
        <c:ser>
          <c:idx val="3"/>
          <c:order val="3"/>
          <c:tx>
            <c:strRef>
              <c:f>'[十四五项目表--12月.xlsx]分类统计'!$F$14</c:f>
              <c:strCache>
                <c:ptCount val="1"/>
                <c:pt idx="0">
                  <c:v>在建</c:v>
                </c:pt>
              </c:strCache>
            </c:strRef>
          </c:tx>
          <c:spPr>
            <a:solidFill>
              <a:srgbClr val="FFC000">
                <a:alpha val="70000"/>
              </a:srgbClr>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a:solidFill>
                        <a:sysClr val="windowText" lastClr="000000">
                          <a:lumMod val="35000"/>
                          <a:lumOff val="65000"/>
                        </a:sysClr>
                      </a:solidFill>
                    </a:ln>
                    <a:effectLst/>
                  </c:spPr>
                </c15:leaderLines>
              </c:ext>
            </c:extLst>
          </c:dLbls>
          <c:cat>
            <c:strRef>
              <c:f>'[十四五项目表--12月.xlsx]分类统计'!$B$15:$B$21</c:f>
              <c:strCache>
                <c:ptCount val="7"/>
                <c:pt idx="0">
                  <c:v>空间管控</c:v>
                </c:pt>
                <c:pt idx="1">
                  <c:v>水资源保护与利用</c:v>
                </c:pt>
                <c:pt idx="2">
                  <c:v>水污染防治</c:v>
                </c:pt>
                <c:pt idx="3">
                  <c:v>水环境治理</c:v>
                </c:pt>
                <c:pt idx="4">
                  <c:v>水生态修复</c:v>
                </c:pt>
                <c:pt idx="5">
                  <c:v>水灾害防治</c:v>
                </c:pt>
                <c:pt idx="6">
                  <c:v>执法监管</c:v>
                </c:pt>
              </c:strCache>
            </c:strRef>
          </c:cat>
          <c:val>
            <c:numRef>
              <c:f>'[十四五项目表--12月.xlsx]分类统计'!$F$15:$F$21</c:f>
              <c:numCache>
                <c:formatCode>0.00%</c:formatCode>
                <c:ptCount val="7"/>
                <c:pt idx="0">
                  <c:v>0.4</c:v>
                </c:pt>
                <c:pt idx="1">
                  <c:v>1</c:v>
                </c:pt>
                <c:pt idx="2">
                  <c:v>1</c:v>
                </c:pt>
                <c:pt idx="3">
                  <c:v>1</c:v>
                </c:pt>
                <c:pt idx="4">
                  <c:v>1</c:v>
                </c:pt>
                <c:pt idx="5">
                  <c:v>1</c:v>
                </c:pt>
                <c:pt idx="6">
                  <c:v>0.428571428571429</c:v>
                </c:pt>
              </c:numCache>
            </c:numRef>
          </c:val>
        </c:ser>
        <c:ser>
          <c:idx val="4"/>
          <c:order val="4"/>
          <c:tx>
            <c:strRef>
              <c:f>'[十四五项目表--12月.xlsx]分类统计'!$G$14</c:f>
              <c:strCache>
                <c:ptCount val="1"/>
                <c:pt idx="0">
                  <c:v>前期</c:v>
                </c:pt>
              </c:strCache>
            </c:strRef>
          </c:tx>
          <c:spPr>
            <a:solidFill>
              <a:srgbClr val="4472C4">
                <a:alpha val="70000"/>
              </a:srgbClr>
            </a:solidFill>
            <a:ln>
              <a:noFill/>
            </a:ln>
            <a:effectLst/>
          </c:spPr>
          <c:invertIfNegative val="false"/>
          <c:dLbls>
            <c:dLbl>
              <c:idx val="1"/>
              <c:delete val="true"/>
            </c:dLbl>
            <c:dLbl>
              <c:idx val="2"/>
              <c:delete val="true"/>
            </c:dLbl>
            <c:dLbl>
              <c:idx val="3"/>
              <c:delete val="true"/>
            </c:dLbl>
            <c:dLbl>
              <c:idx val="4"/>
              <c:delete val="true"/>
            </c:dLbl>
            <c:dLbl>
              <c:idx val="5"/>
              <c:delete val="true"/>
            </c:dLbl>
            <c:dLbl>
              <c:idx val="6"/>
              <c:delete val="true"/>
            </c:dLbl>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a:solidFill>
                        <a:sysClr val="windowText" lastClr="000000">
                          <a:lumMod val="35000"/>
                          <a:lumOff val="65000"/>
                        </a:sysClr>
                      </a:solidFill>
                    </a:ln>
                    <a:effectLst/>
                  </c:spPr>
                </c15:leaderLines>
              </c:ext>
            </c:extLst>
          </c:dLbls>
          <c:cat>
            <c:strRef>
              <c:f>'[十四五项目表--12月.xlsx]分类统计'!$B$15:$B$21</c:f>
              <c:strCache>
                <c:ptCount val="7"/>
                <c:pt idx="0">
                  <c:v>空间管控</c:v>
                </c:pt>
                <c:pt idx="1">
                  <c:v>水资源保护与利用</c:v>
                </c:pt>
                <c:pt idx="2">
                  <c:v>水污染防治</c:v>
                </c:pt>
                <c:pt idx="3">
                  <c:v>水环境治理</c:v>
                </c:pt>
                <c:pt idx="4">
                  <c:v>水生态修复</c:v>
                </c:pt>
                <c:pt idx="5">
                  <c:v>水灾害防治</c:v>
                </c:pt>
                <c:pt idx="6">
                  <c:v>执法监管</c:v>
                </c:pt>
              </c:strCache>
            </c:strRef>
          </c:cat>
          <c:val>
            <c:numRef>
              <c:f>'[十四五项目表--12月.xlsx]分类统计'!$G$15:$G$21</c:f>
              <c:numCache>
                <c:formatCode>0.00%</c:formatCode>
                <c:ptCount val="7"/>
                <c:pt idx="0">
                  <c:v>0.2</c:v>
                </c:pt>
                <c:pt idx="1">
                  <c:v>0</c:v>
                </c:pt>
                <c:pt idx="2">
                  <c:v>0</c:v>
                </c:pt>
                <c:pt idx="3">
                  <c:v>0</c:v>
                </c:pt>
                <c:pt idx="4">
                  <c:v>0</c:v>
                </c:pt>
                <c:pt idx="5">
                  <c:v>0</c:v>
                </c:pt>
                <c:pt idx="6">
                  <c:v>0</c:v>
                </c:pt>
              </c:numCache>
            </c:numRef>
          </c:val>
        </c:ser>
        <c:ser>
          <c:idx val="5"/>
          <c:order val="5"/>
          <c:tx>
            <c:strRef>
              <c:f>'[十四五项目表--12月.xlsx]分类统计'!$H$14</c:f>
              <c:strCache>
                <c:ptCount val="1"/>
                <c:pt idx="0">
                  <c:v>未启动</c:v>
                </c:pt>
              </c:strCache>
            </c:strRef>
          </c:tx>
          <c:spPr>
            <a:solidFill>
              <a:srgbClr val="FF0000">
                <a:alpha val="70000"/>
              </a:srgbClr>
            </a:solidFill>
            <a:ln>
              <a:noFill/>
            </a:ln>
            <a:effectLst/>
          </c:spPr>
          <c:invertIfNegative val="false"/>
          <c:dLbls>
            <c:dLbl>
              <c:idx val="1"/>
              <c:delete val="true"/>
            </c:dLbl>
            <c:dLbl>
              <c:idx val="2"/>
              <c:delete val="true"/>
            </c:dLbl>
            <c:dLbl>
              <c:idx val="3"/>
              <c:delete val="true"/>
            </c:dLbl>
            <c:dLbl>
              <c:idx val="4"/>
              <c:delete val="true"/>
            </c:dLbl>
            <c:dLbl>
              <c:idx val="5"/>
              <c:delete val="true"/>
            </c:dLbl>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a:solidFill>
                        <a:sysClr val="windowText" lastClr="000000">
                          <a:lumMod val="35000"/>
                          <a:lumOff val="65000"/>
                        </a:sysClr>
                      </a:solidFill>
                    </a:ln>
                    <a:effectLst/>
                  </c:spPr>
                </c15:leaderLines>
              </c:ext>
            </c:extLst>
          </c:dLbls>
          <c:cat>
            <c:strRef>
              <c:f>'[十四五项目表--12月.xlsx]分类统计'!$B$15:$B$21</c:f>
              <c:strCache>
                <c:ptCount val="7"/>
                <c:pt idx="0">
                  <c:v>空间管控</c:v>
                </c:pt>
                <c:pt idx="1">
                  <c:v>水资源保护与利用</c:v>
                </c:pt>
                <c:pt idx="2">
                  <c:v>水污染防治</c:v>
                </c:pt>
                <c:pt idx="3">
                  <c:v>水环境治理</c:v>
                </c:pt>
                <c:pt idx="4">
                  <c:v>水生态修复</c:v>
                </c:pt>
                <c:pt idx="5">
                  <c:v>水灾害防治</c:v>
                </c:pt>
                <c:pt idx="6">
                  <c:v>执法监管</c:v>
                </c:pt>
              </c:strCache>
            </c:strRef>
          </c:cat>
          <c:val>
            <c:numRef>
              <c:f>'[十四五项目表--12月.xlsx]分类统计'!$H$15:$H$21</c:f>
              <c:numCache>
                <c:formatCode>0.00%</c:formatCode>
                <c:ptCount val="7"/>
                <c:pt idx="0">
                  <c:v>0.2</c:v>
                </c:pt>
                <c:pt idx="1">
                  <c:v>0</c:v>
                </c:pt>
                <c:pt idx="2">
                  <c:v>0</c:v>
                </c:pt>
                <c:pt idx="3">
                  <c:v>0</c:v>
                </c:pt>
                <c:pt idx="4">
                  <c:v>0</c:v>
                </c:pt>
                <c:pt idx="5">
                  <c:v>0</c:v>
                </c:pt>
                <c:pt idx="6">
                  <c:v>0.571428571428571</c:v>
                </c:pt>
              </c:numCache>
            </c:numRef>
          </c:val>
        </c:ser>
        <c:dLbls>
          <c:showLegendKey val="false"/>
          <c:showVal val="true"/>
          <c:showCatName val="false"/>
          <c:showSerName val="false"/>
          <c:showPercent val="false"/>
          <c:showBubbleSize val="false"/>
        </c:dLbls>
        <c:gapWidth val="50"/>
        <c:overlap val="100"/>
        <c:axId val="142017664"/>
        <c:axId val="142019200"/>
      </c:barChart>
      <c:catAx>
        <c:axId val="142017664"/>
        <c:scaling>
          <c:orientation val="minMax"/>
        </c:scaling>
        <c:delete val="false"/>
        <c:axPos val="l"/>
        <c:majorTickMark val="none"/>
        <c:minorTickMark val="none"/>
        <c:tickLblPos val="nextTo"/>
        <c:spPr>
          <a:noFill/>
          <a:ln w="9525" cap="flat" cmpd="sng" algn="ctr">
            <a:solidFill>
              <a:sysClr val="windowText" lastClr="000000">
                <a:lumMod val="25000"/>
                <a:lumOff val="75000"/>
              </a:sysClr>
            </a:solidFill>
            <a:round/>
            <a:headEnd type="none" w="sm" len="sm"/>
            <a:tailEnd type="none" w="sm" len="sm"/>
          </a:ln>
          <a:effectLst/>
        </c:spPr>
        <c:txPr>
          <a:bodyPr rot="-60000000" spcFirstLastPara="0" vertOverflow="ellipsis" vert="horz" wrap="square" anchor="ctr" anchorCtr="tru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42019200"/>
        <c:crosses val="autoZero"/>
        <c:auto val="true"/>
        <c:lblAlgn val="ctr"/>
        <c:lblOffset val="100"/>
        <c:noMultiLvlLbl val="false"/>
      </c:catAx>
      <c:valAx>
        <c:axId val="142019200"/>
        <c:scaling>
          <c:orientation val="minMax"/>
        </c:scaling>
        <c:delete val="false"/>
        <c:axPos val="b"/>
        <c:majorGridlines>
          <c:spPr>
            <a:ln w="9525" cap="flat" cmpd="sng" algn="ctr">
              <a:gradFill>
                <a:gsLst>
                  <a:gs pos="0">
                    <a:sysClr val="windowText" lastClr="000000">
                      <a:lumMod val="5000"/>
                      <a:lumOff val="95000"/>
                    </a:sysClr>
                  </a:gs>
                  <a:gs pos="100000">
                    <a:sysClr val="windowText" lastClr="000000">
                      <a:lumMod val="15000"/>
                      <a:lumOff val="85000"/>
                    </a:sysClr>
                  </a:gs>
                </a:gsLst>
                <a:lin ang="5400000" scaled="false"/>
              </a:gradFill>
              <a:round/>
            </a:ln>
            <a:effectLst/>
          </c:spPr>
        </c:majorGridlines>
        <c:numFmt formatCode="0%" sourceLinked="true"/>
        <c:majorTickMark val="none"/>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42017664"/>
        <c:crosses val="autoZero"/>
        <c:crossBetween val="between"/>
      </c:valAx>
      <c:spPr>
        <a:noFill/>
        <a:ln>
          <a:noFill/>
        </a:ln>
        <a:effectLst/>
      </c:spPr>
    </c:plotArea>
    <c:legend>
      <c:legendPos val="b"/>
      <c:legendEntry>
        <c:idx val="0"/>
        <c:txPr>
          <a:bodyPr rot="0" spcFirstLastPara="0" vertOverflow="ellipsis" vert="horz" wrap="square" anchor="ctr" anchorCtr="tru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tru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tru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tru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4"/>
        <c:txPr>
          <a:bodyPr rot="0" spcFirstLastPara="0" vertOverflow="ellipsis" vert="horz" wrap="square" anchor="ctr" anchorCtr="tru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5"/>
        <c:txPr>
          <a:bodyPr rot="0" spcFirstLastPara="0" vertOverflow="ellipsis" vert="horz" wrap="square" anchor="ctr" anchorCtr="tru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true"/>
    <c:dispBlanksAs val="gap"/>
    <c:showDLblsOverMax val="false"/>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false"/>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manualLayout>
          <c:layoutTarget val="inner"/>
          <c:xMode val="edge"/>
          <c:yMode val="edge"/>
          <c:x val="0.210724925521351"/>
          <c:y val="0.0712115457652868"/>
          <c:w val="0.720320258192651"/>
          <c:h val="0.739156855298139"/>
        </c:manualLayout>
      </c:layout>
      <c:barChart>
        <c:barDir val="bar"/>
        <c:grouping val="clustered"/>
        <c:varyColors val="false"/>
        <c:ser>
          <c:idx val="3"/>
          <c:order val="0"/>
          <c:tx>
            <c:strRef>
              <c:f>[十四五项目表.xlsx]资金统计!$G$2</c:f>
              <c:strCache>
                <c:ptCount val="1"/>
                <c:pt idx="0">
                  <c:v>资金到位率（%）</c:v>
                </c:pt>
              </c:strCache>
            </c:strRef>
          </c:tx>
          <c:spPr>
            <a:gradFill rotWithShape="true">
              <a:gsLst>
                <a:gs pos="0">
                  <a:srgbClr val="FE4444"/>
                </a:gs>
                <a:gs pos="100000">
                  <a:srgbClr val="832B2B"/>
                </a:gs>
              </a:gsLst>
              <a:lin ang="5400000" scaled="false"/>
            </a:gradFill>
            <a:ln>
              <a:noFill/>
            </a:ln>
            <a:effectLst/>
          </c:spPr>
          <c:invertIfNegative val="false"/>
          <c:dLbls>
            <c:dLbl>
              <c:idx val="0"/>
              <c:layout/>
              <c:tx>
                <c:rich>
                  <a:bodyPr rot="0" spcFirstLastPara="0" vertOverflow="ellipsis" vert="horz" wrap="square" lIns="38100" tIns="19050" rIns="38100" bIns="19050" anchor="ctr" anchorCtr="true"/>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28.75%</a:t>
                    </a:r>
                    <a:endParaRPr lang="en-US" altLang="zh-CN">
                      <a:solidFill>
                        <a:sysClr val="windowText" lastClr="000000"/>
                      </a:solidFill>
                    </a:endParaRPr>
                  </a:p>
                </c:rich>
              </c:tx>
              <c:dLblPos val="outEnd"/>
              <c:showLegendKey val="false"/>
              <c:showVal val="true"/>
              <c:showCatName val="false"/>
              <c:showSerName val="false"/>
              <c:showPercent val="false"/>
              <c:showBubbleSize val="false"/>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true"/>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51.36%</a:t>
                    </a:r>
                    <a:endParaRPr lang="en-US" altLang="zh-CN">
                      <a:solidFill>
                        <a:sysClr val="windowText" lastClr="000000"/>
                      </a:solidFill>
                    </a:endParaRPr>
                  </a:p>
                </c:rich>
              </c:tx>
              <c:dLblPos val="outEnd"/>
              <c:showLegendKey val="false"/>
              <c:showVal val="true"/>
              <c:showCatName val="false"/>
              <c:showSerName val="false"/>
              <c:showPercent val="false"/>
              <c:showBubbleSize val="false"/>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true"/>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48.52%</a:t>
                    </a:r>
                    <a:endParaRPr lang="en-US" altLang="zh-CN">
                      <a:solidFill>
                        <a:sysClr val="windowText" lastClr="000000"/>
                      </a:solidFill>
                    </a:endParaRPr>
                  </a:p>
                </c:rich>
              </c:tx>
              <c:dLblPos val="outEnd"/>
              <c:showLegendKey val="false"/>
              <c:showVal val="true"/>
              <c:showCatName val="false"/>
              <c:showSerName val="false"/>
              <c:showPercent val="false"/>
              <c:showBubbleSize val="false"/>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ysClr val="windowText" lastClr="000000"/>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a:solidFill>
                        <a:schemeClr val="tx2">
                          <a:lumMod val="35000"/>
                          <a:lumOff val="65000"/>
                        </a:schemeClr>
                      </a:solidFill>
                    </a:ln>
                    <a:effectLst/>
                  </c:spPr>
                </c15:leaderLines>
              </c:ext>
            </c:extLst>
          </c:dLbls>
          <c:cat>
            <c:strRef>
              <c:f>[十四五项目表.xlsx]资金统计!$B$3:$B$9</c:f>
              <c:strCache>
                <c:ptCount val="7"/>
                <c:pt idx="0">
                  <c:v>空间管控</c:v>
                </c:pt>
                <c:pt idx="1">
                  <c:v>水资源保护与利用</c:v>
                </c:pt>
                <c:pt idx="2">
                  <c:v>水污染防治</c:v>
                </c:pt>
                <c:pt idx="3">
                  <c:v>水环境治理</c:v>
                </c:pt>
                <c:pt idx="4">
                  <c:v>水生态修复</c:v>
                </c:pt>
                <c:pt idx="5">
                  <c:v>水灾害防治</c:v>
                </c:pt>
                <c:pt idx="6">
                  <c:v>执法监管</c:v>
                </c:pt>
              </c:strCache>
            </c:strRef>
          </c:cat>
          <c:val>
            <c:numRef>
              <c:f>[十四五项目表.xlsx]资金统计!$G$3:$G$9</c:f>
              <c:numCache>
                <c:formatCode>0.00%</c:formatCode>
                <c:ptCount val="7"/>
                <c:pt idx="0">
                  <c:v>0.0542341772151899</c:v>
                </c:pt>
                <c:pt idx="1">
                  <c:v>0.438910602854563</c:v>
                </c:pt>
                <c:pt idx="2">
                  <c:v>0.390956245294068</c:v>
                </c:pt>
                <c:pt idx="3">
                  <c:v>0.88</c:v>
                </c:pt>
                <c:pt idx="4">
                  <c:v>0.36387610619469</c:v>
                </c:pt>
                <c:pt idx="5">
                  <c:v>0.363636363636364</c:v>
                </c:pt>
                <c:pt idx="6">
                  <c:v>0.128989149513324</c:v>
                </c:pt>
              </c:numCache>
            </c:numRef>
          </c:val>
        </c:ser>
        <c:ser>
          <c:idx val="5"/>
          <c:order val="1"/>
          <c:tx>
            <c:strRef>
              <c:f>[十四五项目表.xlsx]资金统计!$I$2</c:f>
              <c:strCache>
                <c:ptCount val="1"/>
                <c:pt idx="0">
                  <c:v>投资完成率（%）</c:v>
                </c:pt>
              </c:strCache>
            </c:strRef>
          </c:tx>
          <c:spPr>
            <a:gradFill rotWithShape="true">
              <a:gsLst>
                <a:gs pos="0">
                  <a:srgbClr val="007BD3"/>
                </a:gs>
                <a:gs pos="100000">
                  <a:srgbClr val="034373"/>
                </a:gs>
              </a:gsLst>
              <a:lin ang="5400000" scaled="false"/>
            </a:gradFill>
            <a:ln>
              <a:noFill/>
            </a:ln>
            <a:effectLst/>
          </c:spPr>
          <c:invertIfNegative val="false"/>
          <c:dLbls>
            <c:dLbl>
              <c:idx val="0"/>
              <c:layout/>
              <c:tx>
                <c:rich>
                  <a:bodyPr rot="0" spcFirstLastPara="0" vertOverflow="ellipsis" vert="horz" wrap="square" lIns="38100" tIns="19050" rIns="38100" bIns="19050" anchor="ctr" anchorCtr="true"/>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16.44%</a:t>
                    </a:r>
                    <a:endParaRPr lang="en-US" altLang="zh-CN">
                      <a:solidFill>
                        <a:sysClr val="windowText" lastClr="000000"/>
                      </a:solidFill>
                    </a:endParaRPr>
                  </a:p>
                </c:rich>
              </c:tx>
              <c:dLblPos val="outEnd"/>
              <c:showLegendKey val="false"/>
              <c:showVal val="true"/>
              <c:showCatName val="false"/>
              <c:showSerName val="false"/>
              <c:showPercent val="false"/>
              <c:showBubbleSize val="false"/>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true"/>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24.89%</a:t>
                    </a:r>
                    <a:endParaRPr lang="en-US" altLang="zh-CN">
                      <a:solidFill>
                        <a:sysClr val="windowText" lastClr="000000"/>
                      </a:solidFill>
                    </a:endParaRPr>
                  </a:p>
                </c:rich>
              </c:tx>
              <c:dLblPos val="outEnd"/>
              <c:showLegendKey val="false"/>
              <c:showVal val="true"/>
              <c:showCatName val="false"/>
              <c:showSerName val="false"/>
              <c:showPercent val="false"/>
              <c:showBubbleSize val="false"/>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true"/>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27.24%</a:t>
                    </a:r>
                    <a:endParaRPr lang="en-US" altLang="zh-CN">
                      <a:solidFill>
                        <a:sysClr val="windowText" lastClr="000000"/>
                      </a:solidFill>
                    </a:endParaRPr>
                  </a:p>
                </c:rich>
              </c:tx>
              <c:dLblPos val="outEnd"/>
              <c:showLegendKey val="false"/>
              <c:showVal val="true"/>
              <c:showCatName val="false"/>
              <c:showSerName val="false"/>
              <c:showPercent val="false"/>
              <c:showBubbleSize val="false"/>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ysClr val="windowText" lastClr="000000"/>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a:solidFill>
                        <a:schemeClr val="tx2">
                          <a:lumMod val="35000"/>
                          <a:lumOff val="65000"/>
                        </a:schemeClr>
                      </a:solidFill>
                    </a:ln>
                    <a:effectLst/>
                  </c:spPr>
                </c15:leaderLines>
              </c:ext>
            </c:extLst>
          </c:dLbls>
          <c:cat>
            <c:strRef>
              <c:f>[十四五项目表.xlsx]资金统计!$B$3:$B$9</c:f>
              <c:strCache>
                <c:ptCount val="7"/>
                <c:pt idx="0">
                  <c:v>空间管控</c:v>
                </c:pt>
                <c:pt idx="1">
                  <c:v>水资源保护与利用</c:v>
                </c:pt>
                <c:pt idx="2">
                  <c:v>水污染防治</c:v>
                </c:pt>
                <c:pt idx="3">
                  <c:v>水环境治理</c:v>
                </c:pt>
                <c:pt idx="4">
                  <c:v>水生态修复</c:v>
                </c:pt>
                <c:pt idx="5">
                  <c:v>水灾害防治</c:v>
                </c:pt>
                <c:pt idx="6">
                  <c:v>执法监管</c:v>
                </c:pt>
              </c:strCache>
            </c:strRef>
          </c:cat>
          <c:val>
            <c:numRef>
              <c:f>[十四五项目表.xlsx]资金统计!$I$3:$I$9</c:f>
              <c:numCache>
                <c:formatCode>0.00%</c:formatCode>
                <c:ptCount val="7"/>
                <c:pt idx="0">
                  <c:v>0.0331093829113924</c:v>
                </c:pt>
                <c:pt idx="1">
                  <c:v>0.498379988409235</c:v>
                </c:pt>
                <c:pt idx="2">
                  <c:v>0.250874257508575</c:v>
                </c:pt>
                <c:pt idx="3">
                  <c:v>0.319</c:v>
                </c:pt>
                <c:pt idx="4">
                  <c:v>0.232424778761062</c:v>
                </c:pt>
                <c:pt idx="5">
                  <c:v>0.408181818181818</c:v>
                </c:pt>
                <c:pt idx="6">
                  <c:v>0.0887785224190203</c:v>
                </c:pt>
              </c:numCache>
            </c:numRef>
          </c:val>
        </c:ser>
        <c:dLbls>
          <c:showLegendKey val="false"/>
          <c:showVal val="false"/>
          <c:showCatName val="false"/>
          <c:showSerName val="false"/>
          <c:showPercent val="false"/>
          <c:showBubbleSize val="false"/>
        </c:dLbls>
        <c:gapWidth val="100"/>
        <c:axId val="130434560"/>
        <c:axId val="130436096"/>
      </c:barChart>
      <c:catAx>
        <c:axId val="130434560"/>
        <c:scaling>
          <c:orientation val="minMax"/>
        </c:scaling>
        <c:delete val="false"/>
        <c:axPos val="l"/>
        <c:numFmt formatCode="General" sourceLinked="false"/>
        <c:majorTickMark val="out"/>
        <c:minorTickMark val="none"/>
        <c:tickLblPos val="nextTo"/>
        <c:spPr>
          <a:noFill/>
          <a:ln w="9525" cap="flat" cmpd="sng" algn="ctr">
            <a:solidFill>
              <a:schemeClr val="tx2">
                <a:lumMod val="15000"/>
                <a:lumOff val="85000"/>
              </a:schemeClr>
            </a:solidFill>
            <a:round/>
          </a:ln>
          <a:effectLst/>
        </c:spPr>
        <c:txPr>
          <a:bodyPr rot="-60000000" spcFirstLastPara="0" vertOverflow="ellipsis" vert="horz" wrap="square" anchor="ctr" anchorCtr="true"/>
          <a:lstStyle/>
          <a:p>
            <a:pPr>
              <a:defRPr lang="zh-CN" sz="900" b="0" i="0" u="none" strike="noStrike" kern="1200" baseline="0">
                <a:solidFill>
                  <a:sysClr val="windowText" lastClr="000000"/>
                </a:solidFill>
                <a:latin typeface="+mn-lt"/>
                <a:ea typeface="+mn-ea"/>
                <a:cs typeface="+mn-cs"/>
              </a:defRPr>
            </a:pPr>
          </a:p>
        </c:txPr>
        <c:crossAx val="130436096"/>
        <c:crosses val="autoZero"/>
        <c:auto val="true"/>
        <c:lblAlgn val="ctr"/>
        <c:lblOffset val="100"/>
        <c:noMultiLvlLbl val="false"/>
      </c:catAx>
      <c:valAx>
        <c:axId val="130436096"/>
        <c:scaling>
          <c:orientation val="minMax"/>
        </c:scaling>
        <c:delete val="false"/>
        <c:axPos val="b"/>
        <c:majorGridlines>
          <c:spPr>
            <a:ln w="9525" cap="flat" cmpd="sng" algn="ctr">
              <a:solidFill>
                <a:schemeClr val="tx2">
                  <a:lumMod val="15000"/>
                  <a:lumOff val="85000"/>
                </a:schemeClr>
              </a:solidFill>
              <a:round/>
            </a:ln>
            <a:effectLst/>
          </c:spPr>
        </c:majorGridlines>
        <c:numFmt formatCode="0.00%" sourceLinked="true"/>
        <c:majorTickMark val="out"/>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ysClr val="windowText" lastClr="000000"/>
                </a:solidFill>
                <a:latin typeface="+mn-lt"/>
                <a:ea typeface="+mn-ea"/>
                <a:cs typeface="+mn-cs"/>
              </a:defRPr>
            </a:pPr>
          </a:p>
        </c:txPr>
        <c:crossAx val="130434560"/>
        <c:crosses val="autoZero"/>
        <c:crossBetween val="between"/>
      </c:valAx>
      <c:spPr>
        <a:noFill/>
        <a:ln>
          <a:noFill/>
        </a:ln>
        <a:effectLst/>
      </c:spPr>
    </c:plotArea>
    <c:legend>
      <c:legendPos val="b"/>
      <c:legendEntry>
        <c:idx val="0"/>
        <c:txPr>
          <a:bodyPr rot="0" spcFirstLastPara="0" vertOverflow="ellipsis" vert="horz" wrap="square" anchor="ctr" anchorCtr="true"/>
          <a:lstStyle/>
          <a:p>
            <a:pPr>
              <a:defRPr lang="zh-CN" sz="900" b="0"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true"/>
          <a:lstStyle/>
          <a:p>
            <a:pPr>
              <a:defRPr lang="zh-CN" sz="900" b="0" i="0" u="none" strike="noStrike" kern="1200" baseline="0">
                <a:solidFill>
                  <a:sysClr val="windowText" lastClr="000000"/>
                </a:solidFill>
                <a:latin typeface="+mn-lt"/>
                <a:ea typeface="+mn-ea"/>
                <a:cs typeface="+mn-cs"/>
              </a:defRPr>
            </a:pPr>
          </a:p>
        </c:txPr>
      </c:legendEntry>
      <c:layout/>
      <c:overlay val="false"/>
      <c:spPr>
        <a:noFill/>
        <a:ln>
          <a:noFill/>
        </a:ln>
        <a:effectLst/>
      </c:spPr>
      <c:txPr>
        <a:bodyPr rot="0" spcFirstLastPara="0" vertOverflow="ellipsis" vert="horz" wrap="square" anchor="ctr" anchorCtr="true"/>
        <a:lstStyle/>
        <a:p>
          <a:pPr>
            <a:defRPr lang="zh-CN" sz="900" b="0" i="0" u="none" strike="noStrike" kern="1200" baseline="0">
              <a:solidFill>
                <a:sysClr val="windowText" lastClr="000000"/>
              </a:solidFill>
              <a:latin typeface="+mn-lt"/>
              <a:ea typeface="+mn-ea"/>
              <a:cs typeface="+mn-cs"/>
            </a:defRPr>
          </a:pPr>
        </a:p>
      </c:txPr>
    </c:legend>
    <c:plotVisOnly val="true"/>
    <c:dispBlanksAs val="gap"/>
    <c:showDLblsOverMax val="false"/>
  </c:chart>
  <c:spPr>
    <a:solidFill>
      <a:schemeClr val="bg1"/>
    </a:solidFill>
    <a:ln w="9525" cap="flat" cmpd="sng" algn="ctr">
      <a:solidFill>
        <a:schemeClr val="tx2">
          <a:lumMod val="15000"/>
          <a:lumOff val="85000"/>
        </a:schemeClr>
      </a:solidFill>
      <a:round/>
    </a:ln>
    <a:effectLst/>
  </c:spPr>
  <c:txPr>
    <a:bodyPr/>
    <a:lstStyle/>
    <a:p>
      <a:pPr>
        <a:defRPr lang="zh-CN">
          <a:solidFill>
            <a:sysClr val="windowText" lastClr="000000"/>
          </a:solidFill>
        </a:defRPr>
      </a:pPr>
    </a:p>
  </c:txPr>
  <c:externalData r:id="rId1">
    <c:autoUpdate val="false"/>
  </c:externalData>
</c:chartSpace>
</file>

<file path=word/charts/colors1.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ysClr val="windowText" lastClr="000000">
        <a:lumMod val="65000"/>
        <a:lumOff val="35000"/>
      </a:sysClr>
    </cs:fontRef>
    <cs:defRPr sz="900" kern="1200" cap="all"/>
  </cs:axisTitle>
  <cs:category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headEnd type="none" w="sm" len="sm"/>
        <a:tailEnd type="none" w="sm" len="sm"/>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9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 lastClr="FFFFFF"/>
    </cs:fontRef>
    <cs:spPr>
      <a:solidFill>
        <a:sysClr val="windowText" lastClr="000000">
          <a:lumMod val="50000"/>
          <a:lumOff val="50000"/>
        </a:sysClr>
      </a:solidFill>
    </cs:spPr>
    <cs:defRPr sz="900" kern="1200"/>
    <cs:bodyPr rot="0" spcFirstLastPara="1" vertOverflow="clip" horzOverflow="clip" vert="horz" wrap="square" lIns="36576" tIns="18288" rIns="36576" bIns="18288" anchor="ctr" anchorCtr="true">
      <a:spAutoFit/>
    </cs:bodyPr>
  </cs:dataLabelCallout>
  <cs:dataPoint>
    <cs:lnRef idx="0"/>
    <cs:fillRef idx="0">
      <cs:styleClr val="auto"/>
    </cs:fillRef>
    <cs:effectRef idx="0"/>
    <cs:fontRef idx="minor">
      <a:sysClr val="windowText" lastClr="000000"/>
    </cs:fontRef>
    <cs:spPr>
      <a:solidFill>
        <a:schemeClr val="phClr">
          <a:alpha val="70000"/>
        </a:schemeClr>
      </a:solidFill>
    </cs:spPr>
  </cs:dataPoint>
  <cs:dataPoint3D>
    <cs:lnRef idx="0"/>
    <cs:fillRef idx="0">
      <cs:styleClr val="auto"/>
    </cs:fillRef>
    <cs:effectRef idx="0"/>
    <cs:fontRef idx="minor">
      <a:sysClr val="windowText" lastClr="000000"/>
    </cs:fontRef>
    <cs:spPr>
      <a:solidFill>
        <a:schemeClr val="phClr">
          <a:alpha val="70000"/>
        </a:schemeClr>
      </a:solidFill>
    </cs:spPr>
  </cs:dataPoint3D>
  <cs:dataPointLine>
    <cs:lnRef idx="0">
      <cs:styleClr val="auto"/>
    </cs:lnRef>
    <cs:fillRef idx="0"/>
    <cs:effectRef idx="0"/>
    <cs:fontRef idx="minor">
      <a:sysClr val="windowText" lastClr="000000"/>
    </cs:fontRef>
    <cs:spPr>
      <a:ln w="28575" cap="rnd">
        <a:solidFill>
          <a:schemeClr val="phClr"/>
        </a:solidFill>
        <a:round/>
      </a:ln>
    </cs:spPr>
  </cs:dataPointLine>
  <cs:dataPointMarker>
    <cs:lnRef idx="0">
      <cs:styleClr val="auto"/>
    </cs:lnRef>
    <cs:fillRef idx="0">
      <cs:styleClr val="auto"/>
    </cs:fillRef>
    <cs:effectRef idx="0"/>
    <cs:fontRef idx="minor">
      <a:sysClr val="windowText" lastClr="000000"/>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ln w="9525">
        <a:solidFill>
          <a:sysClr val="windowText" lastClr="000000">
            <a:lumMod val="15000"/>
            <a:lumOff val="85000"/>
          </a:sysClr>
        </a:solidFill>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a:solidFill>
          <a:sysClr val="windowText" lastClr="000000">
            <a:lumMod val="35000"/>
            <a:lumOff val="65000"/>
          </a:sysClr>
        </a:solidFill>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floor>
  <cs:gridlineMajor>
    <cs:lnRef idx="0"/>
    <cs:fillRef idx="0"/>
    <cs:effectRef idx="0"/>
    <cs:fontRef idx="minor">
      <a:sysClr val="windowText" lastClr="000000"/>
    </cs:fontRef>
    <cs:spPr>
      <a:ln w="9525" cap="flat" cmpd="sng" algn="ctr">
        <a:gradFill>
          <a:gsLst>
            <a:gs pos="0">
              <a:sysClr val="windowText" lastClr="000000">
                <a:lumMod val="5000"/>
                <a:lumOff val="95000"/>
              </a:sysClr>
            </a:gs>
            <a:gs pos="100000">
              <a:sysClr val="windowText" lastClr="000000">
                <a:lumMod val="15000"/>
                <a:lumOff val="85000"/>
              </a:sysClr>
            </a:gs>
          </a:gsLst>
          <a:lin ang="5400000" scaled="false"/>
        </a:gradFill>
        <a:round/>
      </a:ln>
    </cs:spPr>
  </cs:gridlineMajor>
  <cs:gridlineMinor>
    <cs:lnRef idx="0"/>
    <cs:fillRef idx="0"/>
    <cs:effectRef idx="0"/>
    <cs:fontRef idx="minor">
      <a:sysClr val="windowText" lastClr="000000"/>
    </cs:fontRef>
    <cs:spPr>
      <a:ln w="9525" cap="flat" cmpd="sng" algn="ctr">
        <a:gradFill>
          <a:gsLst>
            <a:gs pos="0">
              <a:sysClr val="windowText" lastClr="000000">
                <a:lumMod val="5000"/>
                <a:lumOff val="95000"/>
              </a:sysClr>
            </a:gs>
            <a:gs pos="100000">
              <a:sysClr val="windowText" lastClr="000000">
                <a:lumMod val="15000"/>
                <a:lumOff val="85000"/>
              </a:sysClr>
            </a:gs>
          </a:gsLst>
          <a:lin ang="5400000" scaled="false"/>
        </a:gradFill>
        <a:round/>
      </a:ln>
    </cs:spPr>
  </cs:gridlineMinor>
  <cs:hiLoLine>
    <cs:lnRef idx="0"/>
    <cs:fillRef idx="0"/>
    <cs:effectRef idx="0"/>
    <cs:fontRef idx="minor">
      <a:sysClr val="windowText" lastClr="000000"/>
    </cs:fontRef>
    <cs:spPr>
      <a:ln w="9525">
        <a:solidFill>
          <a:sysClr val="windowText" lastClr="000000">
            <a:lumMod val="50000"/>
            <a:lumOff val="50000"/>
          </a:sysClr>
        </a:solidFill>
      </a:ln>
    </cs:spPr>
  </cs:hiLoLine>
  <cs:leaderLine>
    <cs:lnRef idx="0"/>
    <cs:fillRef idx="0"/>
    <cs:effectRef idx="0"/>
    <cs:fontRef idx="minor">
      <a:sysClr val="windowText" lastClr="000000"/>
    </cs:fontRef>
    <cs:spPr>
      <a:ln w="9525">
        <a:solidFill>
          <a:sysClr val="windowText" lastClr="000000">
            <a:lumMod val="35000"/>
            <a:lumOff val="65000"/>
          </a:sysClr>
        </a:solidFill>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headEnd type="none" w="sm" len="sm"/>
        <a:tailEnd type="none" w="sm" len="sm"/>
      </a:ln>
    </cs:spPr>
    <cs:defRPr sz="900" kern="1200"/>
  </cs:seriesAxis>
  <cs:seriesLine>
    <cs:lnRef idx="0"/>
    <cs:fillRef idx="0"/>
    <cs:effectRef idx="0"/>
    <cs:fontRef idx="minor">
      <a:sysClr val="windowText" lastClr="000000"/>
    </cs:fontRef>
    <cs:spPr>
      <a:ln w="9525">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800" b="1" kern="1200" cap="all" spc="50" baseline="0"/>
  </cs:title>
  <cs:trendline>
    <cs:lnRef idx="0">
      <cs:styleClr val="auto"/>
    </cs:lnRef>
    <cs:fillRef idx="0"/>
    <cs:effectRef idx="0"/>
    <cs:fontRef idx="minor">
      <a:sysClr val="windowText" lastClr="000000"/>
    </cs:fontRef>
    <cs:spPr>
      <a:ln w="9525" cap="rnd">
        <a:solidFill>
          <a:schemeClr val="phClr"/>
        </a:solidFill>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65000"/>
            <a:lumOff val="3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9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ysClr val="windowText" lastClr="000000"/>
    </cs:fontRef>
    <cs:spPr>
      <a:ln w="19050">
        <a:solidFill>
          <a:sysClr val="window" lastClr="FFFFFF"/>
        </a:solidFill>
      </a:ln>
    </cs:spPr>
  </cs:dataPoint>
  <cs:dataPoint3D>
    <cs:lnRef idx="0"/>
    <cs:fillRef idx="1">
      <cs:styleClr val="auto"/>
    </cs:fillRef>
    <cs:effectRef idx="0"/>
    <cs:fontRef idx="minor">
      <a:sysClr val="windowText" lastClr="000000"/>
    </cs:fontRef>
    <cs:spPr>
      <a:ln w="25400">
        <a:solidFill>
          <a:sysClr val="window" lastClr="FFFFFF"/>
        </a:solidFill>
      </a:ln>
    </cs:spPr>
  </cs:dataPoint3D>
  <cs:dataPointLine>
    <cs:lnRef idx="0">
      <cs:styleClr val="auto"/>
    </cs:lnRef>
    <cs:fillRef idx="0"/>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2.xml><?xml version="1.0" encoding="utf-8"?>
<a:themeOverride xmlns:a="http://schemas.openxmlformats.org/drawingml/2006/main">
  <a:clrScheme name="自定义 349">
    <a:dk1>
      <a:srgbClr val="000000"/>
    </a:dk1>
    <a:lt1>
      <a:srgbClr val="FFFFFF"/>
    </a:lt1>
    <a:dk2>
      <a:srgbClr val="0C0E1F"/>
    </a:dk2>
    <a:lt2>
      <a:srgbClr val="FEFFFF"/>
    </a:lt2>
    <a:accent1>
      <a:srgbClr val="FA7C58"/>
    </a:accent1>
    <a:accent2>
      <a:srgbClr val="5E72FC"/>
    </a:accent2>
    <a:accent3>
      <a:srgbClr val="11B886"/>
    </a:accent3>
    <a:accent4>
      <a:srgbClr val="637CBC"/>
    </a:accent4>
    <a:accent5>
      <a:srgbClr val="EED46C"/>
    </a:accent5>
    <a:accent6>
      <a:srgbClr val="D87DF2"/>
    </a:accent6>
    <a:hlink>
      <a:srgbClr val="304FFE"/>
    </a:hlink>
    <a:folHlink>
      <a:srgbClr val="492067"/>
    </a:folHlink>
  </a:clrScheme>
  <a:fontScheme name="自定义 2">
    <a:majorFont>
      <a:latin typeface="微软雅黑"/>
      <a:ea typeface="微软雅黑"/>
      <a:cs typeface=""/>
    </a:majorFont>
    <a:minorFont>
      <a:latin typeface="微软雅黑"/>
      <a:ea typeface="微软雅黑"/>
      <a:cs typeface=""/>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3.xml><?xml version="1.0" encoding="utf-8"?>
<a:themeOverride xmlns:a="http://schemas.openxmlformats.org/drawingml/2006/main">
  <a:clrScheme name="自定义 349">
    <a:dk1>
      <a:srgbClr val="000000"/>
    </a:dk1>
    <a:lt1>
      <a:srgbClr val="FFFFFF"/>
    </a:lt1>
    <a:dk2>
      <a:srgbClr val="0C0E1F"/>
    </a:dk2>
    <a:lt2>
      <a:srgbClr val="FEFFFF"/>
    </a:lt2>
    <a:accent1>
      <a:srgbClr val="FA7C58"/>
    </a:accent1>
    <a:accent2>
      <a:srgbClr val="5E72FC"/>
    </a:accent2>
    <a:accent3>
      <a:srgbClr val="11B886"/>
    </a:accent3>
    <a:accent4>
      <a:srgbClr val="637CBC"/>
    </a:accent4>
    <a:accent5>
      <a:srgbClr val="EED46C"/>
    </a:accent5>
    <a:accent6>
      <a:srgbClr val="D87DF2"/>
    </a:accent6>
    <a:hlink>
      <a:srgbClr val="304FFE"/>
    </a:hlink>
    <a:folHlink>
      <a:srgbClr val="492067"/>
    </a:folHlink>
  </a:clrScheme>
  <a:fontScheme name="自定义 2">
    <a:majorFont>
      <a:latin typeface="微软雅黑"/>
      <a:ea typeface="微软雅黑"/>
      <a:cs typeface=""/>
    </a:majorFont>
    <a:minorFont>
      <a:latin typeface="微软雅黑"/>
      <a:ea typeface="微软雅黑"/>
      <a:cs typeface=""/>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5.xml><?xml version="1.0" encoding="utf-8"?>
<a:themeOverride xmlns:a="http://schemas.openxmlformats.org/drawingml/2006/main">
  <a:clrScheme name="自定义 349">
    <a:dk1>
      <a:srgbClr val="000000"/>
    </a:dk1>
    <a:lt1>
      <a:srgbClr val="FFFFFF"/>
    </a:lt1>
    <a:dk2>
      <a:srgbClr val="0C0E1F"/>
    </a:dk2>
    <a:lt2>
      <a:srgbClr val="FEFFFF"/>
    </a:lt2>
    <a:accent1>
      <a:srgbClr val="FA7C58"/>
    </a:accent1>
    <a:accent2>
      <a:srgbClr val="5E72FC"/>
    </a:accent2>
    <a:accent3>
      <a:srgbClr val="11B886"/>
    </a:accent3>
    <a:accent4>
      <a:srgbClr val="637CBC"/>
    </a:accent4>
    <a:accent5>
      <a:srgbClr val="EED46C"/>
    </a:accent5>
    <a:accent6>
      <a:srgbClr val="D87DF2"/>
    </a:accent6>
    <a:hlink>
      <a:srgbClr val="304FFE"/>
    </a:hlink>
    <a:folHlink>
      <a:srgbClr val="492067"/>
    </a:folHlink>
  </a:clrScheme>
  <a:fontScheme name="自定义 2">
    <a:majorFont>
      <a:latin typeface="微软雅黑"/>
      <a:ea typeface="微软雅黑"/>
      <a:cs typeface=""/>
    </a:majorFont>
    <a:minorFont>
      <a:latin typeface="微软雅黑"/>
      <a:ea typeface="微软雅黑"/>
      <a:cs typeface=""/>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149</Pages>
  <Words>85447</Words>
  <Characters>98823</Characters>
  <Lines>671</Lines>
  <Paragraphs>189</Paragraphs>
  <TotalTime>1</TotalTime>
  <ScaleCrop>false</ScaleCrop>
  <LinksUpToDate>false</LinksUpToDate>
  <CharactersWithSpaces>99468</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2023-07-29T18:10:00Z</dcterms:created>
  <dc:creator>姑娘</dc:creator>
  <cp:lastModifiedBy>user</cp:lastModifiedBy>
  <cp:lastPrinted>2024-01-31T00:06:00Z</cp:lastPrinted>
  <dcterms:modified xsi:type="dcterms:W3CDTF">2025-06-06T15:06:06Z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F78E0A4B14094B4E8314102CE86297EA_13</vt:lpwstr>
  </property>
</Properties>
</file>