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pixbkgnd" focussize="0,0" recolor="t" r:id="rId16"/>
    </v:background>
  </w:background>
  <w:body>
    <w:p>
      <w:pPr>
        <w:pStyle w:val="4"/>
        <w:ind w:firstLine="0" w:firstLineChars="0"/>
        <w:jc w:val="center"/>
        <w:rPr>
          <w:rFonts w:eastAsia="黑体"/>
          <w:sz w:val="52"/>
          <w:szCs w:val="52"/>
        </w:rPr>
      </w:pPr>
      <w:bookmarkStart w:id="0" w:name="_Hlk183993072"/>
      <w:bookmarkEnd w:id="0"/>
      <w:bookmarkStart w:id="1" w:name="_Toc95376055"/>
    </w:p>
    <w:p>
      <w:pPr>
        <w:pStyle w:val="4"/>
        <w:ind w:firstLine="0" w:firstLineChars="0"/>
        <w:jc w:val="center"/>
        <w:rPr>
          <w:rFonts w:eastAsia="黑体"/>
          <w:sz w:val="52"/>
          <w:szCs w:val="52"/>
        </w:rPr>
      </w:pPr>
    </w:p>
    <w:p>
      <w:pPr>
        <w:pStyle w:val="4"/>
        <w:ind w:firstLine="0" w:firstLineChars="0"/>
        <w:jc w:val="center"/>
        <w:rPr>
          <w:rFonts w:eastAsia="黑体"/>
          <w:sz w:val="52"/>
          <w:szCs w:val="52"/>
        </w:rPr>
      </w:pPr>
    </w:p>
    <w:p>
      <w:pPr>
        <w:pStyle w:val="86"/>
        <w:rPr>
          <w:rFonts w:ascii="Times New Roman" w:hAnsi="Times New Roman" w:eastAsia="方正小标宋简体"/>
          <w:b w:val="0"/>
          <w:bCs/>
          <w:color w:val="000000" w:themeColor="text1"/>
          <w:sz w:val="56"/>
          <w:szCs w:val="72"/>
          <w14:textFill>
            <w14:solidFill>
              <w14:schemeClr w14:val="tx1"/>
            </w14:solidFill>
          </w14:textFill>
        </w:rPr>
      </w:pPr>
      <w:r>
        <w:rPr>
          <w:rFonts w:ascii="Times New Roman" w:hAnsi="Times New Roman" w:eastAsia="方正小标宋简体"/>
          <w:b w:val="0"/>
          <w:bCs/>
          <w:color w:val="000000" w:themeColor="text1"/>
          <w:sz w:val="56"/>
          <w:szCs w:val="72"/>
          <w14:textFill>
            <w14:solidFill>
              <w14:schemeClr w14:val="tx1"/>
            </w14:solidFill>
          </w14:textFill>
        </w:rPr>
        <w:t>澄江市水资源保护利用规划</w:t>
      </w:r>
    </w:p>
    <w:p>
      <w:pPr>
        <w:pStyle w:val="86"/>
        <w:rPr>
          <w:rFonts w:ascii="Times New Roman" w:hAnsi="Times New Roman" w:eastAsia="方正小标宋简体"/>
          <w:b w:val="0"/>
          <w:bCs/>
          <w:color w:val="000000" w:themeColor="text1"/>
          <w:sz w:val="56"/>
          <w:szCs w:val="72"/>
          <w14:textFill>
            <w14:solidFill>
              <w14:schemeClr w14:val="tx1"/>
            </w14:solidFill>
          </w14:textFill>
        </w:rPr>
      </w:pPr>
      <w:r>
        <w:rPr>
          <w:rFonts w:ascii="Times New Roman" w:hAnsi="Times New Roman" w:eastAsia="方正小标宋简体"/>
          <w:b w:val="0"/>
          <w:bCs/>
          <w:color w:val="000000" w:themeColor="text1"/>
          <w:sz w:val="56"/>
          <w:szCs w:val="72"/>
          <w14:textFill>
            <w14:solidFill>
              <w14:schemeClr w14:val="tx1"/>
            </w14:solidFill>
          </w14:textFill>
        </w:rPr>
        <w:t>（2024—2035年）</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tbl>
      <w:tblPr>
        <w:tblStyle w:val="51"/>
        <w:tblW w:w="7195" w:type="dxa"/>
        <w:jc w:val="center"/>
        <w:tblLayout w:type="fixed"/>
        <w:tblCellMar>
          <w:top w:w="0" w:type="dxa"/>
          <w:left w:w="108" w:type="dxa"/>
          <w:bottom w:w="0" w:type="dxa"/>
          <w:right w:w="108" w:type="dxa"/>
        </w:tblCellMar>
      </w:tblPr>
      <w:tblGrid>
        <w:gridCol w:w="1896"/>
        <w:gridCol w:w="5299"/>
      </w:tblGrid>
      <w:tr>
        <w:tblPrEx>
          <w:tblCellMar>
            <w:top w:w="0" w:type="dxa"/>
            <w:left w:w="108" w:type="dxa"/>
            <w:bottom w:w="0" w:type="dxa"/>
            <w:right w:w="108" w:type="dxa"/>
          </w:tblCellMar>
        </w:tblPrEx>
        <w:trPr>
          <w:trHeight w:val="481" w:hRule="atLeast"/>
          <w:jc w:val="center"/>
        </w:trPr>
        <w:tc>
          <w:tcPr>
            <w:tcW w:w="1896" w:type="dxa"/>
          </w:tcPr>
          <w:p>
            <w:pPr>
              <w:pStyle w:val="94"/>
              <w:ind w:firstLine="0" w:firstLineChars="0"/>
              <w:jc w:val="distribute"/>
              <w:rPr>
                <w:rFonts w:eastAsia="方正小标宋简体"/>
                <w:color w:val="000000" w:themeColor="text1"/>
                <w:sz w:val="28"/>
                <w14:textFill>
                  <w14:solidFill>
                    <w14:schemeClr w14:val="tx1"/>
                  </w14:solidFill>
                </w14:textFill>
              </w:rPr>
            </w:pPr>
            <w:r>
              <w:rPr>
                <w:rFonts w:eastAsia="方正小标宋简体"/>
                <w:color w:val="000000" w:themeColor="text1"/>
                <w:sz w:val="28"/>
                <w14:textFill>
                  <w14:solidFill>
                    <w14:schemeClr w14:val="tx1"/>
                  </w14:solidFill>
                </w14:textFill>
              </w:rPr>
              <w:t>组织单位：</w:t>
            </w:r>
          </w:p>
        </w:tc>
        <w:tc>
          <w:tcPr>
            <w:tcW w:w="5299" w:type="dxa"/>
          </w:tcPr>
          <w:p>
            <w:pPr>
              <w:pStyle w:val="94"/>
              <w:ind w:firstLine="0" w:firstLineChars="0"/>
              <w:jc w:val="distribute"/>
              <w:rPr>
                <w:rFonts w:eastAsia="方正小标宋简体"/>
                <w:color w:val="000000" w:themeColor="text1"/>
                <w:sz w:val="28"/>
                <w14:textFill>
                  <w14:solidFill>
                    <w14:schemeClr w14:val="tx1"/>
                  </w14:solidFill>
                </w14:textFill>
              </w:rPr>
            </w:pPr>
            <w:r>
              <w:rPr>
                <w:rFonts w:eastAsia="方正小标宋简体"/>
                <w:color w:val="000000" w:themeColor="text1"/>
                <w:sz w:val="28"/>
                <w14:textFill>
                  <w14:solidFill>
                    <w14:schemeClr w14:val="tx1"/>
                  </w14:solidFill>
                </w14:textFill>
              </w:rPr>
              <w:t>澄江市水利局</w:t>
            </w:r>
          </w:p>
        </w:tc>
      </w:tr>
      <w:tr>
        <w:tblPrEx>
          <w:tblCellMar>
            <w:top w:w="0" w:type="dxa"/>
            <w:left w:w="108" w:type="dxa"/>
            <w:bottom w:w="0" w:type="dxa"/>
            <w:right w:w="108" w:type="dxa"/>
          </w:tblCellMar>
        </w:tblPrEx>
        <w:trPr>
          <w:trHeight w:val="481" w:hRule="atLeast"/>
          <w:jc w:val="center"/>
        </w:trPr>
        <w:tc>
          <w:tcPr>
            <w:tcW w:w="1896" w:type="dxa"/>
          </w:tcPr>
          <w:p>
            <w:pPr>
              <w:pStyle w:val="94"/>
              <w:ind w:firstLine="0" w:firstLineChars="0"/>
              <w:jc w:val="distribute"/>
              <w:rPr>
                <w:rFonts w:eastAsia="方正小标宋简体"/>
                <w:color w:val="000000" w:themeColor="text1"/>
                <w:sz w:val="28"/>
                <w14:textFill>
                  <w14:solidFill>
                    <w14:schemeClr w14:val="tx1"/>
                  </w14:solidFill>
                </w14:textFill>
              </w:rPr>
            </w:pPr>
            <w:r>
              <w:rPr>
                <w:rFonts w:eastAsia="方正小标宋简体"/>
                <w:color w:val="000000" w:themeColor="text1"/>
                <w:sz w:val="28"/>
                <w14:textFill>
                  <w14:solidFill>
                    <w14:schemeClr w14:val="tx1"/>
                  </w14:solidFill>
                </w14:textFill>
              </w:rPr>
              <w:t>编制单位：</w:t>
            </w:r>
          </w:p>
        </w:tc>
        <w:tc>
          <w:tcPr>
            <w:tcW w:w="5299" w:type="dxa"/>
          </w:tcPr>
          <w:p>
            <w:pPr>
              <w:pStyle w:val="94"/>
              <w:ind w:firstLine="0" w:firstLineChars="0"/>
              <w:jc w:val="distribute"/>
              <w:rPr>
                <w:rFonts w:eastAsia="方正小标宋简体"/>
                <w:color w:val="000000" w:themeColor="text1"/>
                <w:sz w:val="28"/>
                <w14:textFill>
                  <w14:solidFill>
                    <w14:schemeClr w14:val="tx1"/>
                  </w14:solidFill>
                </w14:textFill>
              </w:rPr>
            </w:pPr>
            <w:r>
              <w:rPr>
                <w:rFonts w:eastAsia="方正小标宋简体"/>
                <w:color w:val="000000" w:themeColor="text1"/>
                <w:sz w:val="28"/>
                <w14:textFill>
                  <w14:solidFill>
                    <w14:schemeClr w14:val="tx1"/>
                  </w14:solidFill>
                </w14:textFill>
              </w:rPr>
              <w:t>云南省水利水电勘测设计院有限公司</w:t>
            </w:r>
          </w:p>
        </w:tc>
      </w:tr>
    </w:tbl>
    <w:p>
      <w:pPr>
        <w:adjustRightInd w:val="0"/>
        <w:snapToGrid w:val="0"/>
        <w:spacing w:before="156" w:beforeLines="50"/>
        <w:ind w:firstLine="640"/>
        <w:jc w:val="center"/>
        <w:rPr>
          <w:rFonts w:eastAsia="方正小标宋简体"/>
          <w:spacing w:val="20"/>
          <w:sz w:val="28"/>
          <w:szCs w:val="36"/>
        </w:rPr>
      </w:pPr>
      <w:r>
        <w:rPr>
          <w:rFonts w:eastAsia="方正小标宋简体"/>
          <w:spacing w:val="20"/>
          <w:sz w:val="28"/>
          <w:szCs w:val="36"/>
        </w:rPr>
        <w:t>2024年</w:t>
      </w:r>
      <w:r>
        <w:rPr>
          <w:rFonts w:hint="eastAsia" w:eastAsia="方正小标宋简体"/>
          <w:spacing w:val="20"/>
          <w:sz w:val="28"/>
          <w:szCs w:val="36"/>
        </w:rPr>
        <w:t>12</w:t>
      </w:r>
      <w:r>
        <w:rPr>
          <w:rFonts w:eastAsia="方正小标宋简体"/>
          <w:spacing w:val="20"/>
          <w:sz w:val="28"/>
          <w:szCs w:val="36"/>
        </w:rPr>
        <w:t>月</w:t>
      </w:r>
    </w:p>
    <w:p>
      <w:pPr>
        <w:pStyle w:val="4"/>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418" w:bottom="1440" w:left="1418" w:header="851" w:footer="851" w:gutter="0"/>
          <w:pgNumType w:start="1"/>
          <w:cols w:space="425" w:num="1"/>
          <w:docGrid w:type="linesAndChars" w:linePitch="312" w:charSpace="0"/>
        </w:sectPr>
      </w:pPr>
    </w:p>
    <w:p>
      <w:pPr>
        <w:pStyle w:val="4"/>
        <w:ind w:firstLine="976"/>
        <w:jc w:val="center"/>
        <w:rPr>
          <w:sz w:val="48"/>
          <w:szCs w:val="48"/>
        </w:rPr>
      </w:pPr>
    </w:p>
    <w:p>
      <w:pPr>
        <w:pStyle w:val="4"/>
        <w:ind w:firstLine="976"/>
        <w:jc w:val="center"/>
        <w:rPr>
          <w:sz w:val="48"/>
          <w:szCs w:val="48"/>
        </w:rPr>
      </w:pPr>
    </w:p>
    <w:p>
      <w:pPr>
        <w:pStyle w:val="4"/>
        <w:ind w:firstLine="976"/>
        <w:jc w:val="center"/>
        <w:rPr>
          <w:sz w:val="48"/>
          <w:szCs w:val="48"/>
        </w:rPr>
      </w:pPr>
    </w:p>
    <w:p>
      <w:pPr>
        <w:pStyle w:val="4"/>
        <w:ind w:firstLine="976"/>
        <w:jc w:val="center"/>
        <w:rPr>
          <w:sz w:val="48"/>
          <w:szCs w:val="48"/>
        </w:rPr>
      </w:pPr>
    </w:p>
    <w:p>
      <w:pPr>
        <w:pStyle w:val="4"/>
        <w:ind w:firstLine="976"/>
        <w:jc w:val="center"/>
        <w:rPr>
          <w:sz w:val="48"/>
          <w:szCs w:val="48"/>
        </w:rPr>
      </w:pPr>
    </w:p>
    <w:p>
      <w:pPr>
        <w:pStyle w:val="4"/>
      </w:pPr>
    </w:p>
    <w:p>
      <w:pPr>
        <w:pStyle w:val="4"/>
      </w:pPr>
    </w:p>
    <w:p>
      <w:pPr>
        <w:pStyle w:val="4"/>
        <w:sectPr>
          <w:headerReference r:id="rId11" w:type="default"/>
          <w:pgSz w:w="11906" w:h="16838"/>
          <w:pgMar w:top="1440" w:right="1418" w:bottom="1440" w:left="1418" w:header="851" w:footer="851" w:gutter="0"/>
          <w:pgNumType w:start="1"/>
          <w:cols w:space="425" w:num="1"/>
          <w:docGrid w:type="linesAndChars" w:linePitch="312" w:charSpace="0"/>
        </w:sectPr>
      </w:pPr>
    </w:p>
    <w:p>
      <w:pPr>
        <w:pStyle w:val="4"/>
        <w:ind w:firstLine="0" w:firstLineChars="0"/>
        <w:jc w:val="center"/>
        <w:rPr>
          <w:rFonts w:eastAsia="黑体"/>
          <w:sz w:val="36"/>
          <w:szCs w:val="36"/>
        </w:rPr>
      </w:pPr>
      <w:r>
        <w:rPr>
          <w:rFonts w:eastAsia="黑体"/>
          <w:sz w:val="36"/>
          <w:szCs w:val="36"/>
        </w:rPr>
        <w:t>云南省水利水电勘测设计院有限公司</w:t>
      </w:r>
    </w:p>
    <w:p>
      <w:pPr>
        <w:pStyle w:val="4"/>
        <w:ind w:firstLine="0" w:firstLineChars="0"/>
        <w:rPr>
          <w:rFonts w:eastAsia="黑体"/>
          <w:sz w:val="36"/>
          <w:szCs w:val="36"/>
        </w:rPr>
      </w:pPr>
    </w:p>
    <w:tbl>
      <w:tblPr>
        <w:tblStyle w:val="52"/>
        <w:tblW w:w="82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8"/>
        <w:gridCol w:w="1818"/>
        <w:gridCol w:w="1515"/>
        <w:gridCol w:w="1517"/>
        <w:gridCol w:w="15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rPr>
                <w:rFonts w:eastAsia="黑体"/>
              </w:rPr>
            </w:pPr>
          </w:p>
        </w:tc>
        <w:tc>
          <w:tcPr>
            <w:tcW w:w="1818" w:type="dxa"/>
            <w:vAlign w:val="center"/>
          </w:tcPr>
          <w:p>
            <w:pPr>
              <w:pStyle w:val="4"/>
              <w:ind w:firstLine="0" w:firstLineChars="0"/>
              <w:jc w:val="center"/>
              <w:rPr>
                <w:rFonts w:eastAsia="黑体"/>
              </w:rPr>
            </w:pPr>
          </w:p>
        </w:tc>
        <w:tc>
          <w:tcPr>
            <w:tcW w:w="1515" w:type="dxa"/>
            <w:vAlign w:val="center"/>
          </w:tcPr>
          <w:p>
            <w:pPr>
              <w:pStyle w:val="4"/>
              <w:ind w:firstLine="0" w:firstLineChars="0"/>
              <w:jc w:val="center"/>
            </w:pPr>
          </w:p>
        </w:tc>
        <w:tc>
          <w:tcPr>
            <w:tcW w:w="1517" w:type="dxa"/>
            <w:vAlign w:val="center"/>
          </w:tcPr>
          <w:p>
            <w:pPr>
              <w:pStyle w:val="4"/>
              <w:ind w:firstLine="0" w:firstLineChars="0"/>
              <w:jc w:val="center"/>
            </w:pPr>
          </w:p>
        </w:tc>
        <w:tc>
          <w:tcPr>
            <w:tcW w:w="1517" w:type="dxa"/>
            <w:vAlign w:val="center"/>
          </w:tcPr>
          <w:p>
            <w:pPr>
              <w:pStyle w:val="4"/>
              <w:ind w:firstLine="0" w:firstLineChars="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pPr>
            <w:r>
              <w:rPr>
                <w:rFonts w:eastAsia="黑体"/>
              </w:rPr>
              <w:t>核    定：</w:t>
            </w:r>
          </w:p>
        </w:tc>
        <w:tc>
          <w:tcPr>
            <w:tcW w:w="1818" w:type="dxa"/>
            <w:vAlign w:val="center"/>
          </w:tcPr>
          <w:p>
            <w:pPr>
              <w:pStyle w:val="4"/>
              <w:ind w:firstLine="0" w:firstLineChars="0"/>
              <w:jc w:val="center"/>
            </w:pPr>
            <w:r>
              <w:rPr>
                <w:rFonts w:hint="eastAsia" w:eastAsia="黑体"/>
              </w:rPr>
              <w:t>马平森</w:t>
            </w:r>
          </w:p>
        </w:tc>
        <w:tc>
          <w:tcPr>
            <w:tcW w:w="1515" w:type="dxa"/>
            <w:vAlign w:val="center"/>
          </w:tcPr>
          <w:p>
            <w:pPr>
              <w:pStyle w:val="4"/>
              <w:ind w:firstLine="0" w:firstLineChars="0"/>
              <w:jc w:val="center"/>
            </w:pPr>
          </w:p>
        </w:tc>
        <w:tc>
          <w:tcPr>
            <w:tcW w:w="1517" w:type="dxa"/>
            <w:vAlign w:val="center"/>
          </w:tcPr>
          <w:p>
            <w:pPr>
              <w:pStyle w:val="4"/>
              <w:ind w:firstLine="0" w:firstLineChars="0"/>
              <w:jc w:val="center"/>
            </w:pPr>
          </w:p>
        </w:tc>
        <w:tc>
          <w:tcPr>
            <w:tcW w:w="1517" w:type="dxa"/>
            <w:vAlign w:val="center"/>
          </w:tcPr>
          <w:p>
            <w:pPr>
              <w:pStyle w:val="4"/>
              <w:ind w:firstLine="0" w:firstLineChars="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spacing w:line="240" w:lineRule="auto"/>
              <w:ind w:firstLine="0" w:firstLineChars="0"/>
              <w:jc w:val="center"/>
            </w:pPr>
          </w:p>
        </w:tc>
        <w:tc>
          <w:tcPr>
            <w:tcW w:w="1515" w:type="dxa"/>
            <w:vAlign w:val="center"/>
          </w:tcPr>
          <w:p>
            <w:pPr>
              <w:pStyle w:val="4"/>
              <w:ind w:firstLine="0" w:firstLineChars="0"/>
              <w:jc w:val="center"/>
            </w:pPr>
          </w:p>
        </w:tc>
        <w:tc>
          <w:tcPr>
            <w:tcW w:w="1517" w:type="dxa"/>
            <w:vAlign w:val="center"/>
          </w:tcPr>
          <w:p>
            <w:pPr>
              <w:pStyle w:val="4"/>
              <w:ind w:firstLine="0" w:firstLineChars="0"/>
              <w:jc w:val="center"/>
            </w:pPr>
          </w:p>
        </w:tc>
        <w:tc>
          <w:tcPr>
            <w:tcW w:w="1517" w:type="dxa"/>
            <w:vAlign w:val="center"/>
          </w:tcPr>
          <w:p>
            <w:pPr>
              <w:pStyle w:val="4"/>
              <w:ind w:firstLine="0" w:firstLineChars="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pPr>
          </w:p>
        </w:tc>
        <w:tc>
          <w:tcPr>
            <w:tcW w:w="1515" w:type="dxa"/>
            <w:vAlign w:val="center"/>
          </w:tcPr>
          <w:p>
            <w:pPr>
              <w:pStyle w:val="4"/>
              <w:ind w:firstLine="0" w:firstLineChars="0"/>
              <w:jc w:val="center"/>
            </w:pPr>
          </w:p>
        </w:tc>
        <w:tc>
          <w:tcPr>
            <w:tcW w:w="1517" w:type="dxa"/>
            <w:vAlign w:val="center"/>
          </w:tcPr>
          <w:p>
            <w:pPr>
              <w:pStyle w:val="4"/>
              <w:ind w:firstLine="0" w:firstLineChars="0"/>
              <w:jc w:val="center"/>
            </w:pPr>
          </w:p>
        </w:tc>
        <w:tc>
          <w:tcPr>
            <w:tcW w:w="1517" w:type="dxa"/>
            <w:vAlign w:val="center"/>
          </w:tcPr>
          <w:p>
            <w:pPr>
              <w:pStyle w:val="4"/>
              <w:ind w:firstLine="0" w:firstLineChars="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pPr>
            <w:r>
              <w:rPr>
                <w:rFonts w:eastAsia="黑体"/>
              </w:rPr>
              <w:t>审    查：</w:t>
            </w:r>
          </w:p>
        </w:tc>
        <w:tc>
          <w:tcPr>
            <w:tcW w:w="1818" w:type="dxa"/>
            <w:vAlign w:val="center"/>
          </w:tcPr>
          <w:p>
            <w:pPr>
              <w:pStyle w:val="4"/>
              <w:ind w:firstLine="0" w:firstLineChars="0"/>
              <w:jc w:val="center"/>
            </w:pPr>
            <w:r>
              <w:rPr>
                <w:rFonts w:hint="eastAsia" w:eastAsia="黑体"/>
              </w:rPr>
              <w:t>陈少妹</w:t>
            </w:r>
          </w:p>
        </w:tc>
        <w:tc>
          <w:tcPr>
            <w:tcW w:w="1515" w:type="dxa"/>
            <w:vAlign w:val="center"/>
          </w:tcPr>
          <w:p>
            <w:pPr>
              <w:pStyle w:val="4"/>
              <w:ind w:firstLine="0" w:firstLineChars="0"/>
              <w:jc w:val="center"/>
            </w:pP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pPr>
          </w:p>
        </w:tc>
        <w:tc>
          <w:tcPr>
            <w:tcW w:w="1515"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pPr>
          </w:p>
        </w:tc>
        <w:tc>
          <w:tcPr>
            <w:tcW w:w="1515"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858" w:type="dxa"/>
            <w:vAlign w:val="center"/>
          </w:tcPr>
          <w:p>
            <w:pPr>
              <w:pStyle w:val="4"/>
              <w:ind w:firstLine="0" w:firstLineChars="0"/>
            </w:pPr>
            <w:r>
              <w:rPr>
                <w:rFonts w:eastAsia="黑体"/>
              </w:rPr>
              <w:t>校    核：</w:t>
            </w:r>
          </w:p>
        </w:tc>
        <w:tc>
          <w:tcPr>
            <w:tcW w:w="1818" w:type="dxa"/>
            <w:vAlign w:val="center"/>
          </w:tcPr>
          <w:p>
            <w:pPr>
              <w:pStyle w:val="4"/>
              <w:ind w:firstLine="0" w:firstLineChars="0"/>
              <w:jc w:val="center"/>
              <w:rPr>
                <w:rFonts w:eastAsia="黑体"/>
              </w:rPr>
            </w:pPr>
            <w:r>
              <w:rPr>
                <w:rFonts w:hint="eastAsia" w:eastAsia="黑体"/>
              </w:rPr>
              <w:t>罗跃辉</w:t>
            </w:r>
          </w:p>
        </w:tc>
        <w:tc>
          <w:tcPr>
            <w:tcW w:w="1515" w:type="dxa"/>
            <w:vAlign w:val="center"/>
          </w:tcPr>
          <w:p>
            <w:pPr>
              <w:pStyle w:val="4"/>
              <w:ind w:firstLine="0" w:firstLineChars="0"/>
              <w:jc w:val="center"/>
              <w:rPr>
                <w:rFonts w:eastAsia="黑体"/>
              </w:rPr>
            </w:pPr>
            <w:r>
              <w:rPr>
                <w:rFonts w:hint="eastAsia" w:eastAsia="黑体"/>
              </w:rPr>
              <w:t xml:space="preserve">刘 </w:t>
            </w:r>
            <w:r>
              <w:rPr>
                <w:rFonts w:eastAsia="黑体"/>
              </w:rPr>
              <w:t xml:space="preserve"> </w:t>
            </w:r>
            <w:r>
              <w:rPr>
                <w:rFonts w:hint="eastAsia" w:eastAsia="黑体"/>
              </w:rPr>
              <w:t>伟</w:t>
            </w: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rPr>
                <w:rFonts w:eastAsia="黑体"/>
              </w:rPr>
            </w:pPr>
          </w:p>
        </w:tc>
        <w:tc>
          <w:tcPr>
            <w:tcW w:w="1515"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pPr>
          </w:p>
        </w:tc>
        <w:tc>
          <w:tcPr>
            <w:tcW w:w="1515"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pPr>
            <w:r>
              <w:rPr>
                <w:rFonts w:eastAsia="黑体"/>
              </w:rPr>
              <w:t>编    写：</w:t>
            </w:r>
          </w:p>
        </w:tc>
        <w:tc>
          <w:tcPr>
            <w:tcW w:w="1818" w:type="dxa"/>
            <w:vAlign w:val="center"/>
          </w:tcPr>
          <w:p>
            <w:pPr>
              <w:pStyle w:val="4"/>
              <w:ind w:firstLine="0" w:firstLineChars="0"/>
              <w:jc w:val="center"/>
              <w:rPr>
                <w:rFonts w:eastAsia="黑体"/>
              </w:rPr>
            </w:pPr>
            <w:r>
              <w:rPr>
                <w:rFonts w:hint="eastAsia" w:eastAsia="黑体"/>
              </w:rPr>
              <w:t xml:space="preserve">刘 </w:t>
            </w:r>
            <w:r>
              <w:rPr>
                <w:rFonts w:eastAsia="黑体"/>
              </w:rPr>
              <w:t xml:space="preserve"> </w:t>
            </w:r>
            <w:r>
              <w:rPr>
                <w:rFonts w:hint="eastAsia" w:eastAsia="黑体"/>
              </w:rPr>
              <w:t>伟</w:t>
            </w:r>
          </w:p>
        </w:tc>
        <w:tc>
          <w:tcPr>
            <w:tcW w:w="1515" w:type="dxa"/>
            <w:vAlign w:val="center"/>
          </w:tcPr>
          <w:p>
            <w:pPr>
              <w:pStyle w:val="4"/>
              <w:ind w:firstLine="0" w:firstLineChars="0"/>
              <w:jc w:val="center"/>
              <w:rPr>
                <w:rFonts w:eastAsia="黑体"/>
              </w:rPr>
            </w:pPr>
            <w:r>
              <w:rPr>
                <w:rFonts w:hint="eastAsia" w:eastAsia="黑体"/>
              </w:rPr>
              <w:t>罗跃辉</w:t>
            </w:r>
          </w:p>
        </w:tc>
        <w:tc>
          <w:tcPr>
            <w:tcW w:w="1517" w:type="dxa"/>
            <w:vAlign w:val="center"/>
          </w:tcPr>
          <w:p>
            <w:pPr>
              <w:pStyle w:val="4"/>
              <w:ind w:firstLine="0" w:firstLineChars="0"/>
              <w:jc w:val="center"/>
              <w:rPr>
                <w:rFonts w:eastAsia="黑体"/>
              </w:rPr>
            </w:pPr>
            <w:r>
              <w:rPr>
                <w:rFonts w:hint="eastAsia" w:eastAsia="黑体"/>
              </w:rPr>
              <w:t>邹凯波</w:t>
            </w:r>
          </w:p>
        </w:tc>
        <w:tc>
          <w:tcPr>
            <w:tcW w:w="1517" w:type="dxa"/>
            <w:vAlign w:val="center"/>
          </w:tcPr>
          <w:p>
            <w:pPr>
              <w:pStyle w:val="4"/>
              <w:ind w:firstLine="0" w:firstLineChars="0"/>
              <w:jc w:val="center"/>
              <w:rPr>
                <w:rFonts w:eastAsia="黑体"/>
              </w:rPr>
            </w:pPr>
            <w:r>
              <w:rPr>
                <w:rFonts w:hint="eastAsia" w:eastAsia="黑体"/>
              </w:rPr>
              <w:t>秦银辉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rPr>
                <w:rFonts w:eastAsia="黑体"/>
              </w:rPr>
            </w:pPr>
            <w:r>
              <w:rPr>
                <w:rFonts w:hint="eastAsia" w:eastAsia="黑体"/>
              </w:rPr>
              <w:t xml:space="preserve">李 </w:t>
            </w:r>
            <w:r>
              <w:rPr>
                <w:rFonts w:eastAsia="黑体"/>
              </w:rPr>
              <w:t xml:space="preserve"> </w:t>
            </w:r>
            <w:r>
              <w:rPr>
                <w:rFonts w:hint="eastAsia" w:eastAsia="黑体"/>
              </w:rPr>
              <w:t>晟</w:t>
            </w:r>
          </w:p>
        </w:tc>
        <w:tc>
          <w:tcPr>
            <w:tcW w:w="1515" w:type="dxa"/>
            <w:vAlign w:val="center"/>
          </w:tcPr>
          <w:p>
            <w:pPr>
              <w:pStyle w:val="4"/>
              <w:ind w:firstLine="0" w:firstLineChars="0"/>
              <w:jc w:val="center"/>
              <w:rPr>
                <w:rFonts w:eastAsia="黑体"/>
              </w:rPr>
            </w:pPr>
            <w:r>
              <w:rPr>
                <w:rFonts w:hint="eastAsia" w:eastAsia="黑体"/>
              </w:rPr>
              <w:t>徐艺碧</w:t>
            </w:r>
          </w:p>
        </w:tc>
        <w:tc>
          <w:tcPr>
            <w:tcW w:w="1517" w:type="dxa"/>
            <w:vAlign w:val="center"/>
          </w:tcPr>
          <w:p>
            <w:pPr>
              <w:pStyle w:val="4"/>
              <w:ind w:firstLine="0" w:firstLineChars="0"/>
              <w:jc w:val="center"/>
              <w:rPr>
                <w:rFonts w:eastAsia="黑体"/>
              </w:rPr>
            </w:pPr>
          </w:p>
        </w:tc>
        <w:tc>
          <w:tcPr>
            <w:tcW w:w="1517" w:type="dxa"/>
          </w:tcPr>
          <w:p>
            <w:pPr>
              <w:pStyle w:val="4"/>
              <w:ind w:firstLine="0" w:firstLineChars="0"/>
              <w:jc w:val="center"/>
              <w:rPr>
                <w:rFonts w:eastAsia="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rPr>
                <w:rFonts w:eastAsia="黑体"/>
              </w:rPr>
            </w:pPr>
          </w:p>
        </w:tc>
        <w:tc>
          <w:tcPr>
            <w:tcW w:w="1515"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rPr>
                <w:rFonts w:eastAsia="黑体"/>
              </w:rPr>
            </w:pPr>
            <w:r>
              <w:rPr>
                <w:rFonts w:hint="eastAsia" w:eastAsia="黑体"/>
              </w:rPr>
              <w:t>参加</w:t>
            </w:r>
            <w:r>
              <w:rPr>
                <w:rFonts w:eastAsia="黑体"/>
              </w:rPr>
              <w:t>人员：</w:t>
            </w:r>
          </w:p>
        </w:tc>
        <w:tc>
          <w:tcPr>
            <w:tcW w:w="1818" w:type="dxa"/>
            <w:vAlign w:val="center"/>
          </w:tcPr>
          <w:p>
            <w:pPr>
              <w:pStyle w:val="4"/>
              <w:ind w:firstLine="0" w:firstLineChars="0"/>
              <w:jc w:val="center"/>
              <w:rPr>
                <w:rFonts w:eastAsia="黑体"/>
              </w:rPr>
            </w:pPr>
            <w:r>
              <w:rPr>
                <w:rFonts w:hint="eastAsia" w:eastAsia="黑体"/>
              </w:rPr>
              <w:t>赵金明</w:t>
            </w:r>
          </w:p>
        </w:tc>
        <w:tc>
          <w:tcPr>
            <w:tcW w:w="1515" w:type="dxa"/>
            <w:vAlign w:val="center"/>
          </w:tcPr>
          <w:p>
            <w:pPr>
              <w:pStyle w:val="4"/>
              <w:ind w:firstLine="0" w:firstLineChars="0"/>
              <w:jc w:val="center"/>
              <w:rPr>
                <w:rFonts w:eastAsia="黑体"/>
              </w:rPr>
            </w:pPr>
            <w:r>
              <w:rPr>
                <w:rFonts w:hint="eastAsia" w:eastAsia="黑体"/>
              </w:rPr>
              <w:t>张烁宇</w:t>
            </w: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rPr>
                <w:rFonts w:eastAsia="黑体"/>
              </w:rPr>
            </w:pPr>
          </w:p>
        </w:tc>
        <w:tc>
          <w:tcPr>
            <w:tcW w:w="1515"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858" w:type="dxa"/>
            <w:vAlign w:val="center"/>
          </w:tcPr>
          <w:p>
            <w:pPr>
              <w:pStyle w:val="4"/>
              <w:ind w:firstLine="0" w:firstLineChars="0"/>
              <w:jc w:val="center"/>
              <w:rPr>
                <w:rFonts w:eastAsia="黑体"/>
              </w:rPr>
            </w:pPr>
          </w:p>
        </w:tc>
        <w:tc>
          <w:tcPr>
            <w:tcW w:w="1818" w:type="dxa"/>
            <w:vAlign w:val="center"/>
          </w:tcPr>
          <w:p>
            <w:pPr>
              <w:pStyle w:val="4"/>
              <w:ind w:firstLine="0" w:firstLineChars="0"/>
              <w:jc w:val="center"/>
              <w:rPr>
                <w:rFonts w:eastAsia="黑体"/>
              </w:rPr>
            </w:pPr>
          </w:p>
        </w:tc>
        <w:tc>
          <w:tcPr>
            <w:tcW w:w="1515"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c>
          <w:tcPr>
            <w:tcW w:w="1517" w:type="dxa"/>
            <w:vAlign w:val="center"/>
          </w:tcPr>
          <w:p>
            <w:pPr>
              <w:pStyle w:val="4"/>
              <w:ind w:firstLine="0" w:firstLineChars="0"/>
              <w:jc w:val="center"/>
              <w:rPr>
                <w:rFonts w:eastAsia="黑体"/>
              </w:rPr>
            </w:pPr>
          </w:p>
        </w:tc>
      </w:tr>
    </w:tbl>
    <w:p/>
    <w:p/>
    <w:p/>
    <w:p/>
    <w:p/>
    <w:p>
      <w:pPr>
        <w:sectPr>
          <w:pgSz w:w="11906" w:h="16838"/>
          <w:pgMar w:top="1440" w:right="1418" w:bottom="1440" w:left="1418" w:header="851" w:footer="851" w:gutter="0"/>
          <w:pgNumType w:start="1"/>
          <w:cols w:space="425" w:num="1"/>
          <w:docGrid w:type="linesAndChars" w:linePitch="312" w:charSpace="0"/>
        </w:sectPr>
      </w:pPr>
    </w:p>
    <w:p>
      <w:pPr>
        <w:sectPr>
          <w:pgSz w:w="11906" w:h="16838"/>
          <w:pgMar w:top="1440" w:right="1418" w:bottom="1440" w:left="1418" w:header="851" w:footer="851" w:gutter="0"/>
          <w:pgNumType w:start="1"/>
          <w:cols w:space="425" w:num="1"/>
          <w:docGrid w:type="linesAndChars" w:linePitch="312" w:charSpace="0"/>
        </w:sectPr>
      </w:pPr>
    </w:p>
    <w:p>
      <w:pPr>
        <w:ind w:firstLine="578"/>
        <w:jc w:val="center"/>
        <w:rPr>
          <w:b/>
          <w:sz w:val="28"/>
          <w:szCs w:val="32"/>
        </w:rPr>
      </w:pPr>
      <w:r>
        <w:rPr>
          <w:b/>
          <w:sz w:val="28"/>
          <w:szCs w:val="32"/>
        </w:rPr>
        <w:t>前  言</w:t>
      </w:r>
    </w:p>
    <w:p>
      <w:pPr>
        <w:pStyle w:val="4"/>
      </w:pPr>
      <w:r>
        <w:rPr>
          <w:rFonts w:hint="eastAsia"/>
        </w:rPr>
        <w:t>澄江市（不含阳宗镇，含托管区，托管区为华宁县青龙镇的海镜、海关，江川区路居镇、江城镇的孤山、明星、牛摩、三百亩，下同）云南省直辖县级市、玉溪市代管，位于云南省中部，国土面积844km</w:t>
      </w:r>
      <w:r>
        <w:rPr>
          <w:rFonts w:hint="eastAsia"/>
          <w:vertAlign w:val="superscript"/>
        </w:rPr>
        <w:t>2</w:t>
      </w:r>
      <w:r>
        <w:rPr>
          <w:rFonts w:hint="eastAsia"/>
        </w:rPr>
        <w:t>。地处滇中城市经济圈、三湖生态城市群、抚仙湖—星云湖生态建设与旅游改革发展综合试验区、昆玉旅游文化产业经济带的核心区域。</w:t>
      </w:r>
    </w:p>
    <w:p>
      <w:pPr>
        <w:pStyle w:val="4"/>
      </w:pPr>
      <w:r>
        <w:rPr>
          <w:rFonts w:hint="eastAsia"/>
        </w:rPr>
        <w:t>“十四五”以来，澄江市深入贯彻落实党的二十大精神和习近平总书记考察云南重要讲话精神，全面贯彻落实党中央决策部署和上级工作要求，统筹推进“五位一体”总体布局、协调推进“四个全面”战略布局，紧紧围绕“国际旅游城市、国际健康养生城市、国际会议中心城市”目标定位，按照“保护第一、治理为要、科学规划、绿色发展”总体思路，深入实施“生态立市、开放兴市、旅游强市”三大战略，在着力打好抚仙湖保护治理、产业转型升级和新型城乡一体化“三大攻坚战”经济建设生态文明建设、产业结构调整、城乡统筹发展、社会事业建设等方面取得了显著成效，全面建成小康社会取得决定性成就。但随着抚仙湖旅游业和澄江市经济社会的快速发展，澄江市水资源保护利用的压力日益增大，导致湖泊生态功能逐渐退化，环境功能与生物多样性逐渐减少，河湖水质呈现下降趋势。</w:t>
      </w:r>
    </w:p>
    <w:p>
      <w:pPr>
        <w:pStyle w:val="4"/>
      </w:pPr>
      <w:r>
        <w:rPr>
          <w:rFonts w:hint="eastAsia"/>
        </w:rPr>
        <w:t>为做好全市的水资源保护利用工作，澄江市水利局组织开展《澄江市水资源保护利用规划》（以下简称《规划》）编制工作，云南省水利水电勘测设计院有限公司作为《规划》编制单位。规划编制组多次展开联合踏勘和资料收集，经过大量分析工作，202</w:t>
      </w:r>
      <w:r>
        <w:t>4</w:t>
      </w:r>
      <w:r>
        <w:rPr>
          <w:rFonts w:hint="eastAsia"/>
        </w:rPr>
        <w:t>年3月规划编制组编制完成《澄江市水资源保护利用规划（202</w:t>
      </w:r>
      <w:r>
        <w:t>4</w:t>
      </w:r>
      <w:r>
        <w:rPr>
          <w:rFonts w:hint="eastAsia"/>
        </w:rPr>
        <w:t>-2035年）（初稿）》。11月7日，澄江市水利局组织专家及各相关部门，对规划成果进行了专家咨询和征求意见。会后，规划编制组按照专家咨询意见对规划进行了修改完善。</w:t>
      </w:r>
    </w:p>
    <w:p>
      <w:pPr>
        <w:pStyle w:val="4"/>
      </w:pPr>
      <w:r>
        <w:rPr>
          <w:rFonts w:hint="eastAsia"/>
        </w:rPr>
        <w:t>本规划在对澄江市经济社会发展、水土资源开发利用、水生态、水环境现状调查研究及问题分析基础上，针对澄江市水资源保护利用存在的突出问题及关键瓶颈，根据精准治理的要求，以目标、问题为导向，从水资源保护、水资源利用、水生态环境保护等方面，开展澄江市水资源保护利用规划。本次规划为综合性规划，由水利部门牵头，涉及水利、住建、环保等多行业，为保障项目实施，本次只列入水利行业项目，其他行业涉及抚仙湖保护项目由各行业列入相关规划。本次共规划项目42件项目，总投资26.99亿元。其中，节水灌溉类项目5件，总投资3.97亿元，占比14.71%；水资源配置类项目12件，总投资12.45亿元，占比46.11%；水源地保护类项目3件，总投资0.58亿元，占比2.15%；水环境治理类项目5件，总投资4.97亿元，占比18.40%；水土保持类项目6件，总投资0.66亿元，占比2.45%；水生态修复类项目3件，总投资3.21亿元，占比11.90%；水资源管理类项目8件，总投资1.16亿元，占比4.28%。</w:t>
      </w:r>
    </w:p>
    <w:p>
      <w:pPr>
        <w:pStyle w:val="4"/>
      </w:pPr>
      <w:r>
        <w:rPr>
          <w:rFonts w:hint="eastAsia"/>
        </w:rPr>
        <w:t>在规划编制过程中，得到了澄江市水利局、自然资源局、住建局、玉溪市环保局澄江分局等县级相关部门，规划范围内凤麓街道、龙街街道、右所镇、路居镇、九村镇等乡镇人民政府的大力支持，在此表示衷心感谢</w:t>
      </w:r>
      <w:r>
        <w:t>！</w:t>
      </w:r>
    </w:p>
    <w:p/>
    <w:p/>
    <w:p/>
    <w:p>
      <w:pPr>
        <w:sectPr>
          <w:footerReference r:id="rId12" w:type="default"/>
          <w:pgSz w:w="11906" w:h="16838"/>
          <w:pgMar w:top="1440" w:right="1418" w:bottom="1440" w:left="1418" w:header="851" w:footer="851" w:gutter="0"/>
          <w:pgNumType w:fmt="lowerRoman" w:start="1"/>
          <w:cols w:space="425" w:num="1"/>
          <w:docGrid w:type="linesAndChars" w:linePitch="312" w:charSpace="0"/>
        </w:sectPr>
      </w:pPr>
    </w:p>
    <w:p>
      <w:pPr>
        <w:pStyle w:val="36"/>
        <w:ind w:firstLine="736"/>
        <w:jc w:val="center"/>
        <w:rPr>
          <w:rFonts w:ascii="Times New Roman" w:hAnsi="Times New Roman"/>
          <w:sz w:val="36"/>
          <w:szCs w:val="36"/>
        </w:rPr>
      </w:pPr>
      <w:r>
        <w:rPr>
          <w:rFonts w:ascii="Times New Roman" w:hAnsi="Times New Roman"/>
          <w:sz w:val="36"/>
          <w:szCs w:val="36"/>
        </w:rPr>
        <w:t>目  录</w:t>
      </w:r>
      <w:bookmarkEnd w:id="1"/>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rPr>
          <w:rFonts w:ascii="Times New Roman" w:hAnsi="Times New Roman"/>
        </w:rPr>
        <w:fldChar w:fldCharType="begin"/>
      </w:r>
      <w:r>
        <w:rPr>
          <w:rFonts w:ascii="Times New Roman" w:hAnsi="Times New Roman"/>
        </w:rPr>
        <w:instrText xml:space="preserve">TOC \o "1-2" \h \u </w:instrText>
      </w:r>
      <w:r>
        <w:rPr>
          <w:rFonts w:ascii="Times New Roman" w:hAnsi="Times New Roman"/>
        </w:rPr>
        <w:fldChar w:fldCharType="separate"/>
      </w:r>
      <w:r>
        <w:fldChar w:fldCharType="begin"/>
      </w:r>
      <w:r>
        <w:instrText xml:space="preserve"> HYPERLINK \l "_Toc184023307" </w:instrText>
      </w:r>
      <w:r>
        <w:fldChar w:fldCharType="separate"/>
      </w:r>
      <w:r>
        <w:rPr>
          <w:rStyle w:val="61"/>
          <w:rFonts w:hint="eastAsia"/>
        </w:rPr>
        <w:t>1</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区域概况</w:t>
      </w:r>
      <w:r>
        <w:rPr>
          <w:rFonts w:hint="eastAsia"/>
        </w:rPr>
        <w:tab/>
      </w:r>
      <w:r>
        <w:rPr>
          <w:rFonts w:hint="eastAsia"/>
        </w:rPr>
        <w:fldChar w:fldCharType="begin"/>
      </w:r>
      <w:r>
        <w:rPr>
          <w:rFonts w:hint="eastAsia"/>
        </w:rPr>
        <w:instrText xml:space="preserve"> </w:instrText>
      </w:r>
      <w:r>
        <w:instrText xml:space="preserve">PAGEREF _Toc184023307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"_Toc184023308" </w:instrText>
      </w:r>
      <w:r>
        <w:fldChar w:fldCharType="separate"/>
      </w:r>
      <w:r>
        <w:rPr>
          <w:rStyle w:val="61"/>
          <w:rFonts w:hint="eastAsia"/>
        </w:rPr>
        <w:t>1.1 自然地理</w:t>
      </w:r>
      <w:r>
        <w:rPr>
          <w:rFonts w:hint="eastAsia"/>
        </w:rPr>
        <w:tab/>
      </w:r>
      <w:r>
        <w:rPr>
          <w:rFonts w:hint="eastAsia"/>
        </w:rPr>
        <w:fldChar w:fldCharType="begin"/>
      </w:r>
      <w:r>
        <w:rPr>
          <w:rFonts w:hint="eastAsia"/>
        </w:rPr>
        <w:instrText xml:space="preserve"> </w:instrText>
      </w:r>
      <w:r>
        <w:instrText xml:space="preserve">PAGEREF _Toc184023308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"_Toc184023309" </w:instrText>
      </w:r>
      <w:r>
        <w:fldChar w:fldCharType="separate"/>
      </w:r>
      <w:r>
        <w:rPr>
          <w:rStyle w:val="61"/>
          <w:rFonts w:hint="eastAsia"/>
        </w:rPr>
        <w:t>1.2 社会经济</w:t>
      </w:r>
      <w:r>
        <w:rPr>
          <w:rFonts w:hint="eastAsia"/>
        </w:rPr>
        <w:tab/>
      </w:r>
      <w:r>
        <w:rPr>
          <w:rFonts w:hint="eastAsia"/>
        </w:rPr>
        <w:fldChar w:fldCharType="begin"/>
      </w:r>
      <w:r>
        <w:rPr>
          <w:rFonts w:hint="eastAsia"/>
        </w:rPr>
        <w:instrText xml:space="preserve"> </w:instrText>
      </w:r>
      <w:r>
        <w:instrText xml:space="preserve">PAGEREF _Toc184023309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"_Toc184023310" </w:instrText>
      </w:r>
      <w:r>
        <w:fldChar w:fldCharType="separate"/>
      </w:r>
      <w:r>
        <w:rPr>
          <w:rStyle w:val="61"/>
          <w:rFonts w:hint="eastAsia"/>
        </w:rPr>
        <w:t>1.3 河流水系</w:t>
      </w:r>
      <w:r>
        <w:rPr>
          <w:rFonts w:hint="eastAsia"/>
        </w:rPr>
        <w:tab/>
      </w:r>
      <w:r>
        <w:rPr>
          <w:rFonts w:hint="eastAsia"/>
        </w:rPr>
        <w:fldChar w:fldCharType="begin"/>
      </w:r>
      <w:r>
        <w:rPr>
          <w:rFonts w:hint="eastAsia"/>
        </w:rPr>
        <w:instrText xml:space="preserve"> </w:instrText>
      </w:r>
      <w:r>
        <w:instrText xml:space="preserve">PAGEREF _Toc184023310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"_Toc184023311" </w:instrText>
      </w:r>
      <w:r>
        <w:fldChar w:fldCharType="separate"/>
      </w:r>
      <w:r>
        <w:rPr>
          <w:rStyle w:val="61"/>
          <w:rFonts w:hint="eastAsia"/>
        </w:rPr>
        <w:t>2</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总体规划</w:t>
      </w:r>
      <w:r>
        <w:rPr>
          <w:rFonts w:hint="eastAsia"/>
        </w:rPr>
        <w:tab/>
      </w:r>
      <w:r>
        <w:rPr>
          <w:rFonts w:hint="eastAsia"/>
        </w:rPr>
        <w:fldChar w:fldCharType="begin"/>
      </w:r>
      <w:r>
        <w:rPr>
          <w:rFonts w:hint="eastAsia"/>
        </w:rPr>
        <w:instrText xml:space="preserve"> </w:instrText>
      </w:r>
      <w:r>
        <w:instrText xml:space="preserve">PAGEREF _Toc184023311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"_Toc184023312" </w:instrText>
      </w:r>
      <w:r>
        <w:fldChar w:fldCharType="separate"/>
      </w:r>
      <w:r>
        <w:rPr>
          <w:rStyle w:val="61"/>
          <w:rFonts w:hint="eastAsia"/>
        </w:rPr>
        <w:t>2.1 指导思想</w:t>
      </w:r>
      <w:r>
        <w:rPr>
          <w:rFonts w:hint="eastAsia"/>
        </w:rPr>
        <w:tab/>
      </w:r>
      <w:r>
        <w:rPr>
          <w:rFonts w:hint="eastAsia"/>
        </w:rPr>
        <w:fldChar w:fldCharType="begin"/>
      </w:r>
      <w:r>
        <w:rPr>
          <w:rFonts w:hint="eastAsia"/>
        </w:rPr>
        <w:instrText xml:space="preserve"> </w:instrText>
      </w:r>
      <w:r>
        <w:instrText xml:space="preserve">PAGEREF _Toc184023312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"_Toc184023313" </w:instrText>
      </w:r>
      <w:r>
        <w:fldChar w:fldCharType="separate"/>
      </w:r>
      <w:r>
        <w:rPr>
          <w:rStyle w:val="61"/>
          <w:rFonts w:hint="eastAsia"/>
        </w:rPr>
        <w:t>2.2 基本原则</w:t>
      </w:r>
      <w:r>
        <w:rPr>
          <w:rFonts w:hint="eastAsia"/>
        </w:rPr>
        <w:tab/>
      </w:r>
      <w:r>
        <w:rPr>
          <w:rFonts w:hint="eastAsia"/>
        </w:rPr>
        <w:fldChar w:fldCharType="begin"/>
      </w:r>
      <w:r>
        <w:rPr>
          <w:rFonts w:hint="eastAsia"/>
        </w:rPr>
        <w:instrText xml:space="preserve"> </w:instrText>
      </w:r>
      <w:r>
        <w:instrText xml:space="preserve">PAGEREF _Toc184023313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"_Toc184023314" </w:instrText>
      </w:r>
      <w:r>
        <w:fldChar w:fldCharType="separate"/>
      </w:r>
      <w:r>
        <w:rPr>
          <w:rStyle w:val="61"/>
          <w:rFonts w:hint="eastAsia"/>
        </w:rPr>
        <w:t>2.3 规划依据</w:t>
      </w:r>
      <w:r>
        <w:rPr>
          <w:rFonts w:hint="eastAsia"/>
        </w:rPr>
        <w:tab/>
      </w:r>
      <w:r>
        <w:rPr>
          <w:rFonts w:hint="eastAsia"/>
        </w:rPr>
        <w:fldChar w:fldCharType="begin"/>
      </w:r>
      <w:r>
        <w:rPr>
          <w:rFonts w:hint="eastAsia"/>
        </w:rPr>
        <w:instrText xml:space="preserve"> </w:instrText>
      </w:r>
      <w:r>
        <w:instrText xml:space="preserve">PAGEREF _Toc184023314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"_Toc184023315" </w:instrText>
      </w:r>
      <w:r>
        <w:fldChar w:fldCharType="separate"/>
      </w:r>
      <w:r>
        <w:rPr>
          <w:rStyle w:val="61"/>
          <w:rFonts w:hint="eastAsia"/>
        </w:rPr>
        <w:t>2.4 规划水平年</w:t>
      </w:r>
      <w:r>
        <w:rPr>
          <w:rFonts w:hint="eastAsia"/>
        </w:rPr>
        <w:tab/>
      </w:r>
      <w:r>
        <w:rPr>
          <w:rFonts w:hint="eastAsia"/>
        </w:rPr>
        <w:fldChar w:fldCharType="begin"/>
      </w:r>
      <w:r>
        <w:rPr>
          <w:rFonts w:hint="eastAsia"/>
        </w:rPr>
        <w:instrText xml:space="preserve"> </w:instrText>
      </w:r>
      <w:r>
        <w:instrText xml:space="preserve">PAGEREF _Toc184023315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"_Toc184023316" </w:instrText>
      </w:r>
      <w:r>
        <w:fldChar w:fldCharType="separate"/>
      </w:r>
      <w:r>
        <w:rPr>
          <w:rStyle w:val="61"/>
          <w:rFonts w:hint="eastAsia"/>
        </w:rPr>
        <w:t>2.5 规划目标任务</w:t>
      </w:r>
      <w:r>
        <w:rPr>
          <w:rFonts w:hint="eastAsia"/>
        </w:rPr>
        <w:tab/>
      </w:r>
      <w:r>
        <w:rPr>
          <w:rFonts w:hint="eastAsia"/>
        </w:rPr>
        <w:fldChar w:fldCharType="begin"/>
      </w:r>
      <w:r>
        <w:rPr>
          <w:rFonts w:hint="eastAsia"/>
        </w:rPr>
        <w:instrText xml:space="preserve"> </w:instrText>
      </w:r>
      <w:r>
        <w:instrText xml:space="preserve">PAGEREF _Toc184023316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"_Toc184023317" </w:instrText>
      </w:r>
      <w:r>
        <w:fldChar w:fldCharType="separate"/>
      </w:r>
      <w:r>
        <w:rPr>
          <w:rStyle w:val="61"/>
          <w:rFonts w:hint="eastAsia"/>
        </w:rPr>
        <w:t>2.6 规划范围及分区</w:t>
      </w:r>
      <w:r>
        <w:rPr>
          <w:rFonts w:hint="eastAsia"/>
        </w:rPr>
        <w:tab/>
      </w:r>
      <w:r>
        <w:rPr>
          <w:rFonts w:hint="eastAsia"/>
        </w:rPr>
        <w:fldChar w:fldCharType="begin"/>
      </w:r>
      <w:r>
        <w:rPr>
          <w:rFonts w:hint="eastAsia"/>
        </w:rPr>
        <w:instrText xml:space="preserve"> </w:instrText>
      </w:r>
      <w:r>
        <w:instrText xml:space="preserve">PAGEREF _Toc184023317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"_Toc184023318" </w:instrText>
      </w:r>
      <w:r>
        <w:fldChar w:fldCharType="separate"/>
      </w:r>
      <w:r>
        <w:rPr>
          <w:rStyle w:val="61"/>
          <w:rFonts w:hint="eastAsia"/>
        </w:rPr>
        <w:t>3</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水资源保护利用现状调查与评价</w:t>
      </w:r>
      <w:r>
        <w:rPr>
          <w:rFonts w:hint="eastAsia"/>
        </w:rPr>
        <w:tab/>
      </w:r>
      <w:r>
        <w:rPr>
          <w:rFonts w:hint="eastAsia"/>
        </w:rPr>
        <w:fldChar w:fldCharType="begin"/>
      </w:r>
      <w:r>
        <w:rPr>
          <w:rFonts w:hint="eastAsia"/>
        </w:rPr>
        <w:instrText xml:space="preserve"> </w:instrText>
      </w:r>
      <w:r>
        <w:instrText xml:space="preserve">PAGEREF _Toc184023318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"_Toc184023319" </w:instrText>
      </w:r>
      <w:r>
        <w:fldChar w:fldCharType="separate"/>
      </w:r>
      <w:r>
        <w:rPr>
          <w:rStyle w:val="61"/>
          <w:rFonts w:hint="eastAsia"/>
        </w:rPr>
        <w:t>3.1 水资源保护现状评价</w:t>
      </w:r>
      <w:r>
        <w:rPr>
          <w:rFonts w:hint="eastAsia"/>
        </w:rPr>
        <w:tab/>
      </w:r>
      <w:r>
        <w:rPr>
          <w:rFonts w:hint="eastAsia"/>
        </w:rPr>
        <w:fldChar w:fldCharType="begin"/>
      </w:r>
      <w:r>
        <w:rPr>
          <w:rFonts w:hint="eastAsia"/>
        </w:rPr>
        <w:instrText xml:space="preserve"> </w:instrText>
      </w:r>
      <w:r>
        <w:instrText xml:space="preserve">PAGEREF _Toc184023319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"_Toc184023320" </w:instrText>
      </w:r>
      <w:r>
        <w:fldChar w:fldCharType="separate"/>
      </w:r>
      <w:r>
        <w:rPr>
          <w:rStyle w:val="61"/>
          <w:rFonts w:hint="eastAsia"/>
        </w:rPr>
        <w:t>3.2 水资源开发利用现状评价</w:t>
      </w:r>
      <w:r>
        <w:rPr>
          <w:rFonts w:hint="eastAsia"/>
        </w:rPr>
        <w:tab/>
      </w:r>
      <w:r>
        <w:rPr>
          <w:rFonts w:hint="eastAsia"/>
        </w:rPr>
        <w:fldChar w:fldCharType="begin"/>
      </w:r>
      <w:r>
        <w:rPr>
          <w:rFonts w:hint="eastAsia"/>
        </w:rPr>
        <w:instrText xml:space="preserve"> </w:instrText>
      </w:r>
      <w:r>
        <w:instrText xml:space="preserve">PAGEREF _Toc184023320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"_Toc184023321" </w:instrText>
      </w:r>
      <w:r>
        <w:fldChar w:fldCharType="separate"/>
      </w:r>
      <w:r>
        <w:rPr>
          <w:rStyle w:val="61"/>
          <w:rFonts w:hint="eastAsia"/>
        </w:rPr>
        <w:t>3.3 保护利用趋势分析</w:t>
      </w:r>
      <w:r>
        <w:rPr>
          <w:rFonts w:hint="eastAsia"/>
        </w:rPr>
        <w:tab/>
      </w:r>
      <w:r>
        <w:rPr>
          <w:rFonts w:hint="eastAsia"/>
        </w:rPr>
        <w:fldChar w:fldCharType="begin"/>
      </w:r>
      <w:r>
        <w:rPr>
          <w:rFonts w:hint="eastAsia"/>
        </w:rPr>
        <w:instrText xml:space="preserve"> </w:instrText>
      </w:r>
      <w:r>
        <w:instrText xml:space="preserve">PAGEREF _Toc184023321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"_Toc184023322" </w:instrText>
      </w:r>
      <w:r>
        <w:fldChar w:fldCharType="separate"/>
      </w:r>
      <w:r>
        <w:rPr>
          <w:rStyle w:val="61"/>
          <w:rFonts w:hint="eastAsia"/>
        </w:rPr>
        <w:t>4</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水资源保护规划</w:t>
      </w:r>
      <w:r>
        <w:rPr>
          <w:rFonts w:hint="eastAsia"/>
        </w:rPr>
        <w:tab/>
      </w:r>
      <w:r>
        <w:rPr>
          <w:rFonts w:hint="eastAsia"/>
        </w:rPr>
        <w:fldChar w:fldCharType="begin"/>
      </w:r>
      <w:r>
        <w:rPr>
          <w:rFonts w:hint="eastAsia"/>
        </w:rPr>
        <w:instrText xml:space="preserve"> </w:instrText>
      </w:r>
      <w:r>
        <w:instrText xml:space="preserve">PAGEREF _Toc184023322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"_Toc184023323" </w:instrText>
      </w:r>
      <w:r>
        <w:fldChar w:fldCharType="separate"/>
      </w:r>
      <w:r>
        <w:rPr>
          <w:rStyle w:val="61"/>
          <w:rFonts w:hint="eastAsia"/>
        </w:rPr>
        <w:t>4.1 水资源保护规划目标与布局</w:t>
      </w:r>
      <w:r>
        <w:rPr>
          <w:rFonts w:hint="eastAsia"/>
        </w:rPr>
        <w:tab/>
      </w:r>
      <w:r>
        <w:rPr>
          <w:rFonts w:hint="eastAsia"/>
        </w:rPr>
        <w:fldChar w:fldCharType="begin"/>
      </w:r>
      <w:r>
        <w:rPr>
          <w:rFonts w:hint="eastAsia"/>
        </w:rPr>
        <w:instrText xml:space="preserve"> </w:instrText>
      </w:r>
      <w:r>
        <w:instrText xml:space="preserve">PAGEREF _Toc184023323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"_Toc184023324" </w:instrText>
      </w:r>
      <w:r>
        <w:fldChar w:fldCharType="separate"/>
      </w:r>
      <w:r>
        <w:rPr>
          <w:rStyle w:val="61"/>
          <w:rFonts w:hint="eastAsia"/>
        </w:rPr>
        <w:t>4.2 地下水保护</w:t>
      </w:r>
      <w:r>
        <w:rPr>
          <w:rFonts w:hint="eastAsia"/>
        </w:rPr>
        <w:tab/>
      </w:r>
      <w:r>
        <w:rPr>
          <w:rFonts w:hint="eastAsia"/>
        </w:rPr>
        <w:fldChar w:fldCharType="begin"/>
      </w:r>
      <w:r>
        <w:rPr>
          <w:rFonts w:hint="eastAsia"/>
        </w:rPr>
        <w:instrText xml:space="preserve"> </w:instrText>
      </w:r>
      <w:r>
        <w:instrText xml:space="preserve">PAGEREF _Toc184023324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"_Toc184023325" </w:instrText>
      </w:r>
      <w:r>
        <w:fldChar w:fldCharType="separate"/>
      </w:r>
      <w:r>
        <w:rPr>
          <w:rStyle w:val="61"/>
          <w:rFonts w:hint="eastAsia"/>
        </w:rPr>
        <w:t>4.3 河流生态需水保障</w:t>
      </w:r>
      <w:r>
        <w:rPr>
          <w:rFonts w:hint="eastAsia"/>
        </w:rPr>
        <w:tab/>
      </w:r>
      <w:r>
        <w:rPr>
          <w:rFonts w:hint="eastAsia"/>
        </w:rPr>
        <w:fldChar w:fldCharType="begin"/>
      </w:r>
      <w:r>
        <w:rPr>
          <w:rFonts w:hint="eastAsia"/>
        </w:rPr>
        <w:instrText xml:space="preserve"> </w:instrText>
      </w:r>
      <w:r>
        <w:instrText xml:space="preserve">PAGEREF _Toc184023325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"_Toc184023326" </w:instrText>
      </w:r>
      <w:r>
        <w:fldChar w:fldCharType="separate"/>
      </w:r>
      <w:r>
        <w:rPr>
          <w:rStyle w:val="61"/>
          <w:rFonts w:hint="eastAsia"/>
        </w:rPr>
        <w:t>4.4 水源地保护</w:t>
      </w:r>
      <w:r>
        <w:rPr>
          <w:rFonts w:hint="eastAsia"/>
        </w:rPr>
        <w:tab/>
      </w:r>
      <w:r>
        <w:rPr>
          <w:rFonts w:hint="eastAsia"/>
        </w:rPr>
        <w:fldChar w:fldCharType="begin"/>
      </w:r>
      <w:r>
        <w:rPr>
          <w:rFonts w:hint="eastAsia"/>
        </w:rPr>
        <w:instrText xml:space="preserve"> </w:instrText>
      </w:r>
      <w:r>
        <w:instrText xml:space="preserve">PAGEREF _Toc184023326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"_Toc184023327" </w:instrText>
      </w:r>
      <w:r>
        <w:fldChar w:fldCharType="separate"/>
      </w:r>
      <w:r>
        <w:rPr>
          <w:rStyle w:val="61"/>
          <w:rFonts w:hint="eastAsia"/>
        </w:rPr>
        <w:t>5</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水资源利用规划</w:t>
      </w:r>
      <w:r>
        <w:rPr>
          <w:rFonts w:hint="eastAsia"/>
        </w:rPr>
        <w:tab/>
      </w:r>
      <w:r>
        <w:rPr>
          <w:rFonts w:hint="eastAsia"/>
        </w:rPr>
        <w:fldChar w:fldCharType="begin"/>
      </w:r>
      <w:r>
        <w:rPr>
          <w:rFonts w:hint="eastAsia"/>
        </w:rPr>
        <w:instrText xml:space="preserve"> </w:instrText>
      </w:r>
      <w:r>
        <w:instrText xml:space="preserve">PAGEREF _Toc184023327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"_Toc184023328" </w:instrText>
      </w:r>
      <w:r>
        <w:fldChar w:fldCharType="separate"/>
      </w:r>
      <w:r>
        <w:rPr>
          <w:rStyle w:val="61"/>
          <w:rFonts w:hint="eastAsia"/>
        </w:rPr>
        <w:t>5.1 规划思路</w:t>
      </w:r>
      <w:r>
        <w:rPr>
          <w:rFonts w:hint="eastAsia"/>
        </w:rPr>
        <w:tab/>
      </w:r>
      <w:r>
        <w:rPr>
          <w:rFonts w:hint="eastAsia"/>
        </w:rPr>
        <w:fldChar w:fldCharType="begin"/>
      </w:r>
      <w:r>
        <w:rPr>
          <w:rFonts w:hint="eastAsia"/>
        </w:rPr>
        <w:instrText xml:space="preserve"> </w:instrText>
      </w:r>
      <w:r>
        <w:instrText xml:space="preserve">PAGEREF _Toc184023328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"_Toc184023329" </w:instrText>
      </w:r>
      <w:r>
        <w:fldChar w:fldCharType="separate"/>
      </w:r>
      <w:r>
        <w:rPr>
          <w:rStyle w:val="61"/>
          <w:rFonts w:hint="eastAsia"/>
        </w:rPr>
        <w:t>5.2 需水预测分析</w:t>
      </w:r>
      <w:r>
        <w:rPr>
          <w:rFonts w:hint="eastAsia"/>
        </w:rPr>
        <w:tab/>
      </w:r>
      <w:r>
        <w:rPr>
          <w:rFonts w:hint="eastAsia"/>
        </w:rPr>
        <w:fldChar w:fldCharType="begin"/>
      </w:r>
      <w:r>
        <w:rPr>
          <w:rFonts w:hint="eastAsia"/>
        </w:rPr>
        <w:instrText xml:space="preserve"> </w:instrText>
      </w:r>
      <w:r>
        <w:instrText xml:space="preserve">PAGEREF _Toc184023329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"_Toc184023330" </w:instrText>
      </w:r>
      <w:r>
        <w:fldChar w:fldCharType="separate"/>
      </w:r>
      <w:r>
        <w:rPr>
          <w:rStyle w:val="61"/>
          <w:rFonts w:hint="eastAsia"/>
        </w:rPr>
        <w:t>5.3 供水预测分析</w:t>
      </w:r>
      <w:r>
        <w:rPr>
          <w:rFonts w:hint="eastAsia"/>
        </w:rPr>
        <w:tab/>
      </w:r>
      <w:r>
        <w:rPr>
          <w:rFonts w:hint="eastAsia"/>
        </w:rPr>
        <w:fldChar w:fldCharType="begin"/>
      </w:r>
      <w:r>
        <w:rPr>
          <w:rFonts w:hint="eastAsia"/>
        </w:rPr>
        <w:instrText xml:space="preserve"> </w:instrText>
      </w:r>
      <w:r>
        <w:instrText xml:space="preserve">PAGEREF _Toc184023330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"_Toc184023331" </w:instrText>
      </w:r>
      <w:r>
        <w:fldChar w:fldCharType="separate"/>
      </w:r>
      <w:r>
        <w:rPr>
          <w:rStyle w:val="61"/>
          <w:rFonts w:hint="eastAsia"/>
        </w:rPr>
        <w:t>5.4 水资源配置</w:t>
      </w:r>
      <w:r>
        <w:rPr>
          <w:rFonts w:hint="eastAsia"/>
        </w:rPr>
        <w:tab/>
      </w:r>
      <w:r>
        <w:rPr>
          <w:rFonts w:hint="eastAsia"/>
        </w:rPr>
        <w:fldChar w:fldCharType="begin"/>
      </w:r>
      <w:r>
        <w:rPr>
          <w:rFonts w:hint="eastAsia"/>
        </w:rPr>
        <w:instrText xml:space="preserve"> </w:instrText>
      </w:r>
      <w:r>
        <w:instrText xml:space="preserve">PAGEREF _Toc184023331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"_Toc184023332" </w:instrText>
      </w:r>
      <w:r>
        <w:fldChar w:fldCharType="separate"/>
      </w:r>
      <w:r>
        <w:rPr>
          <w:rStyle w:val="61"/>
          <w:rFonts w:hint="eastAsia"/>
        </w:rPr>
        <w:t>5.5 节水评价</w:t>
      </w:r>
      <w:r>
        <w:rPr>
          <w:rFonts w:hint="eastAsia"/>
        </w:rPr>
        <w:tab/>
      </w:r>
      <w:r>
        <w:rPr>
          <w:rFonts w:hint="eastAsia"/>
        </w:rPr>
        <w:fldChar w:fldCharType="begin"/>
      </w:r>
      <w:r>
        <w:rPr>
          <w:rFonts w:hint="eastAsia"/>
        </w:rPr>
        <w:instrText xml:space="preserve"> </w:instrText>
      </w:r>
      <w:r>
        <w:instrText xml:space="preserve">PAGEREF _Toc184023332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"_Toc184023333" </w:instrText>
      </w:r>
      <w:r>
        <w:fldChar w:fldCharType="separate"/>
      </w:r>
      <w:r>
        <w:rPr>
          <w:rStyle w:val="61"/>
          <w:rFonts w:hint="eastAsia"/>
        </w:rPr>
        <w:t>5.6 水资源利用规划主要工程</w:t>
      </w:r>
      <w:r>
        <w:rPr>
          <w:rFonts w:hint="eastAsia"/>
        </w:rPr>
        <w:tab/>
      </w:r>
      <w:r>
        <w:rPr>
          <w:rFonts w:hint="eastAsia"/>
        </w:rPr>
        <w:fldChar w:fldCharType="begin"/>
      </w:r>
      <w:r>
        <w:rPr>
          <w:rFonts w:hint="eastAsia"/>
        </w:rPr>
        <w:instrText xml:space="preserve"> </w:instrText>
      </w:r>
      <w:r>
        <w:instrText xml:space="preserve">PAGEREF _Toc184023333 \h</w:instrText>
      </w:r>
      <w:r>
        <w:rPr>
          <w:rFonts w:hint="eastAsia"/>
        </w:rPr>
        <w:instrText xml:space="preserve"> </w:instrText>
      </w:r>
      <w:r>
        <w:rPr>
          <w:rFonts w:hint="eastAsia"/>
        </w:rPr>
        <w:fldChar w:fldCharType="separate"/>
      </w:r>
      <w:r>
        <w:t>97</w:t>
      </w:r>
      <w:r>
        <w:rPr>
          <w:rFonts w:hint="eastAsia"/>
        </w:rPr>
        <w:fldChar w:fldCharType="end"/>
      </w:r>
      <w:r>
        <w:rPr>
          <w:rFonts w:hint="eastAsia"/>
        </w:rPr>
        <w:fldChar w:fldCharType="end"/>
      </w:r>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"_Toc184023334" </w:instrText>
      </w:r>
      <w:r>
        <w:fldChar w:fldCharType="separate"/>
      </w:r>
      <w:r>
        <w:rPr>
          <w:rStyle w:val="61"/>
          <w:rFonts w:hint="eastAsia"/>
        </w:rPr>
        <w:t>6</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水生态环境保护规划</w:t>
      </w:r>
      <w:r>
        <w:rPr>
          <w:rFonts w:hint="eastAsia"/>
        </w:rPr>
        <w:tab/>
      </w:r>
      <w:r>
        <w:rPr>
          <w:rFonts w:hint="eastAsia"/>
        </w:rPr>
        <w:fldChar w:fldCharType="begin"/>
      </w:r>
      <w:r>
        <w:rPr>
          <w:rFonts w:hint="eastAsia"/>
        </w:rPr>
        <w:instrText xml:space="preserve"> </w:instrText>
      </w:r>
      <w:r>
        <w:instrText xml:space="preserve">PAGEREF _Toc184023334 \h</w:instrText>
      </w:r>
      <w:r>
        <w:rPr>
          <w:rFonts w:hint="eastAsia"/>
        </w:rPr>
        <w:instrText xml:space="preserve"> </w:instrText>
      </w:r>
      <w:r>
        <w:rPr>
          <w:rFonts w:hint="eastAsia"/>
        </w:rPr>
        <w:fldChar w:fldCharType="separate"/>
      </w:r>
      <w:r>
        <w:t>100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"_Toc184023335" </w:instrText>
      </w:r>
      <w:r>
        <w:fldChar w:fldCharType="separate"/>
      </w:r>
      <w:r>
        <w:rPr>
          <w:rStyle w:val="61"/>
          <w:rFonts w:hint="eastAsia"/>
        </w:rPr>
        <w:t>6.1 水环境治理</w:t>
      </w:r>
      <w:r>
        <w:rPr>
          <w:rFonts w:hint="eastAsia"/>
        </w:rPr>
        <w:tab/>
      </w:r>
      <w:r>
        <w:rPr>
          <w:rFonts w:hint="eastAsia"/>
        </w:rPr>
        <w:fldChar w:fldCharType="begin"/>
      </w:r>
      <w:r>
        <w:rPr>
          <w:rFonts w:hint="eastAsia"/>
        </w:rPr>
        <w:instrText xml:space="preserve"> </w:instrText>
      </w:r>
      <w:r>
        <w:instrText xml:space="preserve">PAGEREF _Toc184023335 \h</w:instrText>
      </w:r>
      <w:r>
        <w:rPr>
          <w:rFonts w:hint="eastAsia"/>
        </w:rPr>
        <w:instrText xml:space="preserve"> </w:instrText>
      </w:r>
      <w:r>
        <w:rPr>
          <w:rFonts w:hint="eastAsia"/>
        </w:rPr>
        <w:fldChar w:fldCharType="separate"/>
      </w:r>
      <w:r>
        <w:t>100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"_Toc184023336" </w:instrText>
      </w:r>
      <w:r>
        <w:fldChar w:fldCharType="separate"/>
      </w:r>
      <w:r>
        <w:rPr>
          <w:rStyle w:val="61"/>
          <w:rFonts w:hint="eastAsia"/>
        </w:rPr>
        <w:t>6.2 水生态修复</w:t>
      </w:r>
      <w:r>
        <w:rPr>
          <w:rFonts w:hint="eastAsia"/>
        </w:rPr>
        <w:tab/>
      </w:r>
      <w:r>
        <w:rPr>
          <w:rFonts w:hint="eastAsia"/>
        </w:rPr>
        <w:fldChar w:fldCharType="begin"/>
      </w:r>
      <w:r>
        <w:rPr>
          <w:rFonts w:hint="eastAsia"/>
        </w:rPr>
        <w:instrText xml:space="preserve"> </w:instrText>
      </w:r>
      <w:r>
        <w:instrText xml:space="preserve">PAGEREF _Toc184023336 \h</w:instrText>
      </w:r>
      <w:r>
        <w:rPr>
          <w:rFonts w:hint="eastAsia"/>
        </w:rPr>
        <w:instrText xml:space="preserve"> </w:instrText>
      </w:r>
      <w:r>
        <w:rPr>
          <w:rFonts w:hint="eastAsia"/>
        </w:rPr>
        <w:fldChar w:fldCharType="separate"/>
      </w:r>
      <w:r>
        <w:t>103</w:t>
      </w:r>
      <w:r>
        <w:rPr>
          <w:rFonts w:hint="eastAsia"/>
        </w:rPr>
        <w:fldChar w:fldCharType="end"/>
      </w:r>
      <w:r>
        <w:rPr>
          <w:rFonts w:hint="eastAsia"/>
        </w:rPr>
        <w:fldChar w:fldCharType="end"/>
      </w:r>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"_Toc184023337" </w:instrText>
      </w:r>
      <w:r>
        <w:fldChar w:fldCharType="separate"/>
      </w:r>
      <w:r>
        <w:rPr>
          <w:rStyle w:val="61"/>
          <w:rFonts w:hint="eastAsia"/>
        </w:rPr>
        <w:t>7</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水资源管理</w:t>
      </w:r>
      <w:r>
        <w:rPr>
          <w:rFonts w:hint="eastAsia"/>
        </w:rPr>
        <w:tab/>
      </w:r>
      <w:r>
        <w:rPr>
          <w:rFonts w:hint="eastAsia"/>
        </w:rPr>
        <w:fldChar w:fldCharType="begin"/>
      </w:r>
      <w:r>
        <w:rPr>
          <w:rFonts w:hint="eastAsia"/>
        </w:rPr>
        <w:instrText xml:space="preserve"> </w:instrText>
      </w:r>
      <w:r>
        <w:instrText xml:space="preserve">PAGEREF _Toc184023337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"_Toc184023338" </w:instrText>
      </w:r>
      <w:r>
        <w:fldChar w:fldCharType="separate"/>
      </w:r>
      <w:r>
        <w:rPr>
          <w:rStyle w:val="61"/>
          <w:rFonts w:hint="eastAsia"/>
        </w:rPr>
        <w:t>7.1 强化水资源约束</w:t>
      </w:r>
      <w:r>
        <w:rPr>
          <w:rFonts w:hint="eastAsia"/>
        </w:rPr>
        <w:tab/>
      </w:r>
      <w:r>
        <w:rPr>
          <w:rFonts w:hint="eastAsia"/>
        </w:rPr>
        <w:fldChar w:fldCharType="begin"/>
      </w:r>
      <w:r>
        <w:rPr>
          <w:rFonts w:hint="eastAsia"/>
        </w:rPr>
        <w:instrText xml:space="preserve"> </w:instrText>
      </w:r>
      <w:r>
        <w:instrText xml:space="preserve">PAGEREF _Toc184023338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"_Toc184023339" </w:instrText>
      </w:r>
      <w:r>
        <w:fldChar w:fldCharType="separate"/>
      </w:r>
      <w:r>
        <w:rPr>
          <w:rStyle w:val="61"/>
          <w:rFonts w:hint="eastAsia"/>
        </w:rPr>
        <w:t>7.2 加快智慧管理平台和基础监测设施建设</w:t>
      </w:r>
      <w:r>
        <w:rPr>
          <w:rFonts w:hint="eastAsia"/>
        </w:rPr>
        <w:tab/>
      </w:r>
      <w:r>
        <w:rPr>
          <w:rFonts w:hint="eastAsia"/>
        </w:rPr>
        <w:fldChar w:fldCharType="begin"/>
      </w:r>
      <w:r>
        <w:rPr>
          <w:rFonts w:hint="eastAsia"/>
        </w:rPr>
        <w:instrText xml:space="preserve"> </w:instrText>
      </w:r>
      <w:r>
        <w:instrText xml:space="preserve">PAGEREF _Toc184023339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"_Toc184023340" </w:instrText>
      </w:r>
      <w:r>
        <w:fldChar w:fldCharType="separate"/>
      </w:r>
      <w:r>
        <w:rPr>
          <w:rStyle w:val="61"/>
          <w:rFonts w:hint="eastAsia"/>
        </w:rPr>
        <w:t>7.3 深入推进河（湖）长制工作</w:t>
      </w:r>
      <w:r>
        <w:rPr>
          <w:rFonts w:hint="eastAsia"/>
        </w:rPr>
        <w:tab/>
      </w:r>
      <w:r>
        <w:rPr>
          <w:rFonts w:hint="eastAsia"/>
        </w:rPr>
        <w:fldChar w:fldCharType="begin"/>
      </w:r>
      <w:r>
        <w:rPr>
          <w:rFonts w:hint="eastAsia"/>
        </w:rPr>
        <w:instrText xml:space="preserve"> </w:instrText>
      </w:r>
      <w:r>
        <w:instrText xml:space="preserve">PAGEREF _Toc184023340 \h</w:instrText>
      </w:r>
      <w:r>
        <w:rPr>
          <w:rFonts w:hint="eastAsia"/>
        </w:rPr>
        <w:instrText xml:space="preserve"> </w:instrText>
      </w:r>
      <w:r>
        <w:rPr>
          <w:rFonts w:hint="eastAsia"/>
        </w:rPr>
        <w:fldChar w:fldCharType="separate"/>
      </w:r>
      <w:r>
        <w:t>109</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"_Toc184023341" </w:instrText>
      </w:r>
      <w:r>
        <w:fldChar w:fldCharType="separate"/>
      </w:r>
      <w:r>
        <w:rPr>
          <w:rStyle w:val="61"/>
          <w:rFonts w:hint="eastAsia"/>
        </w:rPr>
        <w:t>7.4 加快治湖基础科学研究</w:t>
      </w:r>
      <w:r>
        <w:rPr>
          <w:rFonts w:hint="eastAsia"/>
        </w:rPr>
        <w:tab/>
      </w:r>
      <w:r>
        <w:rPr>
          <w:rFonts w:hint="eastAsia"/>
        </w:rPr>
        <w:fldChar w:fldCharType="begin"/>
      </w:r>
      <w:r>
        <w:rPr>
          <w:rFonts w:hint="eastAsia"/>
        </w:rPr>
        <w:instrText xml:space="preserve"> </w:instrText>
      </w:r>
      <w:r>
        <w:instrText xml:space="preserve">PAGEREF _Toc184023341 \h</w:instrText>
      </w:r>
      <w:r>
        <w:rPr>
          <w:rFonts w:hint="eastAsia"/>
        </w:rPr>
        <w:instrText xml:space="preserve"> </w:instrText>
      </w:r>
      <w:r>
        <w:rPr>
          <w:rFonts w:hint="eastAsia"/>
        </w:rPr>
        <w:fldChar w:fldCharType="separate"/>
      </w:r>
      <w:r>
        <w:t>110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"_Toc184023342" </w:instrText>
      </w:r>
      <w:r>
        <w:fldChar w:fldCharType="separate"/>
      </w:r>
      <w:r>
        <w:rPr>
          <w:rStyle w:val="61"/>
          <w:rFonts w:hint="eastAsia"/>
        </w:rPr>
        <w:t>7.5 监督管理体制与机制建设</w:t>
      </w:r>
      <w:r>
        <w:rPr>
          <w:rFonts w:hint="eastAsia"/>
        </w:rPr>
        <w:tab/>
      </w:r>
      <w:r>
        <w:rPr>
          <w:rFonts w:hint="eastAsia"/>
        </w:rPr>
        <w:fldChar w:fldCharType="begin"/>
      </w:r>
      <w:r>
        <w:rPr>
          <w:rFonts w:hint="eastAsia"/>
        </w:rPr>
        <w:instrText xml:space="preserve"> </w:instrText>
      </w:r>
      <w:r>
        <w:instrText xml:space="preserve">PAGEREF _Toc184023342 \h</w:instrText>
      </w:r>
      <w:r>
        <w:rPr>
          <w:rFonts w:hint="eastAsia"/>
        </w:rPr>
        <w:instrText xml:space="preserve"> </w:instrText>
      </w:r>
      <w:r>
        <w:rPr>
          <w:rFonts w:hint="eastAsia"/>
        </w:rPr>
        <w:fldChar w:fldCharType="separate"/>
      </w:r>
      <w:r>
        <w:t>110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"_Toc184023343" </w:instrText>
      </w:r>
      <w:r>
        <w:fldChar w:fldCharType="separate"/>
      </w:r>
      <w:r>
        <w:rPr>
          <w:rStyle w:val="61"/>
          <w:rFonts w:hint="eastAsia"/>
        </w:rPr>
        <w:t>7.6 建立健全水生态补偿和激励约束机制</w:t>
      </w:r>
      <w:r>
        <w:rPr>
          <w:rFonts w:hint="eastAsia"/>
        </w:rPr>
        <w:tab/>
      </w:r>
      <w:r>
        <w:rPr>
          <w:rFonts w:hint="eastAsia"/>
        </w:rPr>
        <w:fldChar w:fldCharType="begin"/>
      </w:r>
      <w:r>
        <w:rPr>
          <w:rFonts w:hint="eastAsia"/>
        </w:rPr>
        <w:instrText xml:space="preserve"> </w:instrText>
      </w:r>
      <w:r>
        <w:instrText xml:space="preserve">PAGEREF _Toc184023343 \h</w:instrText>
      </w:r>
      <w:r>
        <w:rPr>
          <w:rFonts w:hint="eastAsia"/>
        </w:rPr>
        <w:instrText xml:space="preserve"> </w:instrText>
      </w:r>
      <w:r>
        <w:rPr>
          <w:rFonts w:hint="eastAsia"/>
        </w:rPr>
        <w:fldChar w:fldCharType="separate"/>
      </w:r>
      <w:r>
        <w:t>111</w:t>
      </w:r>
      <w:r>
        <w:rPr>
          <w:rFonts w:hint="eastAsia"/>
        </w:rPr>
        <w:fldChar w:fldCharType="end"/>
      </w:r>
      <w:r>
        <w:rPr>
          <w:rFonts w:hint="eastAsia"/>
        </w:rPr>
        <w:fldChar w:fldCharType="end"/>
      </w:r>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"_Toc184023344" </w:instrText>
      </w:r>
      <w:r>
        <w:fldChar w:fldCharType="separate"/>
      </w:r>
      <w:r>
        <w:rPr>
          <w:rStyle w:val="61"/>
          <w:rFonts w:hint="eastAsia"/>
        </w:rPr>
        <w:t>8</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投资匡算与资金筹措</w:t>
      </w:r>
      <w:r>
        <w:rPr>
          <w:rFonts w:hint="eastAsia"/>
        </w:rPr>
        <w:tab/>
      </w:r>
      <w:r>
        <w:rPr>
          <w:rFonts w:hint="eastAsia"/>
        </w:rPr>
        <w:fldChar w:fldCharType="begin"/>
      </w:r>
      <w:r>
        <w:rPr>
          <w:rFonts w:hint="eastAsia"/>
        </w:rPr>
        <w:instrText xml:space="preserve"> </w:instrText>
      </w:r>
      <w:r>
        <w:instrText xml:space="preserve">PAGEREF _Toc184023344 \h</w:instrText>
      </w:r>
      <w:r>
        <w:rPr>
          <w:rFonts w:hint="eastAsia"/>
        </w:rPr>
        <w:instrText xml:space="preserve"> </w:instrText>
      </w:r>
      <w:r>
        <w:rPr>
          <w:rFonts w:hint="eastAsia"/>
        </w:rPr>
        <w:fldChar w:fldCharType="separate"/>
      </w:r>
      <w:r>
        <w:t>113</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"_Toc184023345" </w:instrText>
      </w:r>
      <w:r>
        <w:fldChar w:fldCharType="separate"/>
      </w:r>
      <w:r>
        <w:rPr>
          <w:rStyle w:val="61"/>
          <w:rFonts w:hint="eastAsia"/>
        </w:rPr>
        <w:t>8.1 投资匡算</w:t>
      </w:r>
      <w:r>
        <w:rPr>
          <w:rFonts w:hint="eastAsia"/>
        </w:rPr>
        <w:tab/>
      </w:r>
      <w:r>
        <w:rPr>
          <w:rFonts w:hint="eastAsia"/>
        </w:rPr>
        <w:fldChar w:fldCharType="begin"/>
      </w:r>
      <w:r>
        <w:rPr>
          <w:rFonts w:hint="eastAsia"/>
        </w:rPr>
        <w:instrText xml:space="preserve"> </w:instrText>
      </w:r>
      <w:r>
        <w:instrText xml:space="preserve">PAGEREF _Toc184023345 \h</w:instrText>
      </w:r>
      <w:r>
        <w:rPr>
          <w:rFonts w:hint="eastAsia"/>
        </w:rPr>
        <w:instrText xml:space="preserve"> </w:instrText>
      </w:r>
      <w:r>
        <w:rPr>
          <w:rFonts w:hint="eastAsia"/>
        </w:rPr>
        <w:fldChar w:fldCharType="separate"/>
      </w:r>
      <w:r>
        <w:t>113</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"_Toc184023346" </w:instrText>
      </w:r>
      <w:r>
        <w:fldChar w:fldCharType="separate"/>
      </w:r>
      <w:r>
        <w:rPr>
          <w:rStyle w:val="61"/>
          <w:rFonts w:hint="eastAsia"/>
        </w:rPr>
        <w:t>8.2 资金筹措</w:t>
      </w:r>
      <w:r>
        <w:rPr>
          <w:rFonts w:hint="eastAsia"/>
        </w:rPr>
        <w:tab/>
      </w:r>
      <w:r>
        <w:rPr>
          <w:rFonts w:hint="eastAsia"/>
        </w:rPr>
        <w:fldChar w:fldCharType="begin"/>
      </w:r>
      <w:r>
        <w:rPr>
          <w:rFonts w:hint="eastAsia"/>
        </w:rPr>
        <w:instrText xml:space="preserve"> </w:instrText>
      </w:r>
      <w:r>
        <w:instrText xml:space="preserve">PAGEREF _Toc184023346 \h</w:instrText>
      </w:r>
      <w:r>
        <w:rPr>
          <w:rFonts w:hint="eastAsia"/>
        </w:rPr>
        <w:instrText xml:space="preserve"> </w:instrText>
      </w:r>
      <w:r>
        <w:rPr>
          <w:rFonts w:hint="eastAsia"/>
        </w:rPr>
        <w:fldChar w:fldCharType="separate"/>
      </w:r>
      <w:r>
        <w:t>117</w:t>
      </w:r>
      <w:r>
        <w:rPr>
          <w:rFonts w:hint="eastAsia"/>
        </w:rPr>
        <w:fldChar w:fldCharType="end"/>
      </w:r>
      <w:r>
        <w:rPr>
          <w:rFonts w:hint="eastAsia"/>
        </w:rPr>
        <w:fldChar w:fldCharType="end"/>
      </w:r>
    </w:p>
    <w:p>
      <w:pPr>
        <w:pStyle w:val="36"/>
        <w:tabs>
          <w:tab w:val="left" w:pos="1002"/>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"_Toc184023347" </w:instrText>
      </w:r>
      <w:r>
        <w:fldChar w:fldCharType="separate"/>
      </w:r>
      <w:r>
        <w:rPr>
          <w:rStyle w:val="61"/>
          <w:rFonts w:hint="eastAsia"/>
        </w:rPr>
        <w:t>9</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规划效益分析</w:t>
      </w:r>
      <w:r>
        <w:rPr>
          <w:rFonts w:hint="eastAsia"/>
        </w:rPr>
        <w:tab/>
      </w:r>
      <w:r>
        <w:rPr>
          <w:rFonts w:hint="eastAsia"/>
        </w:rPr>
        <w:fldChar w:fldCharType="begin"/>
      </w:r>
      <w:r>
        <w:rPr>
          <w:rFonts w:hint="eastAsia"/>
        </w:rPr>
        <w:instrText xml:space="preserve"> </w:instrText>
      </w:r>
      <w:r>
        <w:instrText xml:space="preserve">PAGEREF _Toc184023347 \h</w:instrText>
      </w:r>
      <w:r>
        <w:rPr>
          <w:rFonts w:hint="eastAsia"/>
        </w:rPr>
        <w:instrText xml:space="preserve"> </w:instrText>
      </w:r>
      <w:r>
        <w:rPr>
          <w:rFonts w:hint="eastAsia"/>
        </w:rPr>
        <w:fldChar w:fldCharType="separate"/>
      </w:r>
      <w:r>
        <w:t>118</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"_Toc184023348" </w:instrText>
      </w:r>
      <w:r>
        <w:fldChar w:fldCharType="separate"/>
      </w:r>
      <w:r>
        <w:rPr>
          <w:rStyle w:val="61"/>
          <w:rFonts w:hint="eastAsia"/>
        </w:rPr>
        <w:t>9.1 总体效果</w:t>
      </w:r>
      <w:r>
        <w:rPr>
          <w:rFonts w:hint="eastAsia"/>
        </w:rPr>
        <w:tab/>
      </w:r>
      <w:r>
        <w:rPr>
          <w:rFonts w:hint="eastAsia"/>
        </w:rPr>
        <w:fldChar w:fldCharType="begin"/>
      </w:r>
      <w:r>
        <w:rPr>
          <w:rFonts w:hint="eastAsia"/>
        </w:rPr>
        <w:instrText xml:space="preserve"> </w:instrText>
      </w:r>
      <w:r>
        <w:instrText xml:space="preserve">PAGEREF _Toc184023348 \h</w:instrText>
      </w:r>
      <w:r>
        <w:rPr>
          <w:rFonts w:hint="eastAsia"/>
        </w:rPr>
        <w:instrText xml:space="preserve"> </w:instrText>
      </w:r>
      <w:r>
        <w:rPr>
          <w:rFonts w:hint="eastAsia"/>
        </w:rPr>
        <w:fldChar w:fldCharType="separate"/>
      </w:r>
      <w:r>
        <w:t>118</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"_Toc184023349" </w:instrText>
      </w:r>
      <w:r>
        <w:fldChar w:fldCharType="separate"/>
      </w:r>
      <w:r>
        <w:rPr>
          <w:rStyle w:val="61"/>
          <w:rFonts w:hint="eastAsia"/>
        </w:rPr>
        <w:t>9.2 水量保障</w:t>
      </w:r>
      <w:r>
        <w:rPr>
          <w:rFonts w:hint="eastAsia"/>
        </w:rPr>
        <w:tab/>
      </w:r>
      <w:r>
        <w:rPr>
          <w:rFonts w:hint="eastAsia"/>
        </w:rPr>
        <w:fldChar w:fldCharType="begin"/>
      </w:r>
      <w:r>
        <w:rPr>
          <w:rFonts w:hint="eastAsia"/>
        </w:rPr>
        <w:instrText xml:space="preserve"> </w:instrText>
      </w:r>
      <w:r>
        <w:instrText xml:space="preserve">PAGEREF _Toc184023349 \h</w:instrText>
      </w:r>
      <w:r>
        <w:rPr>
          <w:rFonts w:hint="eastAsia"/>
        </w:rPr>
        <w:instrText xml:space="preserve"> </w:instrText>
      </w:r>
      <w:r>
        <w:rPr>
          <w:rFonts w:hint="eastAsia"/>
        </w:rPr>
        <w:fldChar w:fldCharType="separate"/>
      </w:r>
      <w:r>
        <w:t>119</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"_Toc184023350" </w:instrText>
      </w:r>
      <w:r>
        <w:fldChar w:fldCharType="separate"/>
      </w:r>
      <w:r>
        <w:rPr>
          <w:rStyle w:val="61"/>
          <w:rFonts w:hint="eastAsia"/>
        </w:rPr>
        <w:t>9.3 水质保护</w:t>
      </w:r>
      <w:r>
        <w:rPr>
          <w:rFonts w:hint="eastAsia"/>
        </w:rPr>
        <w:tab/>
      </w:r>
      <w:r>
        <w:rPr>
          <w:rFonts w:hint="eastAsia"/>
        </w:rPr>
        <w:fldChar w:fldCharType="begin"/>
      </w:r>
      <w:r>
        <w:rPr>
          <w:rFonts w:hint="eastAsia"/>
        </w:rPr>
        <w:instrText xml:space="preserve"> </w:instrText>
      </w:r>
      <w:r>
        <w:instrText xml:space="preserve">PAGEREF _Toc184023350 \h</w:instrText>
      </w:r>
      <w:r>
        <w:rPr>
          <w:rFonts w:hint="eastAsia"/>
        </w:rPr>
        <w:instrText xml:space="preserve"> </w:instrText>
      </w:r>
      <w:r>
        <w:rPr>
          <w:rFonts w:hint="eastAsia"/>
        </w:rPr>
        <w:fldChar w:fldCharType="separate"/>
      </w:r>
      <w:r>
        <w:t>119</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"_Toc184023351" </w:instrText>
      </w:r>
      <w:r>
        <w:fldChar w:fldCharType="separate"/>
      </w:r>
      <w:r>
        <w:rPr>
          <w:rStyle w:val="61"/>
          <w:rFonts w:hint="eastAsia"/>
        </w:rPr>
        <w:t>9.4 水生态系统保护与修复</w:t>
      </w:r>
      <w:r>
        <w:rPr>
          <w:rFonts w:hint="eastAsia"/>
        </w:rPr>
        <w:tab/>
      </w:r>
      <w:r>
        <w:rPr>
          <w:rFonts w:hint="eastAsia"/>
        </w:rPr>
        <w:fldChar w:fldCharType="begin"/>
      </w:r>
      <w:r>
        <w:rPr>
          <w:rFonts w:hint="eastAsia"/>
        </w:rPr>
        <w:instrText xml:space="preserve"> </w:instrText>
      </w:r>
      <w:r>
        <w:instrText xml:space="preserve">PAGEREF _Toc184023351 \h</w:instrText>
      </w:r>
      <w:r>
        <w:rPr>
          <w:rFonts w:hint="eastAsia"/>
        </w:rPr>
        <w:instrText xml:space="preserve"> </w:instrText>
      </w:r>
      <w:r>
        <w:rPr>
          <w:rFonts w:hint="eastAsia"/>
        </w:rPr>
        <w:fldChar w:fldCharType="separate"/>
      </w:r>
      <w:r>
        <w:t>120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"_Toc184023352" </w:instrText>
      </w:r>
      <w:r>
        <w:fldChar w:fldCharType="separate"/>
      </w:r>
      <w:r>
        <w:rPr>
          <w:rStyle w:val="61"/>
          <w:rFonts w:hint="eastAsia"/>
        </w:rPr>
        <w:t>9.5 社会经济</w:t>
      </w:r>
      <w:r>
        <w:rPr>
          <w:rFonts w:hint="eastAsia"/>
        </w:rPr>
        <w:tab/>
      </w:r>
      <w:r>
        <w:rPr>
          <w:rFonts w:hint="eastAsia"/>
        </w:rPr>
        <w:fldChar w:fldCharType="begin"/>
      </w:r>
      <w:r>
        <w:rPr>
          <w:rFonts w:hint="eastAsia"/>
        </w:rPr>
        <w:instrText xml:space="preserve"> </w:instrText>
      </w:r>
      <w:r>
        <w:instrText xml:space="preserve">PAGEREF _Toc184023352 \h</w:instrText>
      </w:r>
      <w:r>
        <w:rPr>
          <w:rFonts w:hint="eastAsia"/>
        </w:rPr>
        <w:instrText xml:space="preserve"> </w:instrText>
      </w:r>
      <w:r>
        <w:rPr>
          <w:rFonts w:hint="eastAsia"/>
        </w:rPr>
        <w:fldChar w:fldCharType="separate"/>
      </w:r>
      <w:r>
        <w:t>120</w:t>
      </w:r>
      <w:r>
        <w:rPr>
          <w:rFonts w:hint="eastAsia"/>
        </w:rPr>
        <w:fldChar w:fldCharType="end"/>
      </w:r>
      <w:r>
        <w:rPr>
          <w:rFonts w:hint="eastAsia"/>
        </w:rPr>
        <w:fldChar w:fldCharType="end"/>
      </w:r>
    </w:p>
    <w:p>
      <w:pPr>
        <w:pStyle w:val="36"/>
        <w:tabs>
          <w:tab w:val="left" w:pos="1161"/>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"_Toc184023353" </w:instrText>
      </w:r>
      <w:r>
        <w:fldChar w:fldCharType="separate"/>
      </w:r>
      <w:r>
        <w:rPr>
          <w:rStyle w:val="61"/>
          <w:rFonts w:hint="eastAsia"/>
        </w:rPr>
        <w:t>10</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环境影响评价</w:t>
      </w:r>
      <w:r>
        <w:rPr>
          <w:rFonts w:hint="eastAsia"/>
        </w:rPr>
        <w:tab/>
      </w:r>
      <w:r>
        <w:rPr>
          <w:rFonts w:hint="eastAsia"/>
        </w:rPr>
        <w:fldChar w:fldCharType="begin"/>
      </w:r>
      <w:r>
        <w:rPr>
          <w:rFonts w:hint="eastAsia"/>
        </w:rPr>
        <w:instrText xml:space="preserve"> </w:instrText>
      </w:r>
      <w:r>
        <w:instrText xml:space="preserve">PAGEREF _Toc184023353 \h</w:instrText>
      </w:r>
      <w:r>
        <w:rPr>
          <w:rFonts w:hint="eastAsia"/>
        </w:rPr>
        <w:instrText xml:space="preserve"> </w:instrText>
      </w:r>
      <w:r>
        <w:rPr>
          <w:rFonts w:hint="eastAsia"/>
        </w:rPr>
        <w:fldChar w:fldCharType="separate"/>
      </w:r>
      <w:r>
        <w:t>122</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"_Toc184023354" </w:instrText>
      </w:r>
      <w:r>
        <w:fldChar w:fldCharType="separate"/>
      </w:r>
      <w:r>
        <w:rPr>
          <w:rStyle w:val="61"/>
          <w:rFonts w:hint="eastAsia"/>
        </w:rPr>
        <w:t>10.1 概述</w:t>
      </w:r>
      <w:r>
        <w:rPr>
          <w:rFonts w:hint="eastAsia"/>
        </w:rPr>
        <w:tab/>
      </w:r>
      <w:r>
        <w:rPr>
          <w:rFonts w:hint="eastAsia"/>
        </w:rPr>
        <w:fldChar w:fldCharType="begin"/>
      </w:r>
      <w:r>
        <w:rPr>
          <w:rFonts w:hint="eastAsia"/>
        </w:rPr>
        <w:instrText xml:space="preserve"> </w:instrText>
      </w:r>
      <w:r>
        <w:instrText xml:space="preserve">PAGEREF _Toc184023354 \h</w:instrText>
      </w:r>
      <w:r>
        <w:rPr>
          <w:rFonts w:hint="eastAsia"/>
        </w:rPr>
        <w:instrText xml:space="preserve"> </w:instrText>
      </w:r>
      <w:r>
        <w:rPr>
          <w:rFonts w:hint="eastAsia"/>
        </w:rPr>
        <w:fldChar w:fldCharType="separate"/>
      </w:r>
      <w:r>
        <w:t>122</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"_Toc184023355" </w:instrText>
      </w:r>
      <w:r>
        <w:fldChar w:fldCharType="separate"/>
      </w:r>
      <w:r>
        <w:rPr>
          <w:rStyle w:val="61"/>
          <w:rFonts w:hint="eastAsia"/>
        </w:rPr>
        <w:t>10.2 规划符合性分析</w:t>
      </w:r>
      <w:r>
        <w:rPr>
          <w:rFonts w:hint="eastAsia"/>
        </w:rPr>
        <w:tab/>
      </w:r>
      <w:r>
        <w:rPr>
          <w:rFonts w:hint="eastAsia"/>
        </w:rPr>
        <w:fldChar w:fldCharType="begin"/>
      </w:r>
      <w:r>
        <w:rPr>
          <w:rFonts w:hint="eastAsia"/>
        </w:rPr>
        <w:instrText xml:space="preserve"> </w:instrText>
      </w:r>
      <w:r>
        <w:instrText xml:space="preserve">PAGEREF _Toc184023355 \h</w:instrText>
      </w:r>
      <w:r>
        <w:rPr>
          <w:rFonts w:hint="eastAsia"/>
        </w:rPr>
        <w:instrText xml:space="preserve"> </w:instrText>
      </w:r>
      <w:r>
        <w:rPr>
          <w:rFonts w:hint="eastAsia"/>
        </w:rPr>
        <w:fldChar w:fldCharType="separate"/>
      </w:r>
      <w:r>
        <w:t>127</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"_Toc184023356" </w:instrText>
      </w:r>
      <w:r>
        <w:fldChar w:fldCharType="separate"/>
      </w:r>
      <w:r>
        <w:rPr>
          <w:rStyle w:val="61"/>
          <w:rFonts w:hint="eastAsia"/>
        </w:rPr>
        <w:t>10.3 区域环境质量状况</w:t>
      </w:r>
      <w:r>
        <w:rPr>
          <w:rFonts w:hint="eastAsia"/>
        </w:rPr>
        <w:tab/>
      </w:r>
      <w:r>
        <w:rPr>
          <w:rFonts w:hint="eastAsia"/>
        </w:rPr>
        <w:fldChar w:fldCharType="begin"/>
      </w:r>
      <w:r>
        <w:rPr>
          <w:rFonts w:hint="eastAsia"/>
        </w:rPr>
        <w:instrText xml:space="preserve"> </w:instrText>
      </w:r>
      <w:r>
        <w:instrText xml:space="preserve">PAGEREF _Toc184023356 \h</w:instrText>
      </w:r>
      <w:r>
        <w:rPr>
          <w:rFonts w:hint="eastAsia"/>
        </w:rPr>
        <w:instrText xml:space="preserve"> </w:instrText>
      </w:r>
      <w:r>
        <w:rPr>
          <w:rFonts w:hint="eastAsia"/>
        </w:rPr>
        <w:fldChar w:fldCharType="separate"/>
      </w:r>
      <w:r>
        <w:t>136</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"_Toc184023357" </w:instrText>
      </w:r>
      <w:r>
        <w:fldChar w:fldCharType="separate"/>
      </w:r>
      <w:r>
        <w:rPr>
          <w:rStyle w:val="61"/>
          <w:rFonts w:hint="eastAsia"/>
        </w:rPr>
        <w:t>10.4 主要环境影响分析</w:t>
      </w:r>
      <w:r>
        <w:rPr>
          <w:rFonts w:hint="eastAsia"/>
        </w:rPr>
        <w:tab/>
      </w:r>
      <w:r>
        <w:rPr>
          <w:rFonts w:hint="eastAsia"/>
        </w:rPr>
        <w:fldChar w:fldCharType="begin"/>
      </w:r>
      <w:r>
        <w:rPr>
          <w:rFonts w:hint="eastAsia"/>
        </w:rPr>
        <w:instrText xml:space="preserve"> </w:instrText>
      </w:r>
      <w:r>
        <w:instrText xml:space="preserve">PAGEREF _Toc184023357 \h</w:instrText>
      </w:r>
      <w:r>
        <w:rPr>
          <w:rFonts w:hint="eastAsia"/>
        </w:rPr>
        <w:instrText xml:space="preserve"> </w:instrText>
      </w:r>
      <w:r>
        <w:rPr>
          <w:rFonts w:hint="eastAsia"/>
        </w:rPr>
        <w:fldChar w:fldCharType="separate"/>
      </w:r>
      <w:r>
        <w:t>139</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"_Toc184023358" </w:instrText>
      </w:r>
      <w:r>
        <w:fldChar w:fldCharType="separate"/>
      </w:r>
      <w:r>
        <w:rPr>
          <w:rStyle w:val="61"/>
          <w:rFonts w:hint="eastAsia"/>
        </w:rPr>
        <w:t>10.5 环境保护对策措施</w:t>
      </w:r>
      <w:r>
        <w:rPr>
          <w:rFonts w:hint="eastAsia"/>
        </w:rPr>
        <w:tab/>
      </w:r>
      <w:r>
        <w:rPr>
          <w:rFonts w:hint="eastAsia"/>
        </w:rPr>
        <w:fldChar w:fldCharType="begin"/>
      </w:r>
      <w:r>
        <w:rPr>
          <w:rFonts w:hint="eastAsia"/>
        </w:rPr>
        <w:instrText xml:space="preserve"> </w:instrText>
      </w:r>
      <w:r>
        <w:instrText xml:space="preserve">PAGEREF _Toc184023358 \h</w:instrText>
      </w:r>
      <w:r>
        <w:rPr>
          <w:rFonts w:hint="eastAsia"/>
        </w:rPr>
        <w:instrText xml:space="preserve"> </w:instrText>
      </w:r>
      <w:r>
        <w:rPr>
          <w:rFonts w:hint="eastAsia"/>
        </w:rPr>
        <w:fldChar w:fldCharType="separate"/>
      </w:r>
      <w:r>
        <w:t>145</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"_Toc184023359" </w:instrText>
      </w:r>
      <w:r>
        <w:fldChar w:fldCharType="separate"/>
      </w:r>
      <w:r>
        <w:rPr>
          <w:rStyle w:val="61"/>
          <w:rFonts w:hint="eastAsia"/>
        </w:rPr>
        <w:t>10.6 环境管理、监理与监测</w:t>
      </w:r>
      <w:r>
        <w:rPr>
          <w:rFonts w:hint="eastAsia"/>
        </w:rPr>
        <w:tab/>
      </w:r>
      <w:r>
        <w:rPr>
          <w:rFonts w:hint="eastAsia"/>
        </w:rPr>
        <w:fldChar w:fldCharType="begin"/>
      </w:r>
      <w:r>
        <w:rPr>
          <w:rFonts w:hint="eastAsia"/>
        </w:rPr>
        <w:instrText xml:space="preserve"> </w:instrText>
      </w:r>
      <w:r>
        <w:instrText xml:space="preserve">PAGEREF _Toc184023359 \h</w:instrText>
      </w:r>
      <w:r>
        <w:rPr>
          <w:rFonts w:hint="eastAsia"/>
        </w:rPr>
        <w:instrText xml:space="preserve"> </w:instrText>
      </w:r>
      <w:r>
        <w:rPr>
          <w:rFonts w:hint="eastAsia"/>
        </w:rPr>
        <w:fldChar w:fldCharType="separate"/>
      </w:r>
      <w:r>
        <w:t>148</w:t>
      </w:r>
      <w:r>
        <w:rPr>
          <w:rFonts w:hint="eastAsia"/>
        </w:rPr>
        <w:fldChar w:fldCharType="end"/>
      </w:r>
      <w:r>
        <w:rPr>
          <w:rFonts w:hint="eastAsia"/>
        </w:rPr>
        <w:fldChar w:fldCharType="end"/>
      </w:r>
    </w:p>
    <w:p>
      <w:pPr>
        <w:pStyle w:val="36"/>
        <w:tabs>
          <w:tab w:val="left" w:pos="1141"/>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"_Toc184023360" </w:instrText>
      </w:r>
      <w:r>
        <w:fldChar w:fldCharType="separate"/>
      </w:r>
      <w:r>
        <w:rPr>
          <w:rStyle w:val="61"/>
          <w:rFonts w:hint="eastAsia"/>
        </w:rPr>
        <w:t>11</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风险分析评估</w:t>
      </w:r>
      <w:r>
        <w:rPr>
          <w:rFonts w:hint="eastAsia"/>
        </w:rPr>
        <w:tab/>
      </w:r>
      <w:r>
        <w:rPr>
          <w:rFonts w:hint="eastAsia"/>
        </w:rPr>
        <w:fldChar w:fldCharType="begin"/>
      </w:r>
      <w:r>
        <w:rPr>
          <w:rFonts w:hint="eastAsia"/>
        </w:rPr>
        <w:instrText xml:space="preserve"> </w:instrText>
      </w:r>
      <w:r>
        <w:instrText xml:space="preserve">PAGEREF _Toc184023360 \h</w:instrText>
      </w:r>
      <w:r>
        <w:rPr>
          <w:rFonts w:hint="eastAsia"/>
        </w:rPr>
        <w:instrText xml:space="preserve"> </w:instrText>
      </w:r>
      <w:r>
        <w:rPr>
          <w:rFonts w:hint="eastAsia"/>
        </w:rPr>
        <w:fldChar w:fldCharType="separate"/>
      </w:r>
      <w:r>
        <w:t>150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"_Toc184023361" </w:instrText>
      </w:r>
      <w:r>
        <w:fldChar w:fldCharType="separate"/>
      </w:r>
      <w:r>
        <w:rPr>
          <w:rStyle w:val="61"/>
          <w:rFonts w:hint="eastAsia"/>
        </w:rPr>
        <w:t>11.1 风险因素</w:t>
      </w:r>
      <w:r>
        <w:rPr>
          <w:rFonts w:hint="eastAsia"/>
        </w:rPr>
        <w:tab/>
      </w:r>
      <w:r>
        <w:rPr>
          <w:rFonts w:hint="eastAsia"/>
        </w:rPr>
        <w:fldChar w:fldCharType="begin"/>
      </w:r>
      <w:r>
        <w:rPr>
          <w:rFonts w:hint="eastAsia"/>
        </w:rPr>
        <w:instrText xml:space="preserve"> </w:instrText>
      </w:r>
      <w:r>
        <w:instrText xml:space="preserve">PAGEREF _Toc184023361 \h</w:instrText>
      </w:r>
      <w:r>
        <w:rPr>
          <w:rFonts w:hint="eastAsia"/>
        </w:rPr>
        <w:instrText xml:space="preserve"> </w:instrText>
      </w:r>
      <w:r>
        <w:rPr>
          <w:rFonts w:hint="eastAsia"/>
        </w:rPr>
        <w:fldChar w:fldCharType="separate"/>
      </w:r>
      <w:r>
        <w:t>150</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"_Toc184023362" </w:instrText>
      </w:r>
      <w:r>
        <w:fldChar w:fldCharType="separate"/>
      </w:r>
      <w:r>
        <w:rPr>
          <w:rStyle w:val="61"/>
          <w:rFonts w:hint="eastAsia"/>
        </w:rPr>
        <w:t>11.2 风险应对措施</w:t>
      </w:r>
      <w:r>
        <w:rPr>
          <w:rFonts w:hint="eastAsia"/>
        </w:rPr>
        <w:tab/>
      </w:r>
      <w:r>
        <w:rPr>
          <w:rFonts w:hint="eastAsia"/>
        </w:rPr>
        <w:fldChar w:fldCharType="begin"/>
      </w:r>
      <w:r>
        <w:rPr>
          <w:rFonts w:hint="eastAsia"/>
        </w:rPr>
        <w:instrText xml:space="preserve"> </w:instrText>
      </w:r>
      <w:r>
        <w:instrText xml:space="preserve">PAGEREF _Toc184023362 \h</w:instrText>
      </w:r>
      <w:r>
        <w:rPr>
          <w:rFonts w:hint="eastAsia"/>
        </w:rPr>
        <w:instrText xml:space="preserve"> </w:instrText>
      </w:r>
      <w:r>
        <w:rPr>
          <w:rFonts w:hint="eastAsia"/>
        </w:rPr>
        <w:fldChar w:fldCharType="separate"/>
      </w:r>
      <w:r>
        <w:t>151</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"_Toc184023363" </w:instrText>
      </w:r>
      <w:r>
        <w:fldChar w:fldCharType="separate"/>
      </w:r>
      <w:r>
        <w:rPr>
          <w:rStyle w:val="61"/>
          <w:rFonts w:hint="eastAsia"/>
        </w:rPr>
        <w:t>11.3 风险等级</w:t>
      </w:r>
      <w:r>
        <w:rPr>
          <w:rFonts w:hint="eastAsia"/>
        </w:rPr>
        <w:tab/>
      </w:r>
      <w:r>
        <w:rPr>
          <w:rFonts w:hint="eastAsia"/>
        </w:rPr>
        <w:fldChar w:fldCharType="begin"/>
      </w:r>
      <w:r>
        <w:rPr>
          <w:rFonts w:hint="eastAsia"/>
        </w:rPr>
        <w:instrText xml:space="preserve"> </w:instrText>
      </w:r>
      <w:r>
        <w:instrText xml:space="preserve">PAGEREF _Toc184023363 \h</w:instrText>
      </w:r>
      <w:r>
        <w:rPr>
          <w:rFonts w:hint="eastAsia"/>
        </w:rPr>
        <w:instrText xml:space="preserve"> </w:instrText>
      </w:r>
      <w:r>
        <w:rPr>
          <w:rFonts w:hint="eastAsia"/>
        </w:rPr>
        <w:fldChar w:fldCharType="separate"/>
      </w:r>
      <w:r>
        <w:t>152</w:t>
      </w:r>
      <w:r>
        <w:rPr>
          <w:rFonts w:hint="eastAsia"/>
        </w:rPr>
        <w:fldChar w:fldCharType="end"/>
      </w:r>
      <w:r>
        <w:rPr>
          <w:rFonts w:hint="eastAsia"/>
        </w:rPr>
        <w:fldChar w:fldCharType="end"/>
      </w:r>
    </w:p>
    <w:p>
      <w:pPr>
        <w:pStyle w:val="36"/>
        <w:tabs>
          <w:tab w:val="left" w:pos="1161"/>
          <w:tab w:val="right" w:leader="dot" w:pos="9060"/>
        </w:tabs>
        <w:ind w:firstLine="560"/>
        <w:rPr>
          <w:rFonts w:asciiTheme="minorHAnsi" w:hAnsiTheme="minorHAnsi" w:eastAsiaTheme="minorEastAsia" w:cstheme="minorBidi"/>
          <w:bCs w:val="0"/>
          <w:caps w:val="0"/>
          <w:color w:val="auto"/>
          <w:spacing w:val="0"/>
          <w:sz w:val="21"/>
          <w14:ligatures w14:val="standardContextual"/>
        </w:rPr>
      </w:pPr>
      <w:r>
        <w:fldChar w:fldCharType="begin"/>
      </w:r>
      <w:r>
        <w:instrText xml:space="preserve"> HYPERLINK \l "_Toc184023364" </w:instrText>
      </w:r>
      <w:r>
        <w:fldChar w:fldCharType="separate"/>
      </w:r>
      <w:r>
        <w:rPr>
          <w:rStyle w:val="61"/>
          <w:rFonts w:hint="eastAsia"/>
        </w:rPr>
        <w:t>12</w:t>
      </w:r>
      <w:r>
        <w:rPr>
          <w:rFonts w:hint="eastAsia" w:asciiTheme="minorHAnsi" w:hAnsiTheme="minorHAnsi" w:eastAsiaTheme="minorEastAsia" w:cstheme="minorBidi"/>
          <w:bCs w:val="0"/>
          <w:caps w:val="0"/>
          <w:color w:val="auto"/>
          <w:spacing w:val="0"/>
          <w:sz w:val="21"/>
          <w14:ligatures w14:val="standardContextual"/>
        </w:rPr>
        <w:tab/>
      </w:r>
      <w:r>
        <w:rPr>
          <w:rStyle w:val="61"/>
          <w:rFonts w:hint="eastAsia" w:ascii="Times New Roman" w:hAnsi="Times New Roman"/>
        </w:rPr>
        <w:t>保障措施</w:t>
      </w:r>
      <w:r>
        <w:rPr>
          <w:rFonts w:hint="eastAsia"/>
        </w:rPr>
        <w:tab/>
      </w:r>
      <w:r>
        <w:rPr>
          <w:rFonts w:hint="eastAsia"/>
        </w:rPr>
        <w:fldChar w:fldCharType="begin"/>
      </w:r>
      <w:r>
        <w:rPr>
          <w:rFonts w:hint="eastAsia"/>
        </w:rPr>
        <w:instrText xml:space="preserve"> </w:instrText>
      </w:r>
      <w:r>
        <w:instrText xml:space="preserve">PAGEREF _Toc184023364 \h</w:instrText>
      </w:r>
      <w:r>
        <w:rPr>
          <w:rFonts w:hint="eastAsia"/>
        </w:rPr>
        <w:instrText xml:space="preserve"> </w:instrText>
      </w:r>
      <w:r>
        <w:rPr>
          <w:rFonts w:hint="eastAsia"/>
        </w:rPr>
        <w:fldChar w:fldCharType="separate"/>
      </w:r>
      <w:r>
        <w:t>153</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"_Toc184023365" </w:instrText>
      </w:r>
      <w:r>
        <w:fldChar w:fldCharType="separate"/>
      </w:r>
      <w:r>
        <w:rPr>
          <w:rStyle w:val="61"/>
          <w:rFonts w:hint="eastAsia"/>
        </w:rPr>
        <w:t>12.1 组织保障</w:t>
      </w:r>
      <w:r>
        <w:rPr>
          <w:rFonts w:hint="eastAsia"/>
        </w:rPr>
        <w:tab/>
      </w:r>
      <w:r>
        <w:rPr>
          <w:rFonts w:hint="eastAsia"/>
        </w:rPr>
        <w:fldChar w:fldCharType="begin"/>
      </w:r>
      <w:r>
        <w:rPr>
          <w:rFonts w:hint="eastAsia"/>
        </w:rPr>
        <w:instrText xml:space="preserve"> </w:instrText>
      </w:r>
      <w:r>
        <w:instrText xml:space="preserve">PAGEREF _Toc184023365 \h</w:instrText>
      </w:r>
      <w:r>
        <w:rPr>
          <w:rFonts w:hint="eastAsia"/>
        </w:rPr>
        <w:instrText xml:space="preserve"> </w:instrText>
      </w:r>
      <w:r>
        <w:rPr>
          <w:rFonts w:hint="eastAsia"/>
        </w:rPr>
        <w:fldChar w:fldCharType="separate"/>
      </w:r>
      <w:r>
        <w:t>153</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"_Toc184023366" </w:instrText>
      </w:r>
      <w:r>
        <w:fldChar w:fldCharType="separate"/>
      </w:r>
      <w:r>
        <w:rPr>
          <w:rStyle w:val="61"/>
          <w:rFonts w:hint="eastAsia"/>
        </w:rPr>
        <w:t>12.2 资金保障</w:t>
      </w:r>
      <w:r>
        <w:rPr>
          <w:rFonts w:hint="eastAsia"/>
        </w:rPr>
        <w:tab/>
      </w:r>
      <w:r>
        <w:rPr>
          <w:rFonts w:hint="eastAsia"/>
        </w:rPr>
        <w:fldChar w:fldCharType="begin"/>
      </w:r>
      <w:r>
        <w:rPr>
          <w:rFonts w:hint="eastAsia"/>
        </w:rPr>
        <w:instrText xml:space="preserve"> </w:instrText>
      </w:r>
      <w:r>
        <w:instrText xml:space="preserve">PAGEREF _Toc184023366 \h</w:instrText>
      </w:r>
      <w:r>
        <w:rPr>
          <w:rFonts w:hint="eastAsia"/>
        </w:rPr>
        <w:instrText xml:space="preserve"> </w:instrText>
      </w:r>
      <w:r>
        <w:rPr>
          <w:rFonts w:hint="eastAsia"/>
        </w:rPr>
        <w:fldChar w:fldCharType="separate"/>
      </w:r>
      <w:r>
        <w:t>153</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"_Toc184023367" </w:instrText>
      </w:r>
      <w:r>
        <w:fldChar w:fldCharType="separate"/>
      </w:r>
      <w:r>
        <w:rPr>
          <w:rStyle w:val="61"/>
          <w:rFonts w:hint="eastAsia"/>
        </w:rPr>
        <w:t>12.3 监督考核</w:t>
      </w:r>
      <w:r>
        <w:rPr>
          <w:rFonts w:hint="eastAsia"/>
        </w:rPr>
        <w:tab/>
      </w:r>
      <w:r>
        <w:rPr>
          <w:rFonts w:hint="eastAsia"/>
        </w:rPr>
        <w:fldChar w:fldCharType="begin"/>
      </w:r>
      <w:r>
        <w:rPr>
          <w:rFonts w:hint="eastAsia"/>
        </w:rPr>
        <w:instrText xml:space="preserve"> </w:instrText>
      </w:r>
      <w:r>
        <w:instrText xml:space="preserve">PAGEREF _Toc184023367 \h</w:instrText>
      </w:r>
      <w:r>
        <w:rPr>
          <w:rFonts w:hint="eastAsia"/>
        </w:rPr>
        <w:instrText xml:space="preserve"> </w:instrText>
      </w:r>
      <w:r>
        <w:rPr>
          <w:rFonts w:hint="eastAsia"/>
        </w:rPr>
        <w:fldChar w:fldCharType="separate"/>
      </w:r>
      <w:r>
        <w:t>154</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"_Toc184023368" </w:instrText>
      </w:r>
      <w:r>
        <w:fldChar w:fldCharType="separate"/>
      </w:r>
      <w:r>
        <w:rPr>
          <w:rStyle w:val="61"/>
          <w:rFonts w:hint="eastAsia"/>
        </w:rPr>
        <w:t>12.4 技术保障</w:t>
      </w:r>
      <w:r>
        <w:rPr>
          <w:rFonts w:hint="eastAsia"/>
        </w:rPr>
        <w:tab/>
      </w:r>
      <w:r>
        <w:rPr>
          <w:rFonts w:hint="eastAsia"/>
        </w:rPr>
        <w:fldChar w:fldCharType="begin"/>
      </w:r>
      <w:r>
        <w:rPr>
          <w:rFonts w:hint="eastAsia"/>
        </w:rPr>
        <w:instrText xml:space="preserve"> </w:instrText>
      </w:r>
      <w:r>
        <w:instrText xml:space="preserve">PAGEREF _Toc184023368 \h</w:instrText>
      </w:r>
      <w:r>
        <w:rPr>
          <w:rFonts w:hint="eastAsia"/>
        </w:rPr>
        <w:instrText xml:space="preserve"> </w:instrText>
      </w:r>
      <w:r>
        <w:rPr>
          <w:rFonts w:hint="eastAsia"/>
        </w:rPr>
        <w:fldChar w:fldCharType="separate"/>
      </w:r>
      <w:r>
        <w:t>154</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"_Toc184023369" </w:instrText>
      </w:r>
      <w:r>
        <w:fldChar w:fldCharType="separate"/>
      </w:r>
      <w:r>
        <w:rPr>
          <w:rStyle w:val="61"/>
          <w:rFonts w:hint="eastAsia"/>
        </w:rPr>
        <w:t>12.5 协作机制</w:t>
      </w:r>
      <w:r>
        <w:rPr>
          <w:rFonts w:hint="eastAsia"/>
        </w:rPr>
        <w:tab/>
      </w:r>
      <w:r>
        <w:rPr>
          <w:rFonts w:hint="eastAsia"/>
        </w:rPr>
        <w:fldChar w:fldCharType="begin"/>
      </w:r>
      <w:r>
        <w:rPr>
          <w:rFonts w:hint="eastAsia"/>
        </w:rPr>
        <w:instrText xml:space="preserve"> </w:instrText>
      </w:r>
      <w:r>
        <w:instrText xml:space="preserve">PAGEREF _Toc184023369 \h</w:instrText>
      </w:r>
      <w:r>
        <w:rPr>
          <w:rFonts w:hint="eastAsia"/>
        </w:rPr>
        <w:instrText xml:space="preserve"> </w:instrText>
      </w:r>
      <w:r>
        <w:rPr>
          <w:rFonts w:hint="eastAsia"/>
        </w:rPr>
        <w:fldChar w:fldCharType="separate"/>
      </w:r>
      <w:r>
        <w:t>155</w:t>
      </w:r>
      <w:r>
        <w:rPr>
          <w:rFonts w:hint="eastAsia"/>
        </w:rPr>
        <w:fldChar w:fldCharType="end"/>
      </w:r>
      <w:r>
        <w:rPr>
          <w:rFonts w:hint="eastAsia"/>
        </w:rPr>
        <w:fldChar w:fldCharType="end"/>
      </w:r>
    </w:p>
    <w:p>
      <w:pPr>
        <w:pStyle w:val="41"/>
        <w:tabs>
          <w:tab w:val="right" w:leader="dot" w:pos="9060"/>
        </w:tabs>
        <w:ind w:left="124" w:firstLine="480"/>
        <w:rPr>
          <w:rFonts w:asciiTheme="minorHAnsi" w:hAnsiTheme="minorHAnsi" w:eastAsiaTheme="minorEastAsia" w:cstheme="minorBidi"/>
          <w:bCs w:val="0"/>
          <w:smallCaps w:val="0"/>
          <w:color w:val="auto"/>
          <w:spacing w:val="0"/>
          <w:sz w:val="21"/>
          <w14:ligatures w14:val="standardContextual"/>
        </w:rPr>
      </w:pPr>
      <w:r>
        <w:fldChar w:fldCharType="begin"/>
      </w:r>
      <w:r>
        <w:instrText xml:space="preserve"> HYPERLINK \l "_Toc184023370" </w:instrText>
      </w:r>
      <w:r>
        <w:fldChar w:fldCharType="separate"/>
      </w:r>
      <w:r>
        <w:rPr>
          <w:rStyle w:val="61"/>
          <w:rFonts w:hint="eastAsia"/>
        </w:rPr>
        <w:t>12.6 社会参与</w:t>
      </w:r>
      <w:r>
        <w:rPr>
          <w:rFonts w:hint="eastAsia"/>
        </w:rPr>
        <w:tab/>
      </w:r>
      <w:r>
        <w:rPr>
          <w:rFonts w:hint="eastAsia"/>
        </w:rPr>
        <w:fldChar w:fldCharType="begin"/>
      </w:r>
      <w:r>
        <w:rPr>
          <w:rFonts w:hint="eastAsia"/>
        </w:rPr>
        <w:instrText xml:space="preserve"> </w:instrText>
      </w:r>
      <w:r>
        <w:instrText xml:space="preserve">PAGEREF _Toc184023370 \h</w:instrText>
      </w:r>
      <w:r>
        <w:rPr>
          <w:rFonts w:hint="eastAsia"/>
        </w:rPr>
        <w:instrText xml:space="preserve"> </w:instrText>
      </w:r>
      <w:r>
        <w:rPr>
          <w:rFonts w:hint="eastAsia"/>
        </w:rPr>
        <w:fldChar w:fldCharType="separate"/>
      </w:r>
      <w:r>
        <w:t>155</w:t>
      </w:r>
      <w:r>
        <w:rPr>
          <w:rFonts w:hint="eastAsia"/>
        </w:rPr>
        <w:fldChar w:fldCharType="end"/>
      </w:r>
      <w:r>
        <w:rPr>
          <w:rFonts w:hint="eastAsia"/>
        </w:rPr>
        <w:fldChar w:fldCharType="end"/>
      </w:r>
    </w:p>
    <w:p>
      <w:pPr>
        <w:spacing w:line="360" w:lineRule="auto"/>
        <w:ind w:firstLine="480"/>
        <w:jc w:val="left"/>
        <w:rPr>
          <w:b/>
          <w:szCs w:val="24"/>
        </w:rPr>
      </w:pPr>
      <w:r>
        <w:fldChar w:fldCharType="end"/>
      </w:r>
      <w:r>
        <w:rPr>
          <w:b/>
          <w:szCs w:val="24"/>
        </w:rPr>
        <w:t>附表：</w:t>
      </w:r>
    </w:p>
    <w:p>
      <w:pPr>
        <w:spacing w:line="360" w:lineRule="auto"/>
        <w:jc w:val="left"/>
        <w:rPr>
          <w:szCs w:val="24"/>
        </w:rPr>
      </w:pPr>
      <w:r>
        <w:rPr>
          <w:szCs w:val="24"/>
        </w:rPr>
        <w:t>1、澄江市水资源保护利用规划项目表。</w:t>
      </w:r>
    </w:p>
    <w:p>
      <w:pPr>
        <w:outlineLvl w:val="0"/>
      </w:pPr>
    </w:p>
    <w:p>
      <w:pPr>
        <w:spacing w:line="360" w:lineRule="auto"/>
        <w:ind w:firstLine="498"/>
        <w:jc w:val="left"/>
        <w:rPr>
          <w:b/>
          <w:szCs w:val="24"/>
        </w:rPr>
      </w:pPr>
      <w:r>
        <w:rPr>
          <w:b/>
          <w:szCs w:val="24"/>
        </w:rPr>
        <w:t>附图：</w:t>
      </w:r>
    </w:p>
    <w:p>
      <w:pPr>
        <w:spacing w:line="360" w:lineRule="auto"/>
        <w:jc w:val="left"/>
        <w:rPr>
          <w:szCs w:val="24"/>
        </w:rPr>
      </w:pPr>
      <w:r>
        <w:rPr>
          <w:szCs w:val="24"/>
        </w:rPr>
        <w:t>1、澄江市水系图；</w:t>
      </w:r>
    </w:p>
    <w:p>
      <w:pPr>
        <w:spacing w:line="360" w:lineRule="auto"/>
        <w:jc w:val="left"/>
        <w:rPr>
          <w:szCs w:val="24"/>
        </w:rPr>
      </w:pPr>
      <w:r>
        <w:rPr>
          <w:szCs w:val="24"/>
        </w:rPr>
        <w:t>2、澄江市水功能二级区划图；</w:t>
      </w:r>
    </w:p>
    <w:p>
      <w:pPr>
        <w:spacing w:line="360" w:lineRule="auto"/>
        <w:jc w:val="left"/>
        <w:rPr>
          <w:szCs w:val="24"/>
        </w:rPr>
      </w:pPr>
      <w:r>
        <w:rPr>
          <w:szCs w:val="24"/>
        </w:rPr>
        <w:t>3、澄江市水资源保护利用规划项目示意图；</w:t>
      </w:r>
    </w:p>
    <w:p>
      <w:pPr>
        <w:spacing w:line="360" w:lineRule="auto"/>
        <w:jc w:val="left"/>
        <w:rPr>
          <w:szCs w:val="24"/>
        </w:rPr>
      </w:pPr>
    </w:p>
    <w:p/>
    <w:p/>
    <w:p/>
    <w:p/>
    <w:p/>
    <w:p/>
    <w:p/>
    <w:p/>
    <w:p>
      <w:pPr>
        <w:sectPr>
          <w:headerReference r:id="rId13" w:type="default"/>
          <w:footerReference r:id="rId14" w:type="default"/>
          <w:pgSz w:w="11906" w:h="16838"/>
          <w:pgMar w:top="1440" w:right="1418" w:bottom="1440" w:left="1418" w:header="851" w:footer="851" w:gutter="0"/>
          <w:pgNumType w:fmt="upperRoman" w:start="1"/>
          <w:cols w:space="425" w:num="1"/>
          <w:docGrid w:type="linesAndChars" w:linePitch="312" w:charSpace="0"/>
        </w:sectPr>
      </w:pPr>
    </w:p>
    <w:p>
      <w:pPr>
        <w:pStyle w:val="3"/>
        <w:numPr>
          <w:ilvl w:val="0"/>
          <w:numId w:val="7"/>
        </w:numPr>
        <w:rPr>
          <w:rFonts w:ascii="Times New Roman" w:hAnsi="Times New Roman"/>
          <w:color w:val="000000" w:themeColor="text1"/>
          <w14:textFill>
            <w14:solidFill>
              <w14:schemeClr w14:val="tx1"/>
            </w14:solidFill>
          </w14:textFill>
        </w:rPr>
      </w:pPr>
      <w:bookmarkStart w:id="2" w:name="_Toc160853583"/>
      <w:bookmarkEnd w:id="2"/>
      <w:bookmarkStart w:id="3" w:name="_Toc161717059"/>
      <w:bookmarkEnd w:id="3"/>
      <w:bookmarkStart w:id="4" w:name="_Toc184023307"/>
      <w:bookmarkStart w:id="5" w:name="_Toc19359"/>
      <w:r>
        <w:rPr>
          <w:rFonts w:ascii="Times New Roman" w:hAnsi="Times New Roman"/>
          <w:color w:val="000000" w:themeColor="text1"/>
          <w14:textFill>
            <w14:solidFill>
              <w14:schemeClr w14:val="tx1"/>
            </w14:solidFill>
          </w14:textFill>
        </w:rPr>
        <w:t>区域概况</w:t>
      </w:r>
      <w:bookmarkEnd w:id="4"/>
      <w:bookmarkEnd w:id="5"/>
    </w:p>
    <w:p>
      <w:pPr>
        <w:pStyle w:val="5"/>
      </w:pPr>
      <w:bookmarkStart w:id="6" w:name="_Toc132833167"/>
      <w:bookmarkStart w:id="7" w:name="_Toc184023308"/>
      <w:r>
        <w:t>自然地理</w:t>
      </w:r>
      <w:bookmarkEnd w:id="6"/>
      <w:bookmarkEnd w:id="7"/>
    </w:p>
    <w:p>
      <w:pPr>
        <w:pStyle w:val="6"/>
      </w:pPr>
      <w:bookmarkStart w:id="8" w:name="_Toc132833168"/>
      <w:r>
        <w:t>地理位置</w:t>
      </w:r>
      <w:bookmarkEnd w:id="8"/>
    </w:p>
    <w:p>
      <w:pPr>
        <w:pStyle w:val="4"/>
      </w:pPr>
      <w:r>
        <w:t>澄江</w:t>
      </w:r>
      <w:r>
        <w:rPr>
          <w:rFonts w:hint="eastAsia"/>
        </w:rPr>
        <w:t>市</w:t>
      </w:r>
      <w:r>
        <w:t>（不含阳宗镇，含托管区，托管区为华宁县青龙镇的海镜、海关，江川区路居镇、江城镇的孤山、明星、牛摩、三百亩，下同）地处云南省中部，位于云南省省会昆明市东南，北与呈贡、阳宗海管委会毗连，东沿南盘江与宜良为界，西南、南、东南隔抚仙湖流域界与江川、华宁为邻，西与呈贡、晋宁接壤，地理坐标位于东经102°47′～103°04′，北纬24°17′～24°47′之间，距昆明52km，距玉溪市87km，面积844km</w:t>
      </w:r>
      <w:r>
        <w:rPr>
          <w:vertAlign w:val="superscript"/>
        </w:rPr>
        <w:t>2</w:t>
      </w:r>
      <w:r>
        <w:t>。</w:t>
      </w:r>
    </w:p>
    <w:p>
      <w:pPr>
        <w:pStyle w:val="4"/>
        <w:spacing w:line="240" w:lineRule="auto"/>
        <w:ind w:firstLine="0" w:firstLineChars="0"/>
        <w:jc w:val="center"/>
      </w:pPr>
      <w:r>
        <w:drawing>
          <wp:inline distT="0" distB="0" distL="0" distR="0">
            <wp:extent cx="5402580" cy="4503420"/>
            <wp:effectExtent l="0" t="0" r="7620" b="0"/>
            <wp:docPr id="1751390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90438"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2580" cy="4503420"/>
                    </a:xfrm>
                    <a:prstGeom prst="rect">
                      <a:avLst/>
                    </a:prstGeom>
                  </pic:spPr>
                </pic:pic>
              </a:graphicData>
            </a:graphic>
          </wp:inline>
        </w:drawing>
      </w:r>
    </w:p>
    <w:p>
      <w:pPr>
        <w:pStyle w:val="17"/>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w:instrText>
      </w:r>
      <w:r>
        <w:rPr>
          <w:rFonts w:hint="eastAsia"/>
          <w:color w:val="000000" w:themeColor="text1"/>
          <w14:textFill>
            <w14:solidFill>
              <w14:schemeClr w14:val="tx1"/>
            </w14:solidFill>
          </w14:textFill>
        </w:rPr>
        <w:instrText xml:space="preserve">图</w:instrText>
      </w:r>
      <w:r>
        <w:rPr>
          <w:color w:val="000000" w:themeColor="text1"/>
          <w14:textFill>
            <w14:solidFill>
              <w14:schemeClr w14:val="tx1"/>
            </w14:solidFill>
          </w14:textFill>
        </w:rPr>
        <w:instrText xml:space="preserve">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规划区位置示意图</w:t>
      </w:r>
    </w:p>
    <w:p>
      <w:pPr>
        <w:pStyle w:val="6"/>
      </w:pPr>
      <w:r>
        <w:rPr>
          <w:rFonts w:hint="eastAsia"/>
        </w:rPr>
        <w:t>地形地貌</w:t>
      </w:r>
    </w:p>
    <w:p>
      <w:pPr>
        <w:pStyle w:val="4"/>
      </w:pPr>
      <w:r>
        <w:t>澄江属滇中高原丘陵地带，四周群山环抱，盆地、湖泊镶嵌其间，东部为南盘江河谷地带，地势北高南低，西高东低，境内山脉多为南北走向，罗藏山自西向东横亘北部，抚仙湖北岸形成澄江坝子。最高海拔梁王山主峰2820m，最低海拔南盘江与海口河交汇处1328m，最高最低相差1098m，县城凤麓街道海拔1755m。澄江地貌以高原地貌为主，地貌类型主要有构造剥蚀堆积地貌、岩溶地貌和构造剥蚀低中山（或中山）地貌。抚仙湖东西岸均有中、低山围绕，湖岸陡峭，断层发育，呈现典型的地堑断陷湖泊形态，地势由南向北渐变深。</w:t>
      </w:r>
    </w:p>
    <w:p>
      <w:pPr>
        <w:pStyle w:val="4"/>
        <w:spacing w:line="240" w:lineRule="auto"/>
        <w:ind w:firstLine="0" w:firstLineChars="0"/>
        <w:jc w:val="center"/>
      </w:pPr>
      <w:r>
        <w:drawing>
          <wp:inline distT="0" distB="0" distL="0" distR="0">
            <wp:extent cx="3510280" cy="5266055"/>
            <wp:effectExtent l="0" t="0" r="0" b="0"/>
            <wp:docPr id="8687021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02154"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7551" cy="5291326"/>
                    </a:xfrm>
                    <a:prstGeom prst="rect">
                      <a:avLst/>
                    </a:prstGeom>
                  </pic:spPr>
                </pic:pic>
              </a:graphicData>
            </a:graphic>
          </wp:inline>
        </w:drawing>
      </w:r>
    </w:p>
    <w:p>
      <w:pPr>
        <w:pStyle w:val="17"/>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w:instrText>
      </w:r>
      <w:r>
        <w:rPr>
          <w:rFonts w:hint="eastAsia"/>
          <w:color w:val="000000" w:themeColor="text1"/>
          <w14:textFill>
            <w14:solidFill>
              <w14:schemeClr w14:val="tx1"/>
            </w14:solidFill>
          </w14:textFill>
        </w:rPr>
        <w:instrText xml:space="preserve">图</w:instrText>
      </w:r>
      <w:r>
        <w:rPr>
          <w:color w:val="000000" w:themeColor="text1"/>
          <w14:textFill>
            <w14:solidFill>
              <w14:schemeClr w14:val="tx1"/>
            </w14:solidFill>
          </w14:textFill>
        </w:rPr>
        <w:instrText xml:space="preserve">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规划区地势地貌图</w:t>
      </w:r>
    </w:p>
    <w:p>
      <w:pPr>
        <w:pStyle w:val="6"/>
      </w:pPr>
      <w:r>
        <w:rPr>
          <w:rFonts w:hint="eastAsia"/>
        </w:rPr>
        <w:t>水文气象</w:t>
      </w:r>
    </w:p>
    <w:p>
      <w:pPr>
        <w:pStyle w:val="4"/>
      </w:pPr>
      <w:r>
        <w:t>澄江市境内为中亚热带、北亚热带、南温带和中温带四个气候类型的立体气候。年平均气温11.9～17.5℃，极端最高气温33.7℃，极端最低气温-3.9℃。有霜日最多46天，最少9天，轻霜冻5年三遇，重霜冻5年二遇。</w:t>
      </w:r>
      <w:r>
        <w:rPr>
          <w:rFonts w:hint="eastAsia"/>
        </w:rPr>
        <w:t>多</w:t>
      </w:r>
      <w:r>
        <w:t>年</w:t>
      </w:r>
      <w:r>
        <w:rPr>
          <w:rFonts w:hint="eastAsia"/>
        </w:rPr>
        <w:t>平均</w:t>
      </w:r>
      <w:r>
        <w:t>降雨量</w:t>
      </w:r>
      <w:r>
        <w:rPr>
          <w:rFonts w:hint="eastAsia"/>
        </w:rPr>
        <w:t>928.4</w:t>
      </w:r>
      <w:r>
        <w:t>mm，相对湿度76%。盛行西南风，年平均风速2～3m/s。全年日照总时数2172.3</w:t>
      </w:r>
      <w:r>
        <w:rPr>
          <w:rFonts w:hint="eastAsia"/>
        </w:rPr>
        <w:t>h</w:t>
      </w:r>
      <w:r>
        <w:t>，日照率50%。全市气候温和，四季如春。</w:t>
      </w:r>
    </w:p>
    <w:p>
      <w:pPr>
        <w:pStyle w:val="6"/>
      </w:pPr>
      <w:r>
        <w:rPr>
          <w:rFonts w:hint="eastAsia"/>
        </w:rPr>
        <w:t>其他资源</w:t>
      </w:r>
    </w:p>
    <w:p>
      <w:pPr>
        <w:pStyle w:val="4"/>
      </w:pPr>
      <w:r>
        <w:rPr>
          <w:rFonts w:hint="eastAsia"/>
        </w:rPr>
        <w:t>（</w:t>
      </w:r>
      <w:r>
        <w:t>1</w:t>
      </w:r>
      <w:r>
        <w:rPr>
          <w:rFonts w:hint="eastAsia"/>
        </w:rPr>
        <w:t>）土地资源</w:t>
      </w:r>
    </w:p>
    <w:p>
      <w:pPr>
        <w:pStyle w:val="4"/>
      </w:pPr>
      <w:r>
        <w:t>澄江市管辖总面积844km</w:t>
      </w:r>
      <w:r>
        <w:rPr>
          <w:vertAlign w:val="superscript"/>
        </w:rPr>
        <w:t>2</w:t>
      </w:r>
      <w:r>
        <w:t>，含农用地549km</w:t>
      </w:r>
      <w:r>
        <w:rPr>
          <w:vertAlign w:val="superscript"/>
        </w:rPr>
        <w:t>2</w:t>
      </w:r>
      <w:r>
        <w:t>（其中：耕地142km</w:t>
      </w:r>
      <w:r>
        <w:rPr>
          <w:vertAlign w:val="superscript"/>
        </w:rPr>
        <w:t>2</w:t>
      </w:r>
      <w:r>
        <w:t>、园地17km</w:t>
      </w:r>
      <w:r>
        <w:rPr>
          <w:vertAlign w:val="superscript"/>
        </w:rPr>
        <w:t>2</w:t>
      </w:r>
      <w:r>
        <w:t>、林地342km</w:t>
      </w:r>
      <w:r>
        <w:rPr>
          <w:vertAlign w:val="superscript"/>
        </w:rPr>
        <w:t>2</w:t>
      </w:r>
      <w:r>
        <w:t>、其他农用地48km</w:t>
      </w:r>
      <w:r>
        <w:rPr>
          <w:vertAlign w:val="superscript"/>
        </w:rPr>
        <w:t>2</w:t>
      </w:r>
      <w:r>
        <w:t>）、建设用地45km</w:t>
      </w:r>
      <w:r>
        <w:rPr>
          <w:vertAlign w:val="superscript"/>
        </w:rPr>
        <w:t>2</w:t>
      </w:r>
      <w:r>
        <w:t>、未利用地250km</w:t>
      </w:r>
      <w:r>
        <w:rPr>
          <w:vertAlign w:val="superscript"/>
        </w:rPr>
        <w:t>2</w:t>
      </w:r>
      <w:r>
        <w:t>。耕地142km</w:t>
      </w:r>
      <w:r>
        <w:rPr>
          <w:vertAlign w:val="superscript"/>
        </w:rPr>
        <w:t>2</w:t>
      </w:r>
      <w:r>
        <w:t>（212959亩）中，其中水田58019亩、水浇地2527亩、旱地152413亩）。</w:t>
      </w:r>
    </w:p>
    <w:p>
      <w:pPr>
        <w:pStyle w:val="4"/>
      </w:pPr>
      <w:r>
        <w:rPr>
          <w:rFonts w:hint="eastAsia"/>
        </w:rPr>
        <w:t>（</w:t>
      </w:r>
      <w:r>
        <w:t>2</w:t>
      </w:r>
      <w:r>
        <w:rPr>
          <w:rFonts w:hint="eastAsia"/>
        </w:rPr>
        <w:t>）矿产资源</w:t>
      </w:r>
    </w:p>
    <w:p>
      <w:pPr>
        <w:pStyle w:val="4"/>
        <w:rPr>
          <w:vertAlign w:val="superscript"/>
        </w:rPr>
      </w:pPr>
      <w:r>
        <w:t>澄江市境内矿藏有</w:t>
      </w:r>
      <w:r>
        <w:fldChar w:fldCharType="begin"/>
      </w:r>
      <w:r>
        <w:instrText xml:space="preserve"> HYPERLINK "https://baike.baidu.com/item/%E7%85%A4/15884029?fromModule=lemma_inlink" \t "_blank" </w:instrText>
      </w:r>
      <w:r>
        <w:fldChar w:fldCharType="separate"/>
      </w:r>
      <w:r>
        <w:rPr>
          <w:rStyle w:val="61"/>
          <w:color w:val="000000" w:themeColor="text1"/>
          <w:u w:val="none"/>
          <w14:textFill>
            <w14:solidFill>
              <w14:schemeClr w14:val="tx1"/>
            </w14:solidFill>
          </w14:textFill>
        </w:rPr>
        <w:t>煤</w:t>
      </w:r>
      <w:r>
        <w:rPr>
          <w:rStyle w:val="61"/>
          <w:color w:val="000000" w:themeColor="text1"/>
          <w:u w:val="none"/>
          <w14:textFill>
            <w14:solidFill>
              <w14:schemeClr w14:val="tx1"/>
            </w14:solidFill>
          </w14:textFill>
        </w:rPr>
        <w:fldChar w:fldCharType="end"/>
      </w:r>
      <w:r>
        <w:t>、</w:t>
      </w:r>
      <w:r>
        <w:fldChar w:fldCharType="begin"/>
      </w:r>
      <w:r>
        <w:instrText xml:space="preserve"> HYPERLINK "https://baike.baidu.com/item/%E9%93%81/29586?fromModule=lemma_inlink" \t "_blank" </w:instrText>
      </w:r>
      <w:r>
        <w:fldChar w:fldCharType="separate"/>
      </w:r>
      <w:r>
        <w:rPr>
          <w:rStyle w:val="61"/>
          <w:color w:val="000000" w:themeColor="text1"/>
          <w:u w:val="none"/>
          <w14:textFill>
            <w14:solidFill>
              <w14:schemeClr w14:val="tx1"/>
            </w14:solidFill>
          </w14:textFill>
        </w:rPr>
        <w:t>铁</w:t>
      </w:r>
      <w:r>
        <w:rPr>
          <w:rStyle w:val="61"/>
          <w:color w:val="000000" w:themeColor="text1"/>
          <w:u w:val="none"/>
          <w14:textFill>
            <w14:solidFill>
              <w14:schemeClr w14:val="tx1"/>
            </w14:solidFill>
          </w14:textFill>
        </w:rPr>
        <w:fldChar w:fldCharType="end"/>
      </w:r>
      <w:r>
        <w:t>、</w:t>
      </w:r>
      <w:r>
        <w:fldChar w:fldCharType="begin"/>
      </w:r>
      <w:r>
        <w:instrText xml:space="preserve"> HYPERLINK "https://baike.baidu.com/item/%E9%93%85/2141563?fromModule=lemma_inlink" \t "_blank" </w:instrText>
      </w:r>
      <w:r>
        <w:fldChar w:fldCharType="separate"/>
      </w:r>
      <w:r>
        <w:rPr>
          <w:rStyle w:val="61"/>
          <w:color w:val="000000" w:themeColor="text1"/>
          <w:u w:val="none"/>
          <w14:textFill>
            <w14:solidFill>
              <w14:schemeClr w14:val="tx1"/>
            </w14:solidFill>
          </w14:textFill>
        </w:rPr>
        <w:t>铅</w:t>
      </w:r>
      <w:r>
        <w:rPr>
          <w:rStyle w:val="61"/>
          <w:color w:val="000000" w:themeColor="text1"/>
          <w:u w:val="none"/>
          <w14:textFill>
            <w14:solidFill>
              <w14:schemeClr w14:val="tx1"/>
            </w14:solidFill>
          </w14:textFill>
        </w:rPr>
        <w:fldChar w:fldCharType="end"/>
      </w:r>
      <w:r>
        <w:t>、</w:t>
      </w:r>
      <w:r>
        <w:fldChar w:fldCharType="begin"/>
      </w:r>
      <w:r>
        <w:instrText xml:space="preserve"> HYPERLINK "https://baike.baidu.com/item/%E9%93%9C/668243?fromModule=lemma_inlink" \t "_blank" </w:instrText>
      </w:r>
      <w:r>
        <w:fldChar w:fldCharType="separate"/>
      </w:r>
      <w:r>
        <w:rPr>
          <w:rStyle w:val="61"/>
          <w:color w:val="000000" w:themeColor="text1"/>
          <w:u w:val="none"/>
          <w14:textFill>
            <w14:solidFill>
              <w14:schemeClr w14:val="tx1"/>
            </w14:solidFill>
          </w14:textFill>
        </w:rPr>
        <w:t>铜</w:t>
      </w:r>
      <w:r>
        <w:rPr>
          <w:rStyle w:val="61"/>
          <w:color w:val="000000" w:themeColor="text1"/>
          <w:u w:val="none"/>
          <w14:textFill>
            <w14:solidFill>
              <w14:schemeClr w14:val="tx1"/>
            </w14:solidFill>
          </w14:textFill>
        </w:rPr>
        <w:fldChar w:fldCharType="end"/>
      </w:r>
      <w:r>
        <w:t>、</w:t>
      </w:r>
      <w:r>
        <w:fldChar w:fldCharType="begin"/>
      </w:r>
      <w:r>
        <w:instrText xml:space="preserve"> HYPERLINK "https://baike.baidu.com/item/%E7%9F%B3%E7%81%B0%E7%9F%B3/0?fromModule=lemma_inlink" \t "_blank" </w:instrText>
      </w:r>
      <w:r>
        <w:fldChar w:fldCharType="separate"/>
      </w:r>
      <w:r>
        <w:rPr>
          <w:rStyle w:val="61"/>
          <w:color w:val="000000" w:themeColor="text1"/>
          <w:u w:val="none"/>
          <w14:textFill>
            <w14:solidFill>
              <w14:schemeClr w14:val="tx1"/>
            </w14:solidFill>
          </w14:textFill>
        </w:rPr>
        <w:t>石灰石</w:t>
      </w:r>
      <w:r>
        <w:rPr>
          <w:rStyle w:val="61"/>
          <w:color w:val="000000" w:themeColor="text1"/>
          <w:u w:val="none"/>
          <w14:textFill>
            <w14:solidFill>
              <w14:schemeClr w14:val="tx1"/>
            </w14:solidFill>
          </w14:textFill>
        </w:rPr>
        <w:fldChar w:fldCharType="end"/>
      </w:r>
      <w:r>
        <w:t>、</w:t>
      </w:r>
      <w:r>
        <w:fldChar w:fldCharType="begin"/>
      </w:r>
      <w:r>
        <w:instrText xml:space="preserve"> HYPERLINK "https://baike.baidu.com/item/%E7%9F%B3%E8%8B%B1%E6%B2%99/0?fromModule=lemma_inlink" \t "_blank" </w:instrText>
      </w:r>
      <w:r>
        <w:fldChar w:fldCharType="separate"/>
      </w:r>
      <w:r>
        <w:rPr>
          <w:rStyle w:val="61"/>
          <w:color w:val="000000" w:themeColor="text1"/>
          <w:u w:val="none"/>
          <w14:textFill>
            <w14:solidFill>
              <w14:schemeClr w14:val="tx1"/>
            </w14:solidFill>
          </w14:textFill>
        </w:rPr>
        <w:t>石英沙</w:t>
      </w:r>
      <w:r>
        <w:rPr>
          <w:rStyle w:val="61"/>
          <w:color w:val="000000" w:themeColor="text1"/>
          <w:u w:val="none"/>
          <w14:textFill>
            <w14:solidFill>
              <w14:schemeClr w14:val="tx1"/>
            </w14:solidFill>
          </w14:textFill>
        </w:rPr>
        <w:fldChar w:fldCharType="end"/>
      </w:r>
      <w:r>
        <w:t>、</w:t>
      </w:r>
      <w:r>
        <w:fldChar w:fldCharType="begin"/>
      </w:r>
      <w:r>
        <w:instrText xml:space="preserve"> HYPERLINK "https://baike.baidu.com/item/%E7%A3%B7/0?fromModule=lemma_inlink" \t "_blank" </w:instrText>
      </w:r>
      <w:r>
        <w:fldChar w:fldCharType="separate"/>
      </w:r>
      <w:r>
        <w:rPr>
          <w:rStyle w:val="61"/>
          <w:color w:val="000000" w:themeColor="text1"/>
          <w:u w:val="none"/>
          <w14:textFill>
            <w14:solidFill>
              <w14:schemeClr w14:val="tx1"/>
            </w14:solidFill>
          </w14:textFill>
        </w:rPr>
        <w:t>磷</w:t>
      </w:r>
      <w:r>
        <w:rPr>
          <w:rStyle w:val="61"/>
          <w:color w:val="000000" w:themeColor="text1"/>
          <w:u w:val="none"/>
          <w14:textFill>
            <w14:solidFill>
              <w14:schemeClr w14:val="tx1"/>
            </w14:solidFill>
          </w14:textFill>
        </w:rPr>
        <w:fldChar w:fldCharType="end"/>
      </w:r>
      <w:r>
        <w:t>等。大多不具备开采价值，唯有</w:t>
      </w:r>
      <w:r>
        <w:fldChar w:fldCharType="begin"/>
      </w:r>
      <w:r>
        <w:instrText xml:space="preserve"> HYPERLINK "https://baike.baidu.com/item/%E7%A3%B7%E7%9F%BF/0?fromModule=lemma_inlink" \t "_blank" </w:instrText>
      </w:r>
      <w:r>
        <w:fldChar w:fldCharType="separate"/>
      </w:r>
      <w:r>
        <w:rPr>
          <w:rStyle w:val="61"/>
          <w:color w:val="000000" w:themeColor="text1"/>
          <w:u w:val="none"/>
          <w14:textFill>
            <w14:solidFill>
              <w14:schemeClr w14:val="tx1"/>
            </w14:solidFill>
          </w14:textFill>
        </w:rPr>
        <w:t>磷矿</w:t>
      </w:r>
      <w:r>
        <w:rPr>
          <w:rStyle w:val="61"/>
          <w:color w:val="000000" w:themeColor="text1"/>
          <w:u w:val="none"/>
          <w14:textFill>
            <w14:solidFill>
              <w14:schemeClr w14:val="tx1"/>
            </w14:solidFill>
          </w14:textFill>
        </w:rPr>
        <w:fldChar w:fldCharType="end"/>
      </w:r>
      <w:r>
        <w:t>总储量丰富。</w:t>
      </w:r>
      <w:r>
        <w:rPr>
          <w:rFonts w:hint="eastAsia"/>
        </w:rPr>
        <w:t>其中</w:t>
      </w:r>
      <w:r>
        <w:fldChar w:fldCharType="begin"/>
      </w:r>
      <w:r>
        <w:instrText xml:space="preserve"> HYPERLINK "https://baike.baidu.com/item/%E7%85%A4%E7%9F%BF/0?fromModule=lemma_inlink" \t "_blank" </w:instrText>
      </w:r>
      <w:r>
        <w:fldChar w:fldCharType="separate"/>
      </w:r>
      <w:r>
        <w:rPr>
          <w:rStyle w:val="61"/>
          <w:color w:val="000000" w:themeColor="text1"/>
          <w:u w:val="none"/>
          <w14:textFill>
            <w14:solidFill>
              <w14:schemeClr w14:val="tx1"/>
            </w14:solidFill>
          </w14:textFill>
        </w:rPr>
        <w:t>煤矿</w:t>
      </w:r>
      <w:r>
        <w:rPr>
          <w:rStyle w:val="61"/>
          <w:color w:val="000000" w:themeColor="text1"/>
          <w:u w:val="none"/>
          <w14:textFill>
            <w14:solidFill>
              <w14:schemeClr w14:val="tx1"/>
            </w14:solidFill>
          </w14:textFill>
        </w:rPr>
        <w:fldChar w:fldCharType="end"/>
      </w:r>
      <w:r>
        <w:t>在新村马场和阳宗镇一带，矿源15</w:t>
      </w:r>
      <w:r>
        <w:rPr>
          <w:rFonts w:hint="eastAsia"/>
        </w:rPr>
        <w:t>km</w:t>
      </w:r>
      <w:r>
        <w:t>，储量100万吨。煤层深，品质低，不易开采</w:t>
      </w:r>
      <w:r>
        <w:rPr>
          <w:rFonts w:hint="eastAsia"/>
        </w:rPr>
        <w:t>；</w:t>
      </w:r>
      <w:r>
        <w:fldChar w:fldCharType="begin"/>
      </w:r>
      <w:r>
        <w:instrText xml:space="preserve"> HYPERLINK "https://baike.baidu.com/item/%E9%93%81%E7%9F%BF/0?fromModule=lemma_inlink" \t "_blank" </w:instrText>
      </w:r>
      <w:r>
        <w:fldChar w:fldCharType="separate"/>
      </w:r>
      <w:r>
        <w:rPr>
          <w:rStyle w:val="61"/>
          <w:color w:val="000000" w:themeColor="text1"/>
          <w:u w:val="none"/>
          <w14:textFill>
            <w14:solidFill>
              <w14:schemeClr w14:val="tx1"/>
            </w14:solidFill>
          </w14:textFill>
        </w:rPr>
        <w:t>铁矿</w:t>
      </w:r>
      <w:r>
        <w:rPr>
          <w:rStyle w:val="61"/>
          <w:color w:val="000000" w:themeColor="text1"/>
          <w:u w:val="none"/>
          <w14:textFill>
            <w14:solidFill>
              <w14:schemeClr w14:val="tx1"/>
            </w14:solidFill>
          </w14:textFill>
        </w:rPr>
        <w:fldChar w:fldCharType="end"/>
      </w:r>
      <w:r>
        <w:t>在菜花坪、大竹箐、双树后山等地。品位低，不易开采</w:t>
      </w:r>
      <w:r>
        <w:rPr>
          <w:rFonts w:hint="eastAsia"/>
        </w:rPr>
        <w:t>；</w:t>
      </w:r>
      <w:r>
        <w:t>铝土在阳宗镇偏西北饮马池一带，储量30万吨</w:t>
      </w:r>
      <w:r>
        <w:rPr>
          <w:rFonts w:hint="eastAsia"/>
        </w:rPr>
        <w:t>；</w:t>
      </w:r>
      <w:r>
        <w:fldChar w:fldCharType="begin"/>
      </w:r>
      <w:r>
        <w:instrText xml:space="preserve"> HYPERLINK "https://baike.baidu.com/item/%E9%BB%84%E7%A3%B7/0?fromModule=lemma_inlink" \t "_blank" </w:instrText>
      </w:r>
      <w:r>
        <w:fldChar w:fldCharType="separate"/>
      </w:r>
      <w:r>
        <w:rPr>
          <w:rStyle w:val="61"/>
          <w:color w:val="000000" w:themeColor="text1"/>
          <w:u w:val="none"/>
          <w14:textFill>
            <w14:solidFill>
              <w14:schemeClr w14:val="tx1"/>
            </w14:solidFill>
          </w14:textFill>
        </w:rPr>
        <w:t>黄磷</w:t>
      </w:r>
      <w:r>
        <w:rPr>
          <w:rStyle w:val="61"/>
          <w:color w:val="000000" w:themeColor="text1"/>
          <w:u w:val="none"/>
          <w14:textFill>
            <w14:solidFill>
              <w14:schemeClr w14:val="tx1"/>
            </w14:solidFill>
          </w14:textFill>
        </w:rPr>
        <w:fldChar w:fldCharType="end"/>
      </w:r>
      <w:r>
        <w:t>在市区东，南起矣旧，从渔户村开始，经大坡头、路溪勺、小烂田、麦田坡、九村蛟龙潭、风口哨、狮子山、大山寺，直到阳宗盖板山，直线18千米，磷矿层出露总长34千米，矿区面积48.12平方千米，总储量6.4亿吨。品位高，易开采</w:t>
      </w:r>
      <w:r>
        <w:rPr>
          <w:rFonts w:hint="eastAsia"/>
        </w:rPr>
        <w:t>；</w:t>
      </w:r>
      <w:r>
        <w:t>石灰石在市境内分布较广，面积8万多亩，储量10亿吨</w:t>
      </w:r>
      <w:r>
        <w:rPr>
          <w:rFonts w:hint="eastAsia"/>
        </w:rPr>
        <w:t>；</w:t>
      </w:r>
      <w:r>
        <w:t>石英沙储量5000万吨</w:t>
      </w:r>
      <w:r>
        <w:rPr>
          <w:rFonts w:hint="eastAsia"/>
        </w:rPr>
        <w:t>。</w:t>
      </w:r>
    </w:p>
    <w:p>
      <w:pPr>
        <w:pStyle w:val="4"/>
      </w:pPr>
      <w:r>
        <w:rPr>
          <w:rFonts w:hint="eastAsia"/>
        </w:rPr>
        <w:t>（</w:t>
      </w:r>
      <w:r>
        <w:t>3</w:t>
      </w:r>
      <w:r>
        <w:rPr>
          <w:rFonts w:hint="eastAsia"/>
        </w:rPr>
        <w:t>）旅游资源</w:t>
      </w:r>
    </w:p>
    <w:p>
      <w:pPr>
        <w:pStyle w:val="4"/>
      </w:pPr>
      <w:r>
        <w:t>特殊的地理形势、悠久的历史，孕育了澄江丰富多彩的民俗民间文化。传统节日琳琅满目，立夏节、彝族火把节、苗族踩花山、禄充祭洞等。截至2022年，澄江市境内有各级各类不可移动文物113处。其中，国家级重点文物保护单位2处；省级文物保护单位1处；市级文物保护单位7处；县级文物保护单位27处；未定级文物点59处。按类别分：遗址类11处；古建类59处；石刻碑刻类13处；古墓葬类6处；重要史迹及代表性建筑4处。澄江市</w:t>
      </w:r>
      <w:r>
        <w:rPr>
          <w:rFonts w:hint="eastAsia"/>
        </w:rPr>
        <w:t>共有</w:t>
      </w:r>
      <w:r>
        <w:t>非物质文化遗产</w:t>
      </w:r>
      <w:r>
        <w:rPr>
          <w:rFonts w:hint="eastAsia"/>
        </w:rPr>
        <w:t>保护</w:t>
      </w:r>
      <w:r>
        <w:t>项目</w:t>
      </w:r>
      <w:r>
        <w:rPr>
          <w:rFonts w:hint="eastAsia"/>
        </w:rPr>
        <w:t>8</w:t>
      </w:r>
      <w:r>
        <w:t>个类别，</w:t>
      </w:r>
      <w:r>
        <w:rPr>
          <w:rFonts w:hint="eastAsia"/>
        </w:rPr>
        <w:t>58</w:t>
      </w:r>
      <w:r>
        <w:t>项，其中国家级1项，</w:t>
      </w:r>
      <w:r>
        <w:rPr>
          <w:rFonts w:hint="eastAsia"/>
        </w:rPr>
        <w:t>省级1项，</w:t>
      </w:r>
      <w:r>
        <w:t>市级2</w:t>
      </w:r>
      <w:r>
        <w:rPr>
          <w:rFonts w:hint="eastAsia"/>
        </w:rPr>
        <w:t>1</w:t>
      </w:r>
      <w:r>
        <w:t>项，县级</w:t>
      </w:r>
      <w:r>
        <w:rPr>
          <w:rFonts w:hint="eastAsia"/>
        </w:rPr>
        <w:t>35</w:t>
      </w:r>
      <w:r>
        <w:t>项。</w:t>
      </w:r>
    </w:p>
    <w:p>
      <w:pPr>
        <w:pStyle w:val="5"/>
      </w:pPr>
      <w:bookmarkStart w:id="9" w:name="_Toc160010012"/>
      <w:bookmarkStart w:id="10" w:name="_Toc184023309"/>
      <w:r>
        <w:rPr>
          <w:rFonts w:hint="eastAsia"/>
        </w:rPr>
        <w:t>社会经济</w:t>
      </w:r>
      <w:bookmarkEnd w:id="9"/>
      <w:bookmarkEnd w:id="10"/>
    </w:p>
    <w:p>
      <w:pPr>
        <w:pStyle w:val="6"/>
      </w:pPr>
      <w:r>
        <w:rPr>
          <w:rFonts w:hint="eastAsia"/>
        </w:rPr>
        <w:t>人口概况</w:t>
      </w:r>
    </w:p>
    <w:p>
      <w:pPr>
        <w:pStyle w:val="4"/>
      </w:pPr>
      <w:r>
        <w:t>2022年，澄江市总人口为18.44万人，其中城镇人口9.67万人，农村人口8.77万人。其中，抚仙湖</w:t>
      </w:r>
      <w:r>
        <w:rPr>
          <w:rFonts w:hint="eastAsia"/>
        </w:rPr>
        <w:t>片区</w:t>
      </w:r>
      <w:r>
        <w:t>总人口为17.07万人，城镇人口9.46万人，农村人口7.62万人</w:t>
      </w:r>
      <w:r>
        <w:rPr>
          <w:rFonts w:hint="eastAsia"/>
        </w:rPr>
        <w:t>，城镇化率5</w:t>
      </w:r>
      <w:r>
        <w:t>5%</w:t>
      </w:r>
      <w:r>
        <w:rPr>
          <w:rFonts w:hint="eastAsia"/>
        </w:rPr>
        <w:t>；南盘江片区</w:t>
      </w:r>
      <w:r>
        <w:t>总人口为1.27万人，城镇人口0.21万人，农村人口1.06万人</w:t>
      </w:r>
      <w:r>
        <w:rPr>
          <w:rFonts w:hint="eastAsia"/>
        </w:rPr>
        <w:t>，城镇化率1</w:t>
      </w:r>
      <w:r>
        <w:t>7%；</w:t>
      </w:r>
      <w:r>
        <w:rPr>
          <w:rFonts w:hint="eastAsia"/>
        </w:rPr>
        <w:t>提古片区</w:t>
      </w:r>
      <w:r>
        <w:t>总人口为0.10万人，城镇人口0.00万人，农村人口0.10万人。</w:t>
      </w:r>
    </w:p>
    <w:p>
      <w:pPr>
        <w:pStyle w:val="6"/>
      </w:pPr>
      <w:r>
        <w:rPr>
          <w:rFonts w:hint="eastAsia"/>
        </w:rPr>
        <w:t>经济概况</w:t>
      </w:r>
    </w:p>
    <w:p>
      <w:pPr>
        <w:pStyle w:val="4"/>
      </w:pPr>
      <w:r>
        <w:rPr>
          <w:rFonts w:hint="eastAsia"/>
        </w:rPr>
        <w:t>2022年，全市完成现价生产总值（GDP）162.2亿元。分产业看：第一产业增加值15.1亿元，增长4.7%；第二产业（工业、建筑业）增加值32.0亿元，增长4.0%；第三产业增加值115.1亿元，增长3.2%。三次产业结构比为9.3：19.7：71.0。全市人均生产总值达到92886元。民营经济实现增加值104.7亿元，占全市生产总值比重为64.4%。全市一般公共预算收入完成52581万元，一般公共预算支出完成220098万元。</w:t>
      </w:r>
    </w:p>
    <w:p>
      <w:pPr>
        <w:pStyle w:val="5"/>
      </w:pPr>
      <w:bookmarkStart w:id="11" w:name="_Toc160010013"/>
      <w:bookmarkStart w:id="12" w:name="_Toc184023310"/>
      <w:r>
        <w:rPr>
          <w:rFonts w:hint="eastAsia"/>
        </w:rPr>
        <w:t>河流水系</w:t>
      </w:r>
      <w:bookmarkEnd w:id="11"/>
      <w:bookmarkEnd w:id="12"/>
    </w:p>
    <w:p>
      <w:pPr>
        <w:pStyle w:val="4"/>
      </w:pPr>
      <w:r>
        <w:t>澄江市境内湖泊、河水、潭泉较多，按流域可分为抚仙湖流域、滇池流域和南盘江流域，主要湖泊为抚仙湖，主要河流有南盘江、梁王河、东大河等。</w:t>
      </w:r>
    </w:p>
    <w:p>
      <w:pPr>
        <w:pStyle w:val="4"/>
        <w:ind w:firstLine="498"/>
      </w:pPr>
      <w:r>
        <w:rPr>
          <w:b/>
        </w:rPr>
        <w:t>抚仙湖：</w:t>
      </w:r>
      <w:r>
        <w:t>抚仙湖流域位于云南省中部，地处金沙江与南盘江两大流域的分水岭地带。大约在320万年前，由于地堑式断陷而形成古抚仙湖，湖面比现在高出100～140m。在公元前12000年后，湖周山体持续抬升，湖盆深陷，湖水不断加深，形成现在的深水湖泊，星云湖随之分离成为抚仙湖上游湖泊。抚仙湖是我国最大的深水型淡水湖泊，流域北靠滇池、阳宗海，南与星云湖一河相连，西邻南盘江支流曲江，东望南盘江干流。抚仙湖为第三纪高原断陷湖泊，属珠江流域南盘江水系，流域面积</w:t>
      </w:r>
      <w:r>
        <w:rPr>
          <w:rFonts w:hint="eastAsia"/>
        </w:rPr>
        <w:t>669.22</w:t>
      </w:r>
      <w:r>
        <w:t>km</w:t>
      </w:r>
      <w:r>
        <w:rPr>
          <w:vertAlign w:val="superscript"/>
        </w:rPr>
        <w:t>2</w:t>
      </w:r>
      <w:r>
        <w:t>。湖泊呈南北向葫芦状，南北长31.4km，东西最大宽度11.8km，最窄处仅3.2km，湖岸线长100.8km。法定最高水位线为1723.35m，对应湖泊水面面积216.58km</w:t>
      </w:r>
      <w:r>
        <w:rPr>
          <w:vertAlign w:val="superscript"/>
        </w:rPr>
        <w:t>2</w:t>
      </w:r>
      <w:r>
        <w:t>，最大水深158.9m，平均水深95.2m，总蓄水量206.2亿m</w:t>
      </w:r>
      <w:r>
        <w:rPr>
          <w:vertAlign w:val="superscript"/>
        </w:rPr>
        <w:t>3</w:t>
      </w:r>
      <w:r>
        <w:t>。流域内入湖河道（含沟、渠）103条，呈向心状发育，其中主要入湖河道22条，最大的两条入湖河流东大河、梁王河由北向南穿越澄江坝后注入抚仙湖。</w:t>
      </w:r>
    </w:p>
    <w:p>
      <w:pPr>
        <w:pStyle w:val="4"/>
        <w:ind w:firstLine="498"/>
      </w:pPr>
      <w:r>
        <w:rPr>
          <w:b/>
        </w:rPr>
        <w:t>南盘江（过境河流）：</w:t>
      </w:r>
      <w:r>
        <w:t>南盘江为珠江干流上游，发源于</w:t>
      </w:r>
      <w:r>
        <w:rPr>
          <w:rFonts w:hint="eastAsia"/>
        </w:rPr>
        <w:t>曲靖市沾益区马雄山南麓</w:t>
      </w:r>
      <w:r>
        <w:t>，由九村乡草铺村进入县内，沿澄江市和宜良县边界而过，至海口河三岔口出县境流入宜良和华宁两县的边界，呈东北至西南流向，流程约25km。多年平均流量为68.7m</w:t>
      </w:r>
      <w:r>
        <w:rPr>
          <w:vertAlign w:val="superscript"/>
        </w:rPr>
        <w:t>3</w:t>
      </w:r>
      <w:r>
        <w:t>/s，最大流量1050m</w:t>
      </w:r>
      <w:r>
        <w:rPr>
          <w:vertAlign w:val="superscript"/>
        </w:rPr>
        <w:t>3</w:t>
      </w:r>
      <w:r>
        <w:t>/s，特枯年份出现断流现象，汛枯水量变幅特别大。</w:t>
      </w:r>
    </w:p>
    <w:p>
      <w:pPr>
        <w:pStyle w:val="4"/>
        <w:ind w:firstLine="498"/>
      </w:pPr>
      <w:r>
        <w:rPr>
          <w:b/>
        </w:rPr>
        <w:t>梁王河：</w:t>
      </w:r>
      <w:r>
        <w:t>发源于境内梁王山山脉南面，途径梁王冲流入梁王河水库，然后向南汇入抚仙湖。河道全长20.3km，径流面积为100km</w:t>
      </w:r>
      <w:r>
        <w:rPr>
          <w:vertAlign w:val="superscript"/>
        </w:rPr>
        <w:t>2</w:t>
      </w:r>
      <w:r>
        <w:t>。在坝区边缘已建梁王河水库，水库径流面积为30.6km</w:t>
      </w:r>
      <w:r>
        <w:rPr>
          <w:vertAlign w:val="superscript"/>
        </w:rPr>
        <w:t>2</w:t>
      </w:r>
      <w:r>
        <w:t>，总库容1100万m</w:t>
      </w:r>
      <w:r>
        <w:rPr>
          <w:vertAlign w:val="superscript"/>
        </w:rPr>
        <w:t>3</w:t>
      </w:r>
      <w:r>
        <w:t>，为澄江市饮用水水源地，水库下游河道全长8.2km。</w:t>
      </w:r>
    </w:p>
    <w:p>
      <w:pPr>
        <w:pStyle w:val="4"/>
        <w:ind w:firstLine="498"/>
      </w:pPr>
      <w:r>
        <w:rPr>
          <w:b/>
        </w:rPr>
        <w:t>东大河：</w:t>
      </w:r>
      <w:r>
        <w:t>发源于梁王山山脉东南面及东北面的尖峰山，经东大河水库、旧城、右所，最终汇入抚仙湖。河道全长21.9km，径流面积64km</w:t>
      </w:r>
      <w:r>
        <w:rPr>
          <w:vertAlign w:val="superscript"/>
        </w:rPr>
        <w:t>2</w:t>
      </w:r>
      <w:r>
        <w:t>。东大河水库控制集水面积36km</w:t>
      </w:r>
      <w:r>
        <w:rPr>
          <w:vertAlign w:val="superscript"/>
        </w:rPr>
        <w:t>2</w:t>
      </w:r>
      <w:r>
        <w:t>，总库容1208万m</w:t>
      </w:r>
      <w:r>
        <w:rPr>
          <w:vertAlign w:val="superscript"/>
        </w:rPr>
        <w:t>3</w:t>
      </w:r>
      <w:r>
        <w:t>，为澄江市饮用水水源地，水库下游河道全长12km。</w:t>
      </w:r>
    </w:p>
    <w:p>
      <w:pPr>
        <w:pStyle w:val="4"/>
        <w:ind w:firstLine="498"/>
      </w:pPr>
      <w:r>
        <w:rPr>
          <w:rFonts w:hint="eastAsia"/>
          <w:b/>
          <w:bCs/>
        </w:rPr>
        <w:t>山冲河：</w:t>
      </w:r>
      <w:r>
        <w:rPr>
          <w:rFonts w:hint="eastAsia"/>
        </w:rPr>
        <w:t>山冲河发源于澄江市龙街街道办事处老虎山一带，源地高程</w:t>
      </w:r>
      <w:r>
        <w:t>2629m</w:t>
      </w:r>
      <w:r>
        <w:rPr>
          <w:rFonts w:hint="eastAsia"/>
        </w:rPr>
        <w:t xml:space="preserve">。河流由西北向南流，经山冲河水库后进入澄江坝区，于中村附近注入抚仙湖。河流全长 </w:t>
      </w:r>
      <w:r>
        <w:t>8.90km</w:t>
      </w:r>
      <w:r>
        <w:rPr>
          <w:rFonts w:hint="eastAsia"/>
        </w:rPr>
        <w:t>，河道平均比降</w:t>
      </w:r>
      <w:r>
        <w:t>50.2‰</w:t>
      </w:r>
      <w:r>
        <w:rPr>
          <w:rFonts w:hint="eastAsia"/>
        </w:rPr>
        <w:t>，面积</w:t>
      </w:r>
      <w:r>
        <w:t>16.4km</w:t>
      </w:r>
      <w:r>
        <w:rPr>
          <w:vertAlign w:val="superscript"/>
        </w:rPr>
        <w:t>2</w:t>
      </w:r>
      <w:r>
        <w:rPr>
          <w:rFonts w:hint="eastAsia"/>
        </w:rPr>
        <w:t>。</w:t>
      </w:r>
      <w:r>
        <w:t xml:space="preserve"> </w:t>
      </w:r>
    </w:p>
    <w:p>
      <w:pPr>
        <w:pStyle w:val="4"/>
        <w:ind w:firstLine="498"/>
      </w:pPr>
      <w:r>
        <w:rPr>
          <w:rFonts w:hint="eastAsia"/>
          <w:b/>
          <w:bCs/>
        </w:rPr>
        <w:t>沙亥河：</w:t>
      </w:r>
      <w:r>
        <w:rPr>
          <w:rFonts w:hint="eastAsia"/>
        </w:rPr>
        <w:t>沙亥河发源于澄江市龙街街道办事处白云寺一带山麓，源地高程</w:t>
      </w:r>
      <w:r>
        <w:t>2287m</w:t>
      </w:r>
      <w:r>
        <w:rPr>
          <w:rFonts w:hint="eastAsia"/>
        </w:rPr>
        <w:t>。河流由西北向南流，经左所水库后进入澄江坝区，于广南营附近注入抚仙湖。河流全长</w:t>
      </w:r>
      <w:r>
        <w:t>6.70km</w:t>
      </w:r>
      <w:r>
        <w:rPr>
          <w:rFonts w:hint="eastAsia"/>
        </w:rPr>
        <w:t>，河道平均比降</w:t>
      </w:r>
      <w:r>
        <w:t>32.6‰</w:t>
      </w:r>
      <w:r>
        <w:rPr>
          <w:rFonts w:hint="eastAsia"/>
        </w:rPr>
        <w:t>，面积</w:t>
      </w:r>
      <w:r>
        <w:t>12.1km</w:t>
      </w:r>
      <w:r>
        <w:rPr>
          <w:vertAlign w:val="superscript"/>
        </w:rPr>
        <w:t>2</w:t>
      </w:r>
      <w:r>
        <w:rPr>
          <w:rFonts w:hint="eastAsia"/>
        </w:rPr>
        <w:t xml:space="preserve">。 </w:t>
      </w:r>
      <w:r>
        <w:t xml:space="preserve"> </w:t>
      </w:r>
    </w:p>
    <w:p>
      <w:pPr>
        <w:pStyle w:val="4"/>
        <w:ind w:firstLine="498"/>
      </w:pPr>
      <w:r>
        <w:rPr>
          <w:rFonts w:hint="eastAsia"/>
          <w:b/>
          <w:bCs/>
        </w:rPr>
        <w:t>抚澄河：</w:t>
      </w:r>
      <w:r>
        <w:rPr>
          <w:rFonts w:hint="eastAsia"/>
        </w:rPr>
        <w:t>抚澄河发源于澄江市右所镇牛尾巴山一带，源地高程</w:t>
      </w:r>
      <w:r>
        <w:t>2051m</w:t>
      </w:r>
      <w:r>
        <w:rPr>
          <w:rFonts w:hint="eastAsia"/>
        </w:rPr>
        <w:t>。河流由东北向南流，经抚澄河水库后进入澄江坝区，于小卡村附近注入抚仙湖。河流全长</w:t>
      </w:r>
      <w:r>
        <w:t>11.4km</w:t>
      </w:r>
      <w:r>
        <w:rPr>
          <w:rFonts w:hint="eastAsia"/>
        </w:rPr>
        <w:t>，河道平均比降</w:t>
      </w:r>
      <w:r>
        <w:t>11.9‰</w:t>
      </w:r>
      <w:r>
        <w:rPr>
          <w:rFonts w:hint="eastAsia"/>
        </w:rPr>
        <w:t>，面积</w:t>
      </w:r>
      <w:r>
        <w:t>18.2km</w:t>
      </w:r>
      <w:r>
        <w:rPr>
          <w:vertAlign w:val="superscript"/>
        </w:rPr>
        <w:t>2</w:t>
      </w:r>
      <w:r>
        <w:rPr>
          <w:rFonts w:hint="eastAsia"/>
        </w:rPr>
        <w:t>。</w:t>
      </w:r>
    </w:p>
    <w:p>
      <w:pPr>
        <w:pStyle w:val="4"/>
        <w:ind w:firstLine="498"/>
      </w:pPr>
      <w:r>
        <w:rPr>
          <w:rFonts w:hint="eastAsia"/>
          <w:b/>
          <w:bCs/>
        </w:rPr>
        <w:t>路居东大河：</w:t>
      </w:r>
      <w:r>
        <w:rPr>
          <w:rFonts w:hint="eastAsia"/>
        </w:rPr>
        <w:t>路居东大河发源于江川县磨豆山一带，源地高程</w:t>
      </w:r>
      <w:r>
        <w:t>2663m</w:t>
      </w:r>
      <w:r>
        <w:rPr>
          <w:rFonts w:hint="eastAsia"/>
        </w:rPr>
        <w:t>。河流由东南向西北流，经路居镇、小下村等地后，于下坝村附近注入抚仙湖。河流全长</w:t>
      </w:r>
      <w:r>
        <w:t>5.50km</w:t>
      </w:r>
      <w:r>
        <w:rPr>
          <w:rFonts w:hint="eastAsia"/>
        </w:rPr>
        <w:t>，河道平均比降</w:t>
      </w:r>
      <w:r>
        <w:t>45.3‰</w:t>
      </w:r>
      <w:r>
        <w:rPr>
          <w:rFonts w:hint="eastAsia"/>
        </w:rPr>
        <w:t>，面积</w:t>
      </w:r>
      <w:r>
        <w:t>15.2km</w:t>
      </w:r>
      <w:r>
        <w:rPr>
          <w:vertAlign w:val="superscript"/>
        </w:rPr>
        <w:t>2</w:t>
      </w:r>
      <w:r>
        <w:rPr>
          <w:rFonts w:hint="eastAsia"/>
        </w:rPr>
        <w:t>。</w:t>
      </w:r>
      <w:r>
        <w:t xml:space="preserve"> </w:t>
      </w:r>
    </w:p>
    <w:p>
      <w:pPr>
        <w:pStyle w:val="4"/>
        <w:ind w:firstLine="498"/>
      </w:pPr>
      <w:r>
        <w:rPr>
          <w:rFonts w:hint="eastAsia"/>
          <w:b/>
          <w:bCs/>
        </w:rPr>
        <w:t>海口河</w:t>
      </w:r>
      <w:r>
        <w:rPr>
          <w:rFonts w:hint="eastAsia"/>
        </w:rPr>
        <w:t>：海口河是抚仙湖历史上唯一的明河出水口，从海口村起东流约</w:t>
      </w:r>
      <w:r>
        <w:t>14.5km</w:t>
      </w:r>
      <w:r>
        <w:rPr>
          <w:rFonts w:hint="eastAsia"/>
        </w:rPr>
        <w:t>汇入南盘江，径流面积</w:t>
      </w:r>
      <w:r>
        <w:t>33.7km</w:t>
      </w:r>
      <w:r>
        <w:rPr>
          <w:vertAlign w:val="superscript"/>
        </w:rPr>
        <w:t>2</w:t>
      </w:r>
      <w:r>
        <w:rPr>
          <w:rFonts w:hint="eastAsia"/>
        </w:rPr>
        <w:t>。</w:t>
      </w:r>
    </w:p>
    <w:p>
      <w:pPr>
        <w:pStyle w:val="4"/>
        <w:ind w:firstLine="498"/>
      </w:pPr>
      <w:r>
        <w:rPr>
          <w:rFonts w:hint="eastAsia"/>
          <w:b/>
          <w:bCs/>
        </w:rPr>
        <w:t>玉带河</w:t>
      </w:r>
      <w:r>
        <w:rPr>
          <w:rFonts w:hint="eastAsia"/>
        </w:rPr>
        <w:t>：也称隔河，是抚仙湖与星云湖的连接水道，原星云湖水经隔河流入抚仙湖。出流改道实施后，隔河流向改变，成为抚仙湖的主要出湖河流之一，即抚仙湖水经隔河流入星云湖。</w:t>
      </w:r>
    </w:p>
    <w:p>
      <w:pPr>
        <w:pStyle w:val="4"/>
        <w:ind w:firstLine="498"/>
      </w:pPr>
      <w:r>
        <w:rPr>
          <w:rFonts w:hint="eastAsia"/>
          <w:b/>
          <w:bCs/>
        </w:rPr>
        <w:t>七江河：</w:t>
      </w:r>
      <w:r>
        <w:rPr>
          <w:rFonts w:hint="eastAsia"/>
        </w:rPr>
        <w:t>属于南盘江支流，位于九村镇，经鸡脖子水库流出，河流由西向东汇入南盘江，河流全长20.5</w:t>
      </w:r>
      <w:r>
        <w:t>km</w:t>
      </w:r>
      <w:r>
        <w:rPr>
          <w:rFonts w:hint="eastAsia"/>
        </w:rPr>
        <w:t>，主河道平均比降38.8</w:t>
      </w:r>
      <w:r>
        <w:t>‰</w:t>
      </w:r>
      <w:r>
        <w:rPr>
          <w:rFonts w:hint="eastAsia"/>
        </w:rPr>
        <w:t>，径流面积76.8</w:t>
      </w:r>
      <w:r>
        <w:t>km</w:t>
      </w:r>
      <w:r>
        <w:rPr>
          <w:vertAlign w:val="superscript"/>
        </w:rPr>
        <w:t>2</w:t>
      </w:r>
      <w:r>
        <w:rPr>
          <w:rFonts w:hint="eastAsia"/>
        </w:rPr>
        <w:t>。</w:t>
      </w:r>
      <w:r>
        <w:t xml:space="preserve"> </w:t>
      </w:r>
    </w:p>
    <w:p>
      <w:pPr>
        <w:pStyle w:val="4"/>
        <w:spacing w:line="240" w:lineRule="auto"/>
        <w:ind w:firstLine="0" w:firstLineChars="0"/>
      </w:pPr>
      <w:r>
        <w:drawing>
          <wp:inline distT="0" distB="0" distL="0" distR="0">
            <wp:extent cx="5759450" cy="8141335"/>
            <wp:effectExtent l="0" t="0" r="0" b="0"/>
            <wp:docPr id="3" name="图片 3" descr="D:\WeChat Files\WeChat Files\wxid_ynnw1nvw93ug21\FileStorage\Temp\5505884e4beeb38657d304019965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WeChat Files\WeChat Files\wxid_ynnw1nvw93ug21\FileStorage\Temp\5505884e4beeb38657d3040199658b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9450" cy="8141504"/>
                    </a:xfrm>
                    <a:prstGeom prst="rect">
                      <a:avLst/>
                    </a:prstGeom>
                    <a:noFill/>
                    <a:ln>
                      <a:noFill/>
                    </a:ln>
                  </pic:spPr>
                </pic:pic>
              </a:graphicData>
            </a:graphic>
          </wp:inline>
        </w:drawing>
      </w:r>
    </w:p>
    <w:p>
      <w:pPr>
        <w:pStyle w:val="4"/>
        <w:jc w:val="center"/>
      </w:pPr>
      <w:r>
        <w:rPr>
          <w:rFonts w:hint="eastAsia"/>
        </w:rPr>
        <w:t>图</w:t>
      </w:r>
      <w:r>
        <w:t xml:space="preserve"> </w:t>
      </w:r>
      <w:r>
        <w:fldChar w:fldCharType="begin"/>
      </w:r>
      <w:r>
        <w:instrText xml:space="preserve"> STYLEREF 2 \s </w:instrText>
      </w:r>
      <w:r>
        <w:fldChar w:fldCharType="separate"/>
      </w:r>
      <w:r>
        <w:t>1.3</w:t>
      </w:r>
      <w:r>
        <w:fldChar w:fldCharType="end"/>
      </w:r>
      <w:r>
        <w:t>-</w:t>
      </w:r>
      <w:r>
        <w:fldChar w:fldCharType="begin"/>
      </w:r>
      <w:r>
        <w:instrText xml:space="preserve"> SEQ </w:instrText>
      </w:r>
      <w:r>
        <w:rPr>
          <w:rFonts w:hint="eastAsia"/>
        </w:rPr>
        <w:instrText xml:space="preserve">图</w:instrText>
      </w:r>
      <w:r>
        <w:instrText xml:space="preserve"> \* ARABIC \s 2 </w:instrText>
      </w:r>
      <w:r>
        <w:fldChar w:fldCharType="separate"/>
      </w:r>
      <w:r>
        <w:t>1</w:t>
      </w:r>
      <w:r>
        <w:fldChar w:fldCharType="end"/>
      </w:r>
      <w:r>
        <w:t xml:space="preserve"> </w:t>
      </w:r>
      <w:r>
        <w:rPr>
          <w:rFonts w:hint="eastAsia"/>
        </w:rPr>
        <w:t>澄江市水系示意图</w:t>
      </w:r>
    </w:p>
    <w:p>
      <w:pPr>
        <w:pStyle w:val="3"/>
        <w:ind w:left="656" w:hanging="656"/>
        <w:rPr>
          <w:rFonts w:ascii="Times New Roman" w:hAnsi="Times New Roman"/>
          <w:color w:val="000000" w:themeColor="text1"/>
          <w14:textFill>
            <w14:solidFill>
              <w14:schemeClr w14:val="tx1"/>
            </w14:solidFill>
          </w14:textFill>
        </w:rPr>
      </w:pPr>
      <w:bookmarkStart w:id="13" w:name="_Toc132833179"/>
      <w:bookmarkStart w:id="14" w:name="_Toc131672508"/>
      <w:bookmarkStart w:id="15" w:name="_Toc184023311"/>
      <w:r>
        <w:rPr>
          <w:rFonts w:ascii="Times New Roman" w:hAnsi="Times New Roman"/>
          <w:color w:val="000000" w:themeColor="text1"/>
          <w14:textFill>
            <w14:solidFill>
              <w14:schemeClr w14:val="tx1"/>
            </w14:solidFill>
          </w14:textFill>
        </w:rPr>
        <w:t>总体规划</w:t>
      </w:r>
      <w:bookmarkEnd w:id="13"/>
      <w:bookmarkEnd w:id="14"/>
      <w:bookmarkEnd w:id="15"/>
    </w:p>
    <w:p>
      <w:pPr>
        <w:pStyle w:val="5"/>
      </w:pPr>
      <w:bookmarkStart w:id="16" w:name="_Toc184023312"/>
      <w:bookmarkStart w:id="17" w:name="_Toc131672509"/>
      <w:bookmarkStart w:id="18" w:name="_Toc132833180"/>
      <w:r>
        <w:t>指导思想</w:t>
      </w:r>
      <w:bookmarkEnd w:id="16"/>
      <w:bookmarkEnd w:id="17"/>
      <w:bookmarkEnd w:id="18"/>
    </w:p>
    <w:p>
      <w:pPr>
        <w:pStyle w:val="4"/>
      </w:pPr>
      <w:r>
        <w:t>坚持以习近平新时代中国特色社会主义思想为指导，深入贯彻习近平总书记关于治水工作的重要指示精神，全面贯彻党的二十大和二十届一中、二中</w:t>
      </w:r>
      <w:r>
        <w:rPr>
          <w:rFonts w:hint="eastAsia"/>
        </w:rPr>
        <w:t>、三中</w:t>
      </w:r>
      <w:r>
        <w:t>全会精神，立足新发展阶段、贯彻新发展理念、融入新发展格局，正确认识九大高原湖泊高水平保护是贯彻落实习近平生态文明思想和习近平总书记考察云南重要讲话精神的政治要求，是云南省争当生态文明建设排头兵的底线责任。坚持“节水优先、空间均衡、系统治理、两手发力”的治水思路，以澄江市生态绿色高质量发展对水资源的实际需求，依托抚仙湖优势的生态环境资源，立足泛亚铁路节点、滇中城市经济圈、三湖生态城市群等区位优势，围绕全国生态环境保护大会、水网建设、“3815”战略政策支撑，补齐水资源保护、水资源利用、水生态环境保护、水资源管理短板及弱项，抓好澄江市江河湖泊水资源保护及利用，多措并举夯实治河湖管河湖基础，让澄江市成为践行“绿水青山就是金山银山”的实践基地。</w:t>
      </w:r>
    </w:p>
    <w:p>
      <w:pPr>
        <w:pStyle w:val="5"/>
      </w:pPr>
      <w:bookmarkStart w:id="19" w:name="_Toc184023313"/>
      <w:r>
        <w:t>基本原则</w:t>
      </w:r>
      <w:bookmarkEnd w:id="19"/>
    </w:p>
    <w:p>
      <w:pPr>
        <w:pStyle w:val="4"/>
      </w:pPr>
      <w:r>
        <w:t>（1）坚持以人为本、人水和谐绿色发展</w:t>
      </w:r>
    </w:p>
    <w:p>
      <w:pPr>
        <w:pStyle w:val="4"/>
      </w:pPr>
      <w:r>
        <w:t>坚持以人为本，从提高人民群众生活水平和生活质量的实际要求出发，着力解决人民群众最关心最直接最现实的水资源问题，努力满足人民群众对供水安全和生态环境用水等方面的需求，保障饮水安全、供水安全和生态安全；坚持人水和谐，尊重自然规律和经济社会发展规律，处理好水资源开发与保护关系，水资源开发利用要与经济社会发展的目标、规模、水平和速度相适应，经济社会发展要与水资源承载能力相适应，以水定需、量水而行、因水制宜。</w:t>
      </w:r>
    </w:p>
    <w:p>
      <w:pPr>
        <w:pStyle w:val="4"/>
      </w:pPr>
      <w:r>
        <w:t>（2）坚持全面规划、统筹兼顾</w:t>
      </w:r>
    </w:p>
    <w:p>
      <w:pPr>
        <w:pStyle w:val="4"/>
      </w:pPr>
      <w:r>
        <w:t>坚持全面规划、统筹兼顾。牢固树立山、水、林、田、湖、草</w:t>
      </w:r>
      <w:r>
        <w:rPr>
          <w:rFonts w:hint="eastAsia"/>
        </w:rPr>
        <w:t>、沙</w:t>
      </w:r>
      <w:r>
        <w:t>是一个生命共同体的系统思想，根据经济社会发展需要和水资源开发利用现状，对水资源的节约、保护、配置、开发、利用、管理等做出总体安排。统筹流域区域、上下游、左右岸、地上地下、城市乡村、山区坝区、工程措施与非工程措施，协调解决水资源、水环境、水生态问题，实现经济、社会、生态效益的有机统一，促进经济社会与资源环境和谐发展。</w:t>
      </w:r>
    </w:p>
    <w:p>
      <w:pPr>
        <w:pStyle w:val="4"/>
      </w:pPr>
      <w:r>
        <w:t>（3）坚持节水优先，促进水资源高效利用</w:t>
      </w:r>
    </w:p>
    <w:p>
      <w:pPr>
        <w:pStyle w:val="4"/>
      </w:pPr>
      <w:r>
        <w:t>在保障经济社会发展和生态环境用水需求的前提下，优化用水结构，抑制用水的过快增长，保证用水总量不突破“红线”控制指标。坚持并严格落实节水优先方针，大力宣传节水和洁水观念，加快观念的变革和意识的转变，加快从供水管理向需水管理转变，加快构建效率优先、配置优化的差别化流域区域水源建设模式，加快构建节水管理的良治体制，建立健全节水激励机制和市场准入标准，强化节水约束性指标考核，大力推进农业节水、工业节水、生活节水，加快推进节水型社会建设。通过水资源合理配置，坚持节水治污优先，促进水资源高效利用，保障水资源可持续利用。</w:t>
      </w:r>
    </w:p>
    <w:p>
      <w:pPr>
        <w:pStyle w:val="4"/>
      </w:pPr>
      <w:r>
        <w:t>（4）坚持因地制宜、突出重点</w:t>
      </w:r>
    </w:p>
    <w:p>
      <w:pPr>
        <w:pStyle w:val="4"/>
      </w:pPr>
      <w:r>
        <w:t>根据澄江市自然禀赋和经济社会发展条件，重点攻坚和协同治理，正确处理湖泊高水平保护和流域高质量发展之间的关系，确定适合实际的水资源开发利用与保护模式及对策。同时，要充分考虑需水增长及财力状况，提出各类用水的优先次序，确定水资源节约、保护、配置、开发、利用的重点。</w:t>
      </w:r>
    </w:p>
    <w:p>
      <w:pPr>
        <w:numPr>
          <w:ilvl w:val="1"/>
          <w:numId w:val="1"/>
        </w:numPr>
        <w:spacing w:before="240" w:line="360" w:lineRule="auto"/>
        <w:ind w:left="578" w:hanging="578" w:firstLineChars="0"/>
        <w:jc w:val="left"/>
        <w:outlineLvl w:val="1"/>
        <w:rPr>
          <w:rFonts w:eastAsia="黑体"/>
          <w:spacing w:val="0"/>
          <w:sz w:val="30"/>
          <w:szCs w:val="32"/>
        </w:rPr>
      </w:pPr>
      <w:bookmarkStart w:id="20" w:name="_Toc184023314"/>
      <w:r>
        <w:rPr>
          <w:rFonts w:eastAsia="黑体"/>
          <w:spacing w:val="0"/>
          <w:sz w:val="30"/>
          <w:szCs w:val="32"/>
        </w:rPr>
        <w:t>规划依据</w:t>
      </w:r>
      <w:bookmarkEnd w:id="20"/>
    </w:p>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法律法规</w:t>
      </w:r>
    </w:p>
    <w:p>
      <w:r>
        <w:t>（1）《中华人民共和国水法》（2016年修订）；</w:t>
      </w:r>
    </w:p>
    <w:p>
      <w:r>
        <w:t>（2）《中华人民共和国环境保护法》（2014年修订）；</w:t>
      </w:r>
    </w:p>
    <w:p>
      <w:r>
        <w:t>（3）《中华人民共和国水污染防治法》（2017年修订）；</w:t>
      </w:r>
    </w:p>
    <w:p>
      <w:r>
        <w:t>（4）《中华人民共和国防洪法》（2016年修正）；</w:t>
      </w:r>
    </w:p>
    <w:p>
      <w:r>
        <w:t>（5）《中华人民共和国水土保持法》（2010年修订）；</w:t>
      </w:r>
    </w:p>
    <w:p>
      <w:r>
        <w:t>（6）《中华人民共和国野生动物保护法》（2018年10月修正）；</w:t>
      </w:r>
    </w:p>
    <w:p>
      <w:r>
        <w:t>（7）《中华人民共和国渔业法》（2013年12月修正）；</w:t>
      </w:r>
    </w:p>
    <w:p>
      <w:r>
        <w:t>（8）《中华人民共和国自然保护区条例》（2017年10月修正）；</w:t>
      </w:r>
    </w:p>
    <w:p>
      <w:r>
        <w:t>（9）《中华人民共和国风景名胜区条例》（2016年2月修改）；</w:t>
      </w:r>
    </w:p>
    <w:p>
      <w:r>
        <w:t>（10）《中华人民共和国环境影响评价法》（2018年修正）；</w:t>
      </w:r>
    </w:p>
    <w:p>
      <w:r>
        <w:t>（11）《水资源调度管理办法》（2021年10月20日印发）；</w:t>
      </w:r>
    </w:p>
    <w:p>
      <w:r>
        <w:t>（12）《中华人民共和国水文条例》（2017年3月次修订）；</w:t>
      </w:r>
    </w:p>
    <w:p>
      <w:r>
        <w:rPr>
          <w:rFonts w:hint="eastAsia"/>
        </w:rPr>
        <w:t>（</w:t>
      </w:r>
      <w:r>
        <w:t>13</w:t>
      </w:r>
      <w:r>
        <w:rPr>
          <w:rFonts w:hint="eastAsia"/>
        </w:rPr>
        <w:t>）《地下水管理条例》（国务院令第748号））；</w:t>
      </w:r>
    </w:p>
    <w:p>
      <w:pPr>
        <w:rPr>
          <w:szCs w:val="32"/>
        </w:rPr>
      </w:pPr>
      <w:r>
        <w:rPr>
          <w:rFonts w:hint="eastAsia"/>
          <w:szCs w:val="32"/>
        </w:rPr>
        <w:t>（</w:t>
      </w:r>
      <w:r>
        <w:rPr>
          <w:szCs w:val="32"/>
        </w:rPr>
        <w:t>14</w:t>
      </w:r>
      <w:r>
        <w:rPr>
          <w:rFonts w:hint="eastAsia"/>
          <w:szCs w:val="32"/>
        </w:rPr>
        <w:t>）《取水许可和水资源费征收管理条例》（</w:t>
      </w:r>
      <w:r>
        <w:rPr>
          <w:szCs w:val="32"/>
        </w:rPr>
        <w:t>2017</w:t>
      </w:r>
      <w:r>
        <w:rPr>
          <w:rFonts w:hint="eastAsia"/>
          <w:szCs w:val="32"/>
        </w:rPr>
        <w:t>年</w:t>
      </w:r>
      <w:r>
        <w:rPr>
          <w:szCs w:val="32"/>
        </w:rPr>
        <w:t>3</w:t>
      </w:r>
      <w:r>
        <w:rPr>
          <w:rFonts w:hint="eastAsia"/>
          <w:szCs w:val="32"/>
        </w:rPr>
        <w:t>月修订）；</w:t>
      </w:r>
    </w:p>
    <w:p>
      <w:pPr>
        <w:rPr>
          <w:szCs w:val="32"/>
        </w:rPr>
      </w:pPr>
      <w:r>
        <w:rPr>
          <w:rFonts w:hint="eastAsia"/>
          <w:szCs w:val="32"/>
        </w:rPr>
        <w:t>（15）《节约用水条例》（国务院令第776号）</w:t>
      </w:r>
    </w:p>
    <w:p>
      <w:r>
        <w:rPr>
          <w:rFonts w:hint="eastAsia"/>
        </w:rPr>
        <w:t>（</w:t>
      </w:r>
      <w:r>
        <w:t>1</w:t>
      </w:r>
      <w:r>
        <w:rPr>
          <w:rFonts w:hint="eastAsia"/>
        </w:rPr>
        <w:t>6）《水资源调度管理办法》（</w:t>
      </w:r>
      <w:r>
        <w:t>2021</w:t>
      </w:r>
      <w:r>
        <w:rPr>
          <w:rFonts w:hint="eastAsia"/>
        </w:rPr>
        <w:t>年</w:t>
      </w:r>
      <w:r>
        <w:t>10</w:t>
      </w:r>
      <w:r>
        <w:rPr>
          <w:rFonts w:hint="eastAsia"/>
        </w:rPr>
        <w:t>月</w:t>
      </w:r>
      <w:r>
        <w:t>20</w:t>
      </w:r>
      <w:r>
        <w:rPr>
          <w:rFonts w:hint="eastAsia"/>
        </w:rPr>
        <w:t>日）；</w:t>
      </w:r>
    </w:p>
    <w:p>
      <w:r>
        <w:rPr>
          <w:rFonts w:hint="eastAsia"/>
        </w:rPr>
        <w:t>（</w:t>
      </w:r>
      <w:r>
        <w:t>1</w:t>
      </w:r>
      <w:r>
        <w:rPr>
          <w:rFonts w:hint="eastAsia"/>
        </w:rPr>
        <w:t>7）《云南省实施</w:t>
      </w:r>
      <w:r>
        <w:t>&lt;</w:t>
      </w:r>
      <w:r>
        <w:rPr>
          <w:rFonts w:hint="eastAsia"/>
        </w:rPr>
        <w:t>中华人民共和国水法</w:t>
      </w:r>
      <w:r>
        <w:t>&gt;</w:t>
      </w:r>
      <w:r>
        <w:rPr>
          <w:rFonts w:hint="eastAsia"/>
        </w:rPr>
        <w:t>办法》（2018年修订）；</w:t>
      </w:r>
    </w:p>
    <w:p>
      <w:r>
        <w:rPr>
          <w:rFonts w:hint="eastAsia"/>
        </w:rPr>
        <w:t>（</w:t>
      </w:r>
      <w:r>
        <w:t>1</w:t>
      </w:r>
      <w:r>
        <w:rPr>
          <w:rFonts w:hint="eastAsia"/>
        </w:rPr>
        <w:t>8）《云南省环境保护条例》（</w:t>
      </w:r>
      <w:r>
        <w:t>2004</w:t>
      </w:r>
      <w:r>
        <w:rPr>
          <w:rFonts w:hint="eastAsia"/>
        </w:rPr>
        <w:t>年修订）；</w:t>
      </w:r>
    </w:p>
    <w:p>
      <w:r>
        <w:rPr>
          <w:rFonts w:hint="eastAsia"/>
        </w:rPr>
        <w:t>（</w:t>
      </w:r>
      <w:r>
        <w:t>1</w:t>
      </w:r>
      <w:r>
        <w:rPr>
          <w:rFonts w:hint="eastAsia"/>
        </w:rPr>
        <w:t>9）《云南省节约用水条例》（</w:t>
      </w:r>
      <w:r>
        <w:t>2013</w:t>
      </w:r>
      <w:r>
        <w:rPr>
          <w:rFonts w:hint="eastAsia"/>
        </w:rPr>
        <w:t>年）；</w:t>
      </w:r>
    </w:p>
    <w:p>
      <w:r>
        <w:rPr>
          <w:rFonts w:hint="eastAsia"/>
        </w:rPr>
        <w:t>（20）《云南省水土保持条例》（</w:t>
      </w:r>
      <w:r>
        <w:t>2014</w:t>
      </w:r>
      <w:r>
        <w:rPr>
          <w:rFonts w:hint="eastAsia"/>
        </w:rPr>
        <w:t>年）；</w:t>
      </w:r>
    </w:p>
    <w:p>
      <w:r>
        <w:rPr>
          <w:rFonts w:hint="eastAsia"/>
        </w:rPr>
        <w:t>（</w:t>
      </w:r>
      <w:r>
        <w:t>2</w:t>
      </w:r>
      <w:r>
        <w:rPr>
          <w:rFonts w:hint="eastAsia"/>
        </w:rPr>
        <w:t>1）《云南省取水许可和水资源费征收管理办法》（</w:t>
      </w:r>
      <w:r>
        <w:t>2009</w:t>
      </w:r>
      <w:r>
        <w:rPr>
          <w:rFonts w:hint="eastAsia"/>
        </w:rPr>
        <w:t>年颁布）；</w:t>
      </w:r>
    </w:p>
    <w:p>
      <w:r>
        <w:rPr>
          <w:rFonts w:hint="eastAsia"/>
        </w:rPr>
        <w:t>（</w:t>
      </w:r>
      <w:r>
        <w:t>2</w:t>
      </w:r>
      <w:r>
        <w:rPr>
          <w:rFonts w:hint="eastAsia"/>
        </w:rPr>
        <w:t>2）《云南省水利工程管理条例》（</w:t>
      </w:r>
      <w:r>
        <w:t>2018</w:t>
      </w:r>
      <w:r>
        <w:rPr>
          <w:rFonts w:hint="eastAsia"/>
        </w:rPr>
        <w:t>年颁布）；</w:t>
      </w:r>
    </w:p>
    <w:p>
      <w:r>
        <w:rPr>
          <w:rFonts w:hint="eastAsia"/>
        </w:rPr>
        <w:t>（</w:t>
      </w:r>
      <w:r>
        <w:t>2</w:t>
      </w:r>
      <w:r>
        <w:rPr>
          <w:rFonts w:hint="eastAsia"/>
        </w:rPr>
        <w:t>3）《云南省水文条例》（</w:t>
      </w:r>
      <w:r>
        <w:t>2018</w:t>
      </w:r>
      <w:r>
        <w:rPr>
          <w:rFonts w:hint="eastAsia"/>
        </w:rPr>
        <w:t>年</w:t>
      </w:r>
      <w:r>
        <w:t>11</w:t>
      </w:r>
      <w:r>
        <w:rPr>
          <w:rFonts w:hint="eastAsia"/>
        </w:rPr>
        <w:t>月修正）；</w:t>
      </w:r>
    </w:p>
    <w:p>
      <w:r>
        <w:rPr>
          <w:rFonts w:hint="eastAsia"/>
        </w:rPr>
        <w:t>（</w:t>
      </w:r>
      <w:r>
        <w:t>2</w:t>
      </w:r>
      <w:r>
        <w:rPr>
          <w:rFonts w:hint="eastAsia"/>
        </w:rPr>
        <w:t>4）《云南省抚仙湖保护条例》</w:t>
      </w:r>
      <w:bookmarkStart w:id="21" w:name="_Hlk183166114"/>
      <w:r>
        <w:rPr>
          <w:rFonts w:hint="eastAsia"/>
        </w:rPr>
        <w:t>（2023年修订）</w:t>
      </w:r>
      <w:bookmarkEnd w:id="21"/>
      <w:r>
        <w:rPr>
          <w:rFonts w:hint="eastAsia"/>
        </w:rPr>
        <w:t>；</w:t>
      </w:r>
    </w:p>
    <w:p>
      <w:r>
        <w:rPr>
          <w:rFonts w:hint="eastAsia"/>
        </w:rPr>
        <w:t>（25）《云南省地下水管理办法》（省政府令第226号）</w:t>
      </w:r>
    </w:p>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标准规范</w:t>
      </w:r>
    </w:p>
    <w:p>
      <w:r>
        <w:t>（1）《水资源规划规范》（GB/T51051-2014）；</w:t>
      </w:r>
    </w:p>
    <w:p>
      <w:r>
        <w:t>（2）《农田水利规划导则》（SL462-2012）；</w:t>
      </w:r>
    </w:p>
    <w:p>
      <w:r>
        <w:t>（3）《农田灌溉水质标准》（GB5084-2021）；</w:t>
      </w:r>
    </w:p>
    <w:p>
      <w:r>
        <w:t>（4）《地表水环境质量标准》（GB3838-2002）；</w:t>
      </w:r>
    </w:p>
    <w:p>
      <w:r>
        <w:t>（5）《水资源供需预测分析技术规范》（SL429-2008）；</w:t>
      </w:r>
    </w:p>
    <w:p>
      <w:r>
        <w:t>（6）《江河流域规划编制规程》（SL201-2015）；</w:t>
      </w:r>
    </w:p>
    <w:p>
      <w:r>
        <w:t>（7）《防洪标准》（GB50201-2014）；</w:t>
      </w:r>
    </w:p>
    <w:p>
      <w:r>
        <w:t>（8）《室外给水设计标准》（GB50013-2018）；</w:t>
      </w:r>
    </w:p>
    <w:p>
      <w:r>
        <w:t>（9）《室外排水设计标准》（GB50014-2021）；</w:t>
      </w:r>
    </w:p>
    <w:p>
      <w:r>
        <w:t>（10）《灌溉与排水工程设计标准》（GB50288-2018）；</w:t>
      </w:r>
    </w:p>
    <w:p>
      <w:r>
        <w:t>（11）《生活饮用水卫生标准》（GB5749-2022）；</w:t>
      </w:r>
    </w:p>
    <w:p>
      <w:r>
        <w:t>（12）《城市给水工程规划规范》（GB50282-2016）；</w:t>
      </w:r>
    </w:p>
    <w:p>
      <w:r>
        <w:t>（13）《村镇供水工程技术规范》（SL310-2019）；</w:t>
      </w:r>
    </w:p>
    <w:p>
      <w:r>
        <w:t>（14）《水利工程水利计算规范》（SL104-2015）；</w:t>
      </w:r>
    </w:p>
    <w:p>
      <w:r>
        <w:t>（15）《水库调度设计规范》（GB50587-2010）；</w:t>
      </w:r>
    </w:p>
    <w:p>
      <w:r>
        <w:t>（16）《灌区规划规范》（GB/T50509-2009）；</w:t>
      </w:r>
    </w:p>
    <w:p>
      <w:r>
        <w:t>（17）《城市防洪规划规范》（GB51079-2016）；</w:t>
      </w:r>
    </w:p>
    <w:p>
      <w:r>
        <w:t>（18）《水利水电工程设计洪水计算规范》（SL44-2006）；</w:t>
      </w:r>
    </w:p>
    <w:p>
      <w:r>
        <w:t>（19）《河湖生态环境需水计算规范》（SL/T712—2021）；</w:t>
      </w:r>
    </w:p>
    <w:p>
      <w:r>
        <w:t>（20）《云南省用水定额》（2019年版 经云水发〔2019〕122号发布）。</w:t>
      </w:r>
    </w:p>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政策文件</w:t>
      </w:r>
    </w:p>
    <w:p>
      <w:r>
        <w:t>（1）《国务院关于实行最严格水资源管理制度的意见》（国发〔2012〕3号）；</w:t>
      </w:r>
    </w:p>
    <w:p>
      <w:r>
        <w:t>（2）《中共中央 国务院关于加快推进生态文明建设的意见》（2015年4月）；</w:t>
      </w:r>
    </w:p>
    <w:p>
      <w:r>
        <w:t>（3）《中共中央 国务院印发〈生态文明体制改革总体方案〉》（2015年9月）；</w:t>
      </w:r>
    </w:p>
    <w:p>
      <w:r>
        <w:t>（4）《中共中央办公厅、国务院办公厅印发&lt;关于在湖泊实施湖长制的指导意见&gt;的通知》（厅字〔2017〕51号）；</w:t>
      </w:r>
    </w:p>
    <w:p>
      <w:r>
        <w:t>（5）《云南省人民政府关于实行最严格水资源管理制度的意见》（云政发〔2012〕126号）；</w:t>
      </w:r>
    </w:p>
    <w:p>
      <w:r>
        <w:t>（6）《云南省人民政府办公厅关于印发云南省实行最严格水资源管理制度考核办法的通知》（云政办函〔2013〕132号）；</w:t>
      </w:r>
    </w:p>
    <w:p>
      <w:r>
        <w:t>（7）《云南省人民政府关于加强节水型社会建设的意见》（云政发〔2014〕71号）；</w:t>
      </w:r>
    </w:p>
    <w:p>
      <w:r>
        <w:t>（8）《中共云南省委 云南省人民政府关于“湖泊革命”攻坚战的实施意见》（云发〔2021〕22号）；</w:t>
      </w:r>
    </w:p>
    <w:p>
      <w:r>
        <w:t>（9）《云南省人民政府关于九大高原湖泊“三区”管控的指导意见》（云政发〔2022〕25号）；</w:t>
      </w:r>
    </w:p>
    <w:p>
      <w:r>
        <w:t>（10）《玉溪市人民政府关于加强节水型社会建设的意见》（玉政办发〔2015〕21号）；</w:t>
      </w:r>
    </w:p>
    <w:p>
      <w:r>
        <w:t>（11）《中共玉溪市委 玉溪市人民政府关于印发〈玉溪市“湖泊革命”实施方案〉的通知》（玉办通〔2021〕36号）；</w:t>
      </w:r>
    </w:p>
    <w:p>
      <w:r>
        <w:t>（12）《中共澄江市委 澄江市人民政府关于印发〈澄江市抚仙湖“湖泊革命”实施方案〉的通知》（澄发〔2021〕9号）</w:t>
      </w:r>
    </w:p>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参考资料</w:t>
      </w:r>
    </w:p>
    <w:p>
      <w:r>
        <w:t>（1）《云南省水功能区划》（2014年修订）；</w:t>
      </w:r>
    </w:p>
    <w:p>
      <w:r>
        <w:t>（2）《云南省水资源保护规划》（2019年5月）；</w:t>
      </w:r>
    </w:p>
    <w:p>
      <w:r>
        <w:t>（3）《云南供水安全保障网规划》（2016年）；</w:t>
      </w:r>
    </w:p>
    <w:p>
      <w:r>
        <w:t>（4）《云南省“十四五”兴水润滇工程规划》（2021年）；</w:t>
      </w:r>
    </w:p>
    <w:p>
      <w:r>
        <w:t>（5）《玉溪市水功能区划》（2014年）；</w:t>
      </w:r>
    </w:p>
    <w:p>
      <w:r>
        <w:t>（6）《玉溪市</w:t>
      </w:r>
      <w:r>
        <w:rPr>
          <w:rFonts w:hint="eastAsia"/>
        </w:rPr>
        <w:t>国土空间总体规划</w:t>
      </w:r>
      <w:r>
        <w:t>》（20</w:t>
      </w:r>
      <w:r>
        <w:rPr>
          <w:rFonts w:hint="eastAsia"/>
        </w:rPr>
        <w:t>21</w:t>
      </w:r>
      <w:r>
        <w:t>-2035年）；</w:t>
      </w:r>
    </w:p>
    <w:p>
      <w:r>
        <w:t>（7）《玉溪市水资源保护规划》（2016年）；</w:t>
      </w:r>
    </w:p>
    <w:p>
      <w:r>
        <w:t>（8）《玉溪市水网建设规划》（2023年）</w:t>
      </w:r>
    </w:p>
    <w:p>
      <w:r>
        <w:t>（9）《澄江市国民经济和社会发展第十四个五年规划和二〇三五年远景目标纲要》（2021年）；</w:t>
      </w:r>
    </w:p>
    <w:p>
      <w:r>
        <w:t>（10）《澄江市“十四五”水安全保障规划》（2021-2025）；</w:t>
      </w:r>
    </w:p>
    <w:p>
      <w:r>
        <w:t>（11）相关工程设计资料。</w:t>
      </w:r>
    </w:p>
    <w:p>
      <w:pPr>
        <w:pStyle w:val="5"/>
      </w:pPr>
      <w:bookmarkStart w:id="22" w:name="_Toc131672516"/>
      <w:bookmarkStart w:id="23" w:name="_Toc184023315"/>
      <w:bookmarkStart w:id="24" w:name="_Toc132833187"/>
      <w:r>
        <w:t>规划水平年</w:t>
      </w:r>
      <w:bookmarkEnd w:id="22"/>
      <w:bookmarkEnd w:id="23"/>
      <w:bookmarkEnd w:id="24"/>
    </w:p>
    <w:p>
      <w:pPr>
        <w:pStyle w:val="4"/>
      </w:pPr>
      <w:r>
        <w:t>根据澄江市国民经济和社会发展的总体部署，拟定本次规划现状基准年为2022年（部分资料采用最新数据），规划水平年为2035年。</w:t>
      </w:r>
    </w:p>
    <w:p>
      <w:pPr>
        <w:pStyle w:val="5"/>
      </w:pPr>
      <w:bookmarkStart w:id="25" w:name="_Toc131672517"/>
      <w:bookmarkStart w:id="26" w:name="_Toc132833190"/>
      <w:bookmarkStart w:id="27" w:name="_Toc184023316"/>
      <w:r>
        <w:t>规划目标</w:t>
      </w:r>
      <w:bookmarkEnd w:id="25"/>
      <w:bookmarkEnd w:id="26"/>
      <w:r>
        <w:rPr>
          <w:rFonts w:hint="eastAsia"/>
        </w:rPr>
        <w:t>任务</w:t>
      </w:r>
      <w:bookmarkEnd w:id="27"/>
    </w:p>
    <w:p>
      <w:pPr>
        <w:pStyle w:val="6"/>
      </w:pPr>
      <w:r>
        <w:t>目标</w:t>
      </w:r>
    </w:p>
    <w:p>
      <w:pPr>
        <w:pStyle w:val="4"/>
      </w:pPr>
      <w:r>
        <w:t>落实水生态文明战略决策，建立</w:t>
      </w:r>
      <w:r>
        <w:rPr>
          <w:rFonts w:hint="eastAsia"/>
        </w:rPr>
        <w:t>全市</w:t>
      </w:r>
      <w:r>
        <w:t>水资源利用和河湖健康保障体系，实现水质、水量和水生态的统一保护，保障水资源可持续利用与水生态环境系统良性循环，推动经济社会与水资源保护协调发展。</w:t>
      </w:r>
    </w:p>
    <w:p>
      <w:pPr>
        <w:pStyle w:val="4"/>
      </w:pPr>
      <w:r>
        <w:rPr>
          <w:rFonts w:hint="eastAsia"/>
        </w:rPr>
        <w:t>（</w:t>
      </w:r>
      <w:r>
        <w:t>1</w:t>
      </w:r>
      <w:r>
        <w:rPr>
          <w:rFonts w:hint="eastAsia"/>
        </w:rPr>
        <w:t>）</w:t>
      </w:r>
      <w:r>
        <w:t>全市水资源保护成效显著，河湖生态环境持续持续向好</w:t>
      </w:r>
    </w:p>
    <w:p>
      <w:pPr>
        <w:pStyle w:val="4"/>
      </w:pPr>
      <w:r>
        <w:t>到2035年，全市主要江河湖库水功能区水质明显改善，水功能区（含国家重要江河湖泊水功能区）水质达标率稳定达到90%以上；县级以上城市集中式饮用水水源地水质达标率达到100%；纳入国家考核的地表水优良水体（达到或优于Ⅲ类）比例达90%以上；主要农村饮用水水源地水质保护体系基本建立；地下水水质有所提高，水质达标率达90%以上，地下水资源储备能力显著提高；抚仙湖生态水位得到基本保证</w:t>
      </w:r>
      <w:r>
        <w:rPr>
          <w:rFonts w:hint="eastAsia"/>
        </w:rPr>
        <w:t>，</w:t>
      </w:r>
      <w:r>
        <w:t>重要生态保护区、水源涵养区和湿地得到有效保护；基本建成水资源保护和河湖健康保障体系。</w:t>
      </w:r>
    </w:p>
    <w:p>
      <w:pPr>
        <w:pStyle w:val="4"/>
      </w:pPr>
      <w:bookmarkStart w:id="28" w:name="_Toc131672518"/>
      <w:bookmarkStart w:id="29" w:name="_Toc132833191"/>
      <w:r>
        <w:rPr>
          <w:rFonts w:hint="eastAsia"/>
        </w:rPr>
        <w:t>（</w:t>
      </w:r>
      <w:r>
        <w:t>2</w:t>
      </w:r>
      <w:r>
        <w:rPr>
          <w:rFonts w:hint="eastAsia"/>
        </w:rPr>
        <w:t>）</w:t>
      </w:r>
      <w:r>
        <w:t>水资源配置体系全面建成，城乡供水安全保障水平不断提高</w:t>
      </w:r>
    </w:p>
    <w:p>
      <w:pPr>
        <w:pStyle w:val="4"/>
      </w:pPr>
      <w:r>
        <w:t>到2035年，全市内城镇供水保障体系全面建成，城镇供水保证率不低于95%，城乡供水监测网络不断完善，城镇应急供水体系基本健全，供用水管理体系日趋完善；农村自来水普及率进一步提高，初步形成流域农村饮水安全保障体系；</w:t>
      </w:r>
      <w:r>
        <w:rPr>
          <w:rFonts w:hint="eastAsia"/>
        </w:rPr>
        <w:t>规划范围</w:t>
      </w:r>
      <w:r>
        <w:t>内有效灌溉面积（灌溉保证率P=75%）</w:t>
      </w:r>
      <w:r>
        <w:rPr>
          <w:rFonts w:hint="eastAsia"/>
        </w:rPr>
        <w:t>增加</w:t>
      </w:r>
      <w:r>
        <w:t>到</w:t>
      </w:r>
      <w:r>
        <w:rPr>
          <w:rFonts w:hint="eastAsia"/>
        </w:rPr>
        <w:t>12.28</w:t>
      </w:r>
      <w:r>
        <w:t>万亩，</w:t>
      </w:r>
      <w:r>
        <w:rPr>
          <w:rFonts w:hint="eastAsia"/>
        </w:rPr>
        <w:t>随着灌区续建配套与现代化改造完成，区域</w:t>
      </w:r>
      <w:r>
        <w:t>常规农田灌溉水有效利用系数达到0.65，高效节水农田灌溉水有效利用系数达到0.8。</w:t>
      </w:r>
    </w:p>
    <w:p>
      <w:pPr>
        <w:pStyle w:val="6"/>
      </w:pPr>
      <w:r>
        <w:t>任务</w:t>
      </w:r>
    </w:p>
    <w:p>
      <w:pPr>
        <w:pStyle w:val="4"/>
      </w:pPr>
      <w:r>
        <w:rPr>
          <w:rFonts w:hint="eastAsia"/>
        </w:rPr>
        <w:t>（</w:t>
      </w:r>
      <w:r>
        <w:t>1</w:t>
      </w:r>
      <w:r>
        <w:rPr>
          <w:rFonts w:hint="eastAsia"/>
        </w:rPr>
        <w:t>）</w:t>
      </w:r>
      <w:r>
        <w:t>水资源利用</w:t>
      </w:r>
    </w:p>
    <w:p>
      <w:pPr>
        <w:pStyle w:val="4"/>
      </w:pPr>
      <w:r>
        <w:t>按照蓄、引、提、调、机井等工程分类，调查全市现状水利工程供水量；按照城镇生活、农村牲畜、工业、农业等类型，调查全市现状用水量。根据澄江市社会经济发展水平，预测2035年全市生产生活用水量，提出适合全市水资源配置体系。</w:t>
      </w:r>
    </w:p>
    <w:p>
      <w:pPr>
        <w:pStyle w:val="4"/>
      </w:pPr>
      <w:r>
        <w:rPr>
          <w:rFonts w:hint="eastAsia"/>
        </w:rPr>
        <w:t>（</w:t>
      </w:r>
      <w:r>
        <w:t>2</w:t>
      </w:r>
      <w:r>
        <w:rPr>
          <w:rFonts w:hint="eastAsia"/>
        </w:rPr>
        <w:t>）</w:t>
      </w:r>
      <w:r>
        <w:t>水质保护</w:t>
      </w:r>
    </w:p>
    <w:p>
      <w:pPr>
        <w:pStyle w:val="4"/>
      </w:pPr>
      <w:r>
        <w:t>开展水功能区现状水质达标分析，统筹提出城市集中式饮用水水源地和农村饮用水水源地保护措施及应急备用水源保护要求；根据地下水水质保护目标，合理确定地下水水质保护措施。</w:t>
      </w:r>
    </w:p>
    <w:p>
      <w:pPr>
        <w:pStyle w:val="4"/>
      </w:pPr>
      <w:r>
        <w:rPr>
          <w:rFonts w:hint="eastAsia"/>
        </w:rPr>
        <w:t>（</w:t>
      </w:r>
      <w:r>
        <w:t>3</w:t>
      </w:r>
      <w:r>
        <w:rPr>
          <w:rFonts w:hint="eastAsia"/>
        </w:rPr>
        <w:t>）</w:t>
      </w:r>
      <w:r>
        <w:t>水量保障</w:t>
      </w:r>
    </w:p>
    <w:p>
      <w:pPr>
        <w:pStyle w:val="4"/>
      </w:pPr>
      <w:r>
        <w:t>明确生态需水量保障目标，提出河道湖泊适宜生态水位要求，并制定生态需水保障方案；合理确定地下水水量及水位控制目标，制定地下水超采综合治理措施方案。</w:t>
      </w:r>
    </w:p>
    <w:p>
      <w:pPr>
        <w:pStyle w:val="4"/>
      </w:pPr>
      <w:r>
        <w:rPr>
          <w:rFonts w:hint="eastAsia"/>
        </w:rPr>
        <w:t>（</w:t>
      </w:r>
      <w:r>
        <w:t>4</w:t>
      </w:r>
      <w:r>
        <w:rPr>
          <w:rFonts w:hint="eastAsia"/>
        </w:rPr>
        <w:t>）</w:t>
      </w:r>
      <w:r>
        <w:t>水生态系统保护与修复</w:t>
      </w:r>
    </w:p>
    <w:p>
      <w:pPr>
        <w:pStyle w:val="4"/>
      </w:pPr>
      <w:r>
        <w:t>推进河湖库渠生态修复和保护，禁止侵占自然河湖、湿地等水源涵养空间。在规划的基础上稳步实施退田还湖还湿、退渔还湖，恢复河湖库渠水系的自然连通。加强水生生物资源保护，提高水生生物多样性。强化山水林田湖系统治理，加大江河源头区、水源涵养区、生态敏感区保护力度。加强水土流失预防监督和综合整治，建设生态清洁型小流域，维护河湖生态环境。</w:t>
      </w:r>
    </w:p>
    <w:p>
      <w:pPr>
        <w:pStyle w:val="4"/>
      </w:pPr>
      <w:r>
        <w:t>明确水生态保护和修复的方向和重点，确定不同类型水生态系统保护和修复的措施定位，开展水源涵养、河岸带生态保护与修复、湿地保护与修复、河湖水系连通、重要生境保护与修复、水生态综合治理等水生态保护与修复措施规划。</w:t>
      </w:r>
    </w:p>
    <w:p>
      <w:pPr>
        <w:pStyle w:val="4"/>
      </w:pPr>
      <w:r>
        <w:rPr>
          <w:rFonts w:hint="eastAsia"/>
        </w:rPr>
        <w:t>（</w:t>
      </w:r>
      <w:r>
        <w:t>5</w:t>
      </w:r>
      <w:r>
        <w:rPr>
          <w:rFonts w:hint="eastAsia"/>
        </w:rPr>
        <w:t>）</w:t>
      </w:r>
      <w:r>
        <w:t>水资源保护监测与综合管理</w:t>
      </w:r>
    </w:p>
    <w:p>
      <w:pPr>
        <w:pStyle w:val="4"/>
      </w:pPr>
      <w:r>
        <w:t>开展水资源保护监测站网和监测能力建设规划；进行水资源保护综合管理顶层设计，统筹完善水资源保护制度建设、体制机制、法律法规和标准体系，</w:t>
      </w:r>
      <w:r>
        <w:rPr>
          <w:rFonts w:hint="eastAsia"/>
        </w:rPr>
        <w:t>加强抚仙湖流域基础研究，</w:t>
      </w:r>
      <w:r>
        <w:t>形成有利于推进水资源保护和水生态文明建设的管理环境。</w:t>
      </w:r>
    </w:p>
    <w:p>
      <w:pPr>
        <w:pStyle w:val="5"/>
      </w:pPr>
      <w:bookmarkStart w:id="30" w:name="_Toc184023317"/>
      <w:r>
        <w:t>规划范围</w:t>
      </w:r>
      <w:bookmarkEnd w:id="28"/>
      <w:bookmarkEnd w:id="29"/>
      <w:r>
        <w:rPr>
          <w:rFonts w:hint="eastAsia"/>
        </w:rPr>
        <w:t>及分区</w:t>
      </w:r>
      <w:bookmarkEnd w:id="30"/>
    </w:p>
    <w:p>
      <w:pPr>
        <w:pStyle w:val="4"/>
      </w:pPr>
      <w:r>
        <w:rPr>
          <w:rFonts w:hint="eastAsia"/>
        </w:rPr>
        <w:t>综合考虑规划范围流域水资源分布、地形地貌、行政界限等各方面因素，尽可能保持行政区域和流域的统分性、组合性与完整性，突出计算区内配套供水设施布置、光热海拔差异，本次规划区共分为3个片区，分别为：抚仙湖片区、南盘江片区、提古片区，具体详见下图。</w:t>
      </w:r>
    </w:p>
    <w:p>
      <w:pPr>
        <w:pStyle w:val="4"/>
        <w:spacing w:line="240" w:lineRule="auto"/>
        <w:ind w:firstLine="0" w:firstLineChars="0"/>
        <w:jc w:val="center"/>
      </w:pPr>
      <w:r>
        <w:drawing>
          <wp:inline distT="0" distB="0" distL="0" distR="0">
            <wp:extent cx="4631055" cy="6612255"/>
            <wp:effectExtent l="0" t="0" r="0" b="0"/>
            <wp:docPr id="2004911715" name="图片 2004911715" descr="C:\Users\LW\Desktop\171443774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11715" name="图片 2004911715" descr="C:\Users\LW\Desktop\17144377419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31055" cy="6612255"/>
                    </a:xfrm>
                    <a:prstGeom prst="rect">
                      <a:avLst/>
                    </a:prstGeom>
                    <a:noFill/>
                    <a:ln>
                      <a:noFill/>
                    </a:ln>
                  </pic:spPr>
                </pic:pic>
              </a:graphicData>
            </a:graphic>
          </wp:inline>
        </w:drawing>
      </w:r>
    </w:p>
    <w:p>
      <w:pPr>
        <w:pStyle w:val="17"/>
        <w:rPr>
          <w:color w:val="000000" w:themeColor="text1"/>
          <w14:textFill>
            <w14:solidFill>
              <w14:schemeClr w14:val="tx1"/>
            </w14:solidFill>
          </w14:textFill>
        </w:rPr>
      </w:pPr>
      <w:r>
        <w:rPr>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规划范围示意图</w:t>
      </w:r>
    </w:p>
    <w:p>
      <w:pPr>
        <w:pStyle w:val="3"/>
        <w:ind w:left="656" w:hanging="656"/>
        <w:rPr>
          <w:rFonts w:ascii="Times New Roman" w:hAnsi="Times New Roman"/>
          <w:color w:val="000000" w:themeColor="text1"/>
          <w14:textFill>
            <w14:solidFill>
              <w14:schemeClr w14:val="tx1"/>
            </w14:solidFill>
          </w14:textFill>
        </w:rPr>
      </w:pPr>
      <w:bookmarkStart w:id="31" w:name="_Toc150981240"/>
      <w:bookmarkEnd w:id="31"/>
      <w:bookmarkStart w:id="32" w:name="_Toc150979760"/>
      <w:bookmarkEnd w:id="32"/>
      <w:bookmarkStart w:id="33" w:name="_Toc25414"/>
      <w:bookmarkStart w:id="34" w:name="_Toc184023318"/>
      <w:r>
        <w:rPr>
          <w:rFonts w:ascii="Times New Roman" w:hAnsi="Times New Roman"/>
          <w:color w:val="000000" w:themeColor="text1"/>
          <w14:textFill>
            <w14:solidFill>
              <w14:schemeClr w14:val="tx1"/>
            </w14:solidFill>
          </w14:textFill>
        </w:rPr>
        <w:t>水资源保护利用现状</w:t>
      </w:r>
      <w:r>
        <w:rPr>
          <w:rFonts w:hint="eastAsia" w:ascii="Times New Roman" w:hAnsi="Times New Roman"/>
          <w:color w:val="000000" w:themeColor="text1"/>
          <w14:textFill>
            <w14:solidFill>
              <w14:schemeClr w14:val="tx1"/>
            </w14:solidFill>
          </w14:textFill>
        </w:rPr>
        <w:t>调查与</w:t>
      </w:r>
      <w:r>
        <w:rPr>
          <w:rFonts w:ascii="Times New Roman" w:hAnsi="Times New Roman"/>
          <w:color w:val="000000" w:themeColor="text1"/>
          <w14:textFill>
            <w14:solidFill>
              <w14:schemeClr w14:val="tx1"/>
            </w14:solidFill>
          </w14:textFill>
        </w:rPr>
        <w:t>评价</w:t>
      </w:r>
      <w:bookmarkEnd w:id="33"/>
      <w:bookmarkEnd w:id="34"/>
    </w:p>
    <w:p>
      <w:pPr>
        <w:pStyle w:val="5"/>
      </w:pPr>
      <w:bookmarkStart w:id="35" w:name="_Toc184023319"/>
      <w:r>
        <w:t>水资源保护现状评价</w:t>
      </w:r>
      <w:bookmarkEnd w:id="35"/>
    </w:p>
    <w:p>
      <w:pPr>
        <w:pStyle w:val="6"/>
      </w:pPr>
      <w:r>
        <w:t>水功能区现状评价</w:t>
      </w:r>
    </w:p>
    <w:p>
      <w:pPr>
        <w:pStyle w:val="4"/>
      </w:pPr>
      <w:r>
        <w:rPr>
          <w:rFonts w:hint="eastAsia"/>
        </w:rPr>
        <w:t>根据《玉溪市水资源保护规划》中玉溪市水功能区复核与调整成果，整理了澄江市涉及的水功能区，澄江市共划分一级水功能区1</w:t>
      </w:r>
      <w:r>
        <w:t>2</w:t>
      </w:r>
      <w:r>
        <w:rPr>
          <w:rFonts w:hint="eastAsia"/>
        </w:rPr>
        <w:t>个，其中保护区</w:t>
      </w:r>
      <w:r>
        <w:t>2</w:t>
      </w:r>
      <w:r>
        <w:rPr>
          <w:rFonts w:hint="eastAsia"/>
        </w:rPr>
        <w:t>个，缓冲区</w:t>
      </w:r>
      <w:r>
        <w:t>0</w:t>
      </w:r>
      <w:r>
        <w:rPr>
          <w:rFonts w:hint="eastAsia"/>
        </w:rPr>
        <w:t>个，开发利用区</w:t>
      </w:r>
      <w:r>
        <w:t>2</w:t>
      </w:r>
      <w:r>
        <w:rPr>
          <w:rFonts w:hint="eastAsia"/>
        </w:rPr>
        <w:t>个，保留区</w:t>
      </w:r>
      <w:r>
        <w:t>8</w:t>
      </w:r>
      <w:r>
        <w:rPr>
          <w:rFonts w:hint="eastAsia"/>
        </w:rPr>
        <w:t>个。包含3个全省重要功能区，分别为抚仙湖保护区、清水河澄江保留区、南盘江宜良-弥勒保留区。2022年澄江市水功能区划（一级）水质现状评价如下表所示。</w:t>
      </w:r>
    </w:p>
    <w:p>
      <w:pPr>
        <w:pStyle w:val="4"/>
      </w:pPr>
      <w:r>
        <w:rPr>
          <w:rFonts w:hint="eastAsia"/>
        </w:rPr>
        <w:t>澄江市共划分二级水功能区</w:t>
      </w:r>
      <w:r>
        <w:t>4个</w:t>
      </w:r>
      <w:r>
        <w:rPr>
          <w:rFonts w:hint="eastAsia"/>
        </w:rPr>
        <w:t>，分别是梁王河澄江饮用、工业、农业用水区，梁王河澄江农业用水区，东大河澄江饮用、工业、农业用水区，东大河澄江农业用水区。2022</w:t>
      </w:r>
      <w:r>
        <w:t>年</w:t>
      </w:r>
      <w:r>
        <w:rPr>
          <w:rFonts w:hint="eastAsia"/>
        </w:rPr>
        <w:t>澄江市水功能区划（二级）水质现状评价如下表所示。</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3.1</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1</w:t>
      </w:r>
      <w:r>
        <w:rPr>
          <w:rFonts w:eastAsia="黑体"/>
          <w:spacing w:val="0"/>
        </w:rPr>
        <w:fldChar w:fldCharType="end"/>
      </w:r>
      <w:r>
        <w:rPr>
          <w:rFonts w:eastAsia="黑体"/>
          <w:spacing w:val="0"/>
        </w:rPr>
        <w:t xml:space="preserve"> </w:t>
      </w:r>
      <w:r>
        <w:rPr>
          <w:rFonts w:hint="eastAsia" w:eastAsia="黑体"/>
          <w:spacing w:val="0"/>
        </w:rPr>
        <w:t>2022年澄江市水功能区划（一级）水质现状评价表</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0"/>
        <w:gridCol w:w="1683"/>
        <w:gridCol w:w="1681"/>
        <w:gridCol w:w="1060"/>
        <w:gridCol w:w="953"/>
        <w:gridCol w:w="1371"/>
        <w:gridCol w:w="683"/>
        <w:gridCol w:w="11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1" w:hRule="atLeast"/>
          <w:tblHeader/>
        </w:trPr>
        <w:tc>
          <w:tcPr>
            <w:tcW w:w="404" w:type="pct"/>
            <w:vMerge w:val="restart"/>
            <w:tcBorders>
              <w:bottom w:val="single" w:color="auto" w:sz="6" w:space="0"/>
            </w:tcBorders>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906" w:type="pct"/>
            <w:vMerge w:val="restar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片区</w:t>
            </w:r>
          </w:p>
        </w:tc>
        <w:tc>
          <w:tcPr>
            <w:tcW w:w="905"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功能区名称</w:t>
            </w:r>
          </w:p>
        </w:tc>
        <w:tc>
          <w:tcPr>
            <w:tcW w:w="571"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是否属全省重要功能区</w:t>
            </w:r>
          </w:p>
        </w:tc>
        <w:tc>
          <w:tcPr>
            <w:tcW w:w="513"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河流、湖库</w:t>
            </w:r>
          </w:p>
        </w:tc>
        <w:tc>
          <w:tcPr>
            <w:tcW w:w="738"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代表断面</w:t>
            </w:r>
          </w:p>
        </w:tc>
        <w:tc>
          <w:tcPr>
            <w:tcW w:w="368"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水质现状</w:t>
            </w:r>
          </w:p>
        </w:tc>
        <w:tc>
          <w:tcPr>
            <w:tcW w:w="595" w:type="pc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水质目标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 w:hRule="atLeast"/>
          <w:tblHeader/>
        </w:trPr>
        <w:tc>
          <w:tcPr>
            <w:tcW w:w="404" w:type="pct"/>
            <w:vMerge w:val="continue"/>
            <w:vAlign w:val="center"/>
          </w:tcPr>
          <w:p>
            <w:pPr>
              <w:pStyle w:val="85"/>
              <w:rPr>
                <w:color w:val="000000" w:themeColor="text1"/>
                <w14:textFill>
                  <w14:solidFill>
                    <w14:schemeClr w14:val="tx1"/>
                  </w14:solidFill>
                </w14:textFill>
              </w:rPr>
            </w:pPr>
          </w:p>
        </w:tc>
        <w:tc>
          <w:tcPr>
            <w:tcW w:w="906" w:type="pct"/>
            <w:vMerge w:val="continue"/>
          </w:tcPr>
          <w:p>
            <w:pPr>
              <w:pStyle w:val="85"/>
              <w:rPr>
                <w:color w:val="000000" w:themeColor="text1"/>
                <w14:textFill>
                  <w14:solidFill>
                    <w14:schemeClr w14:val="tx1"/>
                  </w14:solidFill>
                </w14:textFill>
              </w:rPr>
            </w:pPr>
          </w:p>
        </w:tc>
        <w:tc>
          <w:tcPr>
            <w:tcW w:w="905" w:type="pct"/>
            <w:vMerge w:val="continue"/>
            <w:vAlign w:val="center"/>
          </w:tcPr>
          <w:p>
            <w:pPr>
              <w:pStyle w:val="85"/>
              <w:rPr>
                <w:color w:val="000000" w:themeColor="text1"/>
                <w14:textFill>
                  <w14:solidFill>
                    <w14:schemeClr w14:val="tx1"/>
                  </w14:solidFill>
                </w14:textFill>
              </w:rPr>
            </w:pPr>
          </w:p>
        </w:tc>
        <w:tc>
          <w:tcPr>
            <w:tcW w:w="571" w:type="pct"/>
            <w:vMerge w:val="continue"/>
            <w:vAlign w:val="center"/>
          </w:tcPr>
          <w:p>
            <w:pPr>
              <w:pStyle w:val="85"/>
              <w:rPr>
                <w:color w:val="000000" w:themeColor="text1"/>
                <w14:textFill>
                  <w14:solidFill>
                    <w14:schemeClr w14:val="tx1"/>
                  </w14:solidFill>
                </w14:textFill>
              </w:rPr>
            </w:pPr>
          </w:p>
        </w:tc>
        <w:tc>
          <w:tcPr>
            <w:tcW w:w="513" w:type="pct"/>
            <w:vMerge w:val="continue"/>
            <w:vAlign w:val="center"/>
          </w:tcPr>
          <w:p>
            <w:pPr>
              <w:pStyle w:val="85"/>
              <w:rPr>
                <w:color w:val="000000" w:themeColor="text1"/>
                <w14:textFill>
                  <w14:solidFill>
                    <w14:schemeClr w14:val="tx1"/>
                  </w14:solidFill>
                </w14:textFill>
              </w:rPr>
            </w:pPr>
          </w:p>
        </w:tc>
        <w:tc>
          <w:tcPr>
            <w:tcW w:w="738" w:type="pct"/>
            <w:vMerge w:val="continue"/>
            <w:vAlign w:val="center"/>
          </w:tcPr>
          <w:p>
            <w:pPr>
              <w:pStyle w:val="85"/>
              <w:rPr>
                <w:color w:val="000000" w:themeColor="text1"/>
                <w14:textFill>
                  <w14:solidFill>
                    <w14:schemeClr w14:val="tx1"/>
                  </w14:solidFill>
                </w14:textFill>
              </w:rPr>
            </w:pPr>
          </w:p>
        </w:tc>
        <w:tc>
          <w:tcPr>
            <w:tcW w:w="368" w:type="pct"/>
            <w:vMerge w:val="continue"/>
            <w:shd w:val="clear" w:color="auto" w:fill="auto"/>
            <w:vAlign w:val="center"/>
          </w:tcPr>
          <w:p>
            <w:pPr>
              <w:pStyle w:val="85"/>
              <w:rPr>
                <w:color w:val="000000" w:themeColor="text1"/>
                <w14:textFill>
                  <w14:solidFill>
                    <w14:schemeClr w14:val="tx1"/>
                  </w14:solidFill>
                </w14:textFill>
              </w:rPr>
            </w:pPr>
          </w:p>
        </w:tc>
        <w:tc>
          <w:tcPr>
            <w:tcW w:w="59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2030年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南盘江片区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南盘江宜良-弥勒保留区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南盘江</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黄草铺、石头寨</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七江河澄江保留区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七江河</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鸡脖子水库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3</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梁王河澄江源头水保护区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梁王河澄江开发利用区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按二级区划执行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5</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东大河澄江保留区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6</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东大河澄江开发利用区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按二级区划执行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7</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西大河澄江保留区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西大河水库</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西大河水库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8</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山冲河澄江保留区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山冲河</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山冲河水库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尖山河澄江保留区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尖山河</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马槽地水库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10</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象山沟澄江保留区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象山沟</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万松寺水库</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11</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抚仙湖保护区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路居、尖山、湖心、</w:t>
            </w:r>
            <w:r>
              <w:rPr>
                <w:rFonts w:hint="eastAsia" w:ascii="宋体" w:hAnsi="宋体" w:cs="宋体"/>
                <w:color w:val="000000"/>
                <w:kern w:val="0"/>
                <w:sz w:val="20"/>
                <w:szCs w:val="20"/>
              </w:rPr>
              <w:t>哨嘴</w:t>
            </w:r>
          </w:p>
        </w:tc>
        <w:tc>
          <w:tcPr>
            <w:tcW w:w="368" w:type="pct"/>
            <w:shd w:val="clear" w:color="auto" w:fill="auto"/>
            <w:vAlign w:val="center"/>
          </w:tcPr>
          <w:p>
            <w:pPr>
              <w:pStyle w:val="85"/>
              <w:rPr>
                <w:color w:val="000000" w:themeColor="text1"/>
                <w14:textFill>
                  <w14:solidFill>
                    <w14:schemeClr w14:val="tx1"/>
                  </w14:solidFill>
                </w14:textFill>
              </w:rPr>
            </w:pPr>
            <w:r>
              <w:t>Ⅱ</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Ⅰ</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40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12</w:t>
            </w:r>
          </w:p>
        </w:tc>
        <w:tc>
          <w:tcPr>
            <w:tcW w:w="90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0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清水河澄江保留区</w:t>
            </w:r>
          </w:p>
        </w:tc>
        <w:tc>
          <w:tcPr>
            <w:tcW w:w="57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c>
          <w:tcPr>
            <w:tcW w:w="51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清水河</w:t>
            </w:r>
          </w:p>
        </w:tc>
        <w:tc>
          <w:tcPr>
            <w:tcW w:w="73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海口水文站</w:t>
            </w:r>
          </w:p>
        </w:tc>
        <w:tc>
          <w:tcPr>
            <w:tcW w:w="368"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595"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r>
    </w:tbl>
    <w:p>
      <w:pPr>
        <w:keepNext/>
        <w:widowControl/>
        <w:spacing w:before="120" w:after="60" w:line="240" w:lineRule="auto"/>
        <w:ind w:firstLine="0" w:firstLineChars="0"/>
        <w:jc w:val="center"/>
        <w:rPr>
          <w:rFonts w:eastAsia="黑体"/>
          <w:spacing w:val="0"/>
        </w:rPr>
      </w:pP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3.1</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2</w:t>
      </w:r>
      <w:r>
        <w:rPr>
          <w:rFonts w:eastAsia="黑体"/>
          <w:spacing w:val="0"/>
        </w:rPr>
        <w:fldChar w:fldCharType="end"/>
      </w:r>
      <w:r>
        <w:rPr>
          <w:rFonts w:eastAsia="黑体"/>
          <w:spacing w:val="0"/>
        </w:rPr>
        <w:t xml:space="preserve"> </w:t>
      </w:r>
      <w:r>
        <w:rPr>
          <w:rFonts w:hint="eastAsia" w:eastAsia="黑体"/>
          <w:spacing w:val="0"/>
        </w:rPr>
        <w:t>2022年澄江市水功能区划（二级）水质现状评价表</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3"/>
        <w:gridCol w:w="1663"/>
        <w:gridCol w:w="1663"/>
        <w:gridCol w:w="957"/>
        <w:gridCol w:w="817"/>
        <w:gridCol w:w="1523"/>
        <w:gridCol w:w="749"/>
        <w:gridCol w:w="607"/>
        <w:gridCol w:w="6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4" w:hRule="atLeast"/>
        </w:trPr>
        <w:tc>
          <w:tcPr>
            <w:tcW w:w="352" w:type="pct"/>
            <w:vMerge w:val="restart"/>
            <w:tcBorders>
              <w:bottom w:val="single" w:color="auto" w:sz="6" w:space="0"/>
            </w:tcBorders>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95" w:type="pct"/>
            <w:vMerge w:val="restart"/>
            <w:tcBorders>
              <w:bottom w:val="single" w:color="auto" w:sz="6" w:space="0"/>
            </w:tcBorders>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片区</w:t>
            </w:r>
          </w:p>
        </w:tc>
        <w:tc>
          <w:tcPr>
            <w:tcW w:w="895"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功能区名称（二级）</w:t>
            </w:r>
          </w:p>
        </w:tc>
        <w:tc>
          <w:tcPr>
            <w:tcW w:w="515"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是否属全省重要功能区</w:t>
            </w:r>
          </w:p>
        </w:tc>
        <w:tc>
          <w:tcPr>
            <w:tcW w:w="440"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河流、湖库</w:t>
            </w:r>
          </w:p>
        </w:tc>
        <w:tc>
          <w:tcPr>
            <w:tcW w:w="820"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所在一级功能区</w:t>
            </w:r>
          </w:p>
        </w:tc>
        <w:tc>
          <w:tcPr>
            <w:tcW w:w="403"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代表断面</w:t>
            </w:r>
          </w:p>
        </w:tc>
        <w:tc>
          <w:tcPr>
            <w:tcW w:w="327" w:type="pct"/>
            <w:vMerge w:val="restar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水质现状</w:t>
            </w:r>
          </w:p>
        </w:tc>
        <w:tc>
          <w:tcPr>
            <w:tcW w:w="352" w:type="pct"/>
            <w:tcBorders>
              <w:bottom w:val="single" w:color="auto" w:sz="6" w:space="0"/>
            </w:tcBorders>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水质目标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352" w:type="pct"/>
            <w:vMerge w:val="continue"/>
            <w:vAlign w:val="center"/>
          </w:tcPr>
          <w:p>
            <w:pPr>
              <w:pStyle w:val="85"/>
              <w:rPr>
                <w:color w:val="000000" w:themeColor="text1"/>
                <w14:textFill>
                  <w14:solidFill>
                    <w14:schemeClr w14:val="tx1"/>
                  </w14:solidFill>
                </w14:textFill>
              </w:rPr>
            </w:pPr>
          </w:p>
        </w:tc>
        <w:tc>
          <w:tcPr>
            <w:tcW w:w="895" w:type="pct"/>
            <w:vMerge w:val="continue"/>
          </w:tcPr>
          <w:p>
            <w:pPr>
              <w:pStyle w:val="85"/>
              <w:rPr>
                <w:color w:val="000000" w:themeColor="text1"/>
                <w14:textFill>
                  <w14:solidFill>
                    <w14:schemeClr w14:val="tx1"/>
                  </w14:solidFill>
                </w14:textFill>
              </w:rPr>
            </w:pPr>
          </w:p>
        </w:tc>
        <w:tc>
          <w:tcPr>
            <w:tcW w:w="895" w:type="pct"/>
            <w:vMerge w:val="continue"/>
            <w:vAlign w:val="center"/>
          </w:tcPr>
          <w:p>
            <w:pPr>
              <w:pStyle w:val="85"/>
              <w:rPr>
                <w:color w:val="000000" w:themeColor="text1"/>
                <w14:textFill>
                  <w14:solidFill>
                    <w14:schemeClr w14:val="tx1"/>
                  </w14:solidFill>
                </w14:textFill>
              </w:rPr>
            </w:pPr>
          </w:p>
        </w:tc>
        <w:tc>
          <w:tcPr>
            <w:tcW w:w="515" w:type="pct"/>
            <w:vMerge w:val="continue"/>
            <w:vAlign w:val="center"/>
          </w:tcPr>
          <w:p>
            <w:pPr>
              <w:pStyle w:val="85"/>
              <w:rPr>
                <w:color w:val="000000" w:themeColor="text1"/>
                <w14:textFill>
                  <w14:solidFill>
                    <w14:schemeClr w14:val="tx1"/>
                  </w14:solidFill>
                </w14:textFill>
              </w:rPr>
            </w:pPr>
          </w:p>
        </w:tc>
        <w:tc>
          <w:tcPr>
            <w:tcW w:w="440" w:type="pct"/>
            <w:vMerge w:val="continue"/>
            <w:vAlign w:val="center"/>
          </w:tcPr>
          <w:p>
            <w:pPr>
              <w:pStyle w:val="85"/>
              <w:rPr>
                <w:color w:val="000000" w:themeColor="text1"/>
                <w14:textFill>
                  <w14:solidFill>
                    <w14:schemeClr w14:val="tx1"/>
                  </w14:solidFill>
                </w14:textFill>
              </w:rPr>
            </w:pPr>
          </w:p>
        </w:tc>
        <w:tc>
          <w:tcPr>
            <w:tcW w:w="820" w:type="pct"/>
            <w:vMerge w:val="continue"/>
            <w:vAlign w:val="center"/>
          </w:tcPr>
          <w:p>
            <w:pPr>
              <w:pStyle w:val="85"/>
              <w:rPr>
                <w:color w:val="000000" w:themeColor="text1"/>
                <w14:textFill>
                  <w14:solidFill>
                    <w14:schemeClr w14:val="tx1"/>
                  </w14:solidFill>
                </w14:textFill>
              </w:rPr>
            </w:pPr>
          </w:p>
        </w:tc>
        <w:tc>
          <w:tcPr>
            <w:tcW w:w="403" w:type="pct"/>
            <w:vMerge w:val="continue"/>
            <w:vAlign w:val="center"/>
          </w:tcPr>
          <w:p>
            <w:pPr>
              <w:pStyle w:val="85"/>
              <w:rPr>
                <w:color w:val="000000" w:themeColor="text1"/>
                <w14:textFill>
                  <w14:solidFill>
                    <w14:schemeClr w14:val="tx1"/>
                  </w14:solidFill>
                </w14:textFill>
              </w:rPr>
            </w:pPr>
          </w:p>
        </w:tc>
        <w:tc>
          <w:tcPr>
            <w:tcW w:w="327" w:type="pct"/>
            <w:vMerge w:val="continue"/>
            <w:shd w:val="clear" w:color="auto" w:fill="auto"/>
            <w:vAlign w:val="center"/>
          </w:tcPr>
          <w:p>
            <w:pPr>
              <w:pStyle w:val="85"/>
              <w:rPr>
                <w:color w:val="000000" w:themeColor="text1"/>
                <w14:textFill>
                  <w14:solidFill>
                    <w14:schemeClr w14:val="tx1"/>
                  </w14:solidFill>
                </w14:textFill>
              </w:rPr>
            </w:pPr>
          </w:p>
        </w:tc>
        <w:tc>
          <w:tcPr>
            <w:tcW w:w="35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2030年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352"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w:t>
            </w:r>
          </w:p>
        </w:tc>
        <w:tc>
          <w:tcPr>
            <w:tcW w:w="895"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89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梁王河澄江饮用、工业、农业用水区</w:t>
            </w:r>
          </w:p>
        </w:tc>
        <w:tc>
          <w:tcPr>
            <w:tcW w:w="51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440"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w:t>
            </w:r>
          </w:p>
        </w:tc>
        <w:tc>
          <w:tcPr>
            <w:tcW w:w="820"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梁王河水库澄江开发利用区</w:t>
            </w:r>
          </w:p>
        </w:tc>
        <w:tc>
          <w:tcPr>
            <w:tcW w:w="40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w:t>
            </w:r>
          </w:p>
        </w:tc>
        <w:tc>
          <w:tcPr>
            <w:tcW w:w="327"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352"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352"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2</w:t>
            </w:r>
          </w:p>
        </w:tc>
        <w:tc>
          <w:tcPr>
            <w:tcW w:w="895"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89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梁王河澄江农业用水区</w:t>
            </w:r>
          </w:p>
        </w:tc>
        <w:tc>
          <w:tcPr>
            <w:tcW w:w="51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440"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w:t>
            </w:r>
          </w:p>
        </w:tc>
        <w:tc>
          <w:tcPr>
            <w:tcW w:w="820"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梁王河水库澄江开发利用区</w:t>
            </w:r>
          </w:p>
        </w:tc>
        <w:tc>
          <w:tcPr>
            <w:tcW w:w="40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w:t>
            </w:r>
          </w:p>
        </w:tc>
        <w:tc>
          <w:tcPr>
            <w:tcW w:w="327"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352"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7" w:hRule="atLeast"/>
        </w:trPr>
        <w:tc>
          <w:tcPr>
            <w:tcW w:w="352"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3</w:t>
            </w:r>
          </w:p>
        </w:tc>
        <w:tc>
          <w:tcPr>
            <w:tcW w:w="895"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89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东大河澄江饮用、工业、农业用水区</w:t>
            </w:r>
          </w:p>
        </w:tc>
        <w:tc>
          <w:tcPr>
            <w:tcW w:w="51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440"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w:t>
            </w:r>
          </w:p>
        </w:tc>
        <w:tc>
          <w:tcPr>
            <w:tcW w:w="820"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东大河水库澄江开发利用区</w:t>
            </w:r>
          </w:p>
        </w:tc>
        <w:tc>
          <w:tcPr>
            <w:tcW w:w="40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东大河水库</w:t>
            </w:r>
          </w:p>
        </w:tc>
        <w:tc>
          <w:tcPr>
            <w:tcW w:w="327"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352"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352"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4</w:t>
            </w:r>
          </w:p>
        </w:tc>
        <w:tc>
          <w:tcPr>
            <w:tcW w:w="895"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89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东大河澄江农业用水区</w:t>
            </w:r>
          </w:p>
        </w:tc>
        <w:tc>
          <w:tcPr>
            <w:tcW w:w="51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440"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w:t>
            </w:r>
          </w:p>
        </w:tc>
        <w:tc>
          <w:tcPr>
            <w:tcW w:w="820"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东大河水库澄江开发利用区</w:t>
            </w:r>
          </w:p>
        </w:tc>
        <w:tc>
          <w:tcPr>
            <w:tcW w:w="40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东大河水库</w:t>
            </w:r>
          </w:p>
        </w:tc>
        <w:tc>
          <w:tcPr>
            <w:tcW w:w="327"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352"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r>
    </w:tbl>
    <w:p>
      <w:pPr>
        <w:pStyle w:val="6"/>
      </w:pPr>
      <w:r>
        <w:rPr>
          <w:rFonts w:hint="eastAsia"/>
        </w:rPr>
        <w:t>水质现状评价</w:t>
      </w:r>
    </w:p>
    <w:p>
      <w:pPr>
        <w:pStyle w:val="7"/>
      </w:pPr>
      <w:bookmarkStart w:id="36" w:name="_Hlk160293654"/>
      <w:r>
        <w:rPr>
          <w:rFonts w:hint="eastAsia"/>
        </w:rPr>
        <w:t>抚仙湖水质现状</w:t>
      </w:r>
    </w:p>
    <w:bookmarkEnd w:id="36"/>
    <w:p>
      <w:pPr>
        <w:pStyle w:val="4"/>
      </w:pPr>
      <w:bookmarkStart w:id="37" w:name="_Hlk183991884"/>
      <w:r>
        <w:t>2022</w:t>
      </w:r>
      <w:r>
        <w:rPr>
          <w:rFonts w:hint="eastAsia"/>
        </w:rPr>
        <w:t>年抚仙湖水质类别由整体</w:t>
      </w:r>
      <w:r>
        <w:t>Ⅰ</w:t>
      </w:r>
      <w:r>
        <w:rPr>
          <w:rFonts w:hint="eastAsia"/>
        </w:rPr>
        <w:t>类局部下降为</w:t>
      </w:r>
      <w:r>
        <w:t>Ⅱ</w:t>
      </w:r>
      <w:r>
        <w:rPr>
          <w:rFonts w:hint="eastAsia"/>
        </w:rPr>
        <w:t>类</w:t>
      </w:r>
      <w:bookmarkEnd w:id="37"/>
      <w:r>
        <w:rPr>
          <w:rFonts w:hint="eastAsia"/>
        </w:rPr>
        <w:t>，水质优，未达到水功能要求（I类），超标指标总磷，湖库单独评价指标总氮为</w:t>
      </w:r>
      <w:r>
        <w:t>Ⅰ</w:t>
      </w:r>
      <w:r>
        <w:rPr>
          <w:rFonts w:hint="eastAsia"/>
        </w:rPr>
        <w:t>类，营养状态为贫营养。近几年抚仙湖水体虽然总体保持</w:t>
      </w:r>
      <w:r>
        <w:t>Ⅰ</w:t>
      </w:r>
      <w:r>
        <w:rPr>
          <w:rFonts w:hint="eastAsia"/>
        </w:rPr>
        <w:t>类，但主要污染指标总体呈缓慢上升趋势，总磷全湖平均浓度近五年均在</w:t>
      </w:r>
      <w:r>
        <w:t>Ⅰ</w:t>
      </w:r>
      <w:r>
        <w:rPr>
          <w:rFonts w:hint="eastAsia"/>
        </w:rPr>
        <w:t>类限值以下波动，</w:t>
      </w:r>
      <w:r>
        <w:t>2018</w:t>
      </w:r>
      <w:r>
        <w:rPr>
          <w:rFonts w:hint="eastAsia"/>
        </w:rPr>
        <w:t>年全湖年均总氮浓度达到</w:t>
      </w:r>
      <w:r>
        <w:t>0.2mg/L</w:t>
      </w:r>
      <w:r>
        <w:rPr>
          <w:rFonts w:hint="eastAsia"/>
        </w:rPr>
        <w:t>，达到</w:t>
      </w:r>
      <w:r>
        <w:t>I</w:t>
      </w:r>
      <w:r>
        <w:rPr>
          <w:rFonts w:hint="eastAsia"/>
        </w:rPr>
        <w:t>类标准限值（</w:t>
      </w:r>
      <w:r>
        <w:t>0.2mg/L</w:t>
      </w:r>
      <w:r>
        <w:rPr>
          <w:rFonts w:hint="eastAsia"/>
        </w:rPr>
        <w:t>），高于</w:t>
      </w:r>
      <w:r>
        <w:t>2017</w:t>
      </w:r>
      <w:r>
        <w:rPr>
          <w:rFonts w:hint="eastAsia"/>
        </w:rPr>
        <w:t>年同期，叶绿素</w:t>
      </w:r>
      <w:r>
        <w:t>a</w:t>
      </w:r>
      <w:r>
        <w:rPr>
          <w:rFonts w:hint="eastAsia"/>
        </w:rPr>
        <w:t>全湖平均浓度呈上升趋势，</w:t>
      </w:r>
      <w:r>
        <w:t>2018</w:t>
      </w:r>
      <w:r>
        <w:rPr>
          <w:rFonts w:hint="eastAsia"/>
        </w:rPr>
        <w:t>年较</w:t>
      </w:r>
      <w:r>
        <w:t>2017</w:t>
      </w:r>
      <w:r>
        <w:rPr>
          <w:rFonts w:hint="eastAsia"/>
        </w:rPr>
        <w:t>年上升了</w:t>
      </w:r>
      <w:r>
        <w:t>66.67%</w:t>
      </w:r>
      <w:r>
        <w:rPr>
          <w:rFonts w:hint="eastAsia"/>
        </w:rPr>
        <w:t>，近五年全湖仍处于贫营养状态，但营养状态指数有所升高。</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3.1</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3</w:t>
      </w:r>
      <w:r>
        <w:rPr>
          <w:rFonts w:eastAsia="黑体"/>
          <w:spacing w:val="0"/>
        </w:rPr>
        <w:fldChar w:fldCharType="end"/>
      </w:r>
      <w:r>
        <w:rPr>
          <w:rFonts w:eastAsia="黑体"/>
          <w:spacing w:val="0"/>
        </w:rPr>
        <w:t xml:space="preserve">  </w:t>
      </w:r>
      <w:r>
        <w:rPr>
          <w:rFonts w:hint="eastAsia" w:eastAsia="黑体"/>
          <w:spacing w:val="0"/>
        </w:rPr>
        <w:t>抚仙湖2022年监测断面水质类别</w:t>
      </w:r>
    </w:p>
    <w:tbl>
      <w:tblPr>
        <w:tblStyle w:val="51"/>
        <w:tblW w:w="5000" w:type="pct"/>
        <w:tblInd w:w="0" w:type="dxa"/>
        <w:tblLayout w:type="autofit"/>
        <w:tblCellMar>
          <w:top w:w="0" w:type="dxa"/>
          <w:left w:w="108" w:type="dxa"/>
          <w:bottom w:w="0" w:type="dxa"/>
          <w:right w:w="108" w:type="dxa"/>
        </w:tblCellMar>
      </w:tblPr>
      <w:tblGrid>
        <w:gridCol w:w="1749"/>
        <w:gridCol w:w="1471"/>
        <w:gridCol w:w="1471"/>
        <w:gridCol w:w="1471"/>
        <w:gridCol w:w="1471"/>
        <w:gridCol w:w="1653"/>
      </w:tblGrid>
      <w:tr>
        <w:tblPrEx>
          <w:tblCellMar>
            <w:top w:w="0" w:type="dxa"/>
            <w:left w:w="108" w:type="dxa"/>
            <w:bottom w:w="0" w:type="dxa"/>
            <w:right w:w="108" w:type="dxa"/>
          </w:tblCellMar>
        </w:tblPrEx>
        <w:trPr>
          <w:trHeight w:val="431" w:hRule="atLeast"/>
        </w:trPr>
        <w:tc>
          <w:tcPr>
            <w:tcW w:w="94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断面名称</w:t>
            </w:r>
          </w:p>
        </w:tc>
        <w:tc>
          <w:tcPr>
            <w:tcW w:w="79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路居</w:t>
            </w:r>
          </w:p>
        </w:tc>
        <w:tc>
          <w:tcPr>
            <w:tcW w:w="79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尖山</w:t>
            </w:r>
          </w:p>
        </w:tc>
        <w:tc>
          <w:tcPr>
            <w:tcW w:w="79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湖心</w:t>
            </w:r>
          </w:p>
        </w:tc>
        <w:tc>
          <w:tcPr>
            <w:tcW w:w="79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哨嘴</w:t>
            </w:r>
          </w:p>
        </w:tc>
        <w:tc>
          <w:tcPr>
            <w:tcW w:w="891"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全湖平均</w:t>
            </w:r>
          </w:p>
        </w:tc>
      </w:tr>
      <w:tr>
        <w:tblPrEx>
          <w:tblCellMar>
            <w:top w:w="0" w:type="dxa"/>
            <w:left w:w="108" w:type="dxa"/>
            <w:bottom w:w="0" w:type="dxa"/>
            <w:right w:w="108" w:type="dxa"/>
          </w:tblCellMar>
        </w:tblPrEx>
        <w:trPr>
          <w:trHeight w:val="409"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断面控制属性</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省控</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省控</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国控</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0"/>
                <w:szCs w:val="20"/>
              </w:rPr>
            </w:pPr>
            <w:r>
              <w:rPr>
                <w:rFonts w:hint="eastAsia" w:ascii="宋体" w:hAnsi="宋体" w:eastAsia="宋体" w:cs="宋体"/>
                <w:color w:val="000000"/>
                <w:spacing w:val="0"/>
                <w:kern w:val="0"/>
                <w:sz w:val="20"/>
                <w:szCs w:val="20"/>
              </w:rPr>
              <w:t>省控</w:t>
            </w:r>
          </w:p>
        </w:tc>
        <w:tc>
          <w:tcPr>
            <w:tcW w:w="891"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宋体" w:hAnsi="宋体" w:eastAsia="宋体" w:cs="宋体"/>
                <w:color w:val="000000"/>
                <w:spacing w:val="0"/>
                <w:kern w:val="0"/>
                <w:sz w:val="20"/>
                <w:szCs w:val="20"/>
              </w:rPr>
            </w:pP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2022年1月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2</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3</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4</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5</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6</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7</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8</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2022年9月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10</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11</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333333"/>
                <w:spacing w:val="0"/>
                <w:kern w:val="0"/>
                <w:sz w:val="20"/>
                <w:szCs w:val="20"/>
              </w:rPr>
            </w:pPr>
            <w:r>
              <w:rPr>
                <w:rFonts w:eastAsia="等线"/>
                <w:color w:val="333333"/>
                <w:spacing w:val="0"/>
                <w:kern w:val="0"/>
                <w:sz w:val="20"/>
                <w:szCs w:val="20"/>
              </w:rPr>
              <w:t>2022</w:t>
            </w:r>
            <w:r>
              <w:rPr>
                <w:rFonts w:hint="eastAsia" w:ascii="宋体" w:hAnsi="宋体" w:eastAsia="宋体"/>
                <w:color w:val="333333"/>
                <w:spacing w:val="0"/>
                <w:kern w:val="0"/>
                <w:sz w:val="20"/>
                <w:szCs w:val="20"/>
              </w:rPr>
              <w:t>年</w:t>
            </w:r>
            <w:r>
              <w:rPr>
                <w:rFonts w:eastAsia="等线"/>
                <w:color w:val="333333"/>
                <w:spacing w:val="0"/>
                <w:kern w:val="0"/>
                <w:sz w:val="20"/>
                <w:szCs w:val="20"/>
              </w:rPr>
              <w:t>12</w:t>
            </w:r>
            <w:r>
              <w:rPr>
                <w:rFonts w:hint="eastAsia" w:ascii="宋体" w:hAnsi="宋体" w:eastAsia="宋体"/>
                <w:color w:val="333333"/>
                <w:spacing w:val="0"/>
                <w:kern w:val="0"/>
                <w:sz w:val="20"/>
                <w:szCs w:val="20"/>
              </w:rPr>
              <w:t>月</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Ⅰ类</w:t>
            </w:r>
          </w:p>
        </w:tc>
      </w:tr>
      <w:tr>
        <w:tblPrEx>
          <w:tblCellMar>
            <w:top w:w="0" w:type="dxa"/>
            <w:left w:w="108" w:type="dxa"/>
            <w:bottom w:w="0" w:type="dxa"/>
            <w:right w:w="108" w:type="dxa"/>
          </w:tblCellMar>
        </w:tblPrEx>
        <w:trPr>
          <w:trHeight w:val="288" w:hRule="atLeast"/>
        </w:trPr>
        <w:tc>
          <w:tcPr>
            <w:tcW w:w="942"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333333"/>
                <w:spacing w:val="0"/>
                <w:kern w:val="0"/>
                <w:sz w:val="20"/>
                <w:szCs w:val="20"/>
              </w:rPr>
            </w:pPr>
            <w:r>
              <w:rPr>
                <w:rFonts w:hint="eastAsia" w:ascii="宋体" w:hAnsi="宋体" w:eastAsia="宋体" w:cs="宋体"/>
                <w:color w:val="333333"/>
                <w:spacing w:val="0"/>
                <w:kern w:val="0"/>
                <w:sz w:val="20"/>
                <w:szCs w:val="20"/>
              </w:rPr>
              <w:t>全年</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79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c>
          <w:tcPr>
            <w:tcW w:w="89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spacing w:val="0"/>
                <w:kern w:val="0"/>
                <w:sz w:val="22"/>
                <w:szCs w:val="22"/>
              </w:rPr>
            </w:pPr>
            <w:r>
              <w:rPr>
                <w:rFonts w:eastAsia="宋体"/>
                <w:color w:val="000000"/>
                <w:spacing w:val="0"/>
                <w:kern w:val="0"/>
                <w:sz w:val="22"/>
                <w:szCs w:val="22"/>
              </w:rPr>
              <w:t>Ⅱ类</w:t>
            </w:r>
          </w:p>
        </w:tc>
      </w:tr>
    </w:tbl>
    <w:p>
      <w:pPr>
        <w:adjustRightInd w:val="0"/>
        <w:snapToGrid w:val="0"/>
        <w:spacing w:line="360" w:lineRule="auto"/>
        <w:ind w:firstLine="0" w:firstLineChars="0"/>
        <w:rPr>
          <w:rFonts w:eastAsia="仿宋_GB2312"/>
          <w:spacing w:val="0"/>
          <w:sz w:val="21"/>
          <w:szCs w:val="24"/>
        </w:rPr>
      </w:pPr>
      <w:r>
        <w:rPr>
          <w:rFonts w:eastAsia="宋体"/>
          <w:spacing w:val="0"/>
          <w:sz w:val="21"/>
          <w:szCs w:val="24"/>
        </w:rPr>
        <w:t>注：以上水质</w:t>
      </w:r>
      <w:r>
        <w:rPr>
          <w:rFonts w:hint="eastAsia" w:eastAsia="宋体"/>
          <w:spacing w:val="0"/>
          <w:sz w:val="21"/>
          <w:szCs w:val="24"/>
        </w:rPr>
        <w:t>类别来源于</w:t>
      </w:r>
      <w:r>
        <w:rPr>
          <w:rFonts w:eastAsia="宋体"/>
          <w:spacing w:val="0"/>
          <w:sz w:val="21"/>
          <w:szCs w:val="24"/>
        </w:rPr>
        <w:t>玉溪市生态环境局澄江分局2022年</w:t>
      </w:r>
      <w:r>
        <w:rPr>
          <w:rFonts w:hint="eastAsia" w:eastAsia="宋体"/>
          <w:spacing w:val="0"/>
          <w:sz w:val="21"/>
          <w:szCs w:val="24"/>
        </w:rPr>
        <w:t>水质</w:t>
      </w:r>
      <w:r>
        <w:rPr>
          <w:rFonts w:eastAsia="宋体"/>
          <w:spacing w:val="0"/>
          <w:sz w:val="21"/>
          <w:szCs w:val="24"/>
        </w:rPr>
        <w:t>监测数据</w:t>
      </w:r>
      <w:r>
        <w:rPr>
          <w:rFonts w:eastAsia="仿宋_GB2312"/>
          <w:spacing w:val="0"/>
          <w:sz w:val="21"/>
          <w:szCs w:val="24"/>
        </w:rPr>
        <w:t>。</w:t>
      </w:r>
    </w:p>
    <w:p>
      <w:pPr>
        <w:pStyle w:val="7"/>
      </w:pPr>
      <w:r>
        <w:rPr>
          <w:rFonts w:hint="eastAsia"/>
        </w:rPr>
        <w:t>抚仙湖主要入湖河道水质现状</w:t>
      </w:r>
    </w:p>
    <w:p>
      <w:pPr>
        <w:pStyle w:val="4"/>
      </w:pPr>
      <w:r>
        <w:t>2023</w:t>
      </w:r>
      <w:r>
        <w:rPr>
          <w:rFonts w:hint="eastAsia"/>
        </w:rPr>
        <w:t>年，抚仙湖</w:t>
      </w:r>
      <w:r>
        <w:t>22</w:t>
      </w:r>
      <w:r>
        <w:rPr>
          <w:rFonts w:hint="eastAsia"/>
        </w:rPr>
        <w:t>条主要入湖河道中，采样期间无水的有</w:t>
      </w:r>
      <w:r>
        <w:t>7</w:t>
      </w:r>
      <w:r>
        <w:rPr>
          <w:rFonts w:hint="eastAsia"/>
        </w:rPr>
        <w:t>条，占比3</w:t>
      </w:r>
      <w:r>
        <w:t>1.82%</w:t>
      </w:r>
      <w:r>
        <w:rPr>
          <w:rFonts w:hint="eastAsia"/>
        </w:rPr>
        <w:t>；综合评价为</w:t>
      </w:r>
      <w:r>
        <w:t>Ⅲ</w:t>
      </w:r>
      <w:r>
        <w:rPr>
          <w:rFonts w:hint="eastAsia"/>
        </w:rPr>
        <w:t>类及以上的河流共计</w:t>
      </w:r>
      <w:r>
        <w:t>10</w:t>
      </w:r>
      <w:r>
        <w:rPr>
          <w:rFonts w:hint="eastAsia"/>
        </w:rPr>
        <w:t>条，占</w:t>
      </w:r>
      <w:r>
        <w:t>45.45%</w:t>
      </w:r>
      <w:r>
        <w:rPr>
          <w:rFonts w:hint="eastAsia"/>
        </w:rPr>
        <w:t>；综合评价为</w:t>
      </w:r>
      <w:r>
        <w:t>Ⅳ</w:t>
      </w:r>
      <w:r>
        <w:rPr>
          <w:rFonts w:hint="eastAsia"/>
        </w:rPr>
        <w:t>类的有</w:t>
      </w:r>
      <w:r>
        <w:t>5</w:t>
      </w:r>
      <w:r>
        <w:rPr>
          <w:rFonts w:hint="eastAsia"/>
        </w:rPr>
        <w:t>条，占2</w:t>
      </w:r>
      <w:r>
        <w:t>2.73%</w:t>
      </w:r>
      <w:r>
        <w:rPr>
          <w:rFonts w:hint="eastAsia"/>
        </w:rPr>
        <w:t>，分别是马料河、路居河、牛摩河、窑泥沟、大清沟。主要超标指标为</w:t>
      </w:r>
      <w:r>
        <w:t>BOD</w:t>
      </w:r>
      <w:r>
        <w:rPr>
          <w:vertAlign w:val="subscript"/>
        </w:rPr>
        <w:t>5</w:t>
      </w:r>
      <w:r>
        <w:t>、总磷</w:t>
      </w:r>
      <w:r>
        <w:rPr>
          <w:rFonts w:hint="eastAsia"/>
        </w:rPr>
        <w:t>、氨氮。根据</w:t>
      </w:r>
      <w:r>
        <w:t>《</w:t>
      </w:r>
      <w:r>
        <w:rPr>
          <w:rFonts w:hint="eastAsia"/>
        </w:rPr>
        <w:t>云南省“十四五”九大高原湖泊保护治理规划</w:t>
      </w:r>
      <w:r>
        <w:t>》（</w:t>
      </w:r>
      <w:r>
        <w:rPr>
          <w:rFonts w:hint="eastAsia"/>
        </w:rPr>
        <w:t>云水发〔2022〕42号</w:t>
      </w:r>
      <w:r>
        <w:t>）抚仙湖主要河道水质优良率达</w:t>
      </w:r>
      <w:r>
        <w:rPr>
          <w:rFonts w:hint="eastAsia"/>
        </w:rPr>
        <w:t>到</w:t>
      </w:r>
      <w:r>
        <w:t>100%</w:t>
      </w:r>
      <w:r>
        <w:rPr>
          <w:rFonts w:hint="eastAsia"/>
        </w:rPr>
        <w:t>。入湖河道水质目标均为</w:t>
      </w:r>
      <w:r>
        <w:t>Ⅲ</w:t>
      </w:r>
      <w:r>
        <w:rPr>
          <w:rFonts w:hint="eastAsia"/>
        </w:rPr>
        <w:t>类以上。抚仙湖主要入湖河道现状水质离达到2</w:t>
      </w:r>
      <w:r>
        <w:t>025</w:t>
      </w:r>
      <w:r>
        <w:rPr>
          <w:rFonts w:hint="eastAsia"/>
        </w:rPr>
        <w:t>年目标还有一定差距。</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3.1</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4</w:t>
      </w:r>
      <w:r>
        <w:rPr>
          <w:rFonts w:eastAsia="黑体"/>
          <w:spacing w:val="0"/>
        </w:rPr>
        <w:fldChar w:fldCharType="end"/>
      </w:r>
      <w:r>
        <w:rPr>
          <w:rFonts w:eastAsia="黑体"/>
          <w:spacing w:val="0"/>
        </w:rPr>
        <w:t xml:space="preserve">  </w:t>
      </w:r>
      <w:r>
        <w:rPr>
          <w:rFonts w:hint="eastAsia" w:eastAsia="黑体"/>
          <w:spacing w:val="0"/>
        </w:rPr>
        <w:t>2</w:t>
      </w:r>
      <w:r>
        <w:rPr>
          <w:rFonts w:eastAsia="黑体"/>
          <w:spacing w:val="0"/>
        </w:rPr>
        <w:t>2</w:t>
      </w:r>
      <w:r>
        <w:rPr>
          <w:rFonts w:hint="eastAsia" w:eastAsia="黑体"/>
          <w:spacing w:val="0"/>
        </w:rPr>
        <w:t>条主要入湖河道水质变化趋势分析</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7"/>
        <w:gridCol w:w="1573"/>
        <w:gridCol w:w="1265"/>
        <w:gridCol w:w="1456"/>
        <w:gridCol w:w="1504"/>
        <w:gridCol w:w="2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blHeader/>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河道名称</w:t>
            </w:r>
          </w:p>
        </w:tc>
        <w:tc>
          <w:tcPr>
            <w:tcW w:w="68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2021年</w:t>
            </w:r>
          </w:p>
        </w:tc>
        <w:tc>
          <w:tcPr>
            <w:tcW w:w="78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2022年</w:t>
            </w:r>
          </w:p>
        </w:tc>
        <w:tc>
          <w:tcPr>
            <w:tcW w:w="810"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p>
        </w:tc>
        <w:tc>
          <w:tcPr>
            <w:tcW w:w="1454"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023</w:t>
            </w:r>
            <w:r>
              <w:rPr>
                <w:rFonts w:hint="eastAsia"/>
                <w:color w:val="000000" w:themeColor="text1"/>
                <w14:textFill>
                  <w14:solidFill>
                    <w14:schemeClr w14:val="tx1"/>
                  </w14:solidFill>
                </w14:textFill>
              </w:rPr>
              <w:t>年超标因子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马料河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代村河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Ⅴ类</w:t>
            </w:r>
          </w:p>
        </w:tc>
        <w:tc>
          <w:tcPr>
            <w:tcW w:w="810"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无水</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路居河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隔河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牛摩河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尖山河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山冲河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I</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锁水桥沟</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810"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无水</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窑泥沟</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Ⅴ类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马房中沟</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Ⅴ类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810"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无水</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马房西沟</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劣Ⅴ类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810"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无水</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龙溪沟</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居乐河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大清沟</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Ⅳ</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氨氮、总磷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矣渡河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独房大沟</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Ⅴ类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810"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无水</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地涧沟</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810"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无水</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矣马谷大河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无水</w:t>
            </w:r>
          </w:p>
        </w:tc>
        <w:tc>
          <w:tcPr>
            <w:tcW w:w="810"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无水</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路岐河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24"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847"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沙亥河</w:t>
            </w:r>
          </w:p>
        </w:tc>
        <w:tc>
          <w:tcPr>
            <w:tcW w:w="681"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784"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Ⅲ类</w:t>
            </w:r>
          </w:p>
        </w:tc>
        <w:tc>
          <w:tcPr>
            <w:tcW w:w="810" w:type="pct"/>
            <w:shd w:val="clear" w:color="auto" w:fill="auto"/>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Ⅲ</w:t>
            </w:r>
            <w:r>
              <w:rPr>
                <w:rFonts w:hint="eastAsia"/>
                <w:color w:val="000000" w:themeColor="text1"/>
                <w14:textFill>
                  <w14:solidFill>
                    <w14:schemeClr w14:val="tx1"/>
                  </w14:solidFill>
                </w14:textFill>
              </w:rPr>
              <w:t>类</w:t>
            </w:r>
          </w:p>
        </w:tc>
        <w:tc>
          <w:tcPr>
            <w:tcW w:w="1454" w:type="pct"/>
            <w:shd w:val="clear" w:color="auto" w:fill="auto"/>
          </w:tcPr>
          <w:p>
            <w:pPr>
              <w:pStyle w:val="85"/>
              <w:rPr>
                <w:color w:val="000000" w:themeColor="text1"/>
                <w14:textFill>
                  <w14:solidFill>
                    <w14:schemeClr w14:val="tx1"/>
                  </w14:solidFill>
                </w14:textFill>
              </w:rPr>
            </w:pPr>
          </w:p>
        </w:tc>
      </w:tr>
    </w:tbl>
    <w:p>
      <w:pPr>
        <w:adjustRightInd w:val="0"/>
        <w:snapToGrid w:val="0"/>
        <w:spacing w:line="360" w:lineRule="auto"/>
        <w:ind w:firstLine="0" w:firstLineChars="0"/>
        <w:rPr>
          <w:rFonts w:eastAsia="仿宋_GB2312"/>
          <w:spacing w:val="0"/>
          <w:sz w:val="21"/>
          <w:szCs w:val="24"/>
        </w:rPr>
      </w:pPr>
      <w:r>
        <w:rPr>
          <w:rFonts w:eastAsia="宋体"/>
          <w:spacing w:val="0"/>
          <w:sz w:val="21"/>
          <w:szCs w:val="24"/>
        </w:rPr>
        <w:t>注：以上水质</w:t>
      </w:r>
      <w:r>
        <w:rPr>
          <w:rFonts w:hint="eastAsia" w:eastAsia="宋体"/>
          <w:spacing w:val="0"/>
          <w:sz w:val="21"/>
          <w:szCs w:val="24"/>
        </w:rPr>
        <w:t>类别来源于</w:t>
      </w:r>
      <w:r>
        <w:rPr>
          <w:rFonts w:eastAsia="宋体"/>
          <w:spacing w:val="0"/>
          <w:sz w:val="21"/>
          <w:szCs w:val="24"/>
        </w:rPr>
        <w:t>玉溪市生态环境局澄江分局</w:t>
      </w:r>
      <w:r>
        <w:rPr>
          <w:rFonts w:hint="eastAsia" w:eastAsia="宋体"/>
          <w:spacing w:val="0"/>
          <w:sz w:val="21"/>
          <w:szCs w:val="24"/>
        </w:rPr>
        <w:t>202</w:t>
      </w:r>
      <w:r>
        <w:rPr>
          <w:rFonts w:eastAsia="宋体"/>
          <w:spacing w:val="0"/>
          <w:sz w:val="21"/>
          <w:szCs w:val="24"/>
        </w:rPr>
        <w:t>1</w:t>
      </w:r>
      <w:r>
        <w:rPr>
          <w:rFonts w:hint="eastAsia" w:eastAsia="宋体"/>
          <w:spacing w:val="0"/>
          <w:sz w:val="21"/>
          <w:szCs w:val="24"/>
        </w:rPr>
        <w:t>年、</w:t>
      </w:r>
      <w:r>
        <w:rPr>
          <w:rFonts w:eastAsia="宋体"/>
          <w:spacing w:val="0"/>
          <w:sz w:val="21"/>
          <w:szCs w:val="24"/>
        </w:rPr>
        <w:t>2022年</w:t>
      </w:r>
      <w:r>
        <w:rPr>
          <w:rFonts w:hint="eastAsia" w:eastAsia="宋体"/>
          <w:spacing w:val="0"/>
          <w:sz w:val="21"/>
          <w:szCs w:val="24"/>
        </w:rPr>
        <w:t>和2</w:t>
      </w:r>
      <w:r>
        <w:rPr>
          <w:rFonts w:eastAsia="宋体"/>
          <w:spacing w:val="0"/>
          <w:sz w:val="21"/>
          <w:szCs w:val="24"/>
        </w:rPr>
        <w:t>023</w:t>
      </w:r>
      <w:r>
        <w:rPr>
          <w:rFonts w:hint="eastAsia" w:eastAsia="宋体"/>
          <w:spacing w:val="0"/>
          <w:sz w:val="21"/>
          <w:szCs w:val="24"/>
        </w:rPr>
        <w:t>年</w:t>
      </w:r>
      <w:r>
        <w:rPr>
          <w:rFonts w:eastAsia="宋体"/>
          <w:spacing w:val="0"/>
          <w:sz w:val="21"/>
          <w:szCs w:val="24"/>
        </w:rPr>
        <w:t>监测数据</w:t>
      </w:r>
      <w:r>
        <w:rPr>
          <w:rFonts w:eastAsia="仿宋_GB2312"/>
          <w:spacing w:val="0"/>
          <w:sz w:val="21"/>
          <w:szCs w:val="24"/>
        </w:rPr>
        <w:t>。</w:t>
      </w:r>
    </w:p>
    <w:p>
      <w:pPr>
        <w:pStyle w:val="4"/>
      </w:pPr>
      <w:r>
        <w:rPr>
          <w:rFonts w:hint="eastAsia"/>
        </w:rPr>
        <w:t>抚仙湖主要入湖河流径流区为人口密集及农业生产集中的区域，受人为活动影响，河道水质污染较为严重。水质为</w:t>
      </w:r>
      <w:r>
        <w:t>Ⅳ</w:t>
      </w:r>
      <w:r>
        <w:rPr>
          <w:rFonts w:hint="eastAsia"/>
        </w:rPr>
        <w:t>类的河流中大多位于抚仙湖北岸，大多数流经北岸众多村庄、城镇、餐馆和农家乐等人口密集区域，河道早已渠道化，失去自净能力，由于长期积纳生活污水、生产与生活垃圾，河道水质污染严重，部分河道受水土流失影响较为严重，雨季土壤侵蚀非常严重，水土流失携带大量泥沙、可溶态氮和颗粒态磷入湖，对抚仙湖水体氮、磷的贡献也不可忽视。</w:t>
      </w:r>
    </w:p>
    <w:p>
      <w:pPr>
        <w:pStyle w:val="4"/>
      </w:pPr>
      <w:r>
        <w:rPr>
          <w:rFonts w:hint="eastAsia"/>
        </w:rPr>
        <w:t>根据现场调查的情况，这些水质超标的入湖河道水质差的原因主要是大量农业灌溉回归水直排入河道内。抚仙湖北岸生态调蓄带工程中已在抚仙湖北岸（靠近澄江市一侧）建有</w:t>
      </w:r>
      <w:r>
        <w:t>45.3</w:t>
      </w:r>
      <w:r>
        <w:rPr>
          <w:rFonts w:hint="eastAsia"/>
        </w:rPr>
        <w:t>万</w:t>
      </w:r>
      <w:r>
        <w:t>m</w:t>
      </w:r>
      <w:r>
        <w:rPr>
          <w:vertAlign w:val="superscript"/>
        </w:rPr>
        <w:t>3</w:t>
      </w:r>
      <w:r>
        <w:rPr>
          <w:rFonts w:hint="eastAsia"/>
        </w:rPr>
        <w:t>的调蓄带，用于截留和净化农业污水，但在汛期存在污水溢流进入抚仙湖的情况，而且因未进行雨污分流，雨水也进入调蓄带内，从而增加了进入调蓄带的污水量，增加了调蓄带的运行负荷，减少了入湖清水补给量，急需尽快采取措施进行清污分流。</w:t>
      </w:r>
    </w:p>
    <w:p>
      <w:pPr>
        <w:pStyle w:val="7"/>
      </w:pPr>
      <w:r>
        <w:rPr>
          <w:rFonts w:hint="eastAsia"/>
        </w:rPr>
        <w:t>集中式饮用水水源地水质现状</w:t>
      </w:r>
    </w:p>
    <w:p>
      <w:pPr>
        <w:pStyle w:val="4"/>
      </w:pPr>
      <w:r>
        <w:rPr>
          <w:rFonts w:hint="eastAsia"/>
        </w:rPr>
        <w:t>澄江市共有8个集中式饮用水水源地，</w:t>
      </w:r>
      <w:r>
        <w:t>其中1个县级集中式饮用水水源地（西龙潭），5个千吨万人级饮用水水源地（甸垛龙潭、梁王河水库、东大河水库、东龙潭、二家村深井），2个乡镇级饮用水水源地（冷水龙潭、小石洞机井）</w:t>
      </w:r>
      <w:r>
        <w:rPr>
          <w:rFonts w:hint="eastAsia"/>
        </w:rPr>
        <w:t>，覆盖供水人口比例约75%。其余水源多为村、组范围内的山箐水，占供水人口比例约25%。</w:t>
      </w:r>
      <w:r>
        <w:t>主要水源点水质情况见</w:t>
      </w:r>
      <w:r>
        <w:rPr>
          <w:rFonts w:hint="eastAsia"/>
        </w:rPr>
        <w:t>下</w:t>
      </w:r>
      <w:r>
        <w:t>表</w:t>
      </w:r>
      <w:r>
        <w:rPr>
          <w:rFonts w:hint="eastAsia"/>
        </w:rPr>
        <w:t>所示</w:t>
      </w:r>
      <w:r>
        <w:t>。</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3.1</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5</w:t>
      </w:r>
      <w:r>
        <w:rPr>
          <w:rFonts w:eastAsia="黑体"/>
          <w:spacing w:val="0"/>
        </w:rPr>
        <w:fldChar w:fldCharType="end"/>
      </w:r>
      <w:r>
        <w:rPr>
          <w:rFonts w:eastAsia="黑体"/>
          <w:spacing w:val="0"/>
        </w:rPr>
        <w:t xml:space="preserve">  </w:t>
      </w:r>
      <w:r>
        <w:rPr>
          <w:rFonts w:hint="eastAsia" w:eastAsia="黑体"/>
          <w:spacing w:val="0"/>
        </w:rPr>
        <w:t>澄江市部分水源点水质监测结果表</w:t>
      </w:r>
    </w:p>
    <w:tbl>
      <w:tblPr>
        <w:tblStyle w:val="51"/>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90"/>
        <w:gridCol w:w="1690"/>
        <w:gridCol w:w="1872"/>
        <w:gridCol w:w="2156"/>
        <w:gridCol w:w="187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8" w:hRule="atLeast"/>
        </w:trPr>
        <w:tc>
          <w:tcPr>
            <w:tcW w:w="910"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片区</w:t>
            </w:r>
          </w:p>
        </w:tc>
        <w:tc>
          <w:tcPr>
            <w:tcW w:w="910"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水源地名称</w:t>
            </w:r>
          </w:p>
        </w:tc>
        <w:tc>
          <w:tcPr>
            <w:tcW w:w="1008"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时间</w:t>
            </w:r>
          </w:p>
        </w:tc>
        <w:tc>
          <w:tcPr>
            <w:tcW w:w="1161"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水质评价</w:t>
            </w:r>
            <w:r>
              <w:rPr>
                <w:rFonts w:hint="eastAsia"/>
                <w:color w:val="000000" w:themeColor="text1"/>
                <w14:textFill>
                  <w14:solidFill>
                    <w14:schemeClr w14:val="tx1"/>
                  </w14:solidFill>
                </w14:textFill>
              </w:rPr>
              <w:t>类别</w:t>
            </w:r>
          </w:p>
        </w:tc>
        <w:tc>
          <w:tcPr>
            <w:tcW w:w="1011" w:type="pct"/>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超标因子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3" w:hRule="atLeast"/>
        </w:trPr>
        <w:tc>
          <w:tcPr>
            <w:tcW w:w="910"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10"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西龙潭水源地（总氮不参评）</w:t>
            </w:r>
          </w:p>
        </w:tc>
        <w:tc>
          <w:tcPr>
            <w:tcW w:w="100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2023年四个季度均值</w:t>
            </w:r>
          </w:p>
        </w:tc>
        <w:tc>
          <w:tcPr>
            <w:tcW w:w="1161" w:type="pct"/>
            <w:shd w:val="clear" w:color="auto" w:fill="auto"/>
            <w:vAlign w:val="center"/>
          </w:tcPr>
          <w:p>
            <w:pPr>
              <w:pStyle w:val="85"/>
              <w:rPr>
                <w:color w:val="000000" w:themeColor="text1"/>
                <w14:textFill>
                  <w14:solidFill>
                    <w14:schemeClr w14:val="tx1"/>
                  </w14:solidFill>
                </w14:textFill>
              </w:rPr>
            </w:pPr>
            <w:r>
              <w:rPr>
                <w:rFonts w:cs="Times New Roman"/>
                <w:color w:val="000000" w:themeColor="text1"/>
                <w14:textFill>
                  <w14:solidFill>
                    <w14:schemeClr w14:val="tx1"/>
                  </w14:solidFill>
                </w14:textFill>
              </w:rPr>
              <w:t>Ⅱ</w:t>
            </w:r>
            <w:r>
              <w:rPr>
                <w:rFonts w:hint="eastAsia"/>
                <w:color w:val="000000" w:themeColor="text1"/>
                <w14:textFill>
                  <w14:solidFill>
                    <w14:schemeClr w14:val="tx1"/>
                  </w14:solidFill>
                </w14:textFill>
              </w:rPr>
              <w:t>类</w:t>
            </w:r>
          </w:p>
        </w:tc>
        <w:tc>
          <w:tcPr>
            <w:tcW w:w="10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3" w:hRule="atLeast"/>
        </w:trPr>
        <w:tc>
          <w:tcPr>
            <w:tcW w:w="910"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10"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东大河水库水源地</w:t>
            </w:r>
          </w:p>
        </w:tc>
        <w:tc>
          <w:tcPr>
            <w:tcW w:w="100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2024年1-7月均值</w:t>
            </w:r>
          </w:p>
        </w:tc>
        <w:tc>
          <w:tcPr>
            <w:tcW w:w="1161"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Ⅳ类</w:t>
            </w:r>
          </w:p>
        </w:tc>
        <w:tc>
          <w:tcPr>
            <w:tcW w:w="1011" w:type="pct"/>
            <w:shd w:val="clear" w:color="auto" w:fill="auto"/>
            <w:noWrap/>
            <w:vAlign w:val="bottom"/>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TP（0.6倍）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3" w:hRule="atLeast"/>
        </w:trPr>
        <w:tc>
          <w:tcPr>
            <w:tcW w:w="910"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910"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梁王河水库水源地</w:t>
            </w:r>
          </w:p>
        </w:tc>
        <w:tc>
          <w:tcPr>
            <w:tcW w:w="1008"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2024年1-8月均值</w:t>
            </w:r>
          </w:p>
        </w:tc>
        <w:tc>
          <w:tcPr>
            <w:tcW w:w="1161"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Ⅳ类</w:t>
            </w:r>
          </w:p>
        </w:tc>
        <w:tc>
          <w:tcPr>
            <w:tcW w:w="1011" w:type="pct"/>
            <w:shd w:val="clear" w:color="auto" w:fill="auto"/>
            <w:noWrap/>
            <w:vAlign w:val="bottom"/>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TP（0.2倍）</w:t>
            </w:r>
          </w:p>
        </w:tc>
      </w:tr>
    </w:tbl>
    <w:p>
      <w:pPr>
        <w:pStyle w:val="6"/>
      </w:pPr>
      <w:r>
        <w:rPr>
          <w:rFonts w:hint="eastAsia"/>
        </w:rPr>
        <w:t>生态需水满足程度现状评价</w:t>
      </w:r>
    </w:p>
    <w:p>
      <w:pPr>
        <w:pStyle w:val="7"/>
      </w:pPr>
      <w:bookmarkStart w:id="38" w:name="_Hlk160205492"/>
      <w:r>
        <w:rPr>
          <w:rFonts w:hint="eastAsia"/>
        </w:rPr>
        <w:t>抚仙湖流域生态需水评价</w:t>
      </w:r>
    </w:p>
    <w:bookmarkEnd w:id="38"/>
    <w:p>
      <w:pPr>
        <w:pStyle w:val="4"/>
      </w:pPr>
      <w:r>
        <w:rPr>
          <w:rFonts w:hint="eastAsia"/>
        </w:rPr>
        <w:t>根据</w:t>
      </w:r>
      <w:r>
        <w:t>《</w:t>
      </w:r>
      <w:r>
        <w:rPr>
          <w:rFonts w:hint="eastAsia"/>
        </w:rPr>
        <w:t>云南省抚仙湖保护</w:t>
      </w:r>
      <w:r>
        <w:t>条例》规定的抚仙湖维持正常运行水位（</w:t>
      </w:r>
      <w:r>
        <w:rPr>
          <w:rFonts w:hint="eastAsia"/>
        </w:rPr>
        <w:t>1721.65</w:t>
      </w:r>
      <w:r>
        <w:t>—</w:t>
      </w:r>
      <w:r>
        <w:rPr>
          <w:rFonts w:hint="eastAsia"/>
        </w:rPr>
        <w:t>1723.35m</w:t>
      </w:r>
      <w:r>
        <w:t>）的蓄水变量为约束，分析湖泊水资源正常运行的最小需求量。抚仙湖最低正常运行水位</w:t>
      </w:r>
      <w:r>
        <w:rPr>
          <w:rFonts w:hint="eastAsia"/>
        </w:rPr>
        <w:t>1721.65m</w:t>
      </w:r>
      <w:r>
        <w:t>，相应蓄水量</w:t>
      </w:r>
      <w:r>
        <w:rPr>
          <w:rFonts w:hint="eastAsia"/>
        </w:rPr>
        <w:t>203.2</w:t>
      </w:r>
      <w:r>
        <w:t>亿</w:t>
      </w:r>
      <w:r>
        <w:rPr>
          <w:rFonts w:hint="eastAsia"/>
        </w:rPr>
        <w:t>m</w:t>
      </w:r>
      <w:r>
        <w:rPr>
          <w:vertAlign w:val="superscript"/>
        </w:rPr>
        <w:t>3</w:t>
      </w:r>
      <w:r>
        <w:t>；最高正常运行水位</w:t>
      </w:r>
      <w:r>
        <w:rPr>
          <w:rFonts w:hint="eastAsia"/>
        </w:rPr>
        <w:t>1723.35 m</w:t>
      </w:r>
      <w:r>
        <w:t>，相应蓄水量</w:t>
      </w:r>
      <w:r>
        <w:rPr>
          <w:rFonts w:hint="eastAsia"/>
        </w:rPr>
        <w:t>206.2</w:t>
      </w:r>
      <w:r>
        <w:t>亿</w:t>
      </w:r>
      <w:r>
        <w:rPr>
          <w:rFonts w:hint="eastAsia"/>
        </w:rPr>
        <w:t>m</w:t>
      </w:r>
      <w:r>
        <w:rPr>
          <w:vertAlign w:val="superscript"/>
        </w:rPr>
        <w:t>3</w:t>
      </w:r>
      <w:r>
        <w:t>。根据</w:t>
      </w:r>
      <w:r>
        <w:rPr>
          <w:rFonts w:hint="eastAsia"/>
        </w:rPr>
        <w:t>1953</w:t>
      </w:r>
      <w:r>
        <w:t>—</w:t>
      </w:r>
      <w:r>
        <w:rPr>
          <w:rFonts w:hint="eastAsia"/>
        </w:rPr>
        <w:t>2017</w:t>
      </w:r>
      <w:r>
        <w:t>年逐月的水位数据统计，在最低正常运行水位以下运行的月数有</w:t>
      </w:r>
      <w:r>
        <w:rPr>
          <w:rFonts w:hint="eastAsia"/>
        </w:rPr>
        <w:t>218</w:t>
      </w:r>
      <w:r>
        <w:t>个月，在最高及最低正常运行水位之间的运行月数</w:t>
      </w:r>
      <w:r>
        <w:rPr>
          <w:rFonts w:hint="eastAsia"/>
        </w:rPr>
        <w:t>562</w:t>
      </w:r>
      <w:r>
        <w:t>个月，正常运行水位月数占总月数的</w:t>
      </w:r>
      <w:r>
        <w:rPr>
          <w:rFonts w:hint="eastAsia"/>
        </w:rPr>
        <w:t>72%</w:t>
      </w:r>
      <w:r>
        <w:t>；年平均水位为</w:t>
      </w:r>
      <w:r>
        <w:rPr>
          <w:rFonts w:hint="eastAsia"/>
        </w:rPr>
        <w:t>1721.99 m</w:t>
      </w:r>
      <w:r>
        <w:t>，在最高及最低正常运行水位之间的运行年数</w:t>
      </w:r>
      <w:r>
        <w:rPr>
          <w:rFonts w:hint="eastAsia"/>
        </w:rPr>
        <w:t>53</w:t>
      </w:r>
      <w:r>
        <w:t>年，从未达到正常最高水位，正常运行水位年数占总年数的</w:t>
      </w:r>
      <w:r>
        <w:rPr>
          <w:rFonts w:hint="eastAsia"/>
        </w:rPr>
        <w:t>80%</w:t>
      </w:r>
      <w:r>
        <w:t>。总体而言，抚仙湖在没有外流域补水的情况下，</w:t>
      </w:r>
      <w:r>
        <w:rPr>
          <w:rFonts w:hint="eastAsia"/>
        </w:rPr>
        <w:t>在1953</w:t>
      </w:r>
      <w:r>
        <w:t>—</w:t>
      </w:r>
      <w:r>
        <w:rPr>
          <w:rFonts w:hint="eastAsia"/>
        </w:rPr>
        <w:t>2017</w:t>
      </w:r>
      <w:r>
        <w:t>年</w:t>
      </w:r>
      <w:r>
        <w:rPr>
          <w:rFonts w:hint="eastAsia"/>
        </w:rPr>
        <w:t>期间</w:t>
      </w:r>
      <w:r>
        <w:t>基本上能实现水位自然调节维持正常运行，历史上在经历了多个年份的水位下降后（如</w:t>
      </w:r>
      <w:r>
        <w:rPr>
          <w:rFonts w:hint="eastAsia"/>
        </w:rPr>
        <w:t>1983</w:t>
      </w:r>
      <w:r>
        <w:t>年、</w:t>
      </w:r>
      <w:r>
        <w:rPr>
          <w:rFonts w:hint="eastAsia"/>
        </w:rPr>
        <w:t>1990</w:t>
      </w:r>
      <w:r>
        <w:t>年、</w:t>
      </w:r>
      <w:r>
        <w:rPr>
          <w:rFonts w:hint="eastAsia"/>
        </w:rPr>
        <w:t>1995</w:t>
      </w:r>
      <w:r>
        <w:t>年、</w:t>
      </w:r>
      <w:r>
        <w:rPr>
          <w:rFonts w:hint="eastAsia"/>
        </w:rPr>
        <w:t>2001</w:t>
      </w:r>
      <w:r>
        <w:t>年、</w:t>
      </w:r>
      <w:r>
        <w:rPr>
          <w:rFonts w:hint="eastAsia"/>
        </w:rPr>
        <w:t>2004</w:t>
      </w:r>
      <w:r>
        <w:t>年）都在短期得以恢复到正常运行水位，近</w:t>
      </w:r>
      <w:r>
        <w:rPr>
          <w:rFonts w:hint="eastAsia"/>
        </w:rPr>
        <w:t>10</w:t>
      </w:r>
      <w:r>
        <w:t>年来年平均入湖水量减少</w:t>
      </w:r>
      <w:r>
        <w:rPr>
          <w:rFonts w:hint="eastAsia"/>
        </w:rPr>
        <w:t>56%</w:t>
      </w:r>
      <w:r>
        <w:t>，加大湖泊水位恢复的难度和时间，当前玉溪市提出的不再向湖泊取水的举措是及时和有效的。</w:t>
      </w:r>
    </w:p>
    <w:p>
      <w:pPr>
        <w:pStyle w:val="4"/>
      </w:pPr>
      <w:r>
        <w:t>针对目前无法对抚仙湖湖体水量进行人工干预的情况，从满足河道生态需水量的角度保障抚仙湖水资源量是必要的。河道生态需水量采用</w:t>
      </w:r>
      <w:r>
        <w:rPr>
          <w:rFonts w:hint="eastAsia"/>
        </w:rPr>
        <w:t>Tennant</w:t>
      </w:r>
      <w:r>
        <w:t>法（河流控制断面生态环境需水量计算方法之一），将全年分为汛期和非汛期</w:t>
      </w:r>
      <w:r>
        <w:rPr>
          <w:rFonts w:hint="eastAsia"/>
        </w:rPr>
        <w:t>2</w:t>
      </w:r>
      <w:r>
        <w:t>个部分，按照抚仙湖还原后的径流量和河道内生态环境功能维持需求，汛期（</w:t>
      </w:r>
      <w:r>
        <w:rPr>
          <w:rFonts w:hint="eastAsia"/>
        </w:rPr>
        <w:t>5</w:t>
      </w:r>
      <w:r>
        <w:t>—</w:t>
      </w:r>
      <w:r>
        <w:rPr>
          <w:rFonts w:hint="eastAsia"/>
        </w:rPr>
        <w:t>10</w:t>
      </w:r>
      <w:r>
        <w:t>月）采用最枯月多年平均径流量的</w:t>
      </w:r>
      <w:r>
        <w:rPr>
          <w:rFonts w:hint="eastAsia"/>
        </w:rPr>
        <w:t>30%</w:t>
      </w:r>
      <w:r>
        <w:t>、非汛期（</w:t>
      </w:r>
      <w:r>
        <w:rPr>
          <w:rFonts w:hint="eastAsia"/>
        </w:rPr>
        <w:t>11</w:t>
      </w:r>
      <w:r>
        <w:t>月—次年</w:t>
      </w:r>
      <w:r>
        <w:rPr>
          <w:rFonts w:hint="eastAsia"/>
        </w:rPr>
        <w:t>4</w:t>
      </w:r>
      <w:r>
        <w:t>月）采用最枯月多年平均径流量的</w:t>
      </w:r>
      <w:r>
        <w:rPr>
          <w:rFonts w:hint="eastAsia"/>
        </w:rPr>
        <w:t>10%</w:t>
      </w:r>
      <w:r>
        <w:t>作为河道生态需水量。</w:t>
      </w:r>
      <w:r>
        <w:rPr>
          <w:rFonts w:hint="eastAsia"/>
        </w:rPr>
        <w:t>2019</w:t>
      </w:r>
      <w:r>
        <w:t>年抚仙湖流域河道生态需水量为</w:t>
      </w:r>
      <w:r>
        <w:rPr>
          <w:rFonts w:hint="eastAsia"/>
        </w:rPr>
        <w:t>1758.2</w:t>
      </w:r>
      <w:r>
        <w:t>万</w:t>
      </w:r>
      <w:r>
        <w:rPr>
          <w:rFonts w:hint="eastAsia"/>
        </w:rPr>
        <w:t>m</w:t>
      </w:r>
      <w:r>
        <w:rPr>
          <w:vertAlign w:val="superscript"/>
        </w:rPr>
        <w:t>3</w:t>
      </w:r>
      <w:r>
        <w:t>。</w:t>
      </w:r>
    </w:p>
    <w:p>
      <w:pPr>
        <w:keepNext/>
        <w:widowControl/>
        <w:spacing w:before="120" w:after="60" w:line="240" w:lineRule="auto"/>
        <w:ind w:firstLine="0" w:firstLineChars="0"/>
        <w:jc w:val="center"/>
        <w:rPr>
          <w:rFonts w:eastAsia="黑体"/>
          <w:spacing w:val="0"/>
        </w:rPr>
      </w:pPr>
      <w:r>
        <w:rPr>
          <w:rFonts w:hint="eastAsia" w:eastAsia="黑体"/>
          <w:spacing w:val="0"/>
        </w:rPr>
        <w:t xml:space="preserve"> </w:t>
      </w:r>
      <w:r>
        <w:rPr>
          <w:rFonts w:eastAsia="黑体"/>
          <w:spacing w:val="0"/>
        </w:rPr>
        <w:t xml:space="preserve">              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3.1</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6</w:t>
      </w:r>
      <w:r>
        <w:rPr>
          <w:rFonts w:eastAsia="黑体"/>
          <w:spacing w:val="0"/>
        </w:rPr>
        <w:fldChar w:fldCharType="end"/>
      </w:r>
      <w:r>
        <w:rPr>
          <w:rFonts w:eastAsia="黑体"/>
          <w:spacing w:val="0"/>
        </w:rPr>
        <w:t xml:space="preserve">  </w:t>
      </w:r>
      <w:r>
        <w:rPr>
          <w:rFonts w:hint="eastAsia" w:eastAsia="黑体"/>
          <w:spacing w:val="0"/>
        </w:rPr>
        <w:t xml:space="preserve">抚仙湖流域河道生态需水量测算表 </w:t>
      </w:r>
      <w:r>
        <w:rPr>
          <w:rFonts w:eastAsia="黑体"/>
          <w:spacing w:val="0"/>
        </w:rPr>
        <w:t xml:space="preserve">      </w:t>
      </w:r>
      <w:r>
        <w:rPr>
          <w:rFonts w:hint="eastAsia" w:eastAsia="黑体"/>
          <w:spacing w:val="0"/>
        </w:rPr>
        <w:t>单位：</w:t>
      </w:r>
      <w:r>
        <w:rPr>
          <w:rFonts w:eastAsia="黑体"/>
          <w:spacing w:val="0"/>
        </w:rPr>
        <w:t>m</w:t>
      </w:r>
      <w:r>
        <w:rPr>
          <w:rFonts w:eastAsia="黑体"/>
          <w:spacing w:val="0"/>
          <w:vertAlign w:val="superscript"/>
        </w:rPr>
        <w:t>3</w:t>
      </w:r>
    </w:p>
    <w:tbl>
      <w:tblPr>
        <w:tblStyle w:val="51"/>
        <w:tblW w:w="9640" w:type="dxa"/>
        <w:tblInd w:w="-431"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48"/>
        <w:gridCol w:w="662"/>
        <w:gridCol w:w="584"/>
        <w:gridCol w:w="584"/>
        <w:gridCol w:w="662"/>
        <w:gridCol w:w="689"/>
        <w:gridCol w:w="689"/>
        <w:gridCol w:w="701"/>
        <w:gridCol w:w="701"/>
        <w:gridCol w:w="689"/>
        <w:gridCol w:w="684"/>
        <w:gridCol w:w="685"/>
        <w:gridCol w:w="668"/>
        <w:gridCol w:w="79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0" w:hRule="atLeast"/>
          <w:tblHeader/>
        </w:trPr>
        <w:tc>
          <w:tcPr>
            <w:tcW w:w="967"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频率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月份</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1月</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2月</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3月</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4月</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5月</w:t>
            </w:r>
          </w:p>
        </w:tc>
        <w:tc>
          <w:tcPr>
            <w:tcW w:w="67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6月</w:t>
            </w:r>
          </w:p>
        </w:tc>
        <w:tc>
          <w:tcPr>
            <w:tcW w:w="706"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7月</w:t>
            </w:r>
          </w:p>
        </w:tc>
        <w:tc>
          <w:tcPr>
            <w:tcW w:w="70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8月</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9月</w:t>
            </w:r>
          </w:p>
        </w:tc>
        <w:tc>
          <w:tcPr>
            <w:tcW w:w="68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10月</w:t>
            </w:r>
          </w:p>
        </w:tc>
        <w:tc>
          <w:tcPr>
            <w:tcW w:w="70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11月</w:t>
            </w:r>
          </w:p>
        </w:tc>
        <w:tc>
          <w:tcPr>
            <w:tcW w:w="708"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12月</w:t>
            </w:r>
          </w:p>
        </w:tc>
        <w:tc>
          <w:tcPr>
            <w:tcW w:w="711" w:type="dxa"/>
            <w:shd w:val="clear" w:color="auto" w:fill="auto"/>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全年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3" w:hRule="atLeast"/>
        </w:trPr>
        <w:tc>
          <w:tcPr>
            <w:tcW w:w="96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25%</w:t>
            </w:r>
          </w:p>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径流</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424</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762</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931</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836</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1433</w:t>
            </w:r>
          </w:p>
        </w:tc>
        <w:tc>
          <w:tcPr>
            <w:tcW w:w="67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1997</w:t>
            </w:r>
          </w:p>
        </w:tc>
        <w:tc>
          <w:tcPr>
            <w:tcW w:w="706"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2842</w:t>
            </w:r>
          </w:p>
        </w:tc>
        <w:tc>
          <w:tcPr>
            <w:tcW w:w="70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5252</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3557</w:t>
            </w:r>
          </w:p>
        </w:tc>
        <w:tc>
          <w:tcPr>
            <w:tcW w:w="68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2113</w:t>
            </w:r>
          </w:p>
        </w:tc>
        <w:tc>
          <w:tcPr>
            <w:tcW w:w="70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1219</w:t>
            </w:r>
          </w:p>
        </w:tc>
        <w:tc>
          <w:tcPr>
            <w:tcW w:w="708"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494</w:t>
            </w:r>
          </w:p>
        </w:tc>
        <w:tc>
          <w:tcPr>
            <w:tcW w:w="71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21861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96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50%</w:t>
            </w:r>
          </w:p>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径流</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471</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506</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681</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782</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1612</w:t>
            </w:r>
          </w:p>
        </w:tc>
        <w:tc>
          <w:tcPr>
            <w:tcW w:w="67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2117</w:t>
            </w:r>
          </w:p>
        </w:tc>
        <w:tc>
          <w:tcPr>
            <w:tcW w:w="706"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2487</w:t>
            </w:r>
          </w:p>
        </w:tc>
        <w:tc>
          <w:tcPr>
            <w:tcW w:w="70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2962</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1882</w:t>
            </w:r>
          </w:p>
        </w:tc>
        <w:tc>
          <w:tcPr>
            <w:tcW w:w="68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1212</w:t>
            </w:r>
          </w:p>
        </w:tc>
        <w:tc>
          <w:tcPr>
            <w:tcW w:w="70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809</w:t>
            </w:r>
          </w:p>
        </w:tc>
        <w:tc>
          <w:tcPr>
            <w:tcW w:w="708"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524</w:t>
            </w:r>
          </w:p>
        </w:tc>
        <w:tc>
          <w:tcPr>
            <w:tcW w:w="71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16045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2" w:hRule="atLeast"/>
        </w:trPr>
        <w:tc>
          <w:tcPr>
            <w:tcW w:w="96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75%</w:t>
            </w:r>
          </w:p>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径流</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452</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603</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849</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460</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1233</w:t>
            </w:r>
          </w:p>
        </w:tc>
        <w:tc>
          <w:tcPr>
            <w:tcW w:w="67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1060</w:t>
            </w:r>
          </w:p>
        </w:tc>
        <w:tc>
          <w:tcPr>
            <w:tcW w:w="706"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1823</w:t>
            </w:r>
          </w:p>
        </w:tc>
        <w:tc>
          <w:tcPr>
            <w:tcW w:w="70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1708</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1833</w:t>
            </w:r>
          </w:p>
        </w:tc>
        <w:tc>
          <w:tcPr>
            <w:tcW w:w="68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797</w:t>
            </w:r>
          </w:p>
        </w:tc>
        <w:tc>
          <w:tcPr>
            <w:tcW w:w="70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570</w:t>
            </w:r>
          </w:p>
        </w:tc>
        <w:tc>
          <w:tcPr>
            <w:tcW w:w="708"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286</w:t>
            </w:r>
          </w:p>
        </w:tc>
        <w:tc>
          <w:tcPr>
            <w:tcW w:w="71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11673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4" w:hRule="atLeast"/>
        </w:trPr>
        <w:tc>
          <w:tcPr>
            <w:tcW w:w="96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95%</w:t>
            </w:r>
          </w:p>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径流</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321</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362</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481</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580</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1161</w:t>
            </w:r>
          </w:p>
        </w:tc>
        <w:tc>
          <w:tcPr>
            <w:tcW w:w="67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1060</w:t>
            </w:r>
          </w:p>
        </w:tc>
        <w:tc>
          <w:tcPr>
            <w:tcW w:w="706"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1001</w:t>
            </w:r>
          </w:p>
        </w:tc>
        <w:tc>
          <w:tcPr>
            <w:tcW w:w="70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843</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576</w:t>
            </w:r>
          </w:p>
        </w:tc>
        <w:tc>
          <w:tcPr>
            <w:tcW w:w="68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390</w:t>
            </w:r>
          </w:p>
        </w:tc>
        <w:tc>
          <w:tcPr>
            <w:tcW w:w="70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475</w:t>
            </w:r>
          </w:p>
        </w:tc>
        <w:tc>
          <w:tcPr>
            <w:tcW w:w="708"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271</w:t>
            </w:r>
          </w:p>
        </w:tc>
        <w:tc>
          <w:tcPr>
            <w:tcW w:w="71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7520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9" w:hRule="atLeast"/>
        </w:trPr>
        <w:tc>
          <w:tcPr>
            <w:tcW w:w="967" w:type="dxa"/>
            <w:shd w:val="clear" w:color="auto" w:fill="auto"/>
            <w:vAlign w:val="center"/>
          </w:tcPr>
          <w:p>
            <w:pPr>
              <w:pStyle w:val="85"/>
              <w:rPr>
                <w:rFonts w:cs="Calibri"/>
                <w:color w:val="000000" w:themeColor="text1"/>
                <w14:textFill>
                  <w14:solidFill>
                    <w14:schemeClr w14:val="tx1"/>
                  </w14:solidFill>
                </w14:textFill>
              </w:rPr>
            </w:pPr>
            <w:r>
              <w:rPr>
                <w:rFonts w:cs="Calibri"/>
                <w:color w:val="000000" w:themeColor="text1"/>
                <w14:textFill>
                  <w14:solidFill>
                    <w14:schemeClr w14:val="tx1"/>
                  </w14:solidFill>
                </w14:textFill>
              </w:rPr>
              <w:t>生态需水量</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32.1</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36.2</w:t>
            </w:r>
          </w:p>
        </w:tc>
        <w:tc>
          <w:tcPr>
            <w:tcW w:w="56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48.1</w:t>
            </w:r>
          </w:p>
        </w:tc>
        <w:tc>
          <w:tcPr>
            <w:tcW w:w="69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58.0</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348.4</w:t>
            </w:r>
          </w:p>
        </w:tc>
        <w:tc>
          <w:tcPr>
            <w:tcW w:w="67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317.9</w:t>
            </w:r>
          </w:p>
        </w:tc>
        <w:tc>
          <w:tcPr>
            <w:tcW w:w="706"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300.4</w:t>
            </w:r>
          </w:p>
        </w:tc>
        <w:tc>
          <w:tcPr>
            <w:tcW w:w="707"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252.9</w:t>
            </w:r>
          </w:p>
        </w:tc>
        <w:tc>
          <w:tcPr>
            <w:tcW w:w="62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172.7</w:t>
            </w:r>
          </w:p>
        </w:tc>
        <w:tc>
          <w:tcPr>
            <w:tcW w:w="685"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116.9</w:t>
            </w:r>
          </w:p>
        </w:tc>
        <w:tc>
          <w:tcPr>
            <w:tcW w:w="709"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47.5</w:t>
            </w:r>
          </w:p>
        </w:tc>
        <w:tc>
          <w:tcPr>
            <w:tcW w:w="708"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27.1</w:t>
            </w:r>
          </w:p>
        </w:tc>
        <w:tc>
          <w:tcPr>
            <w:tcW w:w="711" w:type="dxa"/>
            <w:shd w:val="clear" w:color="auto" w:fill="auto"/>
            <w:vAlign w:val="center"/>
          </w:tcPr>
          <w:p>
            <w:pPr>
              <w:pStyle w:val="85"/>
              <w:rPr>
                <w:rFonts w:cs="Calibri"/>
                <w:color w:val="000000" w:themeColor="text1"/>
                <w14:textFill>
                  <w14:solidFill>
                    <w14:schemeClr w14:val="tx1"/>
                  </w14:solidFill>
                </w14:textFill>
              </w:rPr>
            </w:pPr>
            <w:r>
              <w:rPr>
                <w:rFonts w:hint="eastAsia" w:cs="Calibri"/>
                <w:color w:val="000000" w:themeColor="text1"/>
                <w14:textFill>
                  <w14:solidFill>
                    <w14:schemeClr w14:val="tx1"/>
                  </w14:solidFill>
                </w14:textFill>
              </w:rPr>
              <w:t>1758.2</w:t>
            </w:r>
          </w:p>
        </w:tc>
      </w:tr>
    </w:tbl>
    <w:p>
      <w:pPr>
        <w:pStyle w:val="4"/>
        <w:ind w:firstLine="0" w:firstLineChars="0"/>
        <w:rPr>
          <w:sz w:val="21"/>
          <w:szCs w:val="21"/>
        </w:rPr>
      </w:pPr>
      <w:r>
        <w:rPr>
          <w:rFonts w:hint="eastAsia"/>
          <w:sz w:val="21"/>
          <w:szCs w:val="21"/>
        </w:rPr>
        <w:t>数据来源：参考《云南省抚仙湖“一湖一策”保护治理行动方案（2021—2025年）》中供水水量保证度。</w:t>
      </w:r>
    </w:p>
    <w:p>
      <w:pPr>
        <w:pStyle w:val="7"/>
      </w:pPr>
      <w:r>
        <w:rPr>
          <w:rFonts w:hint="eastAsia"/>
        </w:rPr>
        <w:t>南盘江片区生态流量确定</w:t>
      </w:r>
    </w:p>
    <w:p>
      <w:pPr>
        <w:pStyle w:val="4"/>
      </w:pPr>
      <w:r>
        <w:rPr>
          <w:rFonts w:hint="eastAsia"/>
        </w:rPr>
        <w:t>（1）生态流量确定原则</w:t>
      </w:r>
    </w:p>
    <w:p>
      <w:pPr>
        <w:pStyle w:val="4"/>
      </w:pPr>
      <w:r>
        <w:rPr>
          <w:rFonts w:hint="eastAsia"/>
        </w:rPr>
        <w:t>参考《关于印发</w:t>
      </w:r>
      <w:r>
        <w:t>2019年重点河湖生态流量（水量）保障实施方案编制及实施有关技术要求的通知》（水总研二〔2019〕328号）和《水利部关于做好河湖生态流量确定和保障工作的指导意见》（水资管〔2020〕67号）</w:t>
      </w:r>
      <w:r>
        <w:rPr>
          <w:rFonts w:hint="eastAsia"/>
        </w:rPr>
        <w:t>中有关生态流量确定原则的</w:t>
      </w:r>
      <w:r>
        <w:t>要求，</w:t>
      </w:r>
      <w:r>
        <w:rPr>
          <w:rFonts w:hint="eastAsia"/>
        </w:rPr>
        <w:t>并结合澄江市实际情况，本方案</w:t>
      </w:r>
      <w:r>
        <w:t>按照以下原则综合确定</w:t>
      </w:r>
      <w:r>
        <w:rPr>
          <w:rFonts w:hint="eastAsia"/>
        </w:rPr>
        <w:t>干流各梯级电站</w:t>
      </w:r>
      <w:r>
        <w:t>控制断面生态流量目标并进行</w:t>
      </w:r>
      <w:r>
        <w:rPr>
          <w:rFonts w:hint="eastAsia"/>
        </w:rPr>
        <w:t>满足程度评价</w:t>
      </w:r>
      <w:r>
        <w:t>。</w:t>
      </w:r>
    </w:p>
    <w:p>
      <w:pPr>
        <w:pStyle w:val="4"/>
      </w:pPr>
      <w:r>
        <w:rPr>
          <w:rFonts w:hint="eastAsia"/>
        </w:rPr>
        <w:t>①</w:t>
      </w:r>
      <w:r>
        <w:t>对于水利</w:t>
      </w:r>
      <w:r>
        <w:rPr>
          <w:rFonts w:hint="eastAsia"/>
        </w:rPr>
        <w:t>水电</w:t>
      </w:r>
      <w:r>
        <w:t>工程控制断面，生态流量原则上</w:t>
      </w:r>
      <w:r>
        <w:rPr>
          <w:rFonts w:hint="eastAsia"/>
        </w:rPr>
        <w:t>采用各电站水资源论证复核报告书中批复的生态流量成果，对在《澄江市小水电清理整改“一站一策”实施方案》中重新核定生态流量的电站，其生态流量成果应采用重新核定值。</w:t>
      </w:r>
    </w:p>
    <w:p>
      <w:pPr>
        <w:pStyle w:val="4"/>
      </w:pPr>
      <w:r>
        <w:rPr>
          <w:rFonts w:hint="eastAsia"/>
        </w:rPr>
        <w:t>②</w:t>
      </w:r>
      <w:r>
        <w:t>对于无相关成果的断面。运用控制断面长系列天然径流资料，</w:t>
      </w:r>
      <w:r>
        <w:rPr>
          <w:rFonts w:hint="eastAsia"/>
        </w:rPr>
        <w:t>采用《河湖生态环境需水计算规范》（</w:t>
      </w:r>
      <w:r>
        <w:t>SL/T712-2021）中Qp法（p=90）与Tennant法（取10%）计算控制断面生态流量目标，考虑上下游协调、生态基流与最小下泄流量协调以及控制断面生态基流日均满足程度等因素，综合确定各控制断面生态流量。</w:t>
      </w:r>
    </w:p>
    <w:p>
      <w:pPr>
        <w:pStyle w:val="4"/>
      </w:pPr>
      <w:r>
        <w:rPr>
          <w:rFonts w:hint="eastAsia"/>
        </w:rPr>
        <w:t>（2）生态流量确定</w:t>
      </w:r>
    </w:p>
    <w:p>
      <w:pPr>
        <w:pStyle w:val="4"/>
      </w:pPr>
      <w:r>
        <w:rPr>
          <w:rFonts w:hint="eastAsia"/>
        </w:rPr>
        <w:t>澄江市根据</w:t>
      </w:r>
      <w:bookmarkStart w:id="39" w:name="_Hlk111552484"/>
      <w:r>
        <w:t>《云南省小水电清理整改实施方案的通知》（云水发〔2019〕56号</w:t>
      </w:r>
      <w:r>
        <w:rPr>
          <w:rFonts w:hint="eastAsia"/>
        </w:rPr>
        <w:t>）、</w:t>
      </w:r>
      <w:r>
        <w:t>《玉溪市小水电清理整改实施方案的通知》（玉水发〔2019〕30号）</w:t>
      </w:r>
      <w:bookmarkEnd w:id="39"/>
      <w:r>
        <w:rPr>
          <w:rFonts w:hint="eastAsia"/>
        </w:rPr>
        <w:t>的文件要求落实小水电清理整改工作，</w:t>
      </w:r>
      <w:bookmarkStart w:id="40" w:name="_Hlk111626520"/>
      <w:r>
        <w:rPr>
          <w:rFonts w:hint="eastAsia"/>
        </w:rPr>
        <w:t>在</w:t>
      </w:r>
      <w:bookmarkStart w:id="41" w:name="_Hlk111722525"/>
      <w:r>
        <w:rPr>
          <w:rFonts w:hint="eastAsia"/>
        </w:rPr>
        <w:t>《</w:t>
      </w:r>
      <w:r>
        <w:t>澄江市小水电清理整改“一站一策”实施方案</w:t>
      </w:r>
      <w:r>
        <w:rPr>
          <w:rFonts w:hint="eastAsia"/>
        </w:rPr>
        <w:t>》中已核定生态流量的电站为七江电站</w:t>
      </w:r>
      <w:r>
        <w:t>6.20m³/s</w:t>
      </w:r>
      <w:r>
        <w:rPr>
          <w:rFonts w:hint="eastAsia"/>
        </w:rPr>
        <w:t>，</w:t>
      </w:r>
      <w:r>
        <w:t>田坝电站6.20m³/s</w:t>
      </w:r>
      <w:r>
        <w:rPr>
          <w:rFonts w:hint="eastAsia"/>
        </w:rPr>
        <w:t>和</w:t>
      </w:r>
      <w:r>
        <w:t>鲊起电站6.15m³/s</w:t>
      </w:r>
      <w:r>
        <w:rPr>
          <w:rFonts w:hint="eastAsia"/>
        </w:rPr>
        <w:t>，</w:t>
      </w:r>
      <w:bookmarkEnd w:id="41"/>
      <w:r>
        <w:rPr>
          <w:rFonts w:hint="eastAsia"/>
        </w:rPr>
        <w:t>未核定生态流量的四座电站采用各自水资源论证复核报告书中批复的生态流量成果，</w:t>
      </w:r>
      <w:bookmarkEnd w:id="40"/>
      <w:r>
        <w:rPr>
          <w:rFonts w:hint="eastAsia"/>
        </w:rPr>
        <w:t>即红石岩电站</w:t>
      </w:r>
      <w:r>
        <w:t>5.00m³/s</w:t>
      </w:r>
      <w:r>
        <w:rPr>
          <w:rFonts w:hint="eastAsia"/>
        </w:rPr>
        <w:t>，</w:t>
      </w:r>
      <w:r>
        <w:t>罗碧电站5.14m³/s</w:t>
      </w:r>
      <w:r>
        <w:rPr>
          <w:rFonts w:hint="eastAsia"/>
        </w:rPr>
        <w:t>，黄梨山电站</w:t>
      </w:r>
      <w:r>
        <w:t>5.21m³/s</w:t>
      </w:r>
      <w:r>
        <w:rPr>
          <w:rFonts w:hint="eastAsia"/>
        </w:rPr>
        <w:t>，</w:t>
      </w:r>
      <w:r>
        <w:t>汇口电站5.21m³/s</w:t>
      </w:r>
      <w:r>
        <w:rPr>
          <w:rFonts w:hint="eastAsia"/>
        </w:rPr>
        <w:t>。</w:t>
      </w:r>
    </w:p>
    <w:p>
      <w:pPr>
        <w:pStyle w:val="4"/>
      </w:pPr>
      <w:r>
        <w:rPr>
          <w:rFonts w:hint="eastAsia"/>
        </w:rPr>
        <w:t>（3）满足程度评价</w:t>
      </w:r>
    </w:p>
    <w:p>
      <w:pPr>
        <w:pStyle w:val="4"/>
      </w:pPr>
      <w:r>
        <w:rPr>
          <w:rFonts w:hint="eastAsia"/>
        </w:rPr>
        <w:t>七个电站控制断面采用2</w:t>
      </w:r>
      <w:r>
        <w:t>021年逐月实测流量评价已</w:t>
      </w:r>
      <w:r>
        <w:rPr>
          <w:rFonts w:hint="eastAsia"/>
        </w:rPr>
        <w:t>核定（</w:t>
      </w:r>
      <w:r>
        <w:t>批复</w:t>
      </w:r>
      <w:r>
        <w:rPr>
          <w:rFonts w:hint="eastAsia"/>
        </w:rPr>
        <w:t>）</w:t>
      </w:r>
      <w:r>
        <w:t>生态流量月满足程度，2021年逐日实测流量评价已</w:t>
      </w:r>
      <w:r>
        <w:rPr>
          <w:rFonts w:hint="eastAsia"/>
        </w:rPr>
        <w:t>核定（批复）</w:t>
      </w:r>
      <w:r>
        <w:t>生态流量日满足程度。</w:t>
      </w:r>
      <w:r>
        <w:rPr>
          <w:rFonts w:hint="eastAsia"/>
        </w:rPr>
        <w:t>七个电站断面2</w:t>
      </w:r>
      <w:r>
        <w:t>021</w:t>
      </w:r>
      <w:r>
        <w:rPr>
          <w:rFonts w:hint="eastAsia"/>
        </w:rPr>
        <w:t>年的实测日、月平均流量均通过水文比拟高古马</w:t>
      </w:r>
      <w:r>
        <w:t>站</w:t>
      </w:r>
      <w:r>
        <w:rPr>
          <w:rFonts w:hint="eastAsia"/>
        </w:rPr>
        <w:t>实测流量得到。2</w:t>
      </w:r>
      <w:r>
        <w:t>021</w:t>
      </w:r>
      <w:r>
        <w:rPr>
          <w:rFonts w:hint="eastAsia"/>
        </w:rPr>
        <w:t>年七个电站</w:t>
      </w:r>
      <w:r>
        <w:t>控制断面生态基流日、月满足程度分析见</w:t>
      </w:r>
      <w:r>
        <w:rPr>
          <w:rFonts w:hint="eastAsia"/>
        </w:rPr>
        <w:t>下</w:t>
      </w:r>
      <w:r>
        <w:t>表</w:t>
      </w:r>
      <w:r>
        <w:rPr>
          <w:rFonts w:hint="eastAsia"/>
        </w:rPr>
        <w:t>所示</w:t>
      </w:r>
      <w:r>
        <w:t>。</w:t>
      </w:r>
    </w:p>
    <w:p>
      <w:pPr>
        <w:pStyle w:val="4"/>
      </w:pPr>
      <w:r>
        <w:rPr>
          <w:rFonts w:hint="eastAsia"/>
        </w:rPr>
        <w:t>整体来看，2</w:t>
      </w:r>
      <w:r>
        <w:t>021</w:t>
      </w:r>
      <w:r>
        <w:rPr>
          <w:rFonts w:hint="eastAsia"/>
        </w:rPr>
        <w:t>年南盘江干流七个电站控制断面生态基流日、月满足程度较高，日满足程度均在9</w:t>
      </w:r>
      <w:r>
        <w:t>5%</w:t>
      </w:r>
      <w:r>
        <w:rPr>
          <w:rFonts w:hint="eastAsia"/>
        </w:rPr>
        <w:t>以上，月满足程度均为1</w:t>
      </w:r>
      <w:r>
        <w:t>00%</w:t>
      </w:r>
      <w:r>
        <w:rPr>
          <w:rFonts w:hint="eastAsia"/>
        </w:rPr>
        <w:t>。</w:t>
      </w:r>
    </w:p>
    <w:p>
      <w:pPr>
        <w:keepNext/>
        <w:widowControl/>
        <w:spacing w:before="120" w:after="60" w:line="240" w:lineRule="auto"/>
        <w:ind w:firstLine="0" w:firstLineChars="0"/>
        <w:jc w:val="center"/>
        <w:rPr>
          <w:rFonts w:eastAsia="黑体"/>
          <w:spacing w:val="0"/>
        </w:rPr>
      </w:pPr>
      <w:bookmarkStart w:id="42" w:name="_Hlk183993024"/>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3.1</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7</w:t>
      </w:r>
      <w:r>
        <w:rPr>
          <w:rFonts w:eastAsia="黑体"/>
          <w:spacing w:val="0"/>
        </w:rPr>
        <w:fldChar w:fldCharType="end"/>
      </w:r>
      <w:r>
        <w:rPr>
          <w:rFonts w:eastAsia="黑体"/>
          <w:spacing w:val="0"/>
        </w:rPr>
        <w:t xml:space="preserve">  </w:t>
      </w:r>
      <w:bookmarkEnd w:id="42"/>
      <w:r>
        <w:rPr>
          <w:rFonts w:hint="eastAsia" w:eastAsia="黑体"/>
          <w:spacing w:val="0"/>
        </w:rPr>
        <w:t>2</w:t>
      </w:r>
      <w:r>
        <w:rPr>
          <w:rFonts w:eastAsia="黑体"/>
          <w:spacing w:val="0"/>
        </w:rPr>
        <w:t>021</w:t>
      </w:r>
      <w:r>
        <w:rPr>
          <w:rFonts w:hint="eastAsia" w:eastAsia="黑体"/>
          <w:spacing w:val="0"/>
        </w:rPr>
        <w:t>年各电站断面</w:t>
      </w:r>
      <w:r>
        <w:rPr>
          <w:rFonts w:eastAsia="黑体"/>
          <w:spacing w:val="0"/>
        </w:rPr>
        <w:t>生态基流日、月满足程度分析</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19"/>
        <w:gridCol w:w="2323"/>
        <w:gridCol w:w="2322"/>
        <w:gridCol w:w="23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124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电站</w:t>
            </w:r>
          </w:p>
        </w:tc>
        <w:tc>
          <w:tcPr>
            <w:tcW w:w="1251"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生态基流</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日满足程度</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月满足程度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124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红石岩</w:t>
            </w:r>
          </w:p>
        </w:tc>
        <w:tc>
          <w:tcPr>
            <w:tcW w:w="1251"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5.00m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98.90%</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4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七江</w:t>
            </w:r>
          </w:p>
        </w:tc>
        <w:tc>
          <w:tcPr>
            <w:tcW w:w="1251"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6.20m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96.44%</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4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田坝</w:t>
            </w:r>
          </w:p>
        </w:tc>
        <w:tc>
          <w:tcPr>
            <w:tcW w:w="1251"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6.20m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96.44%</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24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鲊起</w:t>
            </w:r>
          </w:p>
        </w:tc>
        <w:tc>
          <w:tcPr>
            <w:tcW w:w="1251"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6.15m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96.71%</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4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罗碧</w:t>
            </w:r>
          </w:p>
        </w:tc>
        <w:tc>
          <w:tcPr>
            <w:tcW w:w="1251"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5.14m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98.90%</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4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黄梨山</w:t>
            </w:r>
          </w:p>
        </w:tc>
        <w:tc>
          <w:tcPr>
            <w:tcW w:w="1251"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5.21m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98.90%</w:t>
            </w:r>
          </w:p>
        </w:tc>
        <w:tc>
          <w:tcPr>
            <w:tcW w:w="1250"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100%</w:t>
            </w:r>
          </w:p>
        </w:tc>
      </w:tr>
    </w:tbl>
    <w:p>
      <w:pPr>
        <w:pStyle w:val="6"/>
      </w:pPr>
      <w:r>
        <w:t>水生态状况评价</w:t>
      </w:r>
    </w:p>
    <w:p>
      <w:pPr>
        <w:pStyle w:val="4"/>
      </w:pPr>
      <w:r>
        <w:rPr>
          <w:rFonts w:hint="eastAsia"/>
        </w:rPr>
        <w:t>澄江市抚仙湖水质近年来有逐步变差的趋势，透明度较10年前有所降低，综合营养状态指数呈上升趋势。</w:t>
      </w:r>
    </w:p>
    <w:p>
      <w:pPr>
        <w:pStyle w:val="4"/>
      </w:pPr>
      <w:r>
        <w:rPr>
          <w:rFonts w:hint="eastAsia"/>
        </w:rPr>
        <w:t>抚仙湖大型水生植物13目14科18属25种，以沉水植物为绝对优势群落，且沉水植物是该湖泊水生植物的主要生活型，沉水植物在全湖范围内的沿岸浅水区均有分布。尤其是水陆交错带大型水生植物较为丰富，大型水生植物沿湖岸基本呈带状分布，在湖南部、北部河口及较平坦的湖湾，沉水植物分布较广；东西两岸较陡峭，水生植物分布较少。从三大类植物群落类型来看，挺水、浮叶植物群落的分布较少，沉水植物群落占据绝对优势，主要是以马来眼子菜、篦齿眼子菜、苦草、黑藻、狐尾藻和芦苇为优势种。</w:t>
      </w:r>
    </w:p>
    <w:p>
      <w:pPr>
        <w:pStyle w:val="4"/>
      </w:pPr>
      <w:r>
        <w:rPr>
          <w:rFonts w:hint="eastAsia"/>
        </w:rPr>
        <w:t>抚仙湖浮游植物优势种全年以小转板藻</w:t>
      </w:r>
      <w:r>
        <w:rPr>
          <w:rFonts w:hint="eastAsia"/>
          <w:i/>
          <w:iCs/>
        </w:rPr>
        <w:t xml:space="preserve"> Mougeotia parvula</w:t>
      </w:r>
      <w:r>
        <w:rPr>
          <w:rFonts w:hint="eastAsia"/>
        </w:rPr>
        <w:t xml:space="preserve"> 为主要优势种冬季、春季、夏季、秋季优势度分别为 0.295、0.213、0.253、0.182；全年次要优势种更替率较强，如直链藻 </w:t>
      </w:r>
      <w:r>
        <w:rPr>
          <w:rFonts w:hint="eastAsia"/>
          <w:i/>
          <w:iCs/>
        </w:rPr>
        <w:t>Melosira sp.</w:t>
      </w:r>
      <w:r>
        <w:rPr>
          <w:rFonts w:hint="eastAsia"/>
        </w:rPr>
        <w:t xml:space="preserve">为冬季次要优势种，优势度为 0.165；华丽星杆藻 </w:t>
      </w:r>
      <w:r>
        <w:rPr>
          <w:rFonts w:hint="eastAsia"/>
          <w:i/>
          <w:iCs/>
        </w:rPr>
        <w:t>Asterionella Formosa</w:t>
      </w:r>
      <w:r>
        <w:rPr>
          <w:rFonts w:hint="eastAsia"/>
        </w:rPr>
        <w:t xml:space="preserve"> 为春季次要优势种，优势度为 0.191；微囊藻</w:t>
      </w:r>
      <w:r>
        <w:rPr>
          <w:rFonts w:hint="eastAsia"/>
          <w:i/>
          <w:iCs/>
        </w:rPr>
        <w:t>Microcystis spp.</w:t>
      </w:r>
      <w:r>
        <w:rPr>
          <w:rFonts w:hint="eastAsia"/>
        </w:rPr>
        <w:t>为夏季及秋季次要优势种，优势度分别为0.199、0.101。</w:t>
      </w:r>
    </w:p>
    <w:p>
      <w:pPr>
        <w:pStyle w:val="4"/>
      </w:pPr>
      <w:r>
        <w:rPr>
          <w:rFonts w:hint="eastAsia"/>
        </w:rPr>
        <w:t>浮游动物优势种表现出较强的更替性，冬季仅以广布中剑水蚤</w:t>
      </w:r>
      <w:r>
        <w:rPr>
          <w:rFonts w:hint="eastAsia"/>
          <w:i/>
          <w:iCs/>
        </w:rPr>
        <w:t>Mesocyclops</w:t>
      </w:r>
      <w:r>
        <w:rPr>
          <w:i/>
          <w:iCs/>
        </w:rPr>
        <w:t xml:space="preserve"> </w:t>
      </w:r>
      <w:r>
        <w:rPr>
          <w:rFonts w:hint="eastAsia"/>
          <w:i/>
          <w:iCs/>
        </w:rPr>
        <w:t xml:space="preserve">leuckarti </w:t>
      </w:r>
      <w:r>
        <w:rPr>
          <w:rFonts w:hint="eastAsia"/>
        </w:rPr>
        <w:t>为单一优势种；夏季仅以疣毛轮虫</w:t>
      </w:r>
      <w:r>
        <w:rPr>
          <w:rFonts w:hint="eastAsia"/>
          <w:i/>
          <w:iCs/>
        </w:rPr>
        <w:t xml:space="preserve"> Synchacta sp.</w:t>
      </w:r>
      <w:r>
        <w:rPr>
          <w:rFonts w:hint="eastAsia"/>
        </w:rPr>
        <w:t xml:space="preserve">为单一优势种，春季主要优势种为钟虫 </w:t>
      </w:r>
      <w:r>
        <w:rPr>
          <w:rFonts w:hint="eastAsia"/>
          <w:i/>
          <w:iCs/>
        </w:rPr>
        <w:t>vrticella sp.</w:t>
      </w:r>
      <w:r>
        <w:rPr>
          <w:rFonts w:hint="eastAsia"/>
        </w:rPr>
        <w:t>，优势度为0.164；次要优势种为等刺异尾轮虫</w:t>
      </w:r>
      <w:r>
        <w:rPr>
          <w:rFonts w:hint="eastAsia"/>
          <w:i/>
          <w:iCs/>
        </w:rPr>
        <w:t>Tiichocerca similis</w:t>
      </w:r>
      <w:r>
        <w:rPr>
          <w:rFonts w:hint="eastAsia"/>
        </w:rPr>
        <w:t xml:space="preserve">，优势度为 0.067；螺形龟甲轮虫 </w:t>
      </w:r>
      <w:r>
        <w:rPr>
          <w:rFonts w:hint="eastAsia"/>
          <w:i/>
          <w:iCs/>
        </w:rPr>
        <w:t>Brachionus forficula</w:t>
      </w:r>
      <w:r>
        <w:rPr>
          <w:rFonts w:hint="eastAsia"/>
        </w:rPr>
        <w:t xml:space="preserve"> 和奇异腕轮虫 </w:t>
      </w:r>
      <w:r>
        <w:rPr>
          <w:rFonts w:hint="eastAsia"/>
          <w:i/>
          <w:iCs/>
        </w:rPr>
        <w:t>Pedalia mira</w:t>
      </w:r>
      <w:r>
        <w:rPr>
          <w:rFonts w:hint="eastAsia"/>
        </w:rPr>
        <w:t xml:space="preserve"> 为秋季主要优势种，优势度分别为 0.339 和 0.130。</w:t>
      </w:r>
    </w:p>
    <w:p>
      <w:pPr>
        <w:pStyle w:val="4"/>
      </w:pPr>
      <w:r>
        <w:rPr>
          <w:rFonts w:hint="eastAsia"/>
        </w:rPr>
        <w:t>根据浮游生物多样性分析，浮游植物多样性指数、均匀度指数、丰富度指数年均值为 2.866、0.555、2.623；浮游动物多样性指数、丰富度指数、均匀度指数全年各指数年均值分别为 3.246、3.253、0.778，按照浮游生物多样性指数评价标准来看，抚仙湖水体处于轻污染或清洁水平，水质较好。</w:t>
      </w:r>
    </w:p>
    <w:p>
      <w:pPr>
        <w:pStyle w:val="4"/>
      </w:pPr>
      <w:r>
        <w:rPr>
          <w:rFonts w:hint="eastAsia"/>
        </w:rPr>
        <w:t>底栖动物以软体动物为主，该类群主要刮食着生藻，说明抚仙湖水体环境中可以为其提供较为丰富的附着性藻类。同时，采集到抚仙湖特有的锐刺拟溪蟹，而该物种对生存水体的溶氧量要求较高，这指示着抚仙湖的水质环境质量较好。</w:t>
      </w:r>
    </w:p>
    <w:p>
      <w:pPr>
        <w:pStyle w:val="4"/>
      </w:pPr>
      <w:r>
        <w:rPr>
          <w:rFonts w:hint="eastAsia"/>
        </w:rPr>
        <w:t>抚仙湖鱼类31种，隶属于6目12科27属。其中，土著鱼类14种，特有鱼类5种，抚仙湖优势种为太湖新银鱼、鰕虎鱼、黄黝鱼等外来物种;抚仙湖鱼类群落结构发生了显著变化，土著鱼类减少，其他鱼类增多，外来鱼类已经占据了抚仙湖鱼类的主体。</w:t>
      </w:r>
    </w:p>
    <w:p>
      <w:pPr>
        <w:pStyle w:val="6"/>
      </w:pPr>
      <w:r>
        <w:t>现状水资源保护存在的问题</w:t>
      </w:r>
    </w:p>
    <w:p>
      <w:pPr>
        <w:pStyle w:val="4"/>
      </w:pPr>
      <w:r>
        <w:rPr>
          <w:rFonts w:hint="eastAsia"/>
        </w:rPr>
        <w:t>（</w:t>
      </w:r>
      <w:r>
        <w:t>1</w:t>
      </w:r>
      <w:r>
        <w:rPr>
          <w:rFonts w:hint="eastAsia"/>
        </w:rPr>
        <w:t>）抚仙湖流域水质呈波动趋势、部分入湖河流水质超标</w:t>
      </w:r>
    </w:p>
    <w:p>
      <w:pPr>
        <w:pStyle w:val="4"/>
      </w:pPr>
      <w:r>
        <w:t>2022</w:t>
      </w:r>
      <w:r>
        <w:rPr>
          <w:rFonts w:hint="eastAsia"/>
        </w:rPr>
        <w:t>年抚仙湖水质类别由整体</w:t>
      </w:r>
      <w:r>
        <w:t>Ⅰ</w:t>
      </w:r>
      <w:r>
        <w:rPr>
          <w:rFonts w:hint="eastAsia"/>
        </w:rPr>
        <w:t>类局部下降为</w:t>
      </w:r>
      <w:r>
        <w:t>Ⅱ</w:t>
      </w:r>
      <w:r>
        <w:rPr>
          <w:rFonts w:hint="eastAsia"/>
        </w:rPr>
        <w:t>类。</w:t>
      </w:r>
      <w:r>
        <w:t>2023</w:t>
      </w:r>
      <w:r>
        <w:rPr>
          <w:rFonts w:hint="eastAsia"/>
        </w:rPr>
        <w:t>年主要入湖河道大清沟、路居河、窑泥沟、马料河、牛摩河为</w:t>
      </w:r>
      <w:r>
        <w:t>Ⅳ</w:t>
      </w:r>
      <w:r>
        <w:rPr>
          <w:rFonts w:hint="eastAsia"/>
        </w:rPr>
        <w:t>类。近几年抚仙湖水体虽然总体保持</w:t>
      </w:r>
      <w:r>
        <w:t>Ⅰ</w:t>
      </w:r>
      <w:r>
        <w:rPr>
          <w:rFonts w:hint="eastAsia"/>
        </w:rPr>
        <w:t>类，但主要污染指标总体呈缓慢上升趋势，总磷全湖平均浓度近五年均在</w:t>
      </w:r>
      <w:r>
        <w:t>Ⅰ</w:t>
      </w:r>
      <w:r>
        <w:rPr>
          <w:rFonts w:hint="eastAsia"/>
        </w:rPr>
        <w:t>类限值以下波动，</w:t>
      </w:r>
      <w:r>
        <w:t>2018</w:t>
      </w:r>
      <w:r>
        <w:rPr>
          <w:rFonts w:hint="eastAsia"/>
        </w:rPr>
        <w:t>年全湖年均总氮浓度达到</w:t>
      </w:r>
      <w:r>
        <w:t>0.2mg/L</w:t>
      </w:r>
      <w:r>
        <w:rPr>
          <w:rFonts w:hint="eastAsia"/>
        </w:rPr>
        <w:t>，达到</w:t>
      </w:r>
      <w:r>
        <w:t>I</w:t>
      </w:r>
      <w:r>
        <w:rPr>
          <w:rFonts w:hint="eastAsia"/>
        </w:rPr>
        <w:t>类标准限值（</w:t>
      </w:r>
      <w:r>
        <w:t>0.2mg/L</w:t>
      </w:r>
      <w:r>
        <w:rPr>
          <w:rFonts w:hint="eastAsia"/>
        </w:rPr>
        <w:t>），高于</w:t>
      </w:r>
      <w:r>
        <w:t>2017</w:t>
      </w:r>
      <w:r>
        <w:rPr>
          <w:rFonts w:hint="eastAsia"/>
        </w:rPr>
        <w:t>年同期，叶绿素</w:t>
      </w:r>
      <w:r>
        <w:t>a</w:t>
      </w:r>
      <w:r>
        <w:rPr>
          <w:rFonts w:hint="eastAsia"/>
        </w:rPr>
        <w:t>全湖平均浓度呈上升趋势，</w:t>
      </w:r>
      <w:r>
        <w:t>2018</w:t>
      </w:r>
      <w:r>
        <w:rPr>
          <w:rFonts w:hint="eastAsia"/>
        </w:rPr>
        <w:t>年较</w:t>
      </w:r>
      <w:r>
        <w:t>2017</w:t>
      </w:r>
      <w:r>
        <w:rPr>
          <w:rFonts w:hint="eastAsia"/>
        </w:rPr>
        <w:t>年上升了</w:t>
      </w:r>
      <w:r>
        <w:t>66.67%</w:t>
      </w:r>
      <w:r>
        <w:rPr>
          <w:rFonts w:hint="eastAsia"/>
        </w:rPr>
        <w:t xml:space="preserve">，近五年全湖仍处于贫营养状态，但营养状态指数有所升高。 </w:t>
      </w:r>
    </w:p>
    <w:p>
      <w:pPr>
        <w:pStyle w:val="4"/>
      </w:pPr>
      <w:r>
        <w:rPr>
          <w:rFonts w:hint="eastAsia"/>
        </w:rPr>
        <w:t>（</w:t>
      </w:r>
      <w:r>
        <w:t>2</w:t>
      </w:r>
      <w:r>
        <w:rPr>
          <w:rFonts w:hint="eastAsia"/>
        </w:rPr>
        <w:t>）水生态系统结构受损，生态功能下降</w:t>
      </w:r>
    </w:p>
    <w:p>
      <w:pPr>
        <w:pStyle w:val="4"/>
      </w:pPr>
      <w:r>
        <w:rPr>
          <w:rFonts w:hint="eastAsia"/>
        </w:rPr>
        <w:t>澄江市抚仙湖水生态系统总体健康，但近年来水生生物种群结构变动速度加快。近20多年来，抚仙湖浮游植物生物量和物种丰富度逐渐增加，优势种群由清水种（丝藻属、微胞藻属）逐渐向喜营养种（栅藻属、直链藻属、四角藻属等）演替，蓝绿藻比重明显增加。浮游动物耐污种增加，清水种浮游甲壳类全年表层平均生物量为0.11 mg/L，相对较低，耐污种枝角类如角突网（</w:t>
      </w:r>
      <w:r>
        <w:rPr>
          <w:rFonts w:hint="eastAsia"/>
          <w:i/>
          <w:iCs/>
        </w:rPr>
        <w:t>Ceriodaphniacornuta</w:t>
      </w:r>
      <w:r>
        <w:rPr>
          <w:rFonts w:hint="eastAsia"/>
        </w:rPr>
        <w:t>）和象鼻溞（</w:t>
      </w:r>
      <w:r>
        <w:rPr>
          <w:rFonts w:hint="eastAsia"/>
          <w:i/>
          <w:iCs/>
        </w:rPr>
        <w:t>Bosmina</w:t>
      </w:r>
      <w:r>
        <w:rPr>
          <w:rFonts w:hint="eastAsia"/>
        </w:rPr>
        <w:t>）数量增加。底栖动物耐污种增加，摇蚊幼虫密度和生物量增加了1.7倍，清水种寡毛类密度和生物量显著下降。近30年，抚仙湖沉水植物分布范围显著增加。抚仙湖现存大型水生植物22种，优势种为轮藻类、穗状狐尾藻、苦草和篦齿眼子菜，群落组成和优势种相比历史发生重大变化，表现为耐污种种类和生物量的增加，群落组成向耐污种群演化。近年在抚仙湖北部的沿岸光亮带水域出现绿藻门的刚毛藻和水绵等丝状藻类爆发式生长，以水绵为主的丝状藻类会对沉水植物生长产生抑制作用，但对耐污植物穗状狐尾藻的抑制作用较小，这种群落结构的变化将导致抚仙湖生态系统稳定性和弹性进一步下降，抗干扰能力减弱，进一步增大局部藻类爆发风险。抚仙湖外来鱼种进入对土著鱼类的生存造成极大的威胁，逐渐取代土著鱼类成为生活于敞水区和沿岸区底层的优势种群，对抚仙湖的生态系统产生了严重的冲击。抚仙湖优良的水生态系统在渐渐失衡，其生态系统面临退化的威胁。</w:t>
      </w:r>
    </w:p>
    <w:p>
      <w:pPr>
        <w:pStyle w:val="4"/>
      </w:pPr>
      <w:r>
        <w:rPr>
          <w:rFonts w:hint="eastAsia"/>
        </w:rPr>
        <w:t>（</w:t>
      </w:r>
      <w:r>
        <w:t>3</w:t>
      </w:r>
      <w:r>
        <w:rPr>
          <w:rFonts w:hint="eastAsia"/>
        </w:rPr>
        <w:t>）湿地和湖滨缓冲带生态功能亟待提升</w:t>
      </w:r>
    </w:p>
    <w:p>
      <w:pPr>
        <w:pStyle w:val="4"/>
      </w:pPr>
      <w:r>
        <w:rPr>
          <w:rFonts w:hint="eastAsia"/>
        </w:rPr>
        <w:t>以库塘湿地和湖滨缓冲带为主的湿地系统是抚仙湖流域生态系统的重要组成部分。抚仙湖“十二五”规划实施期间，实施了环湖湿地修复系列工程，拆除抚仙湖一级保护区至新环湖公路外侧50m范围内临时违章建筑，全面推进湖滨缓冲带“四退三还”工程建设，流域湖滨自然岸线率接近65%，湖缓冲带修复比例为24.7%。十三五规划期进一步强化流域湖滨缓冲带建设，主要实施包括抚仙湖北岸生态湿地项目、抚仙湖西岸（路居片区）退田、退房环湖生态建设工程、抚仙湖湖滨区生态恢复工程、抚仙湖国家湿地公园建设项目，2017年抚仙湖实施雷霆行动，全面加速推进“四退三还”生态移民工程建设，工程将为抚仙湖湖滨缓冲带的全面修复提供了实施空间。目前，库塘湿地系统运维管理机制不完善，二次污染严重、急需整治的现状依然存在，抚仙湖湖滨生态屏障的全面构建格局尚待进一步建设，以水源涵养、水土保持、生物多样性保护、水质净化为目的的整体生态功能亟待提升。</w:t>
      </w:r>
    </w:p>
    <w:p>
      <w:pPr>
        <w:pStyle w:val="5"/>
      </w:pPr>
      <w:bookmarkStart w:id="43" w:name="_Toc184023320"/>
      <w:r>
        <w:t>水资源</w:t>
      </w:r>
      <w:r>
        <w:rPr>
          <w:rFonts w:hint="eastAsia"/>
        </w:rPr>
        <w:t>开发</w:t>
      </w:r>
      <w:r>
        <w:t>利用现状评价</w:t>
      </w:r>
      <w:bookmarkEnd w:id="43"/>
    </w:p>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水资源量</w:t>
      </w:r>
    </w:p>
    <w:p>
      <w:pPr>
        <w:adjustRightInd w:val="0"/>
        <w:snapToGrid w:val="0"/>
      </w:pPr>
      <w:r>
        <w:t>规划区多年平均</w:t>
      </w:r>
      <w:r>
        <w:rPr>
          <w:rFonts w:hint="eastAsia"/>
        </w:rPr>
        <w:t>水资源量</w:t>
      </w:r>
      <w:r>
        <w:t>3.85亿m³</w:t>
      </w:r>
      <w:r>
        <w:rPr>
          <w:rFonts w:hint="eastAsia"/>
        </w:rPr>
        <w:t>，其中抚仙湖片区</w:t>
      </w:r>
      <w:r>
        <w:t>多年平均</w:t>
      </w:r>
      <w:r>
        <w:rPr>
          <w:rFonts w:hint="eastAsia"/>
        </w:rPr>
        <w:t>水资源量3.42亿</w:t>
      </w:r>
      <w:r>
        <w:t>m³</w:t>
      </w:r>
      <w:r>
        <w:rPr>
          <w:rFonts w:hint="eastAsia"/>
        </w:rPr>
        <w:t>，南盘江片区</w:t>
      </w:r>
      <w:r>
        <w:t>多年平均</w:t>
      </w:r>
      <w:r>
        <w:rPr>
          <w:rFonts w:hint="eastAsia"/>
        </w:rPr>
        <w:t>水资源量4200万</w:t>
      </w:r>
      <w:r>
        <w:t>m³</w:t>
      </w:r>
      <w:r>
        <w:rPr>
          <w:rFonts w:hint="eastAsia"/>
        </w:rPr>
        <w:t>，提古片区</w:t>
      </w:r>
      <w:r>
        <w:t>多年平均</w:t>
      </w:r>
      <w:r>
        <w:rPr>
          <w:rFonts w:hint="eastAsia"/>
        </w:rPr>
        <w:t>水资源量100万</w:t>
      </w:r>
      <w:r>
        <w:t>m³</w:t>
      </w:r>
      <w:r>
        <w:rPr>
          <w:rFonts w:hint="eastAsia"/>
        </w:rPr>
        <w:t>。</w:t>
      </w:r>
      <w:r>
        <w:t>规划区扣除蒸发损失后多年平均</w:t>
      </w:r>
      <w:r>
        <w:rPr>
          <w:rFonts w:hint="eastAsia"/>
        </w:rPr>
        <w:t>可利用</w:t>
      </w:r>
      <w:r>
        <w:t>水资源量0.97亿m³，人均</w:t>
      </w:r>
      <w:r>
        <w:rPr>
          <w:rFonts w:hint="eastAsia"/>
        </w:rPr>
        <w:t>可利用</w:t>
      </w:r>
      <w:r>
        <w:t>水资源量5</w:t>
      </w:r>
      <w:r>
        <w:rPr>
          <w:rFonts w:hint="eastAsia"/>
        </w:rPr>
        <w:t>2</w:t>
      </w:r>
      <w:r>
        <w:t>6m³，仅为全省的11%，耕地亩均水资源量为1323m³/亩，2022年规划区用水量3622万m³，水资源开发利用率37%。</w:t>
      </w:r>
    </w:p>
    <w:p>
      <w:pPr>
        <w:adjustRightInd w:val="0"/>
        <w:snapToGrid w:val="0"/>
      </w:pPr>
      <w:r>
        <w:t>抚仙湖径流源于降水，其补给方式主要为陆面地表河流补给、湖面降水量直接补给、湖岸周围龙潭地下水补给。1961-20</w:t>
      </w:r>
      <w:r>
        <w:rPr>
          <w:rFonts w:hint="eastAsia"/>
        </w:rPr>
        <w:t>22</w:t>
      </w:r>
      <w:r>
        <w:t>年多年平均入湖水量3.42亿m</w:t>
      </w:r>
      <w:r>
        <w:rPr>
          <w:vertAlign w:val="superscript"/>
        </w:rPr>
        <w:t>3</w:t>
      </w:r>
      <w:r>
        <w:t>，其中湖面产水量（湖面降水）1.88亿m³，陆面产水量1.54亿m³</w:t>
      </w:r>
      <w:r>
        <w:rPr>
          <w:rFonts w:hint="eastAsia"/>
        </w:rPr>
        <w:t>，</w:t>
      </w:r>
      <w:r>
        <w:t>抚仙湖湖面多年平均蒸发水量2.88亿m³，扣除湖面蒸发后</w:t>
      </w:r>
      <w:r>
        <w:rPr>
          <w:rFonts w:hint="eastAsia"/>
        </w:rPr>
        <w:t>，</w:t>
      </w:r>
      <w:r>
        <w:t>可利用水资源量为0.54亿m³。一般年份抚仙湖的入湖年径流量在2.6～4.3亿m³之间，最丰年1966年入湖径流量4.91亿m³，最枯年2009年1.85亿m³，相差2.65倍。入湖径流年内分配不均匀，汛期6-11月入湖径流量约占全年的75%，枯季12～5月占25%，最枯的2月仅占2.4%。</w:t>
      </w:r>
      <w:r>
        <w:rPr>
          <w:rFonts w:hint="eastAsia"/>
        </w:rPr>
        <w:t>2008年，抚仙湖星云湖出流改道工程建成后，抚仙湖流域面积减少近1/3，天然入湖径流量年均减少近4000万</w:t>
      </w:r>
      <w:r>
        <w:t>m³</w:t>
      </w:r>
      <w:r>
        <w:rPr>
          <w:rFonts w:hint="eastAsia"/>
        </w:rPr>
        <w:t>。</w:t>
      </w:r>
    </w:p>
    <w:p>
      <w:pPr>
        <w:adjustRightInd w:val="0"/>
        <w:snapToGrid w:val="0"/>
      </w:pPr>
      <w:r>
        <w:rPr>
          <w:rFonts w:hint="eastAsia"/>
        </w:rPr>
        <w:t>规划范围内地下水丰富，较大的有西龙潭、甸垛龙潭、上坝龙潭和东龙潭。根据实测资料推算，西龙潭多年平均径流量为1971万m³，甸垛龙潭多年平均径流量为1655万m³，上坝龙潭多年平均径流量为229万m³，东龙潭多年平均径流量为59万m³。由于近年来降雨减少，各龙潭出水量都呈减少的趋势。</w:t>
      </w:r>
    </w:p>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供水设施调查</w:t>
      </w:r>
    </w:p>
    <w:p>
      <w:pPr>
        <w:adjustRightInd w:val="0"/>
        <w:snapToGrid w:val="0"/>
      </w:pPr>
      <w:r>
        <w:t>供水设施调查以2022年为基准年，调查统计地表水源和地下水源的工程数量和供水能力。除了对水利部门所属的水源工程进行统计外，对其它部门所属的水源的工程均进行统计。规划区地表水源工程分为蓄水工程、引水工程、提水工程和机井工程，按供水系统分别统计，并避免重复计算。规划区泉水数量较多，地下水多以泉水形式从地表流出，再通过引水工程供给生活和农田灌溉等，因此，地下水主要在引水工程中统计。</w:t>
      </w:r>
    </w:p>
    <w:p>
      <w:pPr>
        <w:adjustRightInd w:val="0"/>
        <w:snapToGrid w:val="0"/>
      </w:pPr>
      <w:r>
        <w:t>（1）蓄水工程</w:t>
      </w:r>
    </w:p>
    <w:p>
      <w:pPr>
        <w:adjustRightInd w:val="0"/>
        <w:snapToGrid w:val="0"/>
      </w:pPr>
      <w:r>
        <w:t>截止2022年底，全市已建成梁王河和东大河2座中型水库，总库容230</w:t>
      </w:r>
      <w:r>
        <w:rPr>
          <w:rFonts w:hint="eastAsia"/>
        </w:rPr>
        <w:t>8</w:t>
      </w:r>
      <w:r>
        <w:t>万m³；小（一）型水库5座，总库容951.2万m³；小（二）型水库29座，总库容823万m³；坝塘71座，总库容176万m³。</w:t>
      </w:r>
    </w:p>
    <w:p>
      <w:pPr>
        <w:adjustRightInd w:val="0"/>
        <w:snapToGrid w:val="0"/>
      </w:pPr>
      <w:r>
        <w:t>抚仙湖片区已建成中型水库2座，总库容230</w:t>
      </w:r>
      <w:r>
        <w:rPr>
          <w:rFonts w:hint="eastAsia"/>
        </w:rPr>
        <w:t>8</w:t>
      </w:r>
      <w:r>
        <w:t>万m³，小（一）型水库4座，总库容762万m³；小（二）型水库20座，总库容640万m³；坝塘62座，总库容148万m³。南盘江片区已建成小（一）型水库1座，总库容214万m³；小（二）型水库9座，总库容166万m³；坝塘9座，总库容28万m³。提古片区无蓄水工程。</w:t>
      </w:r>
    </w:p>
    <w:p>
      <w:pPr>
        <w:adjustRightInd w:val="0"/>
        <w:snapToGrid w:val="0"/>
      </w:pPr>
      <w:r>
        <w:t>梁王河水库：已建中型水库，地处县城西北4km，位于龙街</w:t>
      </w:r>
      <w:r>
        <w:rPr>
          <w:rFonts w:hint="eastAsia"/>
        </w:rPr>
        <w:t>街道</w:t>
      </w:r>
      <w:r>
        <w:t>忠窑村委会白土坡村旁，是一座以灌溉为主兼顾防洪的中型水库，坝址径流面积30.8km²。水库大坝坝型为均质土坝，坝顶高程为1839.6m，坝高43.4m，总库容1100万m³，死库容68万m³，兴利库容925万m³。设计灌溉面积2.5万亩，有效灌溉面积2.0万亩，实际灌溉面积1.7万亩。主干渠共两条，分别为梁王河北大沟及西大沟，全长9.1km，最大流量4.1m³/s，主干渠的功能主要是将梁王河水库的蓄水引入灌区。</w:t>
      </w:r>
    </w:p>
    <w:p>
      <w:pPr>
        <w:adjustRightInd w:val="0"/>
        <w:snapToGrid w:val="0"/>
      </w:pPr>
      <w:r>
        <w:t>东大河水库：已建中型水库，位于澄江市东北方向4km的东大河中上游。坝址径流面积36.0km²，兴利库容962万m³，死库容72万m³。东大河水库工程任务为农田灌溉，设计灌溉面积2.3万亩，实际有效灌溉面积1.93万亩。主干渠共两条，分别为东大河西干渠和东干渠，全长 15.6km，最大流量1.3m³/s，主干渠的功能主要是将梁王河水库的蓄水引入灌区。</w:t>
      </w:r>
    </w:p>
    <w:p>
      <w:pPr>
        <w:adjustRightInd w:val="0"/>
        <w:snapToGrid w:val="0"/>
      </w:pPr>
      <w:r>
        <w:t>（2）引水工程</w:t>
      </w:r>
    </w:p>
    <w:p>
      <w:pPr>
        <w:adjustRightInd w:val="0"/>
        <w:snapToGrid w:val="0"/>
      </w:pPr>
      <w:r>
        <w:t>全市主要引水工程66件，主要有西龙潭引水至澄江市二水厂、东龙潭引水至右所集镇水厂。抚仙湖片区有引水工程46件、南盘江片区有引水工程20件。提古片区无引水工程。</w:t>
      </w:r>
    </w:p>
    <w:p>
      <w:pPr>
        <w:adjustRightInd w:val="0"/>
        <w:snapToGrid w:val="0"/>
      </w:pPr>
      <w:r>
        <w:t>（3）提水工程</w:t>
      </w:r>
    </w:p>
    <w:p>
      <w:pPr>
        <w:adjustRightInd w:val="0"/>
        <w:snapToGrid w:val="0"/>
      </w:pPr>
      <w:r>
        <w:t>全市有提水工程54件，主要从抚仙湖提水。抚仙湖片区提水工程35件</w:t>
      </w:r>
      <w:r>
        <w:rPr>
          <w:rFonts w:hint="eastAsia"/>
        </w:rPr>
        <w:t>（从2023年起从抚仙湖提水泵站全部停用）</w:t>
      </w:r>
      <w:r>
        <w:t>、南盘江片区19件。</w:t>
      </w:r>
    </w:p>
    <w:p>
      <w:pPr>
        <w:adjustRightInd w:val="0"/>
        <w:snapToGrid w:val="0"/>
      </w:pPr>
      <w:r>
        <w:t>（4）机井工程</w:t>
      </w:r>
    </w:p>
    <w:p>
      <w:pPr>
        <w:adjustRightInd w:val="0"/>
        <w:snapToGrid w:val="0"/>
      </w:pPr>
      <w:r>
        <w:t>全市机井工程24件，抚仙湖片区15件，南盘江片区9件。</w:t>
      </w:r>
    </w:p>
    <w:p>
      <w:pPr>
        <w:adjustRightInd w:val="0"/>
        <w:snapToGrid w:val="0"/>
      </w:pPr>
      <w:r>
        <w:t>（5）其他水源工程</w:t>
      </w:r>
    </w:p>
    <w:p>
      <w:pPr>
        <w:adjustRightInd w:val="0"/>
        <w:snapToGrid w:val="0"/>
      </w:pPr>
      <w:r>
        <w:t>全市范围内其他水源工程主要有抚仙湖北岸调蓄带和澄江市县城污水处理厂尾水中水回用系统。</w:t>
      </w:r>
    </w:p>
    <w:p>
      <w:pPr>
        <w:adjustRightInd w:val="0"/>
        <w:snapToGrid w:val="0"/>
      </w:pPr>
      <w:r>
        <w:t>抚仙湖北岸调蓄带：调蓄带容积</w:t>
      </w:r>
      <w:r>
        <w:rPr>
          <w:rFonts w:hint="eastAsia"/>
        </w:rPr>
        <w:t>45.3</w:t>
      </w:r>
      <w:r>
        <w:t>万m³，枯水期收集回归水量，通过1#、2#</w:t>
      </w:r>
      <w:r>
        <w:rPr>
          <w:rFonts w:hint="eastAsia"/>
        </w:rPr>
        <w:t>、3#</w:t>
      </w:r>
      <w:r>
        <w:t>抽水泵站将净化的回归水回用于上游农田灌溉。</w:t>
      </w:r>
      <w:r>
        <w:rPr>
          <w:rFonts w:hint="eastAsia"/>
        </w:rPr>
        <w:t>1#泵站位于调蓄带东侧，主要用于提水灌溉东部山区农田灌溉；</w:t>
      </w:r>
      <w:r>
        <w:t>2#泵站位于抚澄河左岸，设两台水泵，单台水泵设计流量均为0.5m³/s，抽水回灌上游1.92万亩农田</w:t>
      </w:r>
      <w:r>
        <w:rPr>
          <w:rFonts w:hint="eastAsia"/>
        </w:rPr>
        <w:t>；3</w:t>
      </w:r>
      <w:r>
        <w:t>#泵站位于沙亥河西侧，设3台水泵，单台水泵设计流量均为0.2m³/s，抽水回灌上游0.75万亩农田</w:t>
      </w:r>
      <w:r>
        <w:rPr>
          <w:rFonts w:hint="eastAsia"/>
        </w:rPr>
        <w:t>。</w:t>
      </w:r>
    </w:p>
    <w:p>
      <w:pPr>
        <w:adjustRightInd w:val="0"/>
        <w:snapToGrid w:val="0"/>
      </w:pPr>
      <w:r>
        <w:t>中水回用系统：工程位于澄江市污水处理厂北侧，设计处理规模近期15000m³/d（远期规模30000m³/d），中水回用管网46.9km，其中：输水管24.5km，配水管22.4km。回用管网分为初级回用管网和高级回用管网，初级回用管网主要供给水质要求较低中水需求区域使用，主要为苗木基地浇灌及工业园区用水；高级回用管网主要供给水质要求较高的中水需求区域使用，近期供水规模为7500m³/d，服务对象为生态河道补水、入户冲厕、城市绿化杂用和景观用水等。</w:t>
      </w:r>
    </w:p>
    <w:p>
      <w:pPr>
        <w:adjustRightInd w:val="0"/>
        <w:snapToGrid w:val="0"/>
      </w:pPr>
      <w:r>
        <w:t>规划区现状供水设施见下表。</w:t>
      </w:r>
    </w:p>
    <w:p>
      <w:pPr>
        <w:widowControl/>
        <w:spacing w:before="120" w:after="60" w:line="240" w:lineRule="auto"/>
        <w:ind w:firstLine="576" w:firstLineChars="0"/>
        <w:jc w:val="center"/>
        <w:rPr>
          <w:rFonts w:eastAsia="黑体"/>
          <w:spacing w:val="0"/>
        </w:rPr>
      </w:pPr>
      <w:r>
        <w:rPr>
          <w:rFonts w:eastAsia="黑体"/>
          <w:spacing w:val="0"/>
        </w:rPr>
        <w:t xml:space="preserve">  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3.2</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1</w:t>
      </w:r>
      <w:r>
        <w:rPr>
          <w:rFonts w:eastAsia="黑体"/>
          <w:spacing w:val="0"/>
        </w:rPr>
        <w:fldChar w:fldCharType="end"/>
      </w:r>
      <w:r>
        <w:rPr>
          <w:rFonts w:eastAsia="黑体"/>
          <w:spacing w:val="0"/>
        </w:rPr>
        <w:t xml:space="preserve">  规划区现状供水设施    单位：万m³</w:t>
      </w:r>
    </w:p>
    <w:tbl>
      <w:tblPr>
        <w:tblStyle w:val="51"/>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538"/>
        <w:gridCol w:w="700"/>
        <w:gridCol w:w="538"/>
        <w:gridCol w:w="700"/>
        <w:gridCol w:w="538"/>
        <w:gridCol w:w="700"/>
        <w:gridCol w:w="538"/>
        <w:gridCol w:w="700"/>
        <w:gridCol w:w="1022"/>
        <w:gridCol w:w="1022"/>
        <w:gridCol w:w="1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22" w:type="dxa"/>
            <w:vMerge w:val="restart"/>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片区</w:t>
            </w:r>
          </w:p>
        </w:tc>
        <w:tc>
          <w:tcPr>
            <w:tcW w:w="4952" w:type="dxa"/>
            <w:gridSpan w:val="8"/>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蓄水工程</w:t>
            </w:r>
          </w:p>
        </w:tc>
        <w:tc>
          <w:tcPr>
            <w:tcW w:w="1022" w:type="dxa"/>
            <w:vMerge w:val="restart"/>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引水</w:t>
            </w:r>
          </w:p>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工程（件）</w:t>
            </w:r>
          </w:p>
        </w:tc>
        <w:tc>
          <w:tcPr>
            <w:tcW w:w="1022" w:type="dxa"/>
            <w:vMerge w:val="restart"/>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提水</w:t>
            </w:r>
          </w:p>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工程（件）</w:t>
            </w:r>
          </w:p>
        </w:tc>
        <w:tc>
          <w:tcPr>
            <w:tcW w:w="1022" w:type="dxa"/>
            <w:vMerge w:val="restart"/>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机井</w:t>
            </w:r>
          </w:p>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工程（件）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22" w:type="dxa"/>
            <w:vMerge w:val="continue"/>
            <w:vAlign w:val="center"/>
          </w:tcPr>
          <w:p>
            <w:pPr>
              <w:spacing w:before="40" w:after="40" w:line="240" w:lineRule="auto"/>
              <w:ind w:firstLine="0" w:firstLineChars="0"/>
              <w:jc w:val="center"/>
              <w:rPr>
                <w:rFonts w:eastAsia="宋体" w:cs="Arial"/>
                <w:spacing w:val="0"/>
                <w:sz w:val="21"/>
                <w:szCs w:val="24"/>
              </w:rPr>
            </w:pPr>
          </w:p>
        </w:tc>
        <w:tc>
          <w:tcPr>
            <w:tcW w:w="1238" w:type="dxa"/>
            <w:gridSpan w:val="2"/>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中型</w:t>
            </w:r>
          </w:p>
        </w:tc>
        <w:tc>
          <w:tcPr>
            <w:tcW w:w="1238" w:type="dxa"/>
            <w:gridSpan w:val="2"/>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小（一）</w:t>
            </w:r>
          </w:p>
        </w:tc>
        <w:tc>
          <w:tcPr>
            <w:tcW w:w="1238" w:type="dxa"/>
            <w:gridSpan w:val="2"/>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小（二）</w:t>
            </w:r>
          </w:p>
        </w:tc>
        <w:tc>
          <w:tcPr>
            <w:tcW w:w="1238" w:type="dxa"/>
            <w:gridSpan w:val="2"/>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坝塘</w:t>
            </w:r>
          </w:p>
        </w:tc>
        <w:tc>
          <w:tcPr>
            <w:tcW w:w="1022" w:type="dxa"/>
            <w:vMerge w:val="continue"/>
            <w:vAlign w:val="center"/>
          </w:tcPr>
          <w:p>
            <w:pPr>
              <w:spacing w:before="40" w:after="40" w:line="240" w:lineRule="auto"/>
              <w:ind w:firstLine="0" w:firstLineChars="0"/>
              <w:jc w:val="center"/>
              <w:rPr>
                <w:rFonts w:eastAsia="宋体" w:cs="Arial"/>
                <w:spacing w:val="0"/>
                <w:sz w:val="21"/>
                <w:szCs w:val="24"/>
              </w:rPr>
            </w:pPr>
          </w:p>
        </w:tc>
        <w:tc>
          <w:tcPr>
            <w:tcW w:w="1022" w:type="dxa"/>
            <w:vMerge w:val="continue"/>
            <w:vAlign w:val="center"/>
          </w:tcPr>
          <w:p>
            <w:pPr>
              <w:spacing w:before="40" w:after="40" w:line="240" w:lineRule="auto"/>
              <w:ind w:firstLine="0" w:firstLineChars="0"/>
              <w:jc w:val="center"/>
              <w:rPr>
                <w:rFonts w:eastAsia="宋体" w:cs="Arial"/>
                <w:spacing w:val="0"/>
                <w:sz w:val="21"/>
                <w:szCs w:val="24"/>
              </w:rPr>
            </w:pPr>
          </w:p>
        </w:tc>
        <w:tc>
          <w:tcPr>
            <w:tcW w:w="1022" w:type="dxa"/>
            <w:vMerge w:val="continue"/>
            <w:vAlign w:val="center"/>
          </w:tcPr>
          <w:p>
            <w:pPr>
              <w:spacing w:before="40" w:after="40" w:line="240" w:lineRule="auto"/>
              <w:ind w:firstLine="0" w:firstLineChars="0"/>
              <w:jc w:val="center"/>
              <w:rPr>
                <w:rFonts w:eastAsia="宋体" w:cs="Arial"/>
                <w:spacing w:val="0"/>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22" w:type="dxa"/>
            <w:vMerge w:val="continue"/>
            <w:vAlign w:val="center"/>
          </w:tcPr>
          <w:p>
            <w:pPr>
              <w:spacing w:before="40" w:after="40" w:line="240" w:lineRule="auto"/>
              <w:ind w:firstLine="0" w:firstLineChars="0"/>
              <w:jc w:val="center"/>
              <w:rPr>
                <w:rFonts w:eastAsia="宋体" w:cs="Arial"/>
                <w:spacing w:val="0"/>
                <w:sz w:val="21"/>
                <w:szCs w:val="24"/>
              </w:rPr>
            </w:pP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数量</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总库容</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数量</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总库容</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数量</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总库容</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数量</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总库容</w:t>
            </w:r>
          </w:p>
        </w:tc>
        <w:tc>
          <w:tcPr>
            <w:tcW w:w="1022" w:type="dxa"/>
            <w:vMerge w:val="continue"/>
            <w:vAlign w:val="center"/>
          </w:tcPr>
          <w:p>
            <w:pPr>
              <w:spacing w:before="40" w:after="40" w:line="240" w:lineRule="auto"/>
              <w:ind w:firstLine="0" w:firstLineChars="0"/>
              <w:jc w:val="center"/>
              <w:rPr>
                <w:rFonts w:eastAsia="宋体" w:cs="Arial"/>
                <w:spacing w:val="0"/>
                <w:sz w:val="21"/>
                <w:szCs w:val="24"/>
              </w:rPr>
            </w:pPr>
          </w:p>
        </w:tc>
        <w:tc>
          <w:tcPr>
            <w:tcW w:w="1022" w:type="dxa"/>
            <w:vMerge w:val="continue"/>
            <w:vAlign w:val="center"/>
          </w:tcPr>
          <w:p>
            <w:pPr>
              <w:spacing w:before="40" w:after="40" w:line="240" w:lineRule="auto"/>
              <w:ind w:firstLine="0" w:firstLineChars="0"/>
              <w:jc w:val="center"/>
              <w:rPr>
                <w:rFonts w:eastAsia="宋体" w:cs="Arial"/>
                <w:spacing w:val="0"/>
                <w:sz w:val="21"/>
                <w:szCs w:val="24"/>
              </w:rPr>
            </w:pPr>
          </w:p>
        </w:tc>
        <w:tc>
          <w:tcPr>
            <w:tcW w:w="1022" w:type="dxa"/>
            <w:vMerge w:val="continue"/>
            <w:vAlign w:val="center"/>
          </w:tcPr>
          <w:p>
            <w:pPr>
              <w:spacing w:before="40" w:after="40" w:line="240" w:lineRule="auto"/>
              <w:ind w:firstLine="0" w:firstLineChars="0"/>
              <w:jc w:val="center"/>
              <w:rPr>
                <w:rFonts w:eastAsia="宋体" w:cs="Arial"/>
                <w:spacing w:val="0"/>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抚仙湖</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230</w:t>
            </w:r>
            <w:r>
              <w:rPr>
                <w:rFonts w:hint="eastAsia" w:eastAsia="宋体" w:cs="Arial"/>
                <w:spacing w:val="0"/>
                <w:sz w:val="21"/>
                <w:szCs w:val="24"/>
              </w:rPr>
              <w:t>8</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4</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762</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21</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649</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62</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148</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46</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35</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南盘江</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1</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214</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9</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166</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9</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28</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20</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19</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合计</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230</w:t>
            </w:r>
            <w:r>
              <w:rPr>
                <w:rFonts w:hint="eastAsia" w:eastAsia="宋体" w:cs="Arial"/>
                <w:spacing w:val="0"/>
                <w:sz w:val="21"/>
                <w:szCs w:val="24"/>
              </w:rPr>
              <w:t>8</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5</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976</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30</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815</w:t>
            </w:r>
          </w:p>
        </w:tc>
        <w:tc>
          <w:tcPr>
            <w:tcW w:w="538"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71</w:t>
            </w:r>
          </w:p>
        </w:tc>
        <w:tc>
          <w:tcPr>
            <w:tcW w:w="700"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176</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66</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54</w:t>
            </w:r>
          </w:p>
        </w:tc>
        <w:tc>
          <w:tcPr>
            <w:tcW w:w="1022" w:type="dxa"/>
            <w:shd w:val="clear" w:color="auto" w:fill="auto"/>
            <w:noWrap/>
            <w:vAlign w:val="center"/>
          </w:tcPr>
          <w:p>
            <w:pPr>
              <w:spacing w:before="40" w:after="40" w:line="240" w:lineRule="auto"/>
              <w:ind w:firstLine="0" w:firstLineChars="0"/>
              <w:jc w:val="center"/>
              <w:rPr>
                <w:rFonts w:eastAsia="宋体" w:cs="Arial"/>
                <w:spacing w:val="0"/>
                <w:sz w:val="21"/>
                <w:szCs w:val="24"/>
              </w:rPr>
            </w:pPr>
            <w:r>
              <w:rPr>
                <w:rFonts w:eastAsia="宋体" w:cs="Arial"/>
                <w:spacing w:val="0"/>
                <w:sz w:val="21"/>
                <w:szCs w:val="24"/>
              </w:rPr>
              <w:t>24</w:t>
            </w:r>
          </w:p>
        </w:tc>
      </w:tr>
    </w:tbl>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现状供用水量情况调查</w:t>
      </w:r>
    </w:p>
    <w:p>
      <w:r>
        <w:t>（1）供水情况</w:t>
      </w:r>
    </w:p>
    <w:p>
      <w:r>
        <w:t>2022年，规划区各类供水工程实际供水量</w:t>
      </w:r>
      <w:r>
        <w:rPr>
          <w:rFonts w:hint="eastAsia"/>
        </w:rPr>
        <w:t>5715</w:t>
      </w:r>
      <w:r>
        <w:t>万m³，其中蓄水工程供水</w:t>
      </w:r>
      <w:r>
        <w:rPr>
          <w:rFonts w:hint="eastAsia"/>
        </w:rPr>
        <w:t>3051</w:t>
      </w:r>
      <w:r>
        <w:t>万m³，引水工程供水</w:t>
      </w:r>
      <w:r>
        <w:rPr>
          <w:rFonts w:hint="eastAsia"/>
        </w:rPr>
        <w:t>822</w:t>
      </w:r>
      <w:r>
        <w:t>万m³，提水工程供水</w:t>
      </w:r>
      <w:r>
        <w:rPr>
          <w:rFonts w:hint="eastAsia"/>
        </w:rPr>
        <w:t>938</w:t>
      </w:r>
      <w:r>
        <w:t>万m³，机电井工程供水</w:t>
      </w:r>
      <w:r>
        <w:rPr>
          <w:rFonts w:hint="eastAsia"/>
        </w:rPr>
        <w:t>492</w:t>
      </w:r>
      <w:r>
        <w:t>万m³，中水回用工程供水</w:t>
      </w:r>
      <w:r>
        <w:rPr>
          <w:rFonts w:hint="eastAsia"/>
        </w:rPr>
        <w:t>412</w:t>
      </w:r>
      <w:r>
        <w:t>万m³，分别占比</w:t>
      </w:r>
      <w:r>
        <w:rPr>
          <w:rFonts w:hint="eastAsia"/>
        </w:rPr>
        <w:t>53</w:t>
      </w:r>
      <w:r>
        <w:t>%、</w:t>
      </w:r>
      <w:r>
        <w:rPr>
          <w:rFonts w:hint="eastAsia"/>
        </w:rPr>
        <w:t>14</w:t>
      </w:r>
      <w:r>
        <w:t>%、1</w:t>
      </w:r>
      <w:r>
        <w:rPr>
          <w:rFonts w:hint="eastAsia"/>
        </w:rPr>
        <w:t>6</w:t>
      </w:r>
      <w:r>
        <w:t>%、</w:t>
      </w:r>
      <w:r>
        <w:rPr>
          <w:rFonts w:hint="eastAsia"/>
        </w:rPr>
        <w:t>9</w:t>
      </w:r>
      <w:r>
        <w:t>%、</w:t>
      </w:r>
      <w:r>
        <w:rPr>
          <w:rFonts w:hint="eastAsia"/>
        </w:rPr>
        <w:t>7</w:t>
      </w:r>
      <w:r>
        <w:t>%，规划区现状年实际供水以蓄水工程为主。</w:t>
      </w:r>
    </w:p>
    <w:p>
      <w:r>
        <w:t>从分片区看，抚仙湖片区各类供水工程实际供水量</w:t>
      </w:r>
      <w:r>
        <w:rPr>
          <w:rFonts w:hint="eastAsia"/>
        </w:rPr>
        <w:t>4802</w:t>
      </w:r>
      <w:r>
        <w:t>万m³，其中蓄水工程供水</w:t>
      </w:r>
      <w:r>
        <w:rPr>
          <w:rFonts w:hint="eastAsia"/>
        </w:rPr>
        <w:t>2593</w:t>
      </w:r>
      <w:r>
        <w:t>万m³，引水工程供水</w:t>
      </w:r>
      <w:r>
        <w:rPr>
          <w:rFonts w:hint="eastAsia"/>
        </w:rPr>
        <w:t>769</w:t>
      </w:r>
      <w:r>
        <w:t>万m³，提水工程供水</w:t>
      </w:r>
      <w:r>
        <w:rPr>
          <w:rFonts w:hint="eastAsia"/>
        </w:rPr>
        <w:t>628</w:t>
      </w:r>
      <w:r>
        <w:t>万m³，机电井工程供水</w:t>
      </w:r>
      <w:r>
        <w:rPr>
          <w:rFonts w:hint="eastAsia"/>
        </w:rPr>
        <w:t>40</w:t>
      </w:r>
      <w:r>
        <w:t>1万m³，中水回用工程供水</w:t>
      </w:r>
      <w:r>
        <w:rPr>
          <w:rFonts w:hint="eastAsia"/>
        </w:rPr>
        <w:t>411</w:t>
      </w:r>
      <w:r>
        <w:t>万m³；南盘江片区各类供水工程实际供水量</w:t>
      </w:r>
      <w:r>
        <w:rPr>
          <w:rFonts w:hint="eastAsia"/>
        </w:rPr>
        <w:t>884</w:t>
      </w:r>
      <w:r>
        <w:t>万m³，其中蓄水工程供水</w:t>
      </w:r>
      <w:r>
        <w:rPr>
          <w:rFonts w:hint="eastAsia"/>
        </w:rPr>
        <w:t>429</w:t>
      </w:r>
      <w:r>
        <w:t>万m³，引水工程供水</w:t>
      </w:r>
      <w:r>
        <w:rPr>
          <w:rFonts w:hint="eastAsia"/>
        </w:rPr>
        <w:t>53</w:t>
      </w:r>
      <w:r>
        <w:t>万m³，提水工程供水</w:t>
      </w:r>
      <w:r>
        <w:rPr>
          <w:rFonts w:hint="eastAsia"/>
        </w:rPr>
        <w:t>310</w:t>
      </w:r>
      <w:r>
        <w:t>万m³，机电井工程供水</w:t>
      </w:r>
      <w:r>
        <w:rPr>
          <w:rFonts w:hint="eastAsia"/>
        </w:rPr>
        <w:t>91</w:t>
      </w:r>
      <w:r>
        <w:t>万m³</w:t>
      </w:r>
      <w:r>
        <w:rPr>
          <w:rFonts w:hint="eastAsia"/>
        </w:rPr>
        <w:t>、中水回用工程1万</w:t>
      </w:r>
      <w:r>
        <w:t>m³；提古片区实际供水量29万m³，其中蓄水工程供水</w:t>
      </w:r>
      <w:r>
        <w:rPr>
          <w:rFonts w:hint="eastAsia"/>
        </w:rPr>
        <w:t>29</w:t>
      </w:r>
      <w:r>
        <w:t>万m³。具体见下表、下图。</w:t>
      </w:r>
    </w:p>
    <w:p>
      <w:pPr>
        <w:widowControl/>
        <w:spacing w:before="120" w:after="60" w:line="240" w:lineRule="auto"/>
        <w:ind w:firstLine="576"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3.2</w:t>
      </w:r>
      <w:r>
        <w:rPr>
          <w:rFonts w:eastAsia="黑体"/>
          <w:spacing w:val="0"/>
        </w:rPr>
        <w:fldChar w:fldCharType="end"/>
      </w:r>
      <w:r>
        <w:rPr>
          <w:rFonts w:eastAsia="黑体"/>
          <w:spacing w:val="0"/>
        </w:rPr>
        <w:noBreakHyphen/>
      </w:r>
      <w:r>
        <w:rPr>
          <w:rFonts w:hint="eastAsia" w:eastAsia="黑体"/>
          <w:spacing w:val="0"/>
        </w:rPr>
        <w:t>2</w:t>
      </w:r>
      <w:r>
        <w:rPr>
          <w:rFonts w:eastAsia="黑体"/>
          <w:spacing w:val="0"/>
        </w:rPr>
        <w:t>规划区现状年实际用水量    单位：万m³</w:t>
      </w:r>
    </w:p>
    <w:tbl>
      <w:tblPr>
        <w:tblStyle w:val="51"/>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277"/>
        <w:gridCol w:w="1276"/>
        <w:gridCol w:w="1276"/>
        <w:gridCol w:w="1276"/>
        <w:gridCol w:w="1276"/>
        <w:gridCol w:w="1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384"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片区</w:t>
            </w:r>
          </w:p>
        </w:tc>
        <w:tc>
          <w:tcPr>
            <w:tcW w:w="1277"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蓄水</w:t>
            </w:r>
          </w:p>
        </w:tc>
        <w:tc>
          <w:tcPr>
            <w:tcW w:w="1276"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引水</w:t>
            </w:r>
          </w:p>
        </w:tc>
        <w:tc>
          <w:tcPr>
            <w:tcW w:w="1276"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提水</w:t>
            </w:r>
          </w:p>
        </w:tc>
        <w:tc>
          <w:tcPr>
            <w:tcW w:w="1276"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机井</w:t>
            </w:r>
          </w:p>
        </w:tc>
        <w:tc>
          <w:tcPr>
            <w:tcW w:w="1276"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中水</w:t>
            </w:r>
          </w:p>
        </w:tc>
        <w:tc>
          <w:tcPr>
            <w:tcW w:w="1275"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384"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抚仙湖片区</w:t>
            </w:r>
          </w:p>
        </w:tc>
        <w:tc>
          <w:tcPr>
            <w:tcW w:w="1277"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2593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769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628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401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411 </w:t>
            </w:r>
          </w:p>
        </w:tc>
        <w:tc>
          <w:tcPr>
            <w:tcW w:w="1275"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4802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384"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南盘江片区</w:t>
            </w:r>
          </w:p>
        </w:tc>
        <w:tc>
          <w:tcPr>
            <w:tcW w:w="1277"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429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53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310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9</w:t>
            </w:r>
            <w:r>
              <w:rPr>
                <w:rFonts w:hint="eastAsia"/>
                <w:sz w:val="21"/>
                <w:szCs w:val="21"/>
              </w:rPr>
              <w:t>1</w:t>
            </w:r>
            <w:r>
              <w:rPr>
                <w:sz w:val="21"/>
                <w:szCs w:val="21"/>
              </w:rPr>
              <w:t xml:space="preserve">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1 </w:t>
            </w:r>
          </w:p>
        </w:tc>
        <w:tc>
          <w:tcPr>
            <w:tcW w:w="1275" w:type="dxa"/>
            <w:shd w:val="clear" w:color="auto" w:fill="auto"/>
            <w:noWrap/>
          </w:tcPr>
          <w:p>
            <w:pPr>
              <w:widowControl/>
              <w:adjustRightInd w:val="0"/>
              <w:snapToGrid w:val="0"/>
              <w:spacing w:line="240" w:lineRule="auto"/>
              <w:ind w:firstLine="0" w:firstLineChars="0"/>
              <w:jc w:val="center"/>
              <w:textAlignment w:val="center"/>
              <w:rPr>
                <w:sz w:val="21"/>
                <w:szCs w:val="21"/>
              </w:rPr>
            </w:pPr>
            <w:r>
              <w:rPr>
                <w:sz w:val="21"/>
                <w:szCs w:val="21"/>
              </w:rPr>
              <w:t>88</w:t>
            </w:r>
            <w:r>
              <w:rPr>
                <w:rFonts w:hint="eastAsia"/>
                <w:sz w:val="21"/>
                <w:szCs w:val="21"/>
              </w:rPr>
              <w:t>4</w:t>
            </w:r>
            <w:r>
              <w:rPr>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384"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提古片区</w:t>
            </w:r>
          </w:p>
        </w:tc>
        <w:tc>
          <w:tcPr>
            <w:tcW w:w="1277"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29</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p>
        </w:tc>
        <w:tc>
          <w:tcPr>
            <w:tcW w:w="1276" w:type="dxa"/>
            <w:shd w:val="clear" w:color="auto" w:fill="auto"/>
            <w:noWrap/>
          </w:tcPr>
          <w:p>
            <w:pPr>
              <w:spacing w:before="40" w:after="40" w:line="240" w:lineRule="auto"/>
              <w:ind w:firstLine="0" w:firstLineChars="0"/>
              <w:jc w:val="center"/>
              <w:rPr>
                <w:rFonts w:eastAsia="宋体"/>
                <w:spacing w:val="0"/>
                <w:sz w:val="21"/>
                <w:szCs w:val="21"/>
              </w:rPr>
            </w:pPr>
          </w:p>
        </w:tc>
        <w:tc>
          <w:tcPr>
            <w:tcW w:w="1276" w:type="dxa"/>
            <w:shd w:val="clear" w:color="auto" w:fill="auto"/>
            <w:noWrap/>
          </w:tcPr>
          <w:p>
            <w:pPr>
              <w:spacing w:before="40" w:after="40" w:line="240" w:lineRule="auto"/>
              <w:ind w:firstLine="0" w:firstLineChars="0"/>
              <w:jc w:val="center"/>
              <w:rPr>
                <w:rFonts w:eastAsia="宋体"/>
                <w:spacing w:val="0"/>
                <w:sz w:val="21"/>
                <w:szCs w:val="21"/>
              </w:rPr>
            </w:pPr>
          </w:p>
        </w:tc>
        <w:tc>
          <w:tcPr>
            <w:tcW w:w="1276" w:type="dxa"/>
            <w:shd w:val="clear" w:color="auto" w:fill="auto"/>
            <w:noWrap/>
          </w:tcPr>
          <w:p>
            <w:pPr>
              <w:spacing w:before="40" w:after="40" w:line="240" w:lineRule="auto"/>
              <w:ind w:firstLine="0" w:firstLineChars="0"/>
              <w:jc w:val="center"/>
              <w:rPr>
                <w:rFonts w:eastAsia="宋体"/>
                <w:spacing w:val="0"/>
                <w:sz w:val="21"/>
                <w:szCs w:val="21"/>
              </w:rPr>
            </w:pPr>
          </w:p>
        </w:tc>
        <w:tc>
          <w:tcPr>
            <w:tcW w:w="1275" w:type="dxa"/>
            <w:shd w:val="clear" w:color="auto" w:fill="auto"/>
            <w:noWrap/>
          </w:tcPr>
          <w:p>
            <w:pPr>
              <w:widowControl/>
              <w:adjustRightInd w:val="0"/>
              <w:snapToGrid w:val="0"/>
              <w:spacing w:line="240" w:lineRule="auto"/>
              <w:ind w:firstLine="0" w:firstLineChars="0"/>
              <w:jc w:val="center"/>
              <w:textAlignment w:val="center"/>
              <w:rPr>
                <w:sz w:val="21"/>
                <w:szCs w:val="21"/>
              </w:rPr>
            </w:pPr>
            <w:r>
              <w:rPr>
                <w:sz w:val="21"/>
                <w:szCs w:val="21"/>
              </w:rPr>
              <w:t>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384"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合计</w:t>
            </w:r>
          </w:p>
        </w:tc>
        <w:tc>
          <w:tcPr>
            <w:tcW w:w="1277"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3051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822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938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49</w:t>
            </w:r>
            <w:r>
              <w:rPr>
                <w:rFonts w:hint="eastAsia"/>
                <w:sz w:val="21"/>
                <w:szCs w:val="21"/>
              </w:rPr>
              <w:t>2</w:t>
            </w:r>
            <w:r>
              <w:rPr>
                <w:sz w:val="21"/>
                <w:szCs w:val="21"/>
              </w:rPr>
              <w:t xml:space="preserve"> </w:t>
            </w:r>
          </w:p>
        </w:tc>
        <w:tc>
          <w:tcPr>
            <w:tcW w:w="1276"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 xml:space="preserve">412 </w:t>
            </w:r>
          </w:p>
        </w:tc>
        <w:tc>
          <w:tcPr>
            <w:tcW w:w="1275" w:type="dxa"/>
            <w:shd w:val="clear" w:color="auto" w:fill="auto"/>
            <w:noWrap/>
          </w:tcPr>
          <w:p>
            <w:pPr>
              <w:spacing w:before="40" w:after="40" w:line="240" w:lineRule="auto"/>
              <w:ind w:firstLine="0" w:firstLineChars="0"/>
              <w:jc w:val="center"/>
              <w:rPr>
                <w:rFonts w:eastAsia="宋体"/>
                <w:spacing w:val="0"/>
                <w:sz w:val="21"/>
                <w:szCs w:val="21"/>
              </w:rPr>
            </w:pPr>
            <w:r>
              <w:rPr>
                <w:sz w:val="21"/>
                <w:szCs w:val="21"/>
              </w:rPr>
              <w:t>571</w:t>
            </w:r>
            <w:r>
              <w:rPr>
                <w:rFonts w:hint="eastAsia"/>
                <w:sz w:val="21"/>
                <w:szCs w:val="21"/>
              </w:rPr>
              <w:t>5</w:t>
            </w:r>
            <w:r>
              <w:rPr>
                <w:sz w:val="21"/>
                <w:szCs w:val="21"/>
              </w:rPr>
              <w:t xml:space="preserve"> </w:t>
            </w:r>
          </w:p>
        </w:tc>
      </w:tr>
    </w:tbl>
    <w:p>
      <w:pPr>
        <w:spacing w:line="240" w:lineRule="auto"/>
        <w:ind w:firstLine="0" w:firstLineChars="0"/>
        <w:jc w:val="center"/>
      </w:pPr>
      <w:r>
        <w:drawing>
          <wp:inline distT="0" distB="0" distL="0" distR="0">
            <wp:extent cx="4584700" cy="2755900"/>
            <wp:effectExtent l="0" t="0" r="6350" b="6350"/>
            <wp:docPr id="18928595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9519"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spacing w:before="120" w:after="60" w:line="240" w:lineRule="auto"/>
        <w:ind w:firstLine="576" w:firstLineChars="0"/>
        <w:jc w:val="center"/>
        <w:rPr>
          <w:rFonts w:eastAsia="黑体"/>
          <w:spacing w:val="0"/>
        </w:rPr>
      </w:pPr>
      <w:r>
        <w:rPr>
          <w:rFonts w:eastAsia="黑体"/>
          <w:spacing w:val="0"/>
        </w:rPr>
        <w:t>图</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3.2</w:t>
      </w:r>
      <w:r>
        <w:rPr>
          <w:rFonts w:eastAsia="黑体"/>
          <w:spacing w:val="0"/>
        </w:rPr>
        <w:fldChar w:fldCharType="end"/>
      </w:r>
      <w:r>
        <w:rPr>
          <w:rFonts w:eastAsia="黑体"/>
          <w:spacing w:val="0"/>
        </w:rPr>
        <w:noBreakHyphen/>
      </w:r>
      <w:r>
        <w:rPr>
          <w:rFonts w:hint="eastAsia" w:eastAsia="黑体"/>
          <w:spacing w:val="0"/>
        </w:rPr>
        <w:t>1</w:t>
      </w:r>
      <w:r>
        <w:rPr>
          <w:rFonts w:eastAsia="黑体"/>
          <w:spacing w:val="0"/>
        </w:rPr>
        <w:t xml:space="preserve">  规划区现状年实际供水情况占比图</w:t>
      </w:r>
    </w:p>
    <w:p>
      <w:pPr>
        <w:spacing w:line="240" w:lineRule="auto"/>
        <w:ind w:firstLine="0" w:firstLineChars="0"/>
        <w:jc w:val="center"/>
      </w:pPr>
      <w:r>
        <w:drawing>
          <wp:inline distT="0" distB="0" distL="0" distR="0">
            <wp:extent cx="4584700" cy="2755900"/>
            <wp:effectExtent l="0" t="0" r="6350" b="6350"/>
            <wp:docPr id="11357095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09591"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spacing w:before="120" w:after="60" w:line="240" w:lineRule="auto"/>
        <w:ind w:firstLine="576" w:firstLineChars="0"/>
        <w:jc w:val="center"/>
        <w:rPr>
          <w:rFonts w:eastAsia="黑体"/>
          <w:spacing w:val="0"/>
        </w:rPr>
      </w:pPr>
      <w:r>
        <w:rPr>
          <w:rFonts w:eastAsia="黑体"/>
          <w:spacing w:val="0"/>
        </w:rPr>
        <w:t>图</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3.2</w:t>
      </w:r>
      <w:r>
        <w:rPr>
          <w:rFonts w:eastAsia="黑体"/>
          <w:spacing w:val="0"/>
        </w:rPr>
        <w:fldChar w:fldCharType="end"/>
      </w:r>
      <w:r>
        <w:rPr>
          <w:rFonts w:eastAsia="黑体"/>
          <w:spacing w:val="0"/>
        </w:rPr>
        <w:noBreakHyphen/>
      </w:r>
      <w:r>
        <w:rPr>
          <w:rFonts w:hint="eastAsia" w:eastAsia="黑体"/>
          <w:spacing w:val="0"/>
        </w:rPr>
        <w:t>2</w:t>
      </w:r>
      <w:r>
        <w:rPr>
          <w:rFonts w:eastAsia="黑体"/>
          <w:spacing w:val="0"/>
        </w:rPr>
        <w:t xml:space="preserve">  抚仙湖片区现状年实际供水情况占比图</w:t>
      </w:r>
    </w:p>
    <w:p>
      <w:r>
        <w:t>（2）用水情况</w:t>
      </w:r>
    </w:p>
    <w:p>
      <w:r>
        <w:t>2022年，全市实际用水量</w:t>
      </w:r>
      <w:r>
        <w:rPr>
          <w:rFonts w:hint="eastAsia"/>
        </w:rPr>
        <w:t>5715</w:t>
      </w:r>
      <w:r>
        <w:t>万m³，其中，城镇生活用水</w:t>
      </w:r>
      <w:r>
        <w:rPr>
          <w:rFonts w:hint="eastAsia"/>
        </w:rPr>
        <w:t>907</w:t>
      </w:r>
      <w:r>
        <w:t>万m³、农村生活用水</w:t>
      </w:r>
      <w:r>
        <w:rPr>
          <w:rFonts w:hint="eastAsia"/>
        </w:rPr>
        <w:t>355</w:t>
      </w:r>
      <w:r>
        <w:t>万m³、工业用水</w:t>
      </w:r>
      <w:r>
        <w:rPr>
          <w:rFonts w:hint="eastAsia"/>
        </w:rPr>
        <w:t>495</w:t>
      </w:r>
      <w:r>
        <w:t>万m³、农灌用水</w:t>
      </w:r>
      <w:r>
        <w:rPr>
          <w:rFonts w:hint="eastAsia"/>
        </w:rPr>
        <w:t>3958</w:t>
      </w:r>
      <w:r>
        <w:t>万m³</w:t>
      </w:r>
      <w:r>
        <w:rPr>
          <w:rFonts w:hint="eastAsia"/>
        </w:rPr>
        <w:t>，</w:t>
      </w:r>
      <w:r>
        <w:t>分别占比</w:t>
      </w:r>
      <w:r>
        <w:rPr>
          <w:rFonts w:hint="eastAsia"/>
        </w:rPr>
        <w:t>16</w:t>
      </w:r>
      <w:r>
        <w:t>%、</w:t>
      </w:r>
      <w:r>
        <w:rPr>
          <w:rFonts w:hint="eastAsia"/>
        </w:rPr>
        <w:t>6</w:t>
      </w:r>
      <w:r>
        <w:t>%、</w:t>
      </w:r>
      <w:r>
        <w:rPr>
          <w:rFonts w:hint="eastAsia"/>
        </w:rPr>
        <w:t>9</w:t>
      </w:r>
      <w:r>
        <w:t>%、</w:t>
      </w:r>
      <w:r>
        <w:rPr>
          <w:rFonts w:hint="eastAsia"/>
        </w:rPr>
        <w:t>69</w:t>
      </w:r>
      <w:r>
        <w:t>%，规划区现状年实际用水主要以农灌为主。</w:t>
      </w:r>
    </w:p>
    <w:p>
      <w:r>
        <w:t>从分片区看，抚仙湖片区实际用水量</w:t>
      </w:r>
      <w:r>
        <w:rPr>
          <w:rFonts w:hint="eastAsia"/>
        </w:rPr>
        <w:t>4802</w:t>
      </w:r>
      <w:r>
        <w:t>万m³，其中，城镇生活用水</w:t>
      </w:r>
      <w:r>
        <w:rPr>
          <w:rFonts w:hint="eastAsia"/>
        </w:rPr>
        <w:t>891</w:t>
      </w:r>
      <w:r>
        <w:t>万m³、农村生活用水28</w:t>
      </w:r>
      <w:r>
        <w:rPr>
          <w:rFonts w:hint="eastAsia"/>
        </w:rPr>
        <w:t>6</w:t>
      </w:r>
      <w:r>
        <w:t>万m³、农灌用水</w:t>
      </w:r>
      <w:r>
        <w:rPr>
          <w:rFonts w:hint="eastAsia"/>
        </w:rPr>
        <w:t>3625</w:t>
      </w:r>
      <w:r>
        <w:t>万m³；南盘江片区实际用水量</w:t>
      </w:r>
      <w:r>
        <w:rPr>
          <w:rFonts w:hint="eastAsia"/>
        </w:rPr>
        <w:t>884</w:t>
      </w:r>
      <w:r>
        <w:t>万m³，其中，城镇生活用水16万m³、农村生活用水</w:t>
      </w:r>
      <w:r>
        <w:rPr>
          <w:rFonts w:hint="eastAsia"/>
        </w:rPr>
        <w:t>64</w:t>
      </w:r>
      <w:r>
        <w:t>万m³、工业用水</w:t>
      </w:r>
      <w:r>
        <w:rPr>
          <w:rFonts w:hint="eastAsia"/>
        </w:rPr>
        <w:t>470</w:t>
      </w:r>
      <w:r>
        <w:t>万m³、农灌用水</w:t>
      </w:r>
      <w:r>
        <w:rPr>
          <w:rFonts w:hint="eastAsia"/>
        </w:rPr>
        <w:t>333</w:t>
      </w:r>
      <w:r>
        <w:t>万m³；提古片区实际用水量29万m³，其中，农村生活用水4万m³、工业用水25万m³。具体见下表、下图。</w:t>
      </w:r>
    </w:p>
    <w:p>
      <w:pPr>
        <w:widowControl/>
        <w:spacing w:before="120" w:after="60" w:line="240" w:lineRule="auto"/>
        <w:ind w:firstLine="576" w:firstLineChars="0"/>
        <w:jc w:val="center"/>
        <w:rPr>
          <w:rFonts w:eastAsia="黑体"/>
          <w:spacing w:val="0"/>
        </w:rPr>
      </w:pPr>
      <w:r>
        <w:rPr>
          <w:rFonts w:eastAsia="黑体"/>
          <w:spacing w:val="0"/>
        </w:rPr>
        <w:t>表</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3.2</w:t>
      </w:r>
      <w:r>
        <w:rPr>
          <w:rFonts w:eastAsia="黑体"/>
          <w:spacing w:val="0"/>
        </w:rPr>
        <w:fldChar w:fldCharType="end"/>
      </w:r>
      <w:r>
        <w:rPr>
          <w:rFonts w:eastAsia="黑体"/>
          <w:spacing w:val="0"/>
        </w:rPr>
        <w:noBreakHyphen/>
      </w:r>
      <w:r>
        <w:rPr>
          <w:rFonts w:hint="eastAsia" w:eastAsia="黑体"/>
          <w:spacing w:val="0"/>
        </w:rPr>
        <w:t>3</w:t>
      </w:r>
      <w:r>
        <w:rPr>
          <w:rFonts w:eastAsia="黑体"/>
          <w:spacing w:val="0"/>
        </w:rPr>
        <w:t xml:space="preserve">  规划区现状年用水户实际用水情况表    单位：万m³</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56"/>
        <w:gridCol w:w="1526"/>
        <w:gridCol w:w="1527"/>
        <w:gridCol w:w="1527"/>
        <w:gridCol w:w="1527"/>
        <w:gridCol w:w="15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片区</w:t>
            </w:r>
          </w:p>
        </w:tc>
        <w:tc>
          <w:tcPr>
            <w:tcW w:w="82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城镇生活</w:t>
            </w:r>
          </w:p>
        </w:tc>
        <w:tc>
          <w:tcPr>
            <w:tcW w:w="82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农村</w:t>
            </w:r>
          </w:p>
        </w:tc>
        <w:tc>
          <w:tcPr>
            <w:tcW w:w="82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工业</w:t>
            </w:r>
          </w:p>
        </w:tc>
        <w:tc>
          <w:tcPr>
            <w:tcW w:w="82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农灌</w:t>
            </w:r>
          </w:p>
        </w:tc>
        <w:tc>
          <w:tcPr>
            <w:tcW w:w="821"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抚仙湖片区</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rFonts w:eastAsia="宋体"/>
                <w:sz w:val="21"/>
                <w:szCs w:val="21"/>
              </w:rPr>
            </w:pPr>
            <w:r>
              <w:t>891</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rFonts w:eastAsia="宋体"/>
                <w:sz w:val="21"/>
                <w:szCs w:val="21"/>
              </w:rPr>
            </w:pPr>
            <w:r>
              <w:t>286</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0</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3625</w:t>
            </w:r>
          </w:p>
        </w:tc>
        <w:tc>
          <w:tcPr>
            <w:tcW w:w="821" w:type="pct"/>
            <w:shd w:val="clear" w:color="auto" w:fill="auto"/>
            <w:noWrap/>
            <w:vAlign w:val="center"/>
          </w:tcPr>
          <w:p>
            <w:pPr>
              <w:widowControl/>
              <w:adjustRightInd w:val="0"/>
              <w:snapToGrid w:val="0"/>
              <w:spacing w:line="240" w:lineRule="auto"/>
              <w:ind w:firstLine="0" w:firstLineChars="0"/>
              <w:jc w:val="center"/>
              <w:textAlignment w:val="center"/>
              <w:rPr>
                <w:rFonts w:eastAsia="宋体"/>
                <w:sz w:val="21"/>
                <w:szCs w:val="21"/>
              </w:rPr>
            </w:pPr>
            <w:r>
              <w:t>4802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南盘江片区</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16</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64</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470</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333</w:t>
            </w:r>
          </w:p>
        </w:tc>
        <w:tc>
          <w:tcPr>
            <w:tcW w:w="821" w:type="pct"/>
            <w:shd w:val="clear" w:color="auto" w:fill="auto"/>
            <w:noWrap/>
            <w:vAlign w:val="center"/>
          </w:tcPr>
          <w:p>
            <w:pPr>
              <w:widowControl/>
              <w:adjustRightInd w:val="0"/>
              <w:snapToGrid w:val="0"/>
              <w:spacing w:line="240" w:lineRule="auto"/>
              <w:ind w:firstLine="0" w:firstLineChars="0"/>
              <w:jc w:val="center"/>
              <w:rPr>
                <w:sz w:val="21"/>
                <w:szCs w:val="21"/>
              </w:rPr>
            </w:pPr>
            <w:r>
              <w:t>884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提古片区</w:t>
            </w:r>
          </w:p>
        </w:tc>
        <w:tc>
          <w:tcPr>
            <w:tcW w:w="822" w:type="pct"/>
            <w:shd w:val="clear" w:color="auto" w:fill="auto"/>
            <w:noWrap/>
            <w:vAlign w:val="center"/>
          </w:tcPr>
          <w:p>
            <w:pPr>
              <w:widowControl/>
              <w:adjustRightInd w:val="0"/>
              <w:snapToGrid w:val="0"/>
              <w:spacing w:line="240" w:lineRule="auto"/>
              <w:ind w:firstLine="0" w:firstLineChars="0"/>
              <w:jc w:val="center"/>
              <w:rPr>
                <w:sz w:val="21"/>
                <w:szCs w:val="21"/>
              </w:rPr>
            </w:pP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4</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25</w:t>
            </w:r>
          </w:p>
        </w:tc>
        <w:tc>
          <w:tcPr>
            <w:tcW w:w="822" w:type="pct"/>
            <w:shd w:val="clear" w:color="auto" w:fill="auto"/>
            <w:noWrap/>
            <w:vAlign w:val="center"/>
          </w:tcPr>
          <w:p>
            <w:pPr>
              <w:widowControl/>
              <w:adjustRightInd w:val="0"/>
              <w:snapToGrid w:val="0"/>
              <w:spacing w:line="240" w:lineRule="auto"/>
              <w:ind w:firstLine="0" w:firstLineChars="0"/>
              <w:jc w:val="center"/>
              <w:rPr>
                <w:sz w:val="21"/>
                <w:szCs w:val="21"/>
              </w:rPr>
            </w:pPr>
          </w:p>
        </w:tc>
        <w:tc>
          <w:tcPr>
            <w:tcW w:w="821" w:type="pct"/>
            <w:shd w:val="clear" w:color="auto" w:fill="auto"/>
            <w:noWrap/>
            <w:vAlign w:val="center"/>
          </w:tcPr>
          <w:p>
            <w:pPr>
              <w:widowControl/>
              <w:adjustRightInd w:val="0"/>
              <w:snapToGrid w:val="0"/>
              <w:spacing w:line="240" w:lineRule="auto"/>
              <w:ind w:firstLine="0" w:firstLineChars="0"/>
              <w:jc w:val="center"/>
              <w:rPr>
                <w:sz w:val="21"/>
                <w:szCs w:val="21"/>
              </w:rPr>
            </w:pPr>
            <w:r>
              <w:t>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2" w:type="pct"/>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合计</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907</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355</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495</w:t>
            </w:r>
          </w:p>
        </w:tc>
        <w:tc>
          <w:tcPr>
            <w:tcW w:w="822"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3958</w:t>
            </w:r>
          </w:p>
        </w:tc>
        <w:tc>
          <w:tcPr>
            <w:tcW w:w="821" w:type="pct"/>
            <w:shd w:val="clear" w:color="auto" w:fill="auto"/>
            <w:noWrap/>
            <w:vAlign w:val="center"/>
          </w:tcPr>
          <w:p>
            <w:pPr>
              <w:widowControl/>
              <w:adjustRightInd w:val="0"/>
              <w:snapToGrid w:val="0"/>
              <w:spacing w:line="240" w:lineRule="auto"/>
              <w:ind w:firstLine="0" w:firstLineChars="0"/>
              <w:jc w:val="center"/>
              <w:textAlignment w:val="center"/>
              <w:rPr>
                <w:sz w:val="21"/>
                <w:szCs w:val="21"/>
              </w:rPr>
            </w:pPr>
            <w:r>
              <w:t>5715</w:t>
            </w:r>
          </w:p>
        </w:tc>
      </w:tr>
    </w:tbl>
    <w:p>
      <w:pPr>
        <w:spacing w:line="240" w:lineRule="auto"/>
        <w:ind w:firstLine="0" w:firstLineChars="0"/>
        <w:jc w:val="center"/>
      </w:pPr>
      <w:r>
        <w:drawing>
          <wp:inline distT="0" distB="0" distL="0" distR="0">
            <wp:extent cx="4584700" cy="2755900"/>
            <wp:effectExtent l="0" t="0" r="6350" b="6350"/>
            <wp:docPr id="2383691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69173"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spacing w:before="120" w:after="60" w:line="240" w:lineRule="auto"/>
        <w:ind w:firstLine="576" w:firstLineChars="0"/>
        <w:jc w:val="center"/>
        <w:rPr>
          <w:rFonts w:eastAsia="黑体"/>
          <w:spacing w:val="0"/>
        </w:rPr>
      </w:pPr>
      <w:r>
        <w:rPr>
          <w:rFonts w:eastAsia="黑体"/>
          <w:spacing w:val="0"/>
        </w:rPr>
        <w:t>图</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3.2</w:t>
      </w:r>
      <w:r>
        <w:rPr>
          <w:rFonts w:eastAsia="黑体"/>
          <w:spacing w:val="0"/>
        </w:rPr>
        <w:fldChar w:fldCharType="end"/>
      </w:r>
      <w:r>
        <w:rPr>
          <w:rFonts w:eastAsia="黑体"/>
          <w:spacing w:val="0"/>
        </w:rPr>
        <w:noBreakHyphen/>
      </w:r>
      <w:r>
        <w:rPr>
          <w:rFonts w:hint="eastAsia" w:eastAsia="黑体"/>
          <w:spacing w:val="0"/>
        </w:rPr>
        <w:t>3</w:t>
      </w:r>
      <w:r>
        <w:rPr>
          <w:rFonts w:eastAsia="黑体"/>
          <w:spacing w:val="0"/>
        </w:rPr>
        <w:t xml:space="preserve">  规划区现状年用水户实际用水占比图</w:t>
      </w:r>
    </w:p>
    <w:p>
      <w:pPr>
        <w:spacing w:line="240" w:lineRule="auto"/>
        <w:ind w:firstLine="0" w:firstLineChars="0"/>
        <w:jc w:val="center"/>
      </w:pPr>
      <w:r>
        <w:drawing>
          <wp:inline distT="0" distB="0" distL="0" distR="0">
            <wp:extent cx="4584700" cy="2755900"/>
            <wp:effectExtent l="0" t="0" r="6350" b="6350"/>
            <wp:docPr id="10616022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02228"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pic:spPr>
                </pic:pic>
              </a:graphicData>
            </a:graphic>
          </wp:inline>
        </w:drawing>
      </w:r>
    </w:p>
    <w:p>
      <w:pPr>
        <w:widowControl/>
        <w:spacing w:before="120" w:after="60" w:line="240" w:lineRule="auto"/>
        <w:ind w:firstLine="576" w:firstLineChars="0"/>
        <w:jc w:val="center"/>
        <w:rPr>
          <w:rFonts w:eastAsia="黑体"/>
          <w:spacing w:val="0"/>
        </w:rPr>
      </w:pPr>
      <w:r>
        <w:rPr>
          <w:rFonts w:eastAsia="黑体"/>
          <w:spacing w:val="0"/>
        </w:rPr>
        <w:t>图</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3.2</w:t>
      </w:r>
      <w:r>
        <w:rPr>
          <w:rFonts w:eastAsia="黑体"/>
          <w:spacing w:val="0"/>
        </w:rPr>
        <w:fldChar w:fldCharType="end"/>
      </w:r>
      <w:r>
        <w:rPr>
          <w:rFonts w:eastAsia="黑体"/>
          <w:spacing w:val="0"/>
        </w:rPr>
        <w:noBreakHyphen/>
      </w:r>
      <w:r>
        <w:rPr>
          <w:rFonts w:hint="eastAsia" w:eastAsia="黑体"/>
          <w:spacing w:val="0"/>
        </w:rPr>
        <w:t>4</w:t>
      </w:r>
      <w:r>
        <w:rPr>
          <w:rFonts w:eastAsia="黑体"/>
          <w:spacing w:val="0"/>
        </w:rPr>
        <w:t xml:space="preserve">  抚仙湖片区现状年用水户实际用水占比图</w:t>
      </w:r>
    </w:p>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现状水资源开发利用程度分析</w:t>
      </w:r>
    </w:p>
    <w:p>
      <w:r>
        <w:t>规划区多年平均来水量3.85亿m³，抚仙湖湖面多年平均蒸发水量2.88亿m³，扣除蒸发损失后多年平均</w:t>
      </w:r>
      <w:r>
        <w:rPr>
          <w:rFonts w:hint="eastAsia"/>
        </w:rPr>
        <w:t>可利用</w:t>
      </w:r>
      <w:r>
        <w:t>水资源量0.97亿m³，人均</w:t>
      </w:r>
      <w:r>
        <w:rPr>
          <w:rFonts w:hint="eastAsia"/>
        </w:rPr>
        <w:t>可利用</w:t>
      </w:r>
      <w:r>
        <w:t>水资源量526m³，仅为全省的11%，耕地亩均水资源量为1292m³/亩，2022年规划区用水量</w:t>
      </w:r>
      <w:r>
        <w:rPr>
          <w:rFonts w:hint="eastAsia"/>
        </w:rPr>
        <w:t>5715</w:t>
      </w:r>
      <w:r>
        <w:t>万m³，水资源开发利用率</w:t>
      </w:r>
      <w:r>
        <w:rPr>
          <w:rFonts w:hint="eastAsia"/>
        </w:rPr>
        <w:t>59</w:t>
      </w:r>
      <w:r>
        <w:t>%。</w:t>
      </w:r>
    </w:p>
    <w:p>
      <w:r>
        <w:t>抚仙湖片区多年平均</w:t>
      </w:r>
      <w:r>
        <w:rPr>
          <w:rFonts w:hint="eastAsia"/>
        </w:rPr>
        <w:t>可利用</w:t>
      </w:r>
      <w:r>
        <w:t>水资源量0.54亿m³，人均</w:t>
      </w:r>
      <w:r>
        <w:rPr>
          <w:rFonts w:hint="eastAsia"/>
        </w:rPr>
        <w:t>可利用</w:t>
      </w:r>
      <w:r>
        <w:t>水资源量316m³/人，属于水资源严重短缺地区。202</w:t>
      </w:r>
      <w:r>
        <w:rPr>
          <w:rFonts w:hint="eastAsia"/>
        </w:rPr>
        <w:t>2</w:t>
      </w:r>
      <w:r>
        <w:t>年抚仙湖片区本区实际用水量</w:t>
      </w:r>
      <w:r>
        <w:rPr>
          <w:rFonts w:hint="eastAsia"/>
        </w:rPr>
        <w:t>4802</w:t>
      </w:r>
      <w:r>
        <w:t>万m³，水资源开发利用率为</w:t>
      </w:r>
      <w:r>
        <w:rPr>
          <w:rFonts w:hint="eastAsia"/>
        </w:rPr>
        <w:t>89</w:t>
      </w:r>
      <w:r>
        <w:t>%，远高于全省</w:t>
      </w:r>
      <w:r>
        <w:rPr>
          <w:rFonts w:hint="eastAsia"/>
        </w:rPr>
        <w:t>7.63</w:t>
      </w:r>
      <w:r>
        <w:t>%的平均水平，其开发程度都已超过了40%的水资源合理开发程度上限。</w:t>
      </w:r>
    </w:p>
    <w:p>
      <w:r>
        <w:t>南盘江片区多年平均</w:t>
      </w:r>
      <w:r>
        <w:rPr>
          <w:rFonts w:hint="eastAsia"/>
        </w:rPr>
        <w:t>可利用</w:t>
      </w:r>
      <w:r>
        <w:t>水资源量0.41亿m³，现状用水量</w:t>
      </w:r>
      <w:r>
        <w:rPr>
          <w:rFonts w:hint="eastAsia"/>
        </w:rPr>
        <w:t>884</w:t>
      </w:r>
      <w:r>
        <w:t>万m³，水资源开发利用率为</w:t>
      </w:r>
      <w:r>
        <w:rPr>
          <w:rFonts w:hint="eastAsia"/>
        </w:rPr>
        <w:t>22</w:t>
      </w:r>
      <w:r>
        <w:t>%</w:t>
      </w:r>
      <w:r>
        <w:rPr>
          <w:rFonts w:hint="eastAsia"/>
        </w:rPr>
        <w:t>。</w:t>
      </w:r>
    </w:p>
    <w:p>
      <w:r>
        <w:t>提古片区多年</w:t>
      </w:r>
      <w:r>
        <w:rPr>
          <w:rFonts w:hint="eastAsia"/>
        </w:rPr>
        <w:t>平均可利用</w:t>
      </w:r>
      <w:r>
        <w:t>水资源量0.02亿m³，现状用水量29万m³，由抚仙湖片区供给。详见下表。</w:t>
      </w:r>
    </w:p>
    <w:p>
      <w:pPr>
        <w:widowControl/>
        <w:spacing w:before="120" w:after="60" w:line="240" w:lineRule="auto"/>
        <w:ind w:firstLine="576"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3.2</w:t>
      </w:r>
      <w:r>
        <w:rPr>
          <w:rFonts w:eastAsia="黑体"/>
          <w:spacing w:val="0"/>
        </w:rPr>
        <w:fldChar w:fldCharType="end"/>
      </w:r>
      <w:r>
        <w:rPr>
          <w:rFonts w:eastAsia="黑体"/>
          <w:spacing w:val="0"/>
        </w:rPr>
        <w:noBreakHyphen/>
      </w:r>
      <w:r>
        <w:rPr>
          <w:rFonts w:hint="eastAsia" w:eastAsia="黑体"/>
          <w:spacing w:val="0"/>
        </w:rPr>
        <w:t>4</w:t>
      </w:r>
      <w:r>
        <w:rPr>
          <w:rFonts w:eastAsia="黑体"/>
          <w:spacing w:val="0"/>
        </w:rPr>
        <w:t xml:space="preserve">  规划区</w:t>
      </w:r>
      <w:r>
        <w:rPr>
          <w:rFonts w:hint="eastAsia" w:eastAsia="黑体"/>
          <w:spacing w:val="0"/>
        </w:rPr>
        <w:t>可利用</w:t>
      </w:r>
      <w:r>
        <w:rPr>
          <w:rFonts w:eastAsia="黑体"/>
          <w:spacing w:val="0"/>
        </w:rPr>
        <w:t>水资源情况表</w:t>
      </w:r>
    </w:p>
    <w:tbl>
      <w:tblPr>
        <w:tblStyle w:val="51"/>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2063"/>
        <w:gridCol w:w="2721"/>
        <w:gridCol w:w="28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144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区域</w:t>
            </w:r>
          </w:p>
        </w:tc>
        <w:tc>
          <w:tcPr>
            <w:tcW w:w="2063"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hint="eastAsia" w:eastAsia="宋体"/>
                <w:spacing w:val="0"/>
                <w:sz w:val="21"/>
                <w:szCs w:val="24"/>
              </w:rPr>
              <w:t>可利用</w:t>
            </w:r>
            <w:r>
              <w:rPr>
                <w:rFonts w:eastAsia="宋体"/>
                <w:spacing w:val="0"/>
                <w:sz w:val="21"/>
                <w:szCs w:val="24"/>
              </w:rPr>
              <w:t>水资源总量(亿m³)</w:t>
            </w:r>
          </w:p>
        </w:tc>
        <w:tc>
          <w:tcPr>
            <w:tcW w:w="2721"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人均</w:t>
            </w:r>
            <w:r>
              <w:rPr>
                <w:rFonts w:hint="eastAsia" w:eastAsia="宋体"/>
                <w:spacing w:val="0"/>
                <w:sz w:val="21"/>
                <w:szCs w:val="24"/>
              </w:rPr>
              <w:t>可利用</w:t>
            </w:r>
            <w:r>
              <w:rPr>
                <w:rFonts w:eastAsia="宋体"/>
                <w:spacing w:val="0"/>
                <w:sz w:val="21"/>
                <w:szCs w:val="24"/>
              </w:rPr>
              <w:t>水资源量（m³）</w:t>
            </w:r>
          </w:p>
        </w:tc>
        <w:tc>
          <w:tcPr>
            <w:tcW w:w="280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水资源开发利用率（%）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4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抚仙湖片区</w:t>
            </w:r>
          </w:p>
        </w:tc>
        <w:tc>
          <w:tcPr>
            <w:tcW w:w="2063"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0.54</w:t>
            </w:r>
          </w:p>
        </w:tc>
        <w:tc>
          <w:tcPr>
            <w:tcW w:w="2721"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316</w:t>
            </w:r>
          </w:p>
        </w:tc>
        <w:tc>
          <w:tcPr>
            <w:tcW w:w="280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hint="eastAsia" w:eastAsia="宋体"/>
                <w:spacing w:val="0"/>
                <w:sz w:val="21"/>
                <w:szCs w:val="24"/>
              </w:rPr>
              <w:t>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44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南盘江片区</w:t>
            </w:r>
          </w:p>
        </w:tc>
        <w:tc>
          <w:tcPr>
            <w:tcW w:w="2063"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0.41</w:t>
            </w:r>
          </w:p>
        </w:tc>
        <w:tc>
          <w:tcPr>
            <w:tcW w:w="2721"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3253</w:t>
            </w:r>
          </w:p>
        </w:tc>
        <w:tc>
          <w:tcPr>
            <w:tcW w:w="280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hint="eastAsia" w:eastAsia="宋体"/>
                <w:spacing w:val="0"/>
                <w:sz w:val="21"/>
                <w:szCs w:val="24"/>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4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提古片区</w:t>
            </w:r>
          </w:p>
        </w:tc>
        <w:tc>
          <w:tcPr>
            <w:tcW w:w="2063"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0.02</w:t>
            </w:r>
          </w:p>
        </w:tc>
        <w:tc>
          <w:tcPr>
            <w:tcW w:w="2721"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200</w:t>
            </w:r>
          </w:p>
        </w:tc>
        <w:tc>
          <w:tcPr>
            <w:tcW w:w="2808" w:type="dxa"/>
            <w:shd w:val="clear" w:color="auto" w:fill="auto"/>
            <w:noWrap/>
            <w:vAlign w:val="center"/>
          </w:tcPr>
          <w:p>
            <w:pPr>
              <w:spacing w:before="40" w:after="40" w:line="240" w:lineRule="auto"/>
              <w:ind w:firstLine="0" w:firstLineChars="0"/>
              <w:jc w:val="center"/>
              <w:rPr>
                <w:rFonts w:eastAsia="宋体"/>
                <w:spacing w:val="0"/>
                <w:sz w:val="21"/>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4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规划区</w:t>
            </w:r>
          </w:p>
        </w:tc>
        <w:tc>
          <w:tcPr>
            <w:tcW w:w="2063"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0.97</w:t>
            </w:r>
          </w:p>
        </w:tc>
        <w:tc>
          <w:tcPr>
            <w:tcW w:w="2721"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526</w:t>
            </w:r>
          </w:p>
        </w:tc>
        <w:tc>
          <w:tcPr>
            <w:tcW w:w="280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hint="eastAsia" w:eastAsia="宋体"/>
                <w:spacing w:val="0"/>
                <w:sz w:val="21"/>
                <w:szCs w:val="24"/>
              </w:rPr>
              <w:t>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4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eastAsia="宋体"/>
                <w:spacing w:val="0"/>
                <w:sz w:val="21"/>
                <w:szCs w:val="24"/>
              </w:rPr>
              <w:t>全省</w:t>
            </w:r>
          </w:p>
        </w:tc>
        <w:tc>
          <w:tcPr>
            <w:tcW w:w="2063"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hint="eastAsia" w:eastAsia="宋体"/>
                <w:spacing w:val="0"/>
                <w:sz w:val="21"/>
                <w:szCs w:val="24"/>
              </w:rPr>
              <w:t>2141</w:t>
            </w:r>
          </w:p>
        </w:tc>
        <w:tc>
          <w:tcPr>
            <w:tcW w:w="2721"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hint="eastAsia" w:eastAsia="宋体"/>
                <w:spacing w:val="0"/>
                <w:sz w:val="21"/>
                <w:szCs w:val="24"/>
              </w:rPr>
              <w:t>4562</w:t>
            </w:r>
          </w:p>
        </w:tc>
        <w:tc>
          <w:tcPr>
            <w:tcW w:w="2808" w:type="dxa"/>
            <w:shd w:val="clear" w:color="auto" w:fill="auto"/>
            <w:noWrap/>
            <w:vAlign w:val="center"/>
          </w:tcPr>
          <w:p>
            <w:pPr>
              <w:spacing w:before="40" w:after="40" w:line="240" w:lineRule="auto"/>
              <w:ind w:firstLine="0" w:firstLineChars="0"/>
              <w:jc w:val="center"/>
              <w:rPr>
                <w:rFonts w:eastAsia="宋体"/>
                <w:spacing w:val="0"/>
                <w:sz w:val="21"/>
                <w:szCs w:val="24"/>
              </w:rPr>
            </w:pPr>
            <w:r>
              <w:rPr>
                <w:rFonts w:hint="eastAsia" w:eastAsia="宋体"/>
                <w:spacing w:val="0"/>
                <w:sz w:val="21"/>
                <w:szCs w:val="24"/>
              </w:rPr>
              <w:t>7.63</w:t>
            </w:r>
          </w:p>
        </w:tc>
      </w:tr>
    </w:tbl>
    <w:p>
      <w:pPr>
        <w:numPr>
          <w:ilvl w:val="2"/>
          <w:numId w:val="1"/>
        </w:numPr>
        <w:tabs>
          <w:tab w:val="left" w:pos="431"/>
        </w:tabs>
        <w:spacing w:before="120" w:after="120" w:line="360" w:lineRule="auto"/>
        <w:ind w:left="0" w:firstLine="0" w:firstLineChars="0"/>
        <w:outlineLvl w:val="2"/>
        <w:rPr>
          <w:rFonts w:eastAsia="黑体"/>
          <w:spacing w:val="0"/>
          <w:sz w:val="28"/>
          <w:szCs w:val="32"/>
        </w:rPr>
      </w:pPr>
      <w:r>
        <w:rPr>
          <w:rFonts w:eastAsia="黑体"/>
          <w:spacing w:val="0"/>
          <w:sz w:val="28"/>
          <w:szCs w:val="32"/>
        </w:rPr>
        <w:t>现状水资源利用存在问题</w:t>
      </w:r>
    </w:p>
    <w:p>
      <w:pPr>
        <w:adjustRightInd w:val="0"/>
        <w:snapToGrid w:val="0"/>
      </w:pPr>
      <w:r>
        <w:t>（1）水资源开发利用程度高</w:t>
      </w:r>
    </w:p>
    <w:p>
      <w:r>
        <w:t>规划区人均</w:t>
      </w:r>
      <w:r>
        <w:rPr>
          <w:rFonts w:hint="eastAsia"/>
        </w:rPr>
        <w:t>可利用</w:t>
      </w:r>
      <w:r>
        <w:t>水资源量5</w:t>
      </w:r>
      <w:r>
        <w:rPr>
          <w:rFonts w:hint="eastAsia"/>
        </w:rPr>
        <w:t>2</w:t>
      </w:r>
      <w:r>
        <w:t>6m³，仅为全省的11%。其中抚仙湖水资源短缺，清水入湖量较少，保护治理压力大，流域水资源主要靠降雨地表径流补给，按人均水资源量计算，抚仙湖片区多年平均</w:t>
      </w:r>
      <w:r>
        <w:rPr>
          <w:rFonts w:hint="eastAsia"/>
        </w:rPr>
        <w:t>可利用</w:t>
      </w:r>
      <w:r>
        <w:t>水资源量0.54亿m³，人均</w:t>
      </w:r>
      <w:r>
        <w:rPr>
          <w:rFonts w:hint="eastAsia"/>
        </w:rPr>
        <w:t>可利用</w:t>
      </w:r>
      <w:r>
        <w:t>水资源量316m³/人，属于水资源严重短缺地区，其开发程度都已超过了40%的水资源合理开发程度上限，远高于全省7.</w:t>
      </w:r>
      <w:r>
        <w:rPr>
          <w:rFonts w:hint="eastAsia"/>
        </w:rPr>
        <w:t>6</w:t>
      </w:r>
      <w:r>
        <w:t>%的平均水平。</w:t>
      </w:r>
    </w:p>
    <w:p>
      <w:pPr>
        <w:adjustRightInd w:val="0"/>
        <w:snapToGrid w:val="0"/>
      </w:pPr>
      <w:r>
        <w:t>（2）水资源高效分质分级利用不充分</w:t>
      </w:r>
    </w:p>
    <w:p>
      <w:pPr>
        <w:adjustRightInd w:val="0"/>
        <w:snapToGrid w:val="0"/>
      </w:pPr>
      <w:r>
        <w:t>抚仙湖流域已建</w:t>
      </w:r>
      <w:r>
        <w:rPr>
          <w:rFonts w:hint="eastAsia"/>
        </w:rPr>
        <w:t>5</w:t>
      </w:r>
      <w:r>
        <w:t>座污水处理厂</w:t>
      </w:r>
      <w:r>
        <w:rPr>
          <w:rFonts w:hint="eastAsia"/>
        </w:rPr>
        <w:t>，分别为澄江市第一污水处理厂、澄江市第二污水处理厂、海口镇污水处理厂、路居镇污水处理厂、</w:t>
      </w:r>
      <w:r>
        <w:t>禄充污水处理厂，现状日处理水量3.1万m</w:t>
      </w:r>
      <w:r>
        <w:rPr>
          <w:vertAlign w:val="superscript"/>
        </w:rPr>
        <w:t>3</w:t>
      </w:r>
      <w:r>
        <w:t>/天，中水设计处理规模1.5万m</w:t>
      </w:r>
      <w:r>
        <w:rPr>
          <w:vertAlign w:val="superscript"/>
        </w:rPr>
        <w:t>3</w:t>
      </w:r>
      <w:r>
        <w:t>天，</w:t>
      </w:r>
      <w:r>
        <w:rPr>
          <w:rFonts w:hint="eastAsia"/>
        </w:rPr>
        <w:t>年</w:t>
      </w:r>
      <w:r>
        <w:t>回用水量仅约</w:t>
      </w:r>
      <w:r>
        <w:rPr>
          <w:rFonts w:hint="eastAsia"/>
        </w:rPr>
        <w:t>29.7</w:t>
      </w:r>
      <w:r>
        <w:t>万m</w:t>
      </w:r>
      <w:r>
        <w:rPr>
          <w:vertAlign w:val="superscript"/>
        </w:rPr>
        <w:t>3</w:t>
      </w:r>
      <w:r>
        <w:t>，中水回用率约</w:t>
      </w:r>
      <w:r>
        <w:rPr>
          <w:rFonts w:hint="eastAsia"/>
        </w:rPr>
        <w:t>6</w:t>
      </w:r>
      <w:r>
        <w:t>%，</w:t>
      </w:r>
      <w:r>
        <w:rPr>
          <w:rFonts w:hint="eastAsia"/>
        </w:rPr>
        <w:t>抚仙湖北岸大量非常规水外排至海口河，</w:t>
      </w:r>
      <w:r>
        <w:t>造成流域内水资源的极大浪费。流域管水用水粗放，一刀切，未深入开展流域水资源分质水源、分质管控、分质利用的梳理和优化配置研究，优水优用，高效分质利用分级不充分。</w:t>
      </w:r>
    </w:p>
    <w:p>
      <w:pPr>
        <w:adjustRightInd w:val="0"/>
        <w:snapToGrid w:val="0"/>
      </w:pPr>
      <w:r>
        <w:t>（3）调水补水工程运用和研究不足</w:t>
      </w:r>
    </w:p>
    <w:p>
      <w:pPr>
        <w:adjustRightInd w:val="0"/>
        <w:snapToGrid w:val="0"/>
      </w:pPr>
      <w:r>
        <w:t>抚仙湖水质总体为Ⅰ类，处于Ⅰ类向Ⅱ类转变的关键时期，实施生态补水极为谨慎，规定“达不到Ⅰ类水质标准不能实施生态补水工程，跨流域调水存在生态风险不能实施直补工程”，极大的限制了抚仙湖补水工程的实施。</w:t>
      </w:r>
      <w:r>
        <w:rPr>
          <w:rFonts w:hint="eastAsia"/>
        </w:rPr>
        <w:t>另一方面，受甸垛龙潭、大龙潭调水等外流域水源可置换量的限制，已建补水工程难以遏制湖泊水位持续下降趋势</w:t>
      </w:r>
      <w:r>
        <w:t>，抚仙湖补水工程运用和研究依然不足。</w:t>
      </w:r>
    </w:p>
    <w:p>
      <w:pPr>
        <w:numPr>
          <w:ilvl w:val="1"/>
          <w:numId w:val="1"/>
        </w:numPr>
        <w:spacing w:before="240" w:line="360" w:lineRule="auto"/>
        <w:ind w:left="578" w:hanging="578" w:firstLineChars="0"/>
        <w:jc w:val="left"/>
        <w:outlineLvl w:val="1"/>
        <w:rPr>
          <w:rFonts w:eastAsia="黑体"/>
          <w:spacing w:val="0"/>
          <w:sz w:val="30"/>
          <w:szCs w:val="32"/>
        </w:rPr>
      </w:pPr>
      <w:bookmarkStart w:id="44" w:name="_Toc184023321"/>
      <w:r>
        <w:rPr>
          <w:rFonts w:eastAsia="黑体"/>
          <w:spacing w:val="0"/>
          <w:sz w:val="30"/>
          <w:szCs w:val="32"/>
        </w:rPr>
        <w:t>保护利用趋势分析</w:t>
      </w:r>
      <w:bookmarkEnd w:id="44"/>
    </w:p>
    <w:p>
      <w:pPr>
        <w:adjustRightInd w:val="0"/>
      </w:pPr>
      <w:r>
        <w:rPr>
          <w:rFonts w:hint="eastAsia"/>
        </w:rPr>
        <w:t>从2009年大旱开始，抚仙湖水位开始下降，2009—2013年水位快速下降了2.12m，2014年至2018年降雨情况好转，抚仙湖水位开始逐步回升，但年平均水位变化范围维持在1720.96~1721.48m，仍低于最低运行水位1721.65m。近10年，湖体蓄水量累计减少2.59亿</w:t>
      </w:r>
      <w:r>
        <w:t>m³</w:t>
      </w:r>
      <w:r>
        <w:rPr>
          <w:rFonts w:hint="eastAsia"/>
        </w:rPr>
        <w:t>，相应水位下降1.2m。此外，抚仙湖维持Ⅰ类水压力逐渐增大，2023年抚仙湖共有8个月全湖水质综合评价为Ⅱ类，湖心（国控）、路居（国控）、尖山（国控）、哨嘴（省控）Ⅱ类水质分别出现了5次、8次、6次和5次，全年营养状态指数呈现先上升后下降的趋势。为有效减缓或遏止抚仙湖水位下降、水质降低的新保护治理形势，要坚持“以水定城、以水定地、以水定人、以水定产”，全面减少项目开发，减轻人口压力，减少资源浪费，根据高质量发展、协调发展、节约集约发展等保护利用趋势，提出合理的利用发展要求。</w:t>
      </w:r>
    </w:p>
    <w:p>
      <w:pPr>
        <w:adjustRightInd w:val="0"/>
      </w:pPr>
      <w:r>
        <w:rPr>
          <w:rFonts w:hint="eastAsia"/>
        </w:rPr>
        <w:t>（1）生态绿色高质量发展</w:t>
      </w:r>
    </w:p>
    <w:p>
      <w:pPr>
        <w:adjustRightInd w:val="0"/>
      </w:pPr>
      <w:r>
        <w:rPr>
          <w:rFonts w:hint="eastAsia"/>
        </w:rPr>
        <w:t>2023年7月，习近平总书记在全国生态环境保护大会上强调，要全面推进美丽中国建设，加快推进人与自然和谐共生的现代化。云南省也再次强调高原湖泊保护治理工作的重要性，要持续推进九大高原湖泊保护治理，坚持精准治污、科学治污、依法治污，要保持力度、延伸深度、拓展广度，把抚仙湖流域生态绿色高质量发展作为工作的重中之重，持续改善流域生态环境质量。</w:t>
      </w:r>
    </w:p>
    <w:p>
      <w:pPr>
        <w:adjustRightInd w:val="0"/>
      </w:pPr>
      <w:r>
        <w:rPr>
          <w:rFonts w:hint="eastAsia"/>
        </w:rPr>
        <w:t>（2）水安全支撑保障发展</w:t>
      </w:r>
    </w:p>
    <w:p>
      <w:pPr>
        <w:adjustRightInd w:val="0"/>
      </w:pPr>
      <w:r>
        <w:rPr>
          <w:rFonts w:hint="eastAsia"/>
        </w:rPr>
        <w:t>2023年5月，以习近平同志为核心的党中央作出的重大战略部署，构建国家水网，统筹解决水资源、水生态、水环境、水灾害问题。云南省也把水网建设作为当前和今后一个时期的重要任务，以联网、补网、强链为重点，优化水资源配置，发展特色农业，保护高原美丽河湖，筑牢生态屏障，强化水网体制机制法治管理，提升治理效能，为流域生态绿色高质量发展提供坚实的水安全支撑保障。</w:t>
      </w:r>
    </w:p>
    <w:p>
      <w:pPr>
        <w:adjustRightInd w:val="0"/>
      </w:pPr>
      <w:r>
        <w:rPr>
          <w:rFonts w:hint="eastAsia"/>
        </w:rPr>
        <w:t>（3）流域保护和开发利用协调发展</w:t>
      </w:r>
    </w:p>
    <w:p>
      <w:pPr>
        <w:adjustRightInd w:val="0"/>
      </w:pPr>
      <w:r>
        <w:rPr>
          <w:rFonts w:hint="eastAsia"/>
        </w:rPr>
        <w:t>为确保与全国同步基本实现社会主义现代化，云南省坚持打赢“湖泊革命”攻坚战，按照《云南省人民政府关于九大高原湖泊“三区”管控的指导意见》（云政发〔2022〕25号）要求，结合“3815”战略三年上大台阶、八年大发展、十五年大跨越的宏远发展目标，强调绿色发展区控制开发利用强度、调整开发利用方式、实现流域保护和开发利用协调发展，提升生态涵养功能、促进富民就业，完善生态补偿和后期管护机制，建设生态特色城镇和美丽乡村，构建绿色高质量发展的生产生活方式。</w:t>
      </w:r>
    </w:p>
    <w:p>
      <w:pPr>
        <w:adjustRightInd w:val="0"/>
      </w:pPr>
      <w:r>
        <w:rPr>
          <w:rFonts w:hint="eastAsia"/>
        </w:rPr>
        <w:t>（4）流域节约集约发展</w:t>
      </w:r>
    </w:p>
    <w:p>
      <w:pPr>
        <w:adjustRightInd w:val="0"/>
      </w:pPr>
      <w:r>
        <w:rPr>
          <w:rFonts w:hint="eastAsia"/>
        </w:rPr>
        <w:t>为了防止抚仙湖水位下降，大力提倡节水减排、进一步加大节水投入力度，强化需水管理，合理调整经济结构和产业布局，抑制需水过快增长。按照《关于集镇供水价格和全市污水处理费标准的通知》（澄发改发〔2020〕181号）要求，实行阶梯式水价、非居民实行超定额累进加价，减少生活用水；根据《澄江市抚仙湖径流区土地流转休耕轮作发展生态农业实施方案》（澄办通〔2018〕7号）文件要求，以抚仙湖资源环境承载力为基准，大力发展烤烟、油菜等节水作物，减少坝区高耗水作物种植比例，大力减少农业用水。</w:t>
      </w:r>
    </w:p>
    <w:p>
      <w:pPr>
        <w:pStyle w:val="3"/>
        <w:ind w:left="656" w:hanging="656"/>
        <w:rPr>
          <w:rFonts w:ascii="Times New Roman" w:hAnsi="Times New Roman"/>
          <w:color w:val="000000" w:themeColor="text1"/>
          <w14:textFill>
            <w14:solidFill>
              <w14:schemeClr w14:val="tx1"/>
            </w14:solidFill>
          </w14:textFill>
        </w:rPr>
      </w:pPr>
      <w:bookmarkStart w:id="45" w:name="_Toc184023322"/>
      <w:r>
        <w:rPr>
          <w:rFonts w:ascii="Times New Roman" w:hAnsi="Times New Roman"/>
          <w:color w:val="000000" w:themeColor="text1"/>
          <w14:textFill>
            <w14:solidFill>
              <w14:schemeClr w14:val="tx1"/>
            </w14:solidFill>
          </w14:textFill>
        </w:rPr>
        <w:t>水资源保护规划</w:t>
      </w:r>
      <w:bookmarkEnd w:id="45"/>
    </w:p>
    <w:p>
      <w:pPr>
        <w:pStyle w:val="5"/>
      </w:pPr>
      <w:bookmarkStart w:id="46" w:name="_Toc184023323"/>
      <w:r>
        <w:t>水资源保护规划目标与布局</w:t>
      </w:r>
      <w:bookmarkEnd w:id="46"/>
    </w:p>
    <w:p>
      <w:pPr>
        <w:pStyle w:val="6"/>
      </w:pPr>
      <w:bookmarkStart w:id="47" w:name="_Hlk160137315"/>
      <w:r>
        <w:rPr>
          <w:rFonts w:hint="eastAsia"/>
        </w:rPr>
        <w:t>规划目标</w:t>
      </w:r>
    </w:p>
    <w:bookmarkEnd w:id="47"/>
    <w:p>
      <w:pPr>
        <w:pStyle w:val="4"/>
      </w:pPr>
      <w:r>
        <w:rPr>
          <w:rFonts w:hint="eastAsia"/>
        </w:rPr>
        <w:t>水资源保护规划属于水资源保护顶层设计的重要内容之一，是今后一定时期全市水资源保护和管理工作的基本依据。全面贯彻党的二十大和二十届三中全会、中央经济工作会议、中央农村工作会议精神，深入落实习近平总书记“节水优先、空间均衡、系统治理、两手发力”治水思路和关于治水重要论述精神。依据新时期最严格水资源管理对水资源保护的要求，以实现水资源可持续利用与水生态系统良性循环为目标，以已有相关规划为基础，坚持水量、水质和水生态统一规划，统筹考虑地表与地下、保护与修复等方面的关系，科学制定水资源保护规划方案，促进水资源可持续利用与经济发展方式转变，推动经济社会发展与水资源水环境承载能力相协调。规划目标主要围绕以下几点：</w:t>
      </w:r>
    </w:p>
    <w:p>
      <w:pPr>
        <w:pStyle w:val="4"/>
      </w:pPr>
      <w:r>
        <w:rPr>
          <w:rFonts w:hint="eastAsia"/>
        </w:rPr>
        <w:t>（1）抚仙湖水质稳定保持在</w:t>
      </w:r>
      <w:r>
        <w:t>Ⅰ</w:t>
      </w:r>
      <w:r>
        <w:rPr>
          <w:rFonts w:hint="eastAsia"/>
        </w:rPr>
        <w:t>类标准；（2）抚仙湖</w:t>
      </w:r>
      <w:r>
        <w:t>主要入湖河流水质优良率（Ⅲ类及以上）</w:t>
      </w:r>
      <w:r>
        <w:rPr>
          <w:rFonts w:hint="eastAsia"/>
        </w:rPr>
        <w:t>达到1</w:t>
      </w:r>
      <w:r>
        <w:t>00%</w:t>
      </w:r>
      <w:r>
        <w:rPr>
          <w:rFonts w:hint="eastAsia"/>
        </w:rPr>
        <w:t>；（3）河湖生态环境水量得到基本保障，主要江河湖泊水生态系统得到基本保护，河湖生态水量得到基本保证；（4）城镇供水水源地水质全面达标，主要农村饮用水水源地水质保护体系基本建立；（5）重要生态保护区、水源涵养区、江河源头区和湿地得到有效保护，水生态系统功能得到逐步恢复，基本构建成澄江市水网格局；（6）澄江市重点区域的水土流失得到有效治理；（7）地下水资源储备能力显著提高，推动建立全市水资源督查制度，使水资源、水生态和水环境承载能力成为经济社会发展的刚性约束。建立完善的水资源保护和河湖健康保障体系，保障水资源和水生态系统的良性循环，以水资源的可持续利用支撑经济社会的可持续发展。</w:t>
      </w:r>
    </w:p>
    <w:p>
      <w:pPr>
        <w:pStyle w:val="6"/>
      </w:pPr>
      <w:r>
        <w:rPr>
          <w:rFonts w:hint="eastAsia"/>
        </w:rPr>
        <w:t>规划布局</w:t>
      </w:r>
    </w:p>
    <w:p>
      <w:pPr>
        <w:pStyle w:val="4"/>
      </w:pPr>
      <w:r>
        <w:rPr>
          <w:rFonts w:hint="eastAsia"/>
        </w:rPr>
        <w:t>（1）以高效节水为目标，保护好地下水，统筹推进灌区工程与节水改造工程建设。</w:t>
      </w:r>
    </w:p>
    <w:p>
      <w:pPr>
        <w:pStyle w:val="4"/>
      </w:pPr>
      <w:r>
        <w:rPr>
          <w:rFonts w:hint="eastAsia"/>
        </w:rPr>
        <w:t>（2）优先治理重点污染区域的水污染，强化水资源保护。</w:t>
      </w:r>
    </w:p>
    <w:p>
      <w:pPr>
        <w:pStyle w:val="4"/>
      </w:pPr>
      <w:r>
        <w:rPr>
          <w:rFonts w:hint="eastAsia"/>
        </w:rPr>
        <w:t>（3）结合水源工程的建设，进行优化调度，努力改善水环境状况。</w:t>
      </w:r>
    </w:p>
    <w:p>
      <w:pPr>
        <w:pStyle w:val="4"/>
      </w:pPr>
      <w:r>
        <w:rPr>
          <w:rFonts w:hint="eastAsia"/>
        </w:rPr>
        <w:t>（4）加强水资源保护的非工程措施，推进基础研究项目，实现科技治湖。</w:t>
      </w:r>
    </w:p>
    <w:p>
      <w:pPr>
        <w:pStyle w:val="5"/>
      </w:pPr>
      <w:bookmarkStart w:id="48" w:name="_Toc160010031"/>
      <w:bookmarkStart w:id="49" w:name="_Toc184023324"/>
      <w:r>
        <w:rPr>
          <w:rFonts w:hint="eastAsia"/>
        </w:rPr>
        <w:t>地下水保护</w:t>
      </w:r>
      <w:bookmarkEnd w:id="48"/>
      <w:bookmarkEnd w:id="49"/>
    </w:p>
    <w:p>
      <w:pPr>
        <w:pStyle w:val="6"/>
      </w:pPr>
      <w:r>
        <w:rPr>
          <w:rFonts w:hint="eastAsia"/>
        </w:rPr>
        <w:t>地下水脆弱性评价</w:t>
      </w:r>
    </w:p>
    <w:p>
      <w:pPr>
        <w:pStyle w:val="4"/>
      </w:pPr>
      <w:r>
        <w:rPr>
          <w:rFonts w:hint="eastAsia"/>
        </w:rPr>
        <w:t>根据《云南省浅层地下水脆弱性评价》专题报告，澄江市地下水的脆弱性分析如下：脆弱性高的面积占全市面积比例为</w:t>
      </w:r>
      <w:r>
        <w:t>37.30</w:t>
      </w:r>
      <w:r>
        <w:rPr>
          <w:rFonts w:hint="eastAsia"/>
        </w:rPr>
        <w:t>%，脆弱性低的面积占全市面积比例为</w:t>
      </w:r>
      <w:r>
        <w:t>0.80</w:t>
      </w:r>
      <w:r>
        <w:rPr>
          <w:rFonts w:hint="eastAsia"/>
        </w:rPr>
        <w:t>%，详见下表。</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4.2</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1</w:t>
      </w:r>
      <w:r>
        <w:rPr>
          <w:rFonts w:eastAsia="黑体"/>
          <w:spacing w:val="0"/>
        </w:rPr>
        <w:fldChar w:fldCharType="end"/>
      </w:r>
      <w:r>
        <w:rPr>
          <w:rFonts w:eastAsia="黑体"/>
          <w:spacing w:val="0"/>
        </w:rPr>
        <w:t xml:space="preserve">  </w:t>
      </w:r>
      <w:r>
        <w:rPr>
          <w:rFonts w:hint="eastAsia" w:eastAsia="黑体"/>
          <w:spacing w:val="0"/>
        </w:rPr>
        <w:t>澄江市浅层地下水脆弱性评价</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40"/>
        <w:gridCol w:w="1306"/>
        <w:gridCol w:w="1560"/>
        <w:gridCol w:w="1562"/>
        <w:gridCol w:w="1562"/>
        <w:gridCol w:w="15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37" w:type="pct"/>
            <w:vMerge w:val="restar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县（市）</w:t>
            </w:r>
          </w:p>
        </w:tc>
        <w:tc>
          <w:tcPr>
            <w:tcW w:w="4063" w:type="pct"/>
            <w:gridSpan w:val="5"/>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浅层地下水脆弱性评价分级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0" w:type="auto"/>
            <w:vMerge w:val="continue"/>
            <w:vAlign w:val="center"/>
          </w:tcPr>
          <w:p>
            <w:pPr>
              <w:pStyle w:val="85"/>
              <w:rPr>
                <w:color w:val="000000" w:themeColor="text1"/>
                <w14:textFill>
                  <w14:solidFill>
                    <w14:schemeClr w14:val="tx1"/>
                  </w14:solidFill>
                </w14:textFill>
              </w:rPr>
            </w:pPr>
          </w:p>
        </w:tc>
        <w:tc>
          <w:tcPr>
            <w:tcW w:w="703"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低</w:t>
            </w:r>
          </w:p>
        </w:tc>
        <w:tc>
          <w:tcPr>
            <w:tcW w:w="840"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较低</w:t>
            </w:r>
          </w:p>
        </w:tc>
        <w:tc>
          <w:tcPr>
            <w:tcW w:w="841"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中等</w:t>
            </w:r>
          </w:p>
        </w:tc>
        <w:tc>
          <w:tcPr>
            <w:tcW w:w="841"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较高</w:t>
            </w:r>
          </w:p>
        </w:tc>
        <w:tc>
          <w:tcPr>
            <w:tcW w:w="839"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37"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w:t>
            </w:r>
          </w:p>
        </w:tc>
        <w:tc>
          <w:tcPr>
            <w:tcW w:w="703" w:type="pct"/>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0.80%</w:t>
            </w:r>
          </w:p>
        </w:tc>
        <w:tc>
          <w:tcPr>
            <w:tcW w:w="840" w:type="pct"/>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14.20%</w:t>
            </w:r>
          </w:p>
        </w:tc>
        <w:tc>
          <w:tcPr>
            <w:tcW w:w="841" w:type="pct"/>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31.30%</w:t>
            </w:r>
          </w:p>
        </w:tc>
        <w:tc>
          <w:tcPr>
            <w:tcW w:w="841" w:type="pct"/>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16.40%</w:t>
            </w:r>
          </w:p>
        </w:tc>
        <w:tc>
          <w:tcPr>
            <w:tcW w:w="839" w:type="pct"/>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37.30%</w:t>
            </w:r>
          </w:p>
        </w:tc>
      </w:tr>
    </w:tbl>
    <w:p>
      <w:pPr>
        <w:pStyle w:val="6"/>
      </w:pPr>
      <w:bookmarkStart w:id="50" w:name="_Hlk160358501"/>
      <w:r>
        <w:rPr>
          <w:rFonts w:hint="eastAsia"/>
        </w:rPr>
        <w:t>地下水开采总量控制方案</w:t>
      </w:r>
    </w:p>
    <w:bookmarkEnd w:id="50"/>
    <w:p>
      <w:pPr>
        <w:pStyle w:val="4"/>
      </w:pPr>
      <w:r>
        <w:rPr>
          <w:rFonts w:hint="eastAsia"/>
        </w:rPr>
        <w:t>全面推进节水型社会建设，严格执行《玉溪市中心城区地下水资源管理试行办法》（玉溪市人民政府公告第</w:t>
      </w:r>
      <w:r>
        <w:t>18</w:t>
      </w:r>
      <w:r>
        <w:rPr>
          <w:rFonts w:hint="eastAsia"/>
        </w:rPr>
        <w:t>号），按照</w:t>
      </w:r>
      <w:r>
        <w:t>“</w:t>
      </w:r>
      <w:r>
        <w:rPr>
          <w:rFonts w:hint="eastAsia"/>
        </w:rPr>
        <w:t>先地表、后地下</w:t>
      </w:r>
      <w:r>
        <w:t>”</w:t>
      </w:r>
      <w:r>
        <w:rPr>
          <w:rFonts w:hint="eastAsia"/>
        </w:rPr>
        <w:t>的用水原则，严控地下水开采总量。同时根据《云南省水利厅关于印发云南省地下水管控指标方案的函》</w:t>
      </w:r>
      <w:r>
        <w:t>（云</w:t>
      </w:r>
      <w:r>
        <w:rPr>
          <w:rFonts w:hint="eastAsia"/>
        </w:rPr>
        <w:t>水资源</w:t>
      </w:r>
      <w:r>
        <w:t>〔20</w:t>
      </w:r>
      <w:r>
        <w:rPr>
          <w:rFonts w:hint="eastAsia"/>
        </w:rPr>
        <w:t>2</w:t>
      </w:r>
      <w:r>
        <w:t>3〕</w:t>
      </w:r>
      <w:r>
        <w:rPr>
          <w:rFonts w:hint="eastAsia"/>
        </w:rPr>
        <w:t>25</w:t>
      </w:r>
      <w:r>
        <w:t>号）</w:t>
      </w:r>
      <w:r>
        <w:rPr>
          <w:rFonts w:hint="eastAsia"/>
        </w:rPr>
        <w:t>中澄江市2025、2030年地下水取水总量指标为325万</w:t>
      </w:r>
      <w:r>
        <w:t>m</w:t>
      </w:r>
      <w:r>
        <w:rPr>
          <w:vertAlign w:val="superscript"/>
        </w:rPr>
        <w:t>3</w:t>
      </w:r>
      <w:r>
        <w:rPr>
          <w:rFonts w:hint="eastAsia"/>
        </w:rPr>
        <w:t>，则规划水平年浅层地下水开采总量应不超过325万</w:t>
      </w:r>
      <w:r>
        <w:t>m</w:t>
      </w:r>
      <w:r>
        <w:rPr>
          <w:vertAlign w:val="superscript"/>
        </w:rPr>
        <w:t>3</w:t>
      </w:r>
      <w:r>
        <w:rPr>
          <w:rFonts w:hint="eastAsia"/>
        </w:rPr>
        <w:t>，深层地下水将作为战略储备水源，全面禁采。具体见下表。</w:t>
      </w:r>
    </w:p>
    <w:p>
      <w:pPr>
        <w:keepNext/>
        <w:widowControl/>
        <w:spacing w:before="120" w:after="60" w:line="240" w:lineRule="auto"/>
        <w:ind w:firstLine="0" w:firstLineChars="0"/>
        <w:jc w:val="center"/>
        <w:rPr>
          <w:rFonts w:eastAsia="黑体"/>
          <w:spacing w:val="0"/>
        </w:rPr>
      </w:pPr>
      <w:r>
        <w:rPr>
          <w:rFonts w:hint="eastAsia" w:eastAsia="黑体"/>
          <w:spacing w:val="0"/>
        </w:rPr>
        <w:t xml:space="preserve"> </w:t>
      </w:r>
      <w:r>
        <w:rPr>
          <w:rFonts w:eastAsia="黑体"/>
          <w:spacing w:val="0"/>
        </w:rPr>
        <w:t xml:space="preserve">             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4.2</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2</w:t>
      </w:r>
      <w:r>
        <w:rPr>
          <w:rFonts w:eastAsia="黑体"/>
          <w:spacing w:val="0"/>
        </w:rPr>
        <w:fldChar w:fldCharType="end"/>
      </w:r>
      <w:r>
        <w:rPr>
          <w:rFonts w:eastAsia="黑体"/>
          <w:spacing w:val="0"/>
        </w:rPr>
        <w:t xml:space="preserve">  </w:t>
      </w:r>
      <w:r>
        <w:rPr>
          <w:rFonts w:hint="eastAsia" w:eastAsia="黑体"/>
          <w:spacing w:val="0"/>
        </w:rPr>
        <w:t xml:space="preserve">澄江市地下水开采总量控制方案 </w:t>
      </w:r>
      <w:r>
        <w:rPr>
          <w:rFonts w:eastAsia="黑体"/>
          <w:spacing w:val="0"/>
        </w:rPr>
        <w:t xml:space="preserve">     </w:t>
      </w:r>
      <w:r>
        <w:rPr>
          <w:rFonts w:hint="eastAsia" w:eastAsia="黑体"/>
          <w:spacing w:val="0"/>
        </w:rPr>
        <w:t>单位：万m</w:t>
      </w:r>
      <w:r>
        <w:rPr>
          <w:rFonts w:eastAsia="黑体"/>
          <w:spacing w:val="0"/>
          <w:vertAlign w:val="superscript"/>
        </w:rPr>
        <w:t>3</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59"/>
        <w:gridCol w:w="2478"/>
        <w:gridCol w:w="1445"/>
        <w:gridCol w:w="1653"/>
        <w:gridCol w:w="16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109" w:type="pct"/>
            <w:vMerge w:val="restart"/>
            <w:tcBorders>
              <w:top w:val="single" w:color="auto" w:sz="12" w:space="0"/>
              <w:bottom w:val="single" w:color="auto" w:sz="6" w:space="0"/>
              <w:tl2br w:val="single" w:color="auto" w:sz="4" w:space="0"/>
            </w:tcBorders>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水平年</w:t>
            </w:r>
          </w:p>
          <w:p>
            <w:pPr>
              <w:pStyle w:val="85"/>
              <w:ind w:firstLine="210" w:firstLineChars="1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县区</w:t>
            </w:r>
          </w:p>
        </w:tc>
        <w:tc>
          <w:tcPr>
            <w:tcW w:w="2112" w:type="pct"/>
            <w:gridSpan w:val="2"/>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基准年</w:t>
            </w:r>
          </w:p>
        </w:tc>
        <w:tc>
          <w:tcPr>
            <w:tcW w:w="1779" w:type="pct"/>
            <w:gridSpan w:val="2"/>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2035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109" w:type="pct"/>
            <w:vMerge w:val="continue"/>
            <w:tcBorders>
              <w:top w:val="single" w:color="auto" w:sz="6" w:space="0"/>
              <w:bottom w:val="single" w:color="auto" w:sz="6" w:space="0"/>
              <w:tl2br w:val="single" w:color="auto" w:sz="4" w:space="0"/>
            </w:tcBorders>
            <w:vAlign w:val="center"/>
          </w:tcPr>
          <w:p>
            <w:pPr>
              <w:pStyle w:val="85"/>
              <w:rPr>
                <w:color w:val="000000" w:themeColor="text1"/>
                <w14:textFill>
                  <w14:solidFill>
                    <w14:schemeClr w14:val="tx1"/>
                  </w14:solidFill>
                </w14:textFill>
              </w:rPr>
            </w:pPr>
          </w:p>
        </w:tc>
        <w:tc>
          <w:tcPr>
            <w:tcW w:w="1334"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浅层地下水</w:t>
            </w:r>
          </w:p>
        </w:tc>
        <w:tc>
          <w:tcPr>
            <w:tcW w:w="778"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深层地下水</w:t>
            </w:r>
          </w:p>
        </w:tc>
        <w:tc>
          <w:tcPr>
            <w:tcW w:w="890"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浅层地下水</w:t>
            </w:r>
          </w:p>
        </w:tc>
        <w:tc>
          <w:tcPr>
            <w:tcW w:w="889"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深层地下水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109" w:type="pct"/>
            <w:tcBorders>
              <w:top w:val="single" w:color="auto" w:sz="6" w:space="0"/>
            </w:tcBorders>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w:t>
            </w:r>
          </w:p>
        </w:tc>
        <w:tc>
          <w:tcPr>
            <w:tcW w:w="1334" w:type="pct"/>
            <w:noWrap/>
            <w:vAlign w:val="bottom"/>
          </w:tcPr>
          <w:p>
            <w:pPr>
              <w:pStyle w:val="85"/>
              <w:rPr>
                <w:color w:val="000000" w:themeColor="text1"/>
                <w14:textFill>
                  <w14:solidFill>
                    <w14:schemeClr w14:val="tx1"/>
                  </w14:solidFill>
                </w14:textFill>
              </w:rPr>
            </w:pPr>
            <w:r>
              <w:rPr>
                <w:color w:val="000000" w:themeColor="text1"/>
                <w14:textFill>
                  <w14:solidFill>
                    <w14:schemeClr w14:val="tx1"/>
                  </w14:solidFill>
                </w14:textFill>
              </w:rPr>
              <w:t>165.1</w:t>
            </w:r>
          </w:p>
        </w:tc>
        <w:tc>
          <w:tcPr>
            <w:tcW w:w="778" w:type="pct"/>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1.6</w:t>
            </w:r>
          </w:p>
        </w:tc>
        <w:tc>
          <w:tcPr>
            <w:tcW w:w="890" w:type="pct"/>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325</w:t>
            </w:r>
          </w:p>
        </w:tc>
        <w:tc>
          <w:tcPr>
            <w:tcW w:w="889" w:type="pct"/>
            <w:noWrap/>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0</w:t>
            </w:r>
          </w:p>
        </w:tc>
      </w:tr>
    </w:tbl>
    <w:p>
      <w:pPr>
        <w:pStyle w:val="6"/>
      </w:pPr>
      <w:bookmarkStart w:id="51" w:name="_Hlk160138099"/>
      <w:r>
        <w:rPr>
          <w:rFonts w:hint="eastAsia"/>
        </w:rPr>
        <w:t>地下水污染防治措施</w:t>
      </w:r>
    </w:p>
    <w:p>
      <w:pPr>
        <w:pStyle w:val="4"/>
        <w:rPr>
          <w:bCs/>
        </w:rPr>
      </w:pPr>
      <w:r>
        <w:rPr>
          <w:rFonts w:hint="eastAsia"/>
          <w:bCs/>
        </w:rPr>
        <w:t>根据《珠江流域及红河水资源综合规划》配置方案中地下水供用水行业的水质要求和保护目标，以及所划定地下水功能区的水质保护目标，结合《云南省地下水功能区划》、《云南省地下水禁采区、限采区划定报告》、《云南省地下水利用与保护规划》的相关要求加强区域地下水水质保护，对地下水供水水质不能满足用户要求和受到污染的地下水水源地，根据《全国地下水污染防治规划（</w:t>
      </w:r>
      <w:r>
        <w:rPr>
          <w:bCs/>
        </w:rPr>
        <w:t>2011-2020</w:t>
      </w:r>
      <w:r>
        <w:rPr>
          <w:rFonts w:hint="eastAsia"/>
          <w:bCs/>
        </w:rPr>
        <w:t>年）》，加强水污染防治工作。同时，受到地下水污染防治的特殊性和局限性，污染源整治不仅与地表水污染源整治密切相关，还与地下水补给区、径流区密不可分，在基础资料缺乏的情况下，本次规划主要针对地下水取水口规划有针对性的水污染防治工程措施，适当的开展一定的地下水水源涵养工程。同时建议在掌握一定基础资料的基础上开展全市地下水污染防治专项规划。</w:t>
      </w:r>
    </w:p>
    <w:p>
      <w:pPr>
        <w:pStyle w:val="4"/>
        <w:rPr>
          <w:bCs/>
        </w:rPr>
      </w:pPr>
      <w:r>
        <w:rPr>
          <w:rFonts w:hint="eastAsia"/>
          <w:bCs/>
        </w:rPr>
        <w:t>根据水利部水利水电规划设计总院于</w:t>
      </w:r>
      <w:r>
        <w:rPr>
          <w:bCs/>
        </w:rPr>
        <w:t>2014</w:t>
      </w:r>
      <w:r>
        <w:rPr>
          <w:rFonts w:hint="eastAsia"/>
          <w:bCs/>
        </w:rPr>
        <w:t>年发布的《</w:t>
      </w:r>
      <w:r>
        <w:rPr>
          <w:bCs/>
        </w:rPr>
        <w:t>&lt;</w:t>
      </w:r>
      <w:r>
        <w:rPr>
          <w:rFonts w:hint="eastAsia"/>
          <w:bCs/>
        </w:rPr>
        <w:t>全国水资源保护规划</w:t>
      </w:r>
      <w:r>
        <w:rPr>
          <w:bCs/>
        </w:rPr>
        <w:t>&gt;</w:t>
      </w:r>
      <w:r>
        <w:rPr>
          <w:rFonts w:hint="eastAsia"/>
          <w:bCs/>
        </w:rPr>
        <w:t>措施规划阶段补充技术规定》，地下水水质保护工程分为重要地下水水源保护区隔离工程和地下水水源地污染控制工程，其中水资源保护规划不计列地下水水源地污染控制工程投资，故本次规划暂不计列地下水污染控制工程的投资。</w:t>
      </w:r>
    </w:p>
    <w:bookmarkEnd w:id="51"/>
    <w:p>
      <w:pPr>
        <w:pStyle w:val="6"/>
      </w:pPr>
      <w:r>
        <w:rPr>
          <w:rFonts w:hint="eastAsia"/>
        </w:rPr>
        <w:t>集中式地下水饮用水源地保护措施</w:t>
      </w:r>
    </w:p>
    <w:p>
      <w:pPr>
        <w:pStyle w:val="4"/>
        <w:rPr>
          <w:bCs/>
        </w:rPr>
      </w:pPr>
      <w:r>
        <w:rPr>
          <w:rFonts w:hint="eastAsia"/>
          <w:bCs/>
        </w:rPr>
        <w:t>地下水是澄江市城乡居民重要的饮用水水源，尤其是集中式地下水饮用水水源地，更是城市的重要基础设施。保护好集中式地下水饮用水水源地是解决城市饮水安全问题的重要保障，地下水资源保护的重点之一。</w:t>
      </w:r>
    </w:p>
    <w:p>
      <w:pPr>
        <w:pStyle w:val="4"/>
        <w:rPr>
          <w:bCs/>
        </w:rPr>
      </w:pPr>
      <w:r>
        <w:rPr>
          <w:rFonts w:hint="eastAsia"/>
          <w:bCs/>
        </w:rPr>
        <w:t xml:space="preserve">根据《饮用水水源保护区划分技术规范》划分地下水饮用水水源地保护区；实施地下水水源地规范化建设工程，包括围墙、栅栏、植被防护带、标志牌建设等。同时要清除水源地周边、特别是地表水上游区及地下水补方向的各类污染源，包括垃圾堆放场、加油站、违规建筑等的拆除和清运。对集中式地下水饮用水水源地附近存在的排污口和渗坑、渗井等提出治理措施。 </w:t>
      </w:r>
    </w:p>
    <w:p>
      <w:pPr>
        <w:pStyle w:val="4"/>
        <w:rPr>
          <w:bCs/>
        </w:rPr>
      </w:pPr>
      <w:r>
        <w:rPr>
          <w:rFonts w:hint="eastAsia"/>
          <w:bCs/>
        </w:rPr>
        <w:t>主要保护集中式地下水饮用水水源地有甸垛龙潭泉水。主要的保护措施是取水口的物理围闭、生物隔离带、标志牌及水源涵养等。规划澄江市甸垛龙潭泉水饮用水水源保护工程项目，投资343万元。主要实施内容为取水口防护口隔离防护墙1.5km，树墙、防护林建设30亩，公告牌、标示牌5块，水源涵养林1000亩。</w:t>
      </w:r>
    </w:p>
    <w:p>
      <w:pPr>
        <w:pStyle w:val="5"/>
      </w:pPr>
      <w:bookmarkStart w:id="52" w:name="_Toc160010032"/>
      <w:bookmarkStart w:id="53" w:name="_Toc184023325"/>
      <w:r>
        <w:rPr>
          <w:rFonts w:hint="eastAsia"/>
        </w:rPr>
        <w:t>河流生态需水保障</w:t>
      </w:r>
      <w:bookmarkEnd w:id="52"/>
      <w:bookmarkEnd w:id="53"/>
    </w:p>
    <w:p>
      <w:pPr>
        <w:pStyle w:val="6"/>
      </w:pPr>
      <w:r>
        <w:rPr>
          <w:rFonts w:hint="eastAsia"/>
        </w:rPr>
        <w:t>规划范围</w:t>
      </w:r>
    </w:p>
    <w:p>
      <w:pPr>
        <w:pStyle w:val="4"/>
      </w:pPr>
      <w:r>
        <w:rPr>
          <w:rFonts w:hint="eastAsia"/>
        </w:rPr>
        <w:t>（1）已列入《全国重要江河湖泊水功能区划》的重要江河湖泊水域；</w:t>
      </w:r>
    </w:p>
    <w:p>
      <w:pPr>
        <w:pStyle w:val="4"/>
      </w:pPr>
      <w:r>
        <w:rPr>
          <w:rFonts w:hint="eastAsia"/>
        </w:rPr>
        <w:t>（2）已列入国家重要湿地名录的河流、湖泊或河口。</w:t>
      </w:r>
    </w:p>
    <w:p>
      <w:pPr>
        <w:pStyle w:val="4"/>
      </w:pPr>
      <w:r>
        <w:rPr>
          <w:rFonts w:hint="eastAsia"/>
        </w:rPr>
        <w:t>（3）已列入国家级、省级自然保护区、水产种质资源保护区等的河流、湖泊或河口。</w:t>
      </w:r>
    </w:p>
    <w:p>
      <w:pPr>
        <w:pStyle w:val="4"/>
      </w:pPr>
      <w:r>
        <w:rPr>
          <w:rFonts w:hint="eastAsia"/>
        </w:rPr>
        <w:t>（4）澄江市重要的江河湖库。</w:t>
      </w:r>
    </w:p>
    <w:p>
      <w:pPr>
        <w:pStyle w:val="4"/>
      </w:pPr>
      <w:r>
        <w:rPr>
          <w:rFonts w:hint="eastAsia"/>
        </w:rPr>
        <w:t>依据以上原则，本次规划确定的澄江市生态需水保障规划范围主要为抚仙湖。抚仙湖是云南省九大高原湖泊之一，还分布有抚仙湖特有鱼类国家级水产种质资源保护区主要保护对象是抗浪鱼，其他保护物种包括云南倒刺鲃、抚仙金线鲃、青虾、草鱼、鲫、鲤、鲢等。</w:t>
      </w:r>
    </w:p>
    <w:p>
      <w:pPr>
        <w:pStyle w:val="6"/>
      </w:pPr>
      <w:bookmarkStart w:id="54" w:name="_Hlk160195657"/>
      <w:r>
        <w:rPr>
          <w:rFonts w:hint="eastAsia"/>
        </w:rPr>
        <w:t>生态需水保障目标</w:t>
      </w:r>
    </w:p>
    <w:bookmarkEnd w:id="54"/>
    <w:p>
      <w:pPr>
        <w:pStyle w:val="4"/>
      </w:pPr>
      <w:r>
        <w:rPr>
          <w:rFonts w:hint="eastAsia"/>
        </w:rPr>
        <w:t>生态需水包括河道内生态基流和敏感生态需水，对于湖泊则提出最小生态水位要求。</w:t>
      </w:r>
    </w:p>
    <w:p>
      <w:pPr>
        <w:pStyle w:val="7"/>
      </w:pPr>
      <w:r>
        <w:rPr>
          <w:rFonts w:hint="eastAsia"/>
        </w:rPr>
        <w:t>河流生态需水</w:t>
      </w:r>
    </w:p>
    <w:p>
      <w:pPr>
        <w:pStyle w:val="4"/>
      </w:pPr>
      <w:r>
        <w:rPr>
          <w:rFonts w:hint="eastAsia"/>
        </w:rPr>
        <w:t>河流生态需水保障目标是确保澄江市主要河流流量满足生态基流要求，重要河段生态需水流量得到保障，</w:t>
      </w:r>
      <w:r>
        <w:t>河道生态需水量</w:t>
      </w:r>
      <w:r>
        <w:rPr>
          <w:rFonts w:hint="eastAsia"/>
        </w:rPr>
        <w:t>见</w:t>
      </w:r>
      <w:r>
        <w:t>3.1.3</w:t>
      </w:r>
      <w:r>
        <w:rPr>
          <w:rFonts w:hint="eastAsia"/>
        </w:rPr>
        <w:t>节</w:t>
      </w:r>
      <w:r>
        <w:t>抚仙湖流域河道</w:t>
      </w:r>
      <w:r>
        <w:rPr>
          <w:rFonts w:hint="eastAsia"/>
        </w:rPr>
        <w:t>生态需水评价。</w:t>
      </w:r>
    </w:p>
    <w:p>
      <w:pPr>
        <w:pStyle w:val="7"/>
      </w:pPr>
      <w:r>
        <w:rPr>
          <w:rFonts w:hint="eastAsia"/>
        </w:rPr>
        <w:t>湖泊生态需水</w:t>
      </w:r>
    </w:p>
    <w:p>
      <w:pPr>
        <w:pStyle w:val="4"/>
      </w:pPr>
      <w:r>
        <w:rPr>
          <w:rFonts w:hint="eastAsia"/>
        </w:rPr>
        <w:t>湖泊生态需水主要是敏感生态需水，是指维持河湖生态敏感区正常生态功能的需水量及过程，主要敏感期是澄江市1</w:t>
      </w:r>
      <w:r>
        <w:t>1</w:t>
      </w:r>
      <w:r>
        <w:rPr>
          <w:rFonts w:hint="eastAsia"/>
        </w:rPr>
        <w:t>月-4月的枯水期。综合考虑抚仙湖法定最低运行水位及水量补给、损失，确定抚仙湖敏感生态需水保障目标是确保在其最低运行水位不低于法定最低水位，在法定最低水位运行时，其水源补给量不低于蒸发量、渗漏量、出流量等损失水量。2023年修订的《云南省抚仙湖保护条例》规定抚仙湖最高运行水位为1723.35米（1985国家高程基准，下同），最低运行水位为1721.65米。2020</w:t>
      </w:r>
      <w:r>
        <w:t>年水利部印发关于抚仙湖的最低生态水位参考海口断面为</w:t>
      </w:r>
      <w:r>
        <w:rPr>
          <w:rFonts w:hint="eastAsia"/>
        </w:rPr>
        <w:t>1720.77</w:t>
      </w:r>
      <w:r>
        <w:t>米</w:t>
      </w:r>
      <w:r>
        <w:rPr>
          <w:rFonts w:hint="eastAsia"/>
        </w:rPr>
        <w:t>，抚仙湖生态耗水量见下表所示。</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4.3</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1</w:t>
      </w:r>
      <w:r>
        <w:rPr>
          <w:rFonts w:eastAsia="黑体"/>
          <w:spacing w:val="0"/>
        </w:rPr>
        <w:fldChar w:fldCharType="end"/>
      </w:r>
      <w:r>
        <w:rPr>
          <w:rFonts w:eastAsia="黑体"/>
          <w:spacing w:val="0"/>
        </w:rPr>
        <w:t xml:space="preserve">  </w:t>
      </w:r>
      <w:r>
        <w:rPr>
          <w:rFonts w:hint="eastAsia" w:eastAsia="黑体"/>
          <w:spacing w:val="0"/>
        </w:rPr>
        <w:t>抚仙湖生态环境用水量</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39"/>
        <w:gridCol w:w="1540"/>
        <w:gridCol w:w="1538"/>
        <w:gridCol w:w="1538"/>
        <w:gridCol w:w="1538"/>
        <w:gridCol w:w="15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trPr>
        <w:tc>
          <w:tcPr>
            <w:tcW w:w="829"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29"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湖泊名称</w:t>
            </w:r>
          </w:p>
        </w:tc>
        <w:tc>
          <w:tcPr>
            <w:tcW w:w="828"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湖泊水面计算面积（km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828"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多年平均蒸发量（mm）</w:t>
            </w:r>
          </w:p>
        </w:tc>
        <w:tc>
          <w:tcPr>
            <w:tcW w:w="828"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多年平均降水量（mm）</w:t>
            </w:r>
          </w:p>
        </w:tc>
        <w:tc>
          <w:tcPr>
            <w:tcW w:w="859"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生态环境用水量（万m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82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w:t>
            </w:r>
          </w:p>
        </w:tc>
        <w:tc>
          <w:tcPr>
            <w:tcW w:w="829"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w:t>
            </w:r>
          </w:p>
        </w:tc>
        <w:tc>
          <w:tcPr>
            <w:tcW w:w="828"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212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p>
        </w:tc>
        <w:tc>
          <w:tcPr>
            <w:tcW w:w="828"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1241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p>
        </w:tc>
        <w:tc>
          <w:tcPr>
            <w:tcW w:w="828"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p>
        </w:tc>
        <w:tc>
          <w:tcPr>
            <w:tcW w:w="85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6883</w:t>
            </w:r>
          </w:p>
        </w:tc>
      </w:tr>
    </w:tbl>
    <w:p>
      <w:pPr>
        <w:spacing w:line="240" w:lineRule="auto"/>
        <w:ind w:firstLine="0" w:firstLineChars="0"/>
        <w:rPr>
          <w:sz w:val="21"/>
          <w:szCs w:val="21"/>
        </w:rPr>
      </w:pPr>
      <w:r>
        <w:rPr>
          <w:rFonts w:hint="eastAsia"/>
          <w:sz w:val="21"/>
          <w:szCs w:val="21"/>
        </w:rPr>
        <w:t>数据来源：玉溪市水资源保护规划。</w:t>
      </w:r>
    </w:p>
    <w:p>
      <w:pPr>
        <w:pStyle w:val="6"/>
      </w:pPr>
      <w:r>
        <w:rPr>
          <w:rFonts w:hint="eastAsia"/>
        </w:rPr>
        <w:t>生态需水保障措施</w:t>
      </w:r>
    </w:p>
    <w:p>
      <w:pPr>
        <w:pStyle w:val="4"/>
      </w:pPr>
      <w:r>
        <w:rPr>
          <w:rFonts w:hint="eastAsia"/>
        </w:rPr>
        <w:t>根据生态需水现状和保障目标，澄江市主要河湖断面生态需水保障程度总体上良好，但存在局部时段生态需水满足度不高的情况。根据主要河湖的具体情况，本次生态需水保障措施详见5.7.2水资源配置中的</w:t>
      </w:r>
      <w:r>
        <w:t>滇中引水二期配套工程澄江干线项目</w:t>
      </w:r>
      <w:r>
        <w:rPr>
          <w:rFonts w:hint="eastAsia"/>
        </w:rPr>
        <w:t>及7.4外流域补水改善抚仙湖水环境关键技术及应用示范研究，通过开展外流域补水改善抚仙湖水环境可行性具有重要作用，特别对保障湖泊枯水期最低水位提供路径支撑。</w:t>
      </w:r>
    </w:p>
    <w:p>
      <w:pPr>
        <w:pStyle w:val="4"/>
      </w:pPr>
      <w:r>
        <w:rPr>
          <w:rFonts w:hint="eastAsia"/>
        </w:rPr>
        <w:t>（</w:t>
      </w:r>
      <w:r>
        <w:t>2</w:t>
      </w:r>
      <w:r>
        <w:rPr>
          <w:rFonts w:hint="eastAsia"/>
        </w:rPr>
        <w:t>）管理措施</w:t>
      </w:r>
    </w:p>
    <w:p>
      <w:pPr>
        <w:pStyle w:val="4"/>
      </w:pPr>
      <w:r>
        <w:rPr>
          <w:rFonts w:hint="eastAsia"/>
        </w:rPr>
        <w:t>1）加强重点控制断面的生态水量监测，结合水文测站、水质监测站等设置水量监测站，实现生态水量的动态监测，及时发现水量不足的问题。</w:t>
      </w:r>
    </w:p>
    <w:p>
      <w:pPr>
        <w:pStyle w:val="4"/>
      </w:pPr>
      <w:r>
        <w:rPr>
          <w:rFonts w:hint="eastAsia"/>
        </w:rPr>
        <w:t>2）严格控制水资源开发程度，严禁过渡挤占生态水量，在进行水资源规划时应充分考虑生态需水，避免过度开发，从源头上保障生态需水。</w:t>
      </w:r>
    </w:p>
    <w:p>
      <w:pPr>
        <w:pStyle w:val="4"/>
      </w:pPr>
      <w:r>
        <w:rPr>
          <w:rFonts w:hint="eastAsia"/>
        </w:rPr>
        <w:t>3）加强新建、改建和扩建水资源开发工程、涉水工程的管理，在工程前期立项阶段严格审批工程的环境影响评价，要求保障生态需水要求。</w:t>
      </w:r>
    </w:p>
    <w:p>
      <w:pPr>
        <w:pStyle w:val="5"/>
      </w:pPr>
      <w:bookmarkStart w:id="55" w:name="_Toc160010033"/>
      <w:bookmarkStart w:id="56" w:name="_Toc184023326"/>
      <w:r>
        <w:rPr>
          <w:rFonts w:hint="eastAsia"/>
        </w:rPr>
        <w:t>水源地保护</w:t>
      </w:r>
      <w:bookmarkEnd w:id="55"/>
      <w:bookmarkEnd w:id="56"/>
    </w:p>
    <w:p>
      <w:pPr>
        <w:pStyle w:val="6"/>
      </w:pPr>
      <w:bookmarkStart w:id="57" w:name="_Hlk160205922"/>
      <w:bookmarkStart w:id="58" w:name="_Hlk160195342"/>
      <w:r>
        <w:rPr>
          <w:rFonts w:hint="eastAsia"/>
        </w:rPr>
        <w:t>县级集中式饮用水源地</w:t>
      </w:r>
    </w:p>
    <w:bookmarkEnd w:id="57"/>
    <w:p>
      <w:pPr>
        <w:pStyle w:val="4"/>
      </w:pPr>
      <w:r>
        <w:rPr>
          <w:rFonts w:hint="eastAsia"/>
        </w:rPr>
        <w:t>饮用水水源地保护对象包括地表水水源地和地下水水源地，本章主要针对地表水水源地，重点保护以饮用水为主的集中式城市供水水源地和调水水源地水质。饮用水水源地保护规划内容应与国务院批复的《全国城市饮用水水源地安全保障规划》以及《云南省城市饮用水水源地安全保障规划》、《云南省“十四五”节水型社会建设规划》相衔接。</w:t>
      </w:r>
    </w:p>
    <w:p>
      <w:pPr>
        <w:pStyle w:val="4"/>
      </w:pPr>
      <w:r>
        <w:rPr>
          <w:rFonts w:hint="eastAsia"/>
        </w:rPr>
        <w:t>饮用水水源地保护目标应遵循《全国重要江河湖泊水功能区划（2011-2030）》、《云南省水功能区划》、《玉溪市水功能区划》等关于水源地水功能区目标的要求；同时，饮用水水源地供水水质应达到或优于《地表水环境质量标准》（GB3838—2002）III类标准。坚持“全面保护、重点突出”和“饮用水水源地安全保障建设和污染综合治理并重”的原则，统筹规划，合理布局。</w:t>
      </w:r>
    </w:p>
    <w:bookmarkEnd w:id="58"/>
    <w:p>
      <w:pPr>
        <w:pStyle w:val="7"/>
      </w:pPr>
      <w:bookmarkStart w:id="59" w:name="_Hlk160195555"/>
      <w:bookmarkStart w:id="60" w:name="_Hlk160195166"/>
      <w:bookmarkStart w:id="61" w:name="_Hlk160195822"/>
      <w:r>
        <w:rPr>
          <w:rFonts w:hint="eastAsia"/>
        </w:rPr>
        <w:t>饮用水水源地保护区的划分</w:t>
      </w:r>
    </w:p>
    <w:bookmarkEnd w:id="59"/>
    <w:p>
      <w:pPr>
        <w:pStyle w:val="4"/>
      </w:pPr>
      <w:r>
        <w:rPr>
          <w:rFonts w:hint="eastAsia"/>
        </w:rPr>
        <w:t>根据《水法》、《水污染防治法》、《饮用水保护区污染防治管理规定》等要求，本规划涉及的所有未划定水源保护区的地表水和地下水饮用水水源均应划分饮用水水源保护区。</w:t>
      </w:r>
    </w:p>
    <w:p>
      <w:pPr>
        <w:pStyle w:val="4"/>
      </w:pPr>
      <w:r>
        <w:rPr>
          <w:rFonts w:hint="eastAsia"/>
        </w:rPr>
        <w:t>结合《全国饮用水水源地安全保障规划》、《云南省城市饮用水水源地安全保障规划》和饮用水水源地水质现状调查评价等成果，全面分析影响饮用水水源水质的各种因素，以水源地所在水功能区为基础划分饮用水水源保护区。</w:t>
      </w:r>
    </w:p>
    <w:p>
      <w:pPr>
        <w:pStyle w:val="4"/>
      </w:pPr>
      <w:r>
        <w:rPr>
          <w:rFonts w:hint="eastAsia"/>
        </w:rPr>
        <w:t>（</w:t>
      </w:r>
      <w:r>
        <w:t>1</w:t>
      </w:r>
      <w:r>
        <w:rPr>
          <w:rFonts w:hint="eastAsia"/>
        </w:rPr>
        <w:t>）饮用水水源保护区划现状</w:t>
      </w:r>
    </w:p>
    <w:p>
      <w:pPr>
        <w:pStyle w:val="4"/>
      </w:pPr>
      <w:r>
        <w:rPr>
          <w:rFonts w:hint="eastAsia"/>
        </w:rPr>
        <w:t>澄江市城市饮用水水源保护区批准时间、保护区位置和范围，水质目标、划分标准和方法、水源地保护管理条例、目前水源保护主要措施等内容及饮用水水源保护区的执行情况等内容详见下表。</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4.4</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1</w:t>
      </w:r>
      <w:r>
        <w:rPr>
          <w:rFonts w:eastAsia="黑体"/>
          <w:spacing w:val="0"/>
        </w:rPr>
        <w:fldChar w:fldCharType="end"/>
      </w:r>
      <w:r>
        <w:rPr>
          <w:rFonts w:eastAsia="黑体"/>
          <w:spacing w:val="0"/>
        </w:rPr>
        <w:t xml:space="preserve">  县级集中式</w:t>
      </w:r>
      <w:r>
        <w:rPr>
          <w:rFonts w:hint="eastAsia" w:eastAsia="黑体"/>
          <w:bCs/>
          <w:spacing w:val="0"/>
        </w:rPr>
        <w:t>饮用水源地保护区划分现状调查表</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114"/>
        <w:gridCol w:w="1112"/>
        <w:gridCol w:w="753"/>
        <w:gridCol w:w="752"/>
        <w:gridCol w:w="877"/>
        <w:gridCol w:w="1127"/>
        <w:gridCol w:w="1252"/>
        <w:gridCol w:w="21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tblHeader/>
        </w:trPr>
        <w:tc>
          <w:tcPr>
            <w:tcW w:w="612" w:type="pct"/>
            <w:vMerge w:val="restar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片区</w:t>
            </w:r>
          </w:p>
        </w:tc>
        <w:tc>
          <w:tcPr>
            <w:tcW w:w="611" w:type="pct"/>
            <w:vMerge w:val="restar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水源地名称</w:t>
            </w:r>
          </w:p>
        </w:tc>
        <w:tc>
          <w:tcPr>
            <w:tcW w:w="414" w:type="pct"/>
            <w:vMerge w:val="restar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县级行政区</w:t>
            </w:r>
          </w:p>
        </w:tc>
        <w:tc>
          <w:tcPr>
            <w:tcW w:w="413" w:type="pct"/>
            <w:vMerge w:val="restar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水源地类型</w:t>
            </w:r>
          </w:p>
        </w:tc>
        <w:tc>
          <w:tcPr>
            <w:tcW w:w="1789" w:type="pct"/>
            <w:gridSpan w:val="3"/>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饮用水水源保护区划分情况</w:t>
            </w:r>
          </w:p>
        </w:tc>
        <w:tc>
          <w:tcPr>
            <w:tcW w:w="1161" w:type="pct"/>
            <w:vMerge w:val="restar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划分标准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5" w:hRule="atLeast"/>
          <w:tblHeader/>
        </w:trPr>
        <w:tc>
          <w:tcPr>
            <w:tcW w:w="612" w:type="pct"/>
            <w:vMerge w:val="continue"/>
            <w:vAlign w:val="center"/>
          </w:tcPr>
          <w:p>
            <w:pPr>
              <w:pStyle w:val="85"/>
              <w:rPr>
                <w:color w:val="000000" w:themeColor="text1"/>
                <w14:textFill>
                  <w14:solidFill>
                    <w14:schemeClr w14:val="tx1"/>
                  </w14:solidFill>
                </w14:textFill>
              </w:rPr>
            </w:pPr>
          </w:p>
        </w:tc>
        <w:tc>
          <w:tcPr>
            <w:tcW w:w="611" w:type="pct"/>
            <w:vMerge w:val="continue"/>
            <w:vAlign w:val="center"/>
          </w:tcPr>
          <w:p>
            <w:pPr>
              <w:pStyle w:val="85"/>
              <w:rPr>
                <w:color w:val="000000" w:themeColor="text1"/>
                <w14:textFill>
                  <w14:solidFill>
                    <w14:schemeClr w14:val="tx1"/>
                  </w14:solidFill>
                </w14:textFill>
              </w:rPr>
            </w:pPr>
          </w:p>
        </w:tc>
        <w:tc>
          <w:tcPr>
            <w:tcW w:w="414" w:type="pct"/>
            <w:vMerge w:val="continue"/>
            <w:vAlign w:val="center"/>
          </w:tcPr>
          <w:p>
            <w:pPr>
              <w:pStyle w:val="85"/>
              <w:rPr>
                <w:color w:val="000000" w:themeColor="text1"/>
                <w14:textFill>
                  <w14:solidFill>
                    <w14:schemeClr w14:val="tx1"/>
                  </w14:solidFill>
                </w14:textFill>
              </w:rPr>
            </w:pPr>
          </w:p>
        </w:tc>
        <w:tc>
          <w:tcPr>
            <w:tcW w:w="413" w:type="pct"/>
            <w:vMerge w:val="continue"/>
            <w:vAlign w:val="center"/>
          </w:tcPr>
          <w:p>
            <w:pPr>
              <w:pStyle w:val="85"/>
              <w:rPr>
                <w:color w:val="000000" w:themeColor="text1"/>
                <w14:textFill>
                  <w14:solidFill>
                    <w14:schemeClr w14:val="tx1"/>
                  </w14:solidFill>
                </w14:textFill>
              </w:rPr>
            </w:pPr>
          </w:p>
        </w:tc>
        <w:tc>
          <w:tcPr>
            <w:tcW w:w="482"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划定时间</w:t>
            </w:r>
          </w:p>
        </w:tc>
        <w:tc>
          <w:tcPr>
            <w:tcW w:w="619"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批准单位</w:t>
            </w:r>
          </w:p>
        </w:tc>
        <w:tc>
          <w:tcPr>
            <w:tcW w:w="688"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面积</w:t>
            </w:r>
            <w:r>
              <w:rPr>
                <w:color w:val="000000" w:themeColor="text1"/>
                <w14:textFill>
                  <w14:solidFill>
                    <w14:schemeClr w14:val="tx1"/>
                  </w14:solidFill>
                </w14:textFill>
              </w:rPr>
              <w:t>（km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tc>
        <w:tc>
          <w:tcPr>
            <w:tcW w:w="1161" w:type="pct"/>
            <w:vMerge w:val="continue"/>
            <w:shd w:val="clear" w:color="auto" w:fill="FFFFFF"/>
            <w:vAlign w:val="center"/>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trPr>
        <w:tc>
          <w:tcPr>
            <w:tcW w:w="612"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611"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西龙潭</w:t>
            </w:r>
          </w:p>
        </w:tc>
        <w:tc>
          <w:tcPr>
            <w:tcW w:w="414"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w:t>
            </w:r>
          </w:p>
        </w:tc>
        <w:tc>
          <w:tcPr>
            <w:tcW w:w="413"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482"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p>
        </w:tc>
        <w:tc>
          <w:tcPr>
            <w:tcW w:w="619"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玉溪市人民政府</w:t>
            </w:r>
          </w:p>
        </w:tc>
        <w:tc>
          <w:tcPr>
            <w:tcW w:w="688"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77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338</w:t>
            </w:r>
          </w:p>
        </w:tc>
        <w:tc>
          <w:tcPr>
            <w:tcW w:w="1161"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《饮用水水源保护区划分技术规范（HJ/T338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2007）》、《城市饮用水水源保护区划分技术细则》</w:t>
            </w:r>
          </w:p>
        </w:tc>
      </w:tr>
    </w:tbl>
    <w:p>
      <w:pPr>
        <w:pStyle w:val="4"/>
      </w:pPr>
      <w:r>
        <w:rPr>
          <w:rFonts w:hint="eastAsia"/>
        </w:rPr>
        <w:t>从</w:t>
      </w:r>
      <w:r>
        <w:t>2009</w:t>
      </w:r>
      <w:r>
        <w:rPr>
          <w:rFonts w:hint="eastAsia"/>
        </w:rPr>
        <w:t>年开始，澄江市在用饮用水源地已相继由玉溪市人民政府批准划定了饮用水水源保护区。澄江市已划定的西龙潭水源保护区总面积为</w:t>
      </w:r>
      <w:r>
        <w:t>77.338km</w:t>
      </w:r>
      <w:r>
        <w:rPr>
          <w:vertAlign w:val="superscript"/>
        </w:rPr>
        <w:t>2</w:t>
      </w:r>
      <w:r>
        <w:rPr>
          <w:rFonts w:hint="eastAsia"/>
        </w:rPr>
        <w:t>，水源保护区划分现状见下表所示。</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4.4</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2</w:t>
      </w:r>
      <w:r>
        <w:rPr>
          <w:rFonts w:eastAsia="黑体"/>
          <w:spacing w:val="0"/>
        </w:rPr>
        <w:fldChar w:fldCharType="end"/>
      </w:r>
      <w:r>
        <w:rPr>
          <w:rFonts w:eastAsia="黑体"/>
          <w:spacing w:val="0"/>
        </w:rPr>
        <w:t xml:space="preserve">  </w:t>
      </w:r>
      <w:r>
        <w:rPr>
          <w:rFonts w:hint="eastAsia" w:eastAsia="黑体"/>
          <w:bCs/>
          <w:spacing w:val="0"/>
        </w:rPr>
        <w:t>澄江市</w:t>
      </w:r>
      <w:r>
        <w:rPr>
          <w:rFonts w:eastAsia="黑体"/>
          <w:bCs/>
          <w:spacing w:val="0"/>
        </w:rPr>
        <w:t>县级集中式</w:t>
      </w:r>
      <w:r>
        <w:rPr>
          <w:rFonts w:hint="eastAsia" w:eastAsia="黑体"/>
          <w:bCs/>
          <w:spacing w:val="0"/>
        </w:rPr>
        <w:t>饮用水源地保护区划分现状表</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21"/>
        <w:gridCol w:w="1221"/>
        <w:gridCol w:w="867"/>
        <w:gridCol w:w="988"/>
        <w:gridCol w:w="865"/>
        <w:gridCol w:w="1227"/>
        <w:gridCol w:w="903"/>
        <w:gridCol w:w="1081"/>
        <w:gridCol w:w="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tblHeader/>
        </w:trPr>
        <w:tc>
          <w:tcPr>
            <w:tcW w:w="671" w:type="pct"/>
            <w:vMerge w:val="restar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片区</w:t>
            </w:r>
          </w:p>
        </w:tc>
        <w:tc>
          <w:tcPr>
            <w:tcW w:w="671" w:type="pct"/>
            <w:vMerge w:val="restar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水源地名称</w:t>
            </w:r>
          </w:p>
        </w:tc>
        <w:tc>
          <w:tcPr>
            <w:tcW w:w="476" w:type="pct"/>
            <w:vMerge w:val="restar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县级行政区</w:t>
            </w:r>
          </w:p>
        </w:tc>
        <w:tc>
          <w:tcPr>
            <w:tcW w:w="543" w:type="pct"/>
            <w:vMerge w:val="restar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水源地类型</w:t>
            </w:r>
          </w:p>
        </w:tc>
        <w:tc>
          <w:tcPr>
            <w:tcW w:w="475" w:type="pct"/>
            <w:vMerge w:val="restar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划定时间</w:t>
            </w:r>
          </w:p>
        </w:tc>
        <w:tc>
          <w:tcPr>
            <w:tcW w:w="1764" w:type="pct"/>
            <w:gridSpan w:val="3"/>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饮用水保护区划分面积（km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399" w:type="pct"/>
            <w:vMerge w:val="restar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tblHeader/>
        </w:trPr>
        <w:tc>
          <w:tcPr>
            <w:tcW w:w="671" w:type="pct"/>
            <w:vMerge w:val="continue"/>
            <w:vAlign w:val="center"/>
          </w:tcPr>
          <w:p>
            <w:pPr>
              <w:pStyle w:val="85"/>
              <w:rPr>
                <w:color w:val="000000" w:themeColor="text1"/>
                <w14:textFill>
                  <w14:solidFill>
                    <w14:schemeClr w14:val="tx1"/>
                  </w14:solidFill>
                </w14:textFill>
              </w:rPr>
            </w:pPr>
          </w:p>
        </w:tc>
        <w:tc>
          <w:tcPr>
            <w:tcW w:w="671" w:type="pct"/>
            <w:vMerge w:val="continue"/>
            <w:vAlign w:val="center"/>
          </w:tcPr>
          <w:p>
            <w:pPr>
              <w:pStyle w:val="85"/>
              <w:rPr>
                <w:color w:val="000000" w:themeColor="text1"/>
                <w14:textFill>
                  <w14:solidFill>
                    <w14:schemeClr w14:val="tx1"/>
                  </w14:solidFill>
                </w14:textFill>
              </w:rPr>
            </w:pPr>
          </w:p>
        </w:tc>
        <w:tc>
          <w:tcPr>
            <w:tcW w:w="476" w:type="pct"/>
            <w:vMerge w:val="continue"/>
            <w:vAlign w:val="center"/>
          </w:tcPr>
          <w:p>
            <w:pPr>
              <w:pStyle w:val="85"/>
              <w:rPr>
                <w:color w:val="000000" w:themeColor="text1"/>
                <w14:textFill>
                  <w14:solidFill>
                    <w14:schemeClr w14:val="tx1"/>
                  </w14:solidFill>
                </w14:textFill>
              </w:rPr>
            </w:pPr>
          </w:p>
        </w:tc>
        <w:tc>
          <w:tcPr>
            <w:tcW w:w="543" w:type="pct"/>
            <w:vMerge w:val="continue"/>
            <w:vAlign w:val="center"/>
          </w:tcPr>
          <w:p>
            <w:pPr>
              <w:pStyle w:val="85"/>
              <w:rPr>
                <w:color w:val="000000" w:themeColor="text1"/>
                <w14:textFill>
                  <w14:solidFill>
                    <w14:schemeClr w14:val="tx1"/>
                  </w14:solidFill>
                </w14:textFill>
              </w:rPr>
            </w:pPr>
          </w:p>
        </w:tc>
        <w:tc>
          <w:tcPr>
            <w:tcW w:w="475" w:type="pct"/>
            <w:vMerge w:val="continue"/>
            <w:vAlign w:val="center"/>
          </w:tcPr>
          <w:p>
            <w:pPr>
              <w:pStyle w:val="85"/>
              <w:rPr>
                <w:color w:val="000000" w:themeColor="text1"/>
                <w14:textFill>
                  <w14:solidFill>
                    <w14:schemeClr w14:val="tx1"/>
                  </w14:solidFill>
                </w14:textFill>
              </w:rPr>
            </w:pPr>
          </w:p>
        </w:tc>
        <w:tc>
          <w:tcPr>
            <w:tcW w:w="674"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p>
        </w:tc>
        <w:tc>
          <w:tcPr>
            <w:tcW w:w="496"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594"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准保护区</w:t>
            </w:r>
          </w:p>
        </w:tc>
        <w:tc>
          <w:tcPr>
            <w:tcW w:w="399" w:type="pct"/>
            <w:vMerge w:val="continue"/>
            <w:vAlign w:val="center"/>
          </w:tcPr>
          <w:p>
            <w:pPr>
              <w:pStyle w:val="85"/>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2" w:hRule="atLeast"/>
        </w:trPr>
        <w:tc>
          <w:tcPr>
            <w:tcW w:w="671"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抚仙湖片区</w:t>
            </w:r>
          </w:p>
        </w:tc>
        <w:tc>
          <w:tcPr>
            <w:tcW w:w="671"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西龙潭</w:t>
            </w:r>
          </w:p>
        </w:tc>
        <w:tc>
          <w:tcPr>
            <w:tcW w:w="476"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w:t>
            </w:r>
          </w:p>
        </w:tc>
        <w:tc>
          <w:tcPr>
            <w:tcW w:w="543"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p>
        </w:tc>
        <w:tc>
          <w:tcPr>
            <w:tcW w:w="475"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p>
        </w:tc>
        <w:tc>
          <w:tcPr>
            <w:tcW w:w="674"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388</w:t>
            </w:r>
          </w:p>
        </w:tc>
        <w:tc>
          <w:tcPr>
            <w:tcW w:w="496" w:type="pct"/>
            <w:vAlign w:val="center"/>
          </w:tcPr>
          <w:p>
            <w:pPr>
              <w:pStyle w:val="85"/>
              <w:rPr>
                <w:color w:val="000000" w:themeColor="text1"/>
                <w14:textFill>
                  <w14:solidFill>
                    <w14:schemeClr w14:val="tx1"/>
                  </w14:solidFill>
                </w14:textFill>
              </w:rPr>
            </w:pPr>
          </w:p>
        </w:tc>
        <w:tc>
          <w:tcPr>
            <w:tcW w:w="594"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67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95</w:t>
            </w:r>
          </w:p>
        </w:tc>
        <w:tc>
          <w:tcPr>
            <w:tcW w:w="399"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77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338</w:t>
            </w:r>
          </w:p>
        </w:tc>
      </w:tr>
    </w:tbl>
    <w:p>
      <w:pPr>
        <w:pStyle w:val="4"/>
      </w:pPr>
      <w:r>
        <w:rPr>
          <w:rFonts w:hint="eastAsia"/>
        </w:rPr>
        <w:t>（</w:t>
      </w:r>
      <w:r>
        <w:t>2</w:t>
      </w:r>
      <w:r>
        <w:rPr>
          <w:rFonts w:hint="eastAsia"/>
        </w:rPr>
        <w:t>）饮用水源保护区划方案</w:t>
      </w:r>
    </w:p>
    <w:p>
      <w:pPr>
        <w:pStyle w:val="4"/>
      </w:pPr>
      <w:r>
        <w:t>1</w:t>
      </w:r>
      <w:r>
        <w:rPr>
          <w:rFonts w:hint="eastAsia"/>
        </w:rPr>
        <w:t>）区划原则</w:t>
      </w:r>
    </w:p>
    <w:p>
      <w:pPr>
        <w:pStyle w:val="4"/>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与水功能区相结合。饮用水水源保护区的划分应与饮用水水源地所在水功能区的水域相结合，即与水功能一级区中的饮用水水源保护区和二级水功能区中的饮用水水源区的水域相结合并延伸一定的陆域范围，以保证取水达到水质目标为基本要求。水源保护区水质目标应不低于相应水功能区的水质目标。</w:t>
      </w:r>
    </w:p>
    <w:p>
      <w:pPr>
        <w:pStyle w:val="4"/>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水量、水质保护并重。饮用水水源保护区的划分要做到水量、水质保护并重，各地可根据水源地状况有所侧重。在取水量有保证的地区，饮用水水源保护区划分应以保护水源水质为重点。</w:t>
      </w:r>
    </w:p>
    <w:p>
      <w:pPr>
        <w:pStyle w:val="4"/>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符合水源地特点。水源保护区划分的标准和方法应针对河道型、湖库型、地下水等不同类型饮用水水源地保护的特点。</w:t>
      </w:r>
    </w:p>
    <w:p>
      <w:pPr>
        <w:pStyle w:val="4"/>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现实性和前瞻性相结合。饮用水水源保护区划分不仅要考虑现状水源水质水量的各种影响因素，同时还应与流域水资源保护规划、区域的城市发展规划及经济社会发展需要相结合，保护区的划分不仅要满足现状需求，还要考虑未来发展。</w:t>
      </w:r>
    </w:p>
    <w:p>
      <w:pPr>
        <w:pStyle w:val="4"/>
        <w:ind w:firstLine="48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因地制宜、便于监管。饮用水水源保护区的划分应结合各地实际情况，根据水源地水质现状、排污状况、水源周边情况、管理实际及经济社会发展等各种因素，划定适合本地的饮用水水源保护区。力求明确简单，既要便于主管部门管理，也要便于公众参与饮用水水源保护区的监督。</w:t>
      </w:r>
    </w:p>
    <w:p>
      <w:pPr>
        <w:pStyle w:val="4"/>
      </w:pPr>
      <w:r>
        <w:rPr>
          <w:rFonts w:hint="eastAsia"/>
        </w:rPr>
        <w:t>2）区划方法</w:t>
      </w:r>
    </w:p>
    <w:p>
      <w:pPr>
        <w:pStyle w:val="4"/>
      </w:pPr>
      <w:r>
        <w:rPr>
          <w:rFonts w:hint="eastAsia"/>
        </w:rPr>
        <w:t>结合区域水源地实际，按照《饮用水水源保护区划分技术规范（</w:t>
      </w:r>
      <w:r>
        <w:t>HJ/T338-20</w:t>
      </w:r>
      <w:r>
        <w:rPr>
          <w:rFonts w:hint="eastAsia"/>
        </w:rPr>
        <w:t>18）》和《城市饮用水水源保护区划分技术细则》，进行保护区划分。</w:t>
      </w:r>
    </w:p>
    <w:bookmarkEnd w:id="60"/>
    <w:p>
      <w:pPr>
        <w:pStyle w:val="7"/>
      </w:pPr>
      <w:r>
        <w:rPr>
          <w:rFonts w:hint="eastAsia"/>
        </w:rPr>
        <w:t>饮用水水源地保护区的复核</w:t>
      </w:r>
    </w:p>
    <w:p>
      <w:pPr>
        <w:pStyle w:val="4"/>
      </w:pPr>
      <w:r>
        <w:rPr>
          <w:rFonts w:hint="eastAsia"/>
        </w:rPr>
        <w:t>搜集和整理澄江市已划定的饮用水水源保护区基本情况，主要包括城市饮用水水源保护区批准时间、保护区位置和范围，水质目标、划分标准和方法、水源地保护管理条例、水源保护主要措施等内容。</w:t>
      </w:r>
    </w:p>
    <w:p>
      <w:pPr>
        <w:pStyle w:val="4"/>
      </w:pPr>
      <w:r>
        <w:rPr>
          <w:rFonts w:hint="eastAsia"/>
        </w:rPr>
        <w:t>在现状调查的基础上，根据水质评价、污染调查、饮用水水源地周边卫生状况等，复核饮用水水源保护区划分的合理性，分析水源保护区的划分能否满足饮用水水源保护的要求。分析已划定的饮用水水源保护区与《技术细则》划分的保护区范围的差别，并提出调整建议。西龙潭饮用水源保护区划分合理，能满足饮用水水源保护的要求。</w:t>
      </w:r>
    </w:p>
    <w:p>
      <w:pPr>
        <w:pStyle w:val="7"/>
      </w:pPr>
      <w:r>
        <w:rPr>
          <w:rFonts w:hint="eastAsia"/>
        </w:rPr>
        <w:t>替代及应急备用水源地方案</w:t>
      </w:r>
    </w:p>
    <w:p>
      <w:pPr>
        <w:pStyle w:val="4"/>
      </w:pPr>
      <w:r>
        <w:rPr>
          <w:rFonts w:hint="eastAsia"/>
        </w:rPr>
        <w:t>根据城市饮用水水源地安全状况调查评价成果，对由于水质恶化、污染严重或者水源枯竭而基本丧失饮用水水源地功能以及存在重大水质安全隐患且目前暂无可行的处理措施和解决方案的现有水源地，应提出替代水源地方案。目前澄江市城市饮用水水源较为单一，针对在连续干旱年、特殊干旱年及突发污染事故情况下风险程度较高，为有效应对突发性水污染事件，结合云南省水利厅发布的《突发性水污染事件应急预案》，澄江市制定出城市应急备用水源地方案，详见下表。</w:t>
      </w:r>
    </w:p>
    <w:p>
      <w:pPr>
        <w:keepNext/>
        <w:widowControl/>
        <w:spacing w:before="120" w:after="60" w:line="240" w:lineRule="auto"/>
        <w:ind w:firstLine="0" w:firstLineChars="0"/>
        <w:jc w:val="center"/>
        <w:rPr>
          <w:rFonts w:eastAsia="黑体"/>
          <w:spacing w:val="0"/>
        </w:rPr>
      </w:pPr>
      <w:r>
        <w:rPr>
          <w:rFonts w:eastAsia="黑体"/>
          <w:spacing w:val="0"/>
        </w:rPr>
        <w:t xml:space="preserve">表 </w:t>
      </w:r>
      <w:r>
        <w:rPr>
          <w:rFonts w:eastAsia="黑体"/>
          <w:spacing w:val="0"/>
        </w:rPr>
        <w:fldChar w:fldCharType="begin"/>
      </w:r>
      <w:r>
        <w:rPr>
          <w:rFonts w:eastAsia="黑体"/>
          <w:spacing w:val="0"/>
        </w:rPr>
        <w:instrText xml:space="preserve"> STYLEREF 2 \s </w:instrText>
      </w:r>
      <w:r>
        <w:rPr>
          <w:rFonts w:eastAsia="黑体"/>
          <w:spacing w:val="0"/>
        </w:rPr>
        <w:fldChar w:fldCharType="separate"/>
      </w:r>
      <w:r>
        <w:rPr>
          <w:rFonts w:eastAsia="黑体"/>
          <w:spacing w:val="0"/>
        </w:rPr>
        <w:t>4.4</w:t>
      </w:r>
      <w:r>
        <w:rPr>
          <w:rFonts w:eastAsia="黑体"/>
          <w:spacing w:val="0"/>
        </w:rPr>
        <w:fldChar w:fldCharType="end"/>
      </w:r>
      <w:r>
        <w:rPr>
          <w:rFonts w:eastAsia="黑体"/>
          <w:spacing w:val="0"/>
        </w:rPr>
        <w:t>–</w:t>
      </w:r>
      <w:r>
        <w:rPr>
          <w:rFonts w:eastAsia="黑体"/>
          <w:spacing w:val="0"/>
        </w:rPr>
        <w:fldChar w:fldCharType="begin"/>
      </w:r>
      <w:r>
        <w:rPr>
          <w:rFonts w:eastAsia="黑体"/>
          <w:spacing w:val="0"/>
        </w:rPr>
        <w:instrText xml:space="preserve"> SEQ 表 \* ARABIC \s 2 </w:instrText>
      </w:r>
      <w:r>
        <w:rPr>
          <w:rFonts w:eastAsia="黑体"/>
          <w:spacing w:val="0"/>
        </w:rPr>
        <w:fldChar w:fldCharType="separate"/>
      </w:r>
      <w:r>
        <w:rPr>
          <w:rFonts w:eastAsia="黑体"/>
          <w:spacing w:val="0"/>
        </w:rPr>
        <w:t>3</w:t>
      </w:r>
      <w:r>
        <w:rPr>
          <w:rFonts w:eastAsia="黑体"/>
          <w:spacing w:val="0"/>
        </w:rPr>
        <w:fldChar w:fldCharType="end"/>
      </w:r>
      <w:r>
        <w:rPr>
          <w:rFonts w:eastAsia="黑体"/>
          <w:spacing w:val="0"/>
        </w:rPr>
        <w:t xml:space="preserve">  </w:t>
      </w:r>
      <w:r>
        <w:rPr>
          <w:rFonts w:hint="eastAsia" w:eastAsia="黑体"/>
          <w:bCs/>
          <w:spacing w:val="0"/>
        </w:rPr>
        <w:t>澄江市城市替代水源地及应急备用水源地方案成果表</w:t>
      </w:r>
    </w:p>
    <w:tbl>
      <w:tblPr>
        <w:tblStyle w:val="5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97"/>
        <w:gridCol w:w="981"/>
        <w:gridCol w:w="1456"/>
        <w:gridCol w:w="1298"/>
        <w:gridCol w:w="917"/>
        <w:gridCol w:w="1363"/>
        <w:gridCol w:w="708"/>
        <w:gridCol w:w="940"/>
        <w:gridCol w:w="7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tblHeader/>
        </w:trPr>
        <w:tc>
          <w:tcPr>
            <w:tcW w:w="483"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水资源四级区</w:t>
            </w:r>
          </w:p>
        </w:tc>
        <w:tc>
          <w:tcPr>
            <w:tcW w:w="528"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县级行政区</w:t>
            </w:r>
          </w:p>
        </w:tc>
        <w:tc>
          <w:tcPr>
            <w:tcW w:w="784"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工程名称</w:t>
            </w:r>
          </w:p>
        </w:tc>
        <w:tc>
          <w:tcPr>
            <w:tcW w:w="699"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项目分类</w:t>
            </w:r>
          </w:p>
        </w:tc>
        <w:tc>
          <w:tcPr>
            <w:tcW w:w="494"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工程类型</w:t>
            </w:r>
          </w:p>
        </w:tc>
        <w:tc>
          <w:tcPr>
            <w:tcW w:w="734"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供水城市</w:t>
            </w:r>
          </w:p>
        </w:tc>
        <w:tc>
          <w:tcPr>
            <w:tcW w:w="381"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工程规模</w:t>
            </w:r>
          </w:p>
        </w:tc>
        <w:tc>
          <w:tcPr>
            <w:tcW w:w="506"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供水量（万</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391"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供水水质类别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3"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曲江</w:t>
            </w:r>
          </w:p>
        </w:tc>
        <w:tc>
          <w:tcPr>
            <w:tcW w:w="528"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w:t>
            </w:r>
          </w:p>
        </w:tc>
        <w:tc>
          <w:tcPr>
            <w:tcW w:w="784"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甸垛龙潭</w:t>
            </w:r>
          </w:p>
        </w:tc>
        <w:tc>
          <w:tcPr>
            <w:tcW w:w="699"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应急备用水源地</w:t>
            </w:r>
          </w:p>
        </w:tc>
        <w:tc>
          <w:tcPr>
            <w:tcW w:w="494"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提水</w:t>
            </w:r>
          </w:p>
        </w:tc>
        <w:tc>
          <w:tcPr>
            <w:tcW w:w="734"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澄江市城</w:t>
            </w:r>
          </w:p>
        </w:tc>
        <w:tc>
          <w:tcPr>
            <w:tcW w:w="381" w:type="pc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506" w:type="pc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1095</w:t>
            </w:r>
            <w:r>
              <w:rPr>
                <w:rFonts w:hint="eastAsia"/>
                <w:color w:val="000000" w:themeColor="text1"/>
                <w14:textFill>
                  <w14:solidFill>
                    <w14:schemeClr w14:val="tx1"/>
                  </w14:solidFill>
                </w14:textFill>
              </w:rPr>
              <w:t xml:space="preserve"> </w:t>
            </w:r>
          </w:p>
        </w:tc>
        <w:tc>
          <w:tcPr>
            <w:tcW w:w="391" w:type="pct"/>
            <w:shd w:val="clear" w:color="auto" w:fill="FFFFFF"/>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83"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曲江</w:t>
            </w:r>
          </w:p>
        </w:tc>
        <w:tc>
          <w:tcPr>
            <w:tcW w:w="528"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w:t>
            </w:r>
          </w:p>
        </w:tc>
        <w:tc>
          <w:tcPr>
            <w:tcW w:w="784"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w:t>
            </w:r>
          </w:p>
        </w:tc>
        <w:tc>
          <w:tcPr>
            <w:tcW w:w="699"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应急备用水源地</w:t>
            </w:r>
          </w:p>
        </w:tc>
        <w:tc>
          <w:tcPr>
            <w:tcW w:w="494"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蓄水</w:t>
            </w:r>
          </w:p>
        </w:tc>
        <w:tc>
          <w:tcPr>
            <w:tcW w:w="734"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w:t>
            </w:r>
          </w:p>
        </w:tc>
        <w:tc>
          <w:tcPr>
            <w:tcW w:w="381" w:type="pct"/>
            <w:shd w:val="clear" w:color="auto" w:fill="FFFFFF"/>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小</w:t>
            </w:r>
          </w:p>
        </w:tc>
        <w:tc>
          <w:tcPr>
            <w:tcW w:w="506" w:type="pct"/>
            <w:shd w:val="clear" w:color="auto" w:fill="FFFFFF"/>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500</w:t>
            </w:r>
            <w:r>
              <w:rPr>
                <w:rFonts w:hint="eastAsia"/>
                <w:color w:val="000000" w:themeColor="text1"/>
                <w14:textFill>
                  <w14:solidFill>
                    <w14:schemeClr w14:val="tx1"/>
                  </w14:solidFill>
                </w14:textFill>
              </w:rPr>
              <w:t xml:space="preserve"> </w:t>
            </w:r>
          </w:p>
        </w:tc>
        <w:tc>
          <w:tcPr>
            <w:tcW w:w="391" w:type="pct"/>
            <w:shd w:val="clear" w:color="auto" w:fill="FFFFFF"/>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Ⅱ</w:t>
            </w:r>
          </w:p>
        </w:tc>
      </w:tr>
    </w:tbl>
    <w:p>
      <w:pPr>
        <w:pStyle w:val="4"/>
      </w:pPr>
      <w:r>
        <w:rPr>
          <w:rFonts w:hint="eastAsia"/>
        </w:rPr>
        <w:t>为充分利用好盘溪大龙潭年均1.6亿m</w:t>
      </w:r>
      <w:r>
        <w:rPr>
          <w:rFonts w:hint="eastAsia"/>
          <w:vertAlign w:val="superscript"/>
        </w:rPr>
        <w:t>3</w:t>
      </w:r>
      <w:r>
        <w:rPr>
          <w:rFonts w:hint="eastAsia"/>
        </w:rPr>
        <w:t>的优质水，有效化解因干旱引发的各类矛盾，玉溪市委市政府决定实施玉溪市东片区及中心城区抗旱应急暨三湖生态保护引水工程。应急供水区：华宁县城、江川县城、通海县城、澄江市城、玉溪市中心城区（红塔区）。所以本次水资源保护规划把盘溪大龙潭纳入应急备用水源地。</w:t>
      </w:r>
    </w:p>
    <w:p>
      <w:pPr>
        <w:pStyle w:val="7"/>
      </w:pPr>
      <w:r>
        <w:rPr>
          <w:rFonts w:hint="eastAsia"/>
        </w:rPr>
        <w:t>重要饮用水水源地保护措施</w:t>
      </w:r>
    </w:p>
    <w:p>
      <w:pPr>
        <w:pStyle w:val="4"/>
      </w:pPr>
      <w:r>
        <w:rPr>
          <w:rFonts w:hint="eastAsia"/>
        </w:rPr>
        <w:t>澄江市饮用水水源地保护措施主要包括在饮用水水源保护区采取物理隔离防护与宣传警示工程、污染综合治理、生态保护与修复等基本的保护工程措施。</w:t>
      </w:r>
    </w:p>
    <w:p>
      <w:pPr>
        <w:pStyle w:val="4"/>
      </w:pPr>
      <w:r>
        <w:rPr>
          <w:rFonts w:hint="eastAsia"/>
        </w:rPr>
        <w:t>（1）隔离防护与宣传警示工程</w:t>
      </w:r>
    </w:p>
    <w:p>
      <w:pPr>
        <w:pStyle w:val="4"/>
      </w:pPr>
      <w:r>
        <w:rPr>
          <w:rFonts w:hint="eastAsia"/>
        </w:rPr>
        <w:t>为防止人类活动对水源保护区水量、水质造成影响，主要饮用水水源保护区应设置隔离防护设施，包括物理隔离工程（护栏、围网等）和生物隔离工程（如防护林）。其中，水源地一级保护区内有条件的应实行封闭管理，保护区边界设立明确的地理界标和明显的警示标志；取水口和取水设施周边设有明显的具有保护性功能的隔离防护设施。</w:t>
      </w:r>
    </w:p>
    <w:p>
      <w:pPr>
        <w:pStyle w:val="4"/>
      </w:pPr>
      <w:r>
        <w:rPr>
          <w:rFonts w:hint="eastAsia"/>
        </w:rPr>
        <w:t>隔离工程原则上应沿着水源保护区的边界建设，各地可根据保护区的大小、周边具体情况等因素，合理确定隔离工程的范围和工程类型。</w:t>
      </w:r>
    </w:p>
    <w:p>
      <w:pPr>
        <w:pStyle w:val="4"/>
      </w:pPr>
      <w:r>
        <w:rPr>
          <w:rFonts w:hint="eastAsia"/>
        </w:rPr>
        <w:t>（2）污染源综合整治</w:t>
      </w:r>
    </w:p>
    <w:p>
      <w:pPr>
        <w:pStyle w:val="4"/>
      </w:pPr>
      <w:r>
        <w:rPr>
          <w:rFonts w:hint="eastAsia"/>
        </w:rPr>
        <w:t>污染源综合整治是指对保护区内现有点源、面源、内源、线源等各类污染源采取综合治理措施，包括对直接进入保护区的污染源采取分流、截污等工程措施，防止污染物直接进入水源地水体。</w:t>
      </w:r>
    </w:p>
    <w:p>
      <w:pPr>
        <w:pStyle w:val="4"/>
      </w:pPr>
      <w:r>
        <w:rPr>
          <w:rFonts w:hint="eastAsia"/>
        </w:rPr>
        <w:t>1）点源污染综合整治工程</w:t>
      </w:r>
    </w:p>
    <w:p>
      <w:pPr>
        <w:pStyle w:val="4"/>
      </w:pPr>
      <w:r>
        <w:rPr>
          <w:rFonts w:hint="eastAsia"/>
        </w:rPr>
        <w:t>饮用水水源保护区点污染源治理包括工业和生活污染点源治理、保护区内人口搬迁，集中式禽畜养殖控制等治理工程。</w:t>
      </w:r>
    </w:p>
    <w:p>
      <w:pPr>
        <w:pStyle w:val="4"/>
      </w:pPr>
      <w:r>
        <w:rPr>
          <w:rFonts w:hint="eastAsia"/>
        </w:rPr>
        <w:t xml:space="preserve">工业、生活污染点源治理：按照有关法律规定，对饮用水水源保护区内污染点源以及入河排污口提出关停要求，澄江市饮用水水源地保护区无入河排污口。 </w:t>
      </w:r>
    </w:p>
    <w:p>
      <w:pPr>
        <w:pStyle w:val="4"/>
      </w:pPr>
      <w:r>
        <w:rPr>
          <w:rFonts w:hint="eastAsia"/>
        </w:rPr>
        <w:t>人口搬迁：为保护饮用水水源保护区水质，应对位于保护区内的人口进行搬迁。</w:t>
      </w:r>
    </w:p>
    <w:p>
      <w:pPr>
        <w:pStyle w:val="4"/>
      </w:pPr>
      <w:r>
        <w:rPr>
          <w:rFonts w:hint="eastAsia"/>
        </w:rPr>
        <w:t>集中式禽畜养殖污染控制：根据国家环境保护总局第九号令《畜禽养殖污染防治管理办法》（2001年）中禁止在饮用水水源保护区内新建畜禽养殖场、对原有养殖业限期搬迁或关闭等有关规定，提出规划水平年的饮用水水源保护区内养殖厂搬迁或关闭计划。</w:t>
      </w:r>
    </w:p>
    <w:p>
      <w:pPr>
        <w:pStyle w:val="4"/>
      </w:pPr>
      <w:r>
        <w:rPr>
          <w:rFonts w:hint="eastAsia"/>
        </w:rPr>
        <w:t>2）面源污染控制工程</w:t>
      </w:r>
    </w:p>
    <w:p>
      <w:pPr>
        <w:pStyle w:val="4"/>
      </w:pPr>
      <w:r>
        <w:rPr>
          <w:rFonts w:hint="eastAsia"/>
        </w:rPr>
        <w:t>对于饮用水水源保护区陆域范围内主要为农业利用类型区域，应采取农田氮磷流失生态拦截工程；对于与饮用水水源地相连通的农村河道，应采取农村河道综合治理工程。</w:t>
      </w:r>
    </w:p>
    <w:p>
      <w:pPr>
        <w:pStyle w:val="4"/>
      </w:pPr>
      <w:r>
        <w:rPr>
          <w:rFonts w:hint="eastAsia"/>
        </w:rPr>
        <w:t>3）内源污染控制工程</w:t>
      </w:r>
    </w:p>
    <w:p>
      <w:pPr>
        <w:pStyle w:val="4"/>
      </w:pPr>
      <w:r>
        <w:rPr>
          <w:rFonts w:hint="eastAsia"/>
        </w:rPr>
        <w:t>内源污染主要是指水下沉积物的污染释放、水产养殖、流动污染线源等三部分。</w:t>
      </w:r>
    </w:p>
    <w:p>
      <w:pPr>
        <w:pStyle w:val="4"/>
      </w:pPr>
      <w:r>
        <w:rPr>
          <w:rFonts w:hint="eastAsia"/>
        </w:rPr>
        <w:t>底泥治理工程：对底泥污染严重并对水质造成不利影响的饮用水水源保护区，应根据底泥污染和影响水质的程度拟定底泥清淤方案。</w:t>
      </w:r>
    </w:p>
    <w:p>
      <w:pPr>
        <w:pStyle w:val="4"/>
      </w:pPr>
      <w:r>
        <w:rPr>
          <w:rFonts w:hint="eastAsia"/>
        </w:rPr>
        <w:t>水产养殖治理工程：针对水产养殖存在的生态环境问题，提出现状水源保护区内水产养殖的类型、数量、养殖品种、单位面积产量，并估算禁止水产养殖后相应的总磷、总氮污染物的削减量。澄江市饮用水源地无水产养殖。</w:t>
      </w:r>
    </w:p>
    <w:p>
      <w:pPr>
        <w:pStyle w:val="4"/>
      </w:pPr>
      <w:r>
        <w:rPr>
          <w:rFonts w:hint="eastAsia"/>
        </w:rPr>
        <w:t>流动污染线源治理：在饮用水水源保护区内对包括航运、水上娱乐等流动污染线源，提出禁止、限制、设备改造等治理措施。</w:t>
      </w:r>
    </w:p>
    <w:p>
      <w:pPr>
        <w:pStyle w:val="4"/>
      </w:pPr>
      <w:r>
        <w:rPr>
          <w:rFonts w:hint="eastAsia"/>
        </w:rPr>
        <w:t>（3）生态保护与修复工程</w:t>
      </w:r>
    </w:p>
    <w:p>
      <w:pPr>
        <w:pStyle w:val="4"/>
      </w:pPr>
      <w:r>
        <w:rPr>
          <w:rFonts w:hint="eastAsia"/>
        </w:rPr>
        <w:t>生态修复保护是指通过采取生物和生态工程技术，对湖库型饮用水水源保护区的湖库周边湿地、环库岸生态和植被进行修复和保护，营造水源地良性生态系统。对于重要的湖库型饮用水水源保护区，在采取隔离防护及综合整治工程方案的基础上，有针对性地在主要入湖库支流、湖库周边及湖库内建设生态保护与修复工程，通过生物净化作用改善入湖库支流水质和湖库水质。</w:t>
      </w:r>
      <w:bookmarkEnd w:id="61"/>
    </w:p>
    <w:p>
      <w:pPr>
        <w:pStyle w:val="4"/>
        <w:rPr>
          <w:bCs/>
        </w:rPr>
      </w:pPr>
      <w:r>
        <w:rPr>
          <w:rFonts w:hint="eastAsia"/>
        </w:rPr>
        <w:t>规划水源地保护工程2项，分别为东大河水库水源涵养工程、梁王河水源涵养工程，总投资5451万元。</w:t>
      </w:r>
      <w:r>
        <w:rPr>
          <w:rFonts w:hint="eastAsia"/>
          <w:bCs/>
        </w:rPr>
        <w:t>主要实施内容为分别在东大河水库、梁王河水库实施水源涵养林13274亩和20793亩。</w:t>
      </w:r>
    </w:p>
    <w:p>
      <w:pPr>
        <w:pStyle w:val="6"/>
      </w:pPr>
      <w:r>
        <w:rPr>
          <w:rFonts w:hint="eastAsia"/>
        </w:rPr>
        <w:t>农村供水工程</w:t>
      </w:r>
    </w:p>
    <w:p>
      <w:pPr>
        <w:pStyle w:val="7"/>
      </w:pPr>
      <w:bookmarkStart w:id="62" w:name="_Hlk160465235"/>
      <w:r>
        <w:rPr>
          <w:rFonts w:hint="eastAsia"/>
        </w:rPr>
        <w:t>农村供水工程基础调查</w:t>
      </w:r>
    </w:p>
    <w:bookmarkEnd w:id="62"/>
    <w:p>
      <w:pPr>
        <w:pStyle w:val="4"/>
      </w:pPr>
      <w:r>
        <w:rPr>
          <w:rFonts w:hint="eastAsia"/>
        </w:rPr>
        <w:t>目前，澄江市农村供水工程共有108件，涉及右所、路居、海口、九村、龙街街道等5个镇（街道），37个村委会（社区），256个村民小组，供水人口10.6119万人（含部分城市供水管网延伸工程人口）。其中：右所镇12件，路居镇8件，海口镇18件，龙街街道41件，九村29件。</w:t>
      </w:r>
    </w:p>
    <w:p>
      <w:pPr>
        <w:pStyle w:val="4"/>
      </w:pPr>
      <w:r>
        <w:rPr>
          <w:rFonts w:hint="eastAsia"/>
        </w:rPr>
        <w:t>在108件农村供水工程中，万人以上供水工程3件，覆盖6.1527万人；千人以上万人以下供水工程10件，覆盖2.1035万人；百人以上千人以下供水工程有74件，覆盖2.2251万人；百人以下分散式供水工程有21件，覆盖0.1306万人。目前自来水普及率虽已达99%，但点多面广的农村分散式供水工程仍是供水保障提升面临的最大瓶颈。</w:t>
      </w:r>
    </w:p>
    <w:p>
      <w:pPr>
        <w:pStyle w:val="7"/>
      </w:pPr>
      <w:r>
        <w:rPr>
          <w:rFonts w:hint="eastAsia"/>
        </w:rPr>
        <w:t>农村供水工程运行管理现状</w:t>
      </w:r>
    </w:p>
    <w:p>
      <w:pPr>
        <w:pStyle w:val="4"/>
        <w:rPr>
          <w:bCs/>
        </w:rPr>
      </w:pPr>
      <w:r>
        <w:rPr>
          <w:rFonts w:hint="eastAsia"/>
        </w:rPr>
        <w:t>（1）</w:t>
      </w:r>
      <w:r>
        <w:rPr>
          <w:rFonts w:hint="eastAsia"/>
          <w:bCs/>
        </w:rPr>
        <w:t>农村供水运行管理</w:t>
      </w:r>
    </w:p>
    <w:p>
      <w:pPr>
        <w:pStyle w:val="4"/>
      </w:pPr>
      <w:r>
        <w:rPr>
          <w:rFonts w:hint="eastAsia"/>
        </w:rPr>
        <w:t>澄江市2019年12月10日出台《澄江市农村饮水安全运行管理办法》，实行农村供水管理地方人民政府主体责任、水行政主管部门行业监管责任、供水单位运行管理责任的“三个责任”；建立健全农村供水运行管理机构、运行管理办法、运行管理经费的“三项制度”。每年度5月进行农村供水服务承诺公示，对澄江市各级供水保障监督单位及联系方式进行公示，畅通群众监督渠道。2024年，澄江市水利局组织修订《2024年度农村供水工程管理办法》，进一步压实“三个责任”、“三项制度”；开展农村饮水排查工作11次，对排出来的问题建立清单，整改方案和整改时限，指导配合镇、街道及时整改；坚持群众反映饮水问题动态清零。各级平台接收到28件群众反映有关饮水安全问题，办结28件，无超时。</w:t>
      </w:r>
    </w:p>
    <w:p>
      <w:pPr>
        <w:pStyle w:val="4"/>
      </w:pPr>
      <w:r>
        <w:rPr>
          <w:rFonts w:hint="eastAsia"/>
        </w:rPr>
        <w:t>（2）工程运营管理</w:t>
      </w:r>
    </w:p>
    <w:p>
      <w:pPr>
        <w:pStyle w:val="4"/>
      </w:pPr>
      <w:r>
        <w:rPr>
          <w:rFonts w:hint="eastAsia"/>
          <w:bCs/>
        </w:rPr>
        <w:t>一是</w:t>
      </w:r>
      <w:r>
        <w:rPr>
          <w:rFonts w:hint="eastAsia"/>
        </w:rPr>
        <w:t>城乡一体化供水，主要涉及凤麓街道、龙街街道，由住建部门主管，依托其下属澄江市自来水公司及博世科进行供水经营；二是农村规模化供水工程，澄江市共有3件，分别是：右所集镇供水工程，由右所镇下属龙泉供水站经营管理；路居集镇供水工程，由路居水厂经营管理；甸垛水厂（海口片区）供水工程，由甸垛水厂经营管理；三是小型集中供水工程，主要由镇、村、组自行管理运行。澄江市108件农村供水工程中，企业化管理的有2处，镇（街道）直接管理的有4处，村组集体管理的有102处。</w:t>
      </w:r>
    </w:p>
    <w:p>
      <w:pPr>
        <w:pStyle w:val="7"/>
      </w:pPr>
      <w:r>
        <w:rPr>
          <w:rFonts w:hint="eastAsia"/>
        </w:rPr>
        <w:t>农村供水工程存在问题及保护措施</w:t>
      </w:r>
    </w:p>
    <w:p>
      <w:pPr>
        <w:pStyle w:val="4"/>
      </w:pPr>
      <w:r>
        <w:rPr>
          <w:rFonts w:hint="eastAsia"/>
        </w:rPr>
        <w:t>（1）存在问题</w:t>
      </w:r>
    </w:p>
    <w:p>
      <w:pPr>
        <w:pStyle w:val="4"/>
      </w:pPr>
      <w:r>
        <w:rPr>
          <w:rFonts w:hint="eastAsia"/>
        </w:rPr>
        <w:t>点多面广的农村分散式供水工程仍是供水保障提升面临的最大瓶颈。龙街街道以博世科、自来水厂供水为主，该片区属于城市管网延伸供水，目前基本覆盖龙街街道坝区以及抚仙湖西岸片区，但坝区及沿湖周边的高海拔山区小组供水仍未覆盖。九村镇同样多山区，地貌复杂，全辖区属农村供水，由于九村镇没有规模化水厂，供水工程点多面广，多为村组地表水供水，村组自管，近年来，澄江市水利局以冷水龙潭为优质水源，逐步统一供水水源，是澄江市农村供水的重点、难点。总体来讲，农村供水工程主要存在以下几点问题：</w:t>
      </w:r>
    </w:p>
    <w:p>
      <w:pPr>
        <w:pStyle w:val="4"/>
      </w:pPr>
      <w:r>
        <w:rPr>
          <w:rFonts w:hint="eastAsia"/>
        </w:rPr>
        <w:t>1）水量无法得到保证。农村蓄水设施不完善，水源地自然出水量不足、离水源地偏远或位于干旱地区，农村靠天吃饭的现状难以根本改变；</w:t>
      </w:r>
    </w:p>
    <w:p>
      <w:pPr>
        <w:pStyle w:val="4"/>
      </w:pPr>
      <w:r>
        <w:rPr>
          <w:rFonts w:hint="eastAsia"/>
        </w:rPr>
        <w:t>2）供水管道老化。很多农村供水管道使用时间长，材质差，容易出现老化、破裂、漏水等问题，这不仅会造成水资源浪费，还会影响供水的稳定性。</w:t>
      </w:r>
    </w:p>
    <w:p>
      <w:pPr>
        <w:pStyle w:val="4"/>
      </w:pPr>
      <w:r>
        <w:rPr>
          <w:rFonts w:hint="eastAsia"/>
        </w:rPr>
        <w:t>3）供水设施简陋。部分农村的净水、消毒设备简陋甚至缺乏，难以有效去除水中的有害物质，无法保障供水水质符合标准。</w:t>
      </w:r>
    </w:p>
    <w:p>
      <w:pPr>
        <w:pStyle w:val="4"/>
      </w:pPr>
      <w:r>
        <w:rPr>
          <w:rFonts w:hint="eastAsia"/>
        </w:rPr>
        <w:t>4）农村供水工程的运行管理资金有限，导致设备维护、更新不及时，水质检测难以定期开展。</w:t>
      </w:r>
    </w:p>
    <w:p>
      <w:pPr>
        <w:pStyle w:val="4"/>
      </w:pPr>
      <w:r>
        <w:rPr>
          <w:rFonts w:hint="eastAsia"/>
        </w:rPr>
        <w:t>5）管理人员素质参差不齐。缺乏专业的技术人员，在设备维修、水质管理等方面可能无法达到要求。</w:t>
      </w:r>
    </w:p>
    <w:p>
      <w:pPr>
        <w:pStyle w:val="4"/>
      </w:pPr>
      <w:r>
        <w:rPr>
          <w:rFonts w:hint="eastAsia"/>
        </w:rPr>
        <w:t>（2）保护措施</w:t>
      </w:r>
    </w:p>
    <w:p>
      <w:pPr>
        <w:pStyle w:val="4"/>
      </w:pPr>
      <w:r>
        <w:rPr>
          <w:rFonts w:hint="eastAsia"/>
        </w:rPr>
        <w:t>1）划分水源保护区。通过法律和政策手段，明确水源地的保护范围，在保护区内限制或禁止可能污染水源的活动，如设置禁止排污标识牌。</w:t>
      </w:r>
    </w:p>
    <w:p>
      <w:pPr>
        <w:pStyle w:val="4"/>
      </w:pPr>
      <w:r>
        <w:rPr>
          <w:rFonts w:hint="eastAsia"/>
        </w:rPr>
        <w:t>2）加强污染治理。对水源地周边的污染源进行治理，控制农业面源污染，引导农民科学使用农药化肥；对生活污水和畜禽粪便进行集中处理。</w:t>
      </w:r>
    </w:p>
    <w:p>
      <w:pPr>
        <w:pStyle w:val="4"/>
      </w:pPr>
      <w:r>
        <w:rPr>
          <w:rFonts w:hint="eastAsia"/>
        </w:rPr>
        <w:t>3）定期检查维修管道。建立管道巡查制度，及时发现并修复老化、损坏的管道；在管道铺设时，尽量采用质量好、耐用的管材。</w:t>
      </w:r>
    </w:p>
    <w:p>
      <w:pPr>
        <w:pStyle w:val="4"/>
      </w:pPr>
      <w:r>
        <w:rPr>
          <w:rFonts w:hint="eastAsia"/>
        </w:rPr>
        <w:t>4）完善供水设施。配备合适的净水和消毒设备，并定期进行维护和更新，保证设备正常运行，提高供水水质。</w:t>
      </w:r>
    </w:p>
    <w:p>
      <w:pPr>
        <w:pStyle w:val="4"/>
      </w:pPr>
      <w:r>
        <w:rPr>
          <w:rFonts w:hint="eastAsia"/>
        </w:rPr>
        <w:t>5）保障资金投入。政府加大对农村供水工程运行管理的资金支持，同时可以通过合理收取水费等方式拓宽资金来源。</w:t>
      </w:r>
    </w:p>
    <w:p>
      <w:pPr>
        <w:pStyle w:val="4"/>
      </w:pPr>
      <w:r>
        <w:rPr>
          <w:rFonts w:hint="eastAsia"/>
        </w:rPr>
        <w:t>6）提高管理人员素质。开展技术培训，使管理人员掌握供水设备维护、水质检测等专业知识，提高管理水平。</w:t>
      </w:r>
    </w:p>
    <w:p>
      <w:pPr>
        <w:pStyle w:val="4"/>
      </w:pPr>
      <w:r>
        <w:rPr>
          <w:rFonts w:hint="eastAsia"/>
        </w:rPr>
        <w:t>规划澄江市农村供水工程运行管护项目，建设内容为农村供水工程管道检修及更换，净水和消毒设备购置，水质监测日常管护费用等，总投3000万元。</w:t>
      </w:r>
    </w:p>
    <w:p>
      <w:pPr>
        <w:pStyle w:val="3"/>
        <w:ind w:left="656" w:hanging="656"/>
        <w:rPr>
          <w:rFonts w:ascii="Times New Roman" w:hAnsi="Times New Roman"/>
          <w:color w:val="000000" w:themeColor="text1"/>
          <w14:textFill>
            <w14:solidFill>
              <w14:schemeClr w14:val="tx1"/>
            </w14:solidFill>
          </w14:textFill>
        </w:rPr>
      </w:pPr>
      <w:bookmarkStart w:id="63" w:name="_Toc184023327"/>
      <w:r>
        <w:rPr>
          <w:rFonts w:ascii="Times New Roman" w:hAnsi="Times New Roman"/>
          <w:color w:val="000000" w:themeColor="text1"/>
          <w14:textFill>
            <w14:solidFill>
              <w14:schemeClr w14:val="tx1"/>
            </w14:solidFill>
          </w14:textFill>
        </w:rPr>
        <w:t>水资源利用规划</w:t>
      </w:r>
      <w:bookmarkEnd w:id="63"/>
    </w:p>
    <w:p>
      <w:pPr>
        <w:pStyle w:val="5"/>
      </w:pPr>
      <w:bookmarkStart w:id="64" w:name="_Toc184023328"/>
      <w:r>
        <w:t>规划</w:t>
      </w:r>
      <w:r>
        <w:rPr>
          <w:rFonts w:hint="eastAsia"/>
        </w:rPr>
        <w:t>思路</w:t>
      </w:r>
      <w:bookmarkEnd w:id="64"/>
    </w:p>
    <w:p>
      <w:pPr>
        <w:pStyle w:val="4"/>
      </w:pPr>
      <w:r>
        <w:rPr>
          <w:rFonts w:hint="eastAsia"/>
        </w:rPr>
        <w:t>以抚仙湖水资源保护为核心，立足全市水资源保护现状与长远，结合现状水资源总量以及供-用-耗-排关系，以抚仙湖流域水资源承载力和水环境容量为基础，贯彻“节水优先、空间均衡、系统治理、两手发力”的新时期治水方针，推进水资源高效和节约集约利用，推进城乡生活统筹集中供水，加强污水处理厂尾水和农田低污染水回用，提高水资源循环利用率，科学合理统筹流配置域内和流域外生态、生活、生产用水，构建健康水循环体系，逐渐降低本区水资源开发利用率，实现流域水资源可持续利用。</w:t>
      </w:r>
    </w:p>
    <w:p>
      <w:pPr>
        <w:pStyle w:val="5"/>
      </w:pPr>
      <w:bookmarkStart w:id="65" w:name="_Toc105257941"/>
      <w:bookmarkStart w:id="66" w:name="_Toc184023329"/>
      <w:r>
        <w:t>需水预测分析</w:t>
      </w:r>
      <w:bookmarkEnd w:id="65"/>
      <w:bookmarkEnd w:id="66"/>
    </w:p>
    <w:p>
      <w:pPr>
        <w:pStyle w:val="6"/>
      </w:pPr>
      <w:bookmarkStart w:id="67" w:name="_Toc105257942"/>
      <w:r>
        <w:t>经济社会发展指标预测</w:t>
      </w:r>
      <w:bookmarkEnd w:id="67"/>
    </w:p>
    <w:p>
      <w:pPr>
        <w:pStyle w:val="7"/>
      </w:pPr>
      <w:bookmarkStart w:id="68" w:name="_Toc105257943"/>
      <w:r>
        <w:t>人口和城镇化预测</w:t>
      </w:r>
      <w:bookmarkEnd w:id="68"/>
    </w:p>
    <w:p>
      <w:pPr>
        <w:pStyle w:val="4"/>
      </w:pPr>
      <w:r>
        <w:t>（1）预测方法</w:t>
      </w:r>
    </w:p>
    <w:p>
      <w:pPr>
        <w:pStyle w:val="4"/>
      </w:pPr>
      <w:r>
        <w:t>1</w:t>
      </w:r>
      <w:r>
        <w:rPr>
          <w:rFonts w:hint="eastAsia"/>
        </w:rPr>
        <w:t>）</w:t>
      </w:r>
      <w:r>
        <w:t>人口预测</w:t>
      </w:r>
    </w:p>
    <w:p>
      <w:pPr>
        <w:pStyle w:val="4"/>
      </w:pPr>
      <w:r>
        <w:t>人口指标预测采用全国第七次人口普查所规定的统计口径。规划水平年人口预测，采用增长率法。主要依据人口发展规划，并结合近年的实际情况进行必要的修订。城镇化预测，结合政府制定的城镇化发展战略与规划，充分考虑水资源条件对城镇发展的承载能力，合理安排城镇发展布局和确定城镇人口的规模。</w:t>
      </w:r>
    </w:p>
    <w:p>
      <w:pPr>
        <w:pStyle w:val="4"/>
      </w:pPr>
      <w:r>
        <w:t>人口增长率预测模型为：</w:t>
      </w:r>
    </w:p>
    <w:p>
      <w:pPr>
        <w:pStyle w:val="4"/>
      </w:pPr>
      <w:r>
        <w:rPr>
          <w:i/>
          <w:iCs/>
        </w:rPr>
        <w:t>P</w:t>
      </w:r>
      <w:r>
        <w:rPr>
          <w:i/>
          <w:iCs/>
          <w:vertAlign w:val="subscript"/>
        </w:rPr>
        <w:t xml:space="preserve">t </w:t>
      </w:r>
      <w:r>
        <w:t xml:space="preserve">= </w:t>
      </w:r>
      <w:r>
        <w:rPr>
          <w:i/>
          <w:iCs/>
        </w:rPr>
        <w:t>P</w:t>
      </w:r>
      <w:r>
        <w:rPr>
          <w:i/>
          <w:iCs/>
          <w:vertAlign w:val="subscript"/>
        </w:rPr>
        <w:t>t</w:t>
      </w:r>
      <w:r>
        <w:rPr>
          <w:vertAlign w:val="subscript"/>
        </w:rPr>
        <w:t xml:space="preserve">-1 </w:t>
      </w:r>
      <w:r>
        <w:t xml:space="preserve">(1 + </w:t>
      </w:r>
      <w:r>
        <w:rPr>
          <w:i/>
          <w:iCs/>
        </w:rPr>
        <w:t>NR</w:t>
      </w:r>
      <w:r>
        <w:rPr>
          <w:i/>
          <w:iCs/>
          <w:vertAlign w:val="subscript"/>
        </w:rPr>
        <w:t>t</w:t>
      </w:r>
      <w:r>
        <w:t xml:space="preserve">)      </w:t>
      </w:r>
      <w:r>
        <w:rPr>
          <w:i/>
          <w:iCs/>
        </w:rPr>
        <w:t>t</w:t>
      </w:r>
      <w:r>
        <w:t>=1,2,3…</w:t>
      </w:r>
    </w:p>
    <w:p>
      <w:pPr>
        <w:pStyle w:val="4"/>
      </w:pPr>
      <w:r>
        <w:t>式中：</w:t>
      </w:r>
      <w:r>
        <w:rPr>
          <w:i/>
          <w:iCs/>
        </w:rPr>
        <w:t>P</w:t>
      </w:r>
      <w:r>
        <w:rPr>
          <w:i/>
          <w:iCs/>
          <w:vertAlign w:val="subscript"/>
        </w:rPr>
        <w:t>t</w:t>
      </w:r>
      <w:r>
        <w:t>为第</w:t>
      </w:r>
      <w:r>
        <w:rPr>
          <w:i/>
          <w:iCs/>
        </w:rPr>
        <w:t>t</w:t>
      </w:r>
      <w:r>
        <w:t>年人口数；</w:t>
      </w:r>
    </w:p>
    <w:p>
      <w:pPr>
        <w:pStyle w:val="4"/>
      </w:pPr>
      <w:r>
        <w:t xml:space="preserve">      </w:t>
      </w:r>
      <w:r>
        <w:rPr>
          <w:i/>
          <w:iCs/>
        </w:rPr>
        <w:t>P</w:t>
      </w:r>
      <w:r>
        <w:rPr>
          <w:i/>
          <w:iCs/>
          <w:vertAlign w:val="subscript"/>
        </w:rPr>
        <w:t>t</w:t>
      </w:r>
      <w:r>
        <w:rPr>
          <w:vertAlign w:val="subscript"/>
        </w:rPr>
        <w:t>-1</w:t>
      </w:r>
      <w:r>
        <w:t>为第</w:t>
      </w:r>
      <w:r>
        <w:rPr>
          <w:i/>
          <w:iCs/>
        </w:rPr>
        <w:t>t-1</w:t>
      </w:r>
      <w:r>
        <w:t>年人口数；</w:t>
      </w:r>
    </w:p>
    <w:p>
      <w:pPr>
        <w:pStyle w:val="4"/>
      </w:pPr>
      <w:r>
        <w:t xml:space="preserve">      </w:t>
      </w:r>
      <w:r>
        <w:rPr>
          <w:i/>
          <w:iCs/>
        </w:rPr>
        <w:t>NR</w:t>
      </w:r>
      <w:r>
        <w:rPr>
          <w:i/>
          <w:iCs/>
          <w:vertAlign w:val="subscript"/>
        </w:rPr>
        <w:t>t</w:t>
      </w:r>
      <w:r>
        <w:t>为第</w:t>
      </w:r>
      <w:r>
        <w:rPr>
          <w:i/>
          <w:iCs/>
        </w:rPr>
        <w:t>t</w:t>
      </w:r>
      <w:r>
        <w:t>年人口增长率。</w:t>
      </w:r>
    </w:p>
    <w:p>
      <w:pPr>
        <w:pStyle w:val="4"/>
      </w:pPr>
      <w:r>
        <w:t>根据《中共云南省委 云南省人民政府关于“湖泊革命”攻坚战实施意见》中“全面‘减’”，要坚持“以水定城、以水定地、以水定人、以水定产”，九大高原湖泊流域内全面减少项目开发，减轻人口压力，减少资源浪费。根据《九大高原湖泊“三区”管控指导意见》，抚仙湖流域生态缓冲区内禁止人口迁入，除原有居民自然增长及符合人口迁移政策的情况外，原则上人口只出不进，小区、村庄建设面积只减不增。可因地制宜制定生态减负的户口迁入限制性政策，引导和鼓励生态保护缓冲区内户籍人口有序向外转移并定居落户，促进人口分布与资源环境可承载力相匹配。鼓励分散居民点（村庄）逐步迁移至集中连片村落及城镇区。集镇空间只减不增，鼓励空间内的产业逐步退出。严格控制村庄建设用地规模，原则上只减不增。开展必要的乡村振兴、美丽乡村设施建设、民房修缮和建设等，不得突破村庄规划确定的边界及管控要求。绿色发展区内要科学确定人口和城镇建设规模，远湖布局、离湖发展，科学划定城镇开发边界，优先安排从生态核心区和生态缓冲区迁出的建设需求。按照湖泊保护需要，根据集约适度、绿色发展的原则，加快国土空间规划编制及实施管控。湖泊面山区域严禁连片房地产开发。上述两个文件明确提出抚仙湖流域需要减少人口压力。</w:t>
      </w:r>
    </w:p>
    <w:p>
      <w:pPr>
        <w:pStyle w:val="4"/>
      </w:pPr>
      <w:r>
        <w:t>由于澄江市人口主要集中在抚仙湖流域内，根据“两线三区”的相关要求，澄江市人口机械增长潜力不大，规划年人口只考虑自然增长，自然增长率取2020-2022年的平均自然增长率3‰。并考虑县城及抚仙湖流域人口的集聚能力，随着城镇规模扩大，城镇周边部分农村人口农转非后划为城镇范围内人口</w:t>
      </w:r>
    </w:p>
    <w:p>
      <w:pPr>
        <w:pStyle w:val="4"/>
      </w:pPr>
      <w:r>
        <w:t>2</w:t>
      </w:r>
      <w:r>
        <w:rPr>
          <w:rFonts w:hint="eastAsia"/>
        </w:rPr>
        <w:t>）</w:t>
      </w:r>
      <w:r>
        <w:t>城镇化率预测</w:t>
      </w:r>
    </w:p>
    <w:p>
      <w:pPr>
        <w:pStyle w:val="4"/>
      </w:pPr>
      <w:r>
        <w:t>根据《澄江市国民经济和社会发展第十四个五年规划和二</w:t>
      </w:r>
      <w:r>
        <w:rPr>
          <w:rFonts w:eastAsia="仿宋"/>
        </w:rPr>
        <w:t>〇</w:t>
      </w:r>
      <w:r>
        <w:t>三五年远景目标纲要》，现状年澄江市城镇化率为</w:t>
      </w:r>
      <w:r>
        <w:rPr>
          <w:rFonts w:hint="eastAsia"/>
        </w:rPr>
        <w:t>49.06</w:t>
      </w:r>
      <w:r>
        <w:t>%，规划年澄江市城镇化率为70%。</w:t>
      </w:r>
    </w:p>
    <w:p>
      <w:pPr>
        <w:pStyle w:val="17"/>
        <w:keepNext/>
        <w:ind w:left="800"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澄江市人口预测相关指标表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7"/>
        <w:gridCol w:w="4180"/>
        <w:gridCol w:w="3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4"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水平年</w:t>
            </w:r>
          </w:p>
        </w:tc>
        <w:tc>
          <w:tcPr>
            <w:tcW w:w="2290"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人口增长率（‰）</w:t>
            </w:r>
          </w:p>
        </w:tc>
        <w:tc>
          <w:tcPr>
            <w:tcW w:w="1736"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城镇化率（%）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4"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2290"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1736"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70</w:t>
            </w:r>
          </w:p>
        </w:tc>
      </w:tr>
    </w:tbl>
    <w:p>
      <w:pPr>
        <w:pStyle w:val="4"/>
      </w:pPr>
      <w:r>
        <w:t>（2）预测结果</w:t>
      </w:r>
    </w:p>
    <w:p>
      <w:pPr>
        <w:pStyle w:val="4"/>
      </w:pPr>
      <w:r>
        <w:t>现状年，澄江市总人口为18.44万人，其中城镇人口9.67万人，农村人口8.77万人。规划年人口按3‰年增长率增长，即：</w:t>
      </w:r>
    </w:p>
    <w:p>
      <w:pPr>
        <w:pStyle w:val="4"/>
        <w:rPr>
          <w:vertAlign w:val="superscript"/>
        </w:rPr>
      </w:pPr>
      <w:r>
        <w:t>规划年人口=现状年人口×（1+3‰）</w:t>
      </w:r>
      <w:r>
        <w:rPr>
          <w:vertAlign w:val="superscript"/>
        </w:rPr>
        <w:t>13</w:t>
      </w:r>
    </w:p>
    <w:p>
      <w:pPr>
        <w:pStyle w:val="4"/>
      </w:pPr>
      <w:r>
        <w:t>规划年，澄江市总人口达到19.17万人，其中城镇人口13.42万人，农村人口5.75万人。其中，抚仙湖片区总人口为18.08万人，城镇人口13.13万人，农村人口4.95万人；南盘江片区0.99万人，城镇人口0.29万人，农村人口0.69万人；提古片区0.1万人，均为农村人口。澄江市人口预测成果见下表。</w:t>
      </w:r>
    </w:p>
    <w:p>
      <w:pPr>
        <w:pStyle w:val="17"/>
        <w:keepNext/>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澄江市人口预测成果表</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3"/>
        <w:gridCol w:w="1311"/>
        <w:gridCol w:w="1742"/>
        <w:gridCol w:w="1744"/>
        <w:gridCol w:w="1744"/>
        <w:gridCol w:w="1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40"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水平年</w:t>
            </w:r>
          </w:p>
        </w:tc>
        <w:tc>
          <w:tcPr>
            <w:tcW w:w="706"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片区名称</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总人口</w:t>
            </w:r>
            <w:r>
              <w:rPr>
                <w:rFonts w:cs="Times New Roman"/>
                <w:color w:val="000000" w:themeColor="text1"/>
                <w14:textFill>
                  <w14:solidFill>
                    <w14:schemeClr w14:val="tx1"/>
                  </w14:solidFill>
                </w14:textFill>
              </w:rPr>
              <w:br w:type="textWrapping"/>
            </w:r>
            <w:r>
              <w:rPr>
                <w:rFonts w:cs="Times New Roman"/>
                <w:color w:val="000000" w:themeColor="text1"/>
                <w14:textFill>
                  <w14:solidFill>
                    <w14:schemeClr w14:val="tx1"/>
                  </w14:solidFill>
                </w14:textFill>
              </w:rPr>
              <w:t>（万人）</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城镇人口</w:t>
            </w:r>
            <w:r>
              <w:rPr>
                <w:rFonts w:cs="Times New Roman"/>
                <w:color w:val="000000" w:themeColor="text1"/>
                <w14:textFill>
                  <w14:solidFill>
                    <w14:schemeClr w14:val="tx1"/>
                  </w14:solidFill>
                </w14:textFill>
              </w:rPr>
              <w:br w:type="textWrapping"/>
            </w:r>
            <w:r>
              <w:rPr>
                <w:rFonts w:cs="Times New Roman"/>
                <w:color w:val="000000" w:themeColor="text1"/>
                <w14:textFill>
                  <w14:solidFill>
                    <w14:schemeClr w14:val="tx1"/>
                  </w14:solidFill>
                </w14:textFill>
              </w:rPr>
              <w:t>（万人）</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农村人口</w:t>
            </w:r>
            <w:r>
              <w:rPr>
                <w:rFonts w:cs="Times New Roman"/>
                <w:color w:val="000000" w:themeColor="text1"/>
                <w14:textFill>
                  <w14:solidFill>
                    <w14:schemeClr w14:val="tx1"/>
                  </w14:solidFill>
                </w14:textFill>
              </w:rPr>
              <w:br w:type="textWrapping"/>
            </w:r>
            <w:r>
              <w:rPr>
                <w:rFonts w:cs="Times New Roman"/>
                <w:color w:val="000000" w:themeColor="text1"/>
                <w14:textFill>
                  <w14:solidFill>
                    <w14:schemeClr w14:val="tx1"/>
                  </w14:solidFill>
                </w14:textFill>
              </w:rPr>
              <w:t>（万人）</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城镇化率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vMerge w:val="restar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706" w:type="pct"/>
            <w:vAlign w:val="center"/>
          </w:tcPr>
          <w:p>
            <w:pPr>
              <w:pStyle w:val="8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抚仙湖片区</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17.07</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9.46</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7.62</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vMerge w:val="continue"/>
            <w:vAlign w:val="center"/>
          </w:tcPr>
          <w:p>
            <w:pPr>
              <w:pStyle w:val="85"/>
              <w:rPr>
                <w:rFonts w:cs="Times New Roman"/>
                <w:color w:val="000000" w:themeColor="text1"/>
                <w14:textFill>
                  <w14:solidFill>
                    <w14:schemeClr w14:val="tx1"/>
                  </w14:solidFill>
                </w14:textFill>
              </w:rPr>
            </w:pPr>
          </w:p>
        </w:tc>
        <w:tc>
          <w:tcPr>
            <w:tcW w:w="706"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1.27</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0.21</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1.06</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vMerge w:val="continue"/>
            <w:vAlign w:val="center"/>
          </w:tcPr>
          <w:p>
            <w:pPr>
              <w:pStyle w:val="85"/>
              <w:rPr>
                <w:rFonts w:cs="Times New Roman"/>
                <w:color w:val="000000" w:themeColor="text1"/>
                <w14:textFill>
                  <w14:solidFill>
                    <w14:schemeClr w14:val="tx1"/>
                  </w14:solidFill>
                </w14:textFill>
              </w:rPr>
            </w:pPr>
          </w:p>
        </w:tc>
        <w:tc>
          <w:tcPr>
            <w:tcW w:w="706"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0.10</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0.10</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vMerge w:val="continue"/>
            <w:vAlign w:val="center"/>
          </w:tcPr>
          <w:p>
            <w:pPr>
              <w:pStyle w:val="85"/>
              <w:rPr>
                <w:rFonts w:cs="Times New Roman"/>
                <w:color w:val="000000" w:themeColor="text1"/>
                <w14:textFill>
                  <w14:solidFill>
                    <w14:schemeClr w14:val="tx1"/>
                  </w14:solidFill>
                </w14:textFill>
              </w:rPr>
            </w:pPr>
          </w:p>
        </w:tc>
        <w:tc>
          <w:tcPr>
            <w:tcW w:w="706"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18.44</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9.67</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8.77</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vMerge w:val="restar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706" w:type="pct"/>
            <w:vAlign w:val="center"/>
          </w:tcPr>
          <w:p>
            <w:pPr>
              <w:pStyle w:val="8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抚仙湖片区</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18.08</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13.13</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4.95</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vMerge w:val="continue"/>
            <w:vAlign w:val="center"/>
          </w:tcPr>
          <w:p>
            <w:pPr>
              <w:pStyle w:val="85"/>
              <w:rPr>
                <w:rFonts w:cs="Times New Roman"/>
                <w:color w:val="000000" w:themeColor="text1"/>
                <w14:textFill>
                  <w14:solidFill>
                    <w14:schemeClr w14:val="tx1"/>
                  </w14:solidFill>
                </w14:textFill>
              </w:rPr>
            </w:pPr>
          </w:p>
        </w:tc>
        <w:tc>
          <w:tcPr>
            <w:tcW w:w="706"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0.99</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0.29</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0.69</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vMerge w:val="continue"/>
            <w:vAlign w:val="center"/>
          </w:tcPr>
          <w:p>
            <w:pPr>
              <w:pStyle w:val="85"/>
              <w:rPr>
                <w:rFonts w:cs="Times New Roman"/>
                <w:color w:val="000000" w:themeColor="text1"/>
                <w14:textFill>
                  <w14:solidFill>
                    <w14:schemeClr w14:val="tx1"/>
                  </w14:solidFill>
                </w14:textFill>
              </w:rPr>
            </w:pPr>
          </w:p>
        </w:tc>
        <w:tc>
          <w:tcPr>
            <w:tcW w:w="706"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0.10</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0.10</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0" w:type="pct"/>
            <w:vMerge w:val="continue"/>
            <w:vAlign w:val="center"/>
          </w:tcPr>
          <w:p>
            <w:pPr>
              <w:pStyle w:val="85"/>
              <w:rPr>
                <w:rFonts w:cs="Times New Roman"/>
                <w:color w:val="000000" w:themeColor="text1"/>
                <w14:textFill>
                  <w14:solidFill>
                    <w14:schemeClr w14:val="tx1"/>
                  </w14:solidFill>
                </w14:textFill>
              </w:rPr>
            </w:pPr>
          </w:p>
        </w:tc>
        <w:tc>
          <w:tcPr>
            <w:tcW w:w="706"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19.17</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13.42</w:t>
            </w:r>
          </w:p>
        </w:tc>
        <w:tc>
          <w:tcPr>
            <w:tcW w:w="939"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5.75</w:t>
            </w:r>
          </w:p>
        </w:tc>
        <w:tc>
          <w:tcPr>
            <w:tcW w:w="938"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70%</w:t>
            </w:r>
          </w:p>
        </w:tc>
      </w:tr>
    </w:tbl>
    <w:p>
      <w:pPr>
        <w:pStyle w:val="7"/>
      </w:pPr>
      <w:bookmarkStart w:id="69" w:name="_Toc105257944"/>
      <w:r>
        <w:t>农村牲畜发展预测</w:t>
      </w:r>
      <w:bookmarkEnd w:id="69"/>
    </w:p>
    <w:p>
      <w:pPr>
        <w:pStyle w:val="4"/>
      </w:pPr>
      <w:r>
        <w:t>现状年，澄江市大牲畜</w:t>
      </w:r>
      <w:r>
        <w:rPr>
          <w:rFonts w:hint="eastAsia"/>
        </w:rPr>
        <w:t>0.76</w:t>
      </w:r>
      <w:r>
        <w:t>万</w:t>
      </w:r>
      <w:r>
        <w:rPr>
          <w:rFonts w:hint="eastAsia"/>
        </w:rPr>
        <w:t>头</w:t>
      </w:r>
      <w:r>
        <w:t>、小牲畜2.</w:t>
      </w:r>
      <w:r>
        <w:rPr>
          <w:rFonts w:hint="eastAsia"/>
        </w:rPr>
        <w:t>83</w:t>
      </w:r>
      <w:r>
        <w:t>万只，家禽</w:t>
      </w:r>
      <w:r>
        <w:rPr>
          <w:rFonts w:hint="eastAsia"/>
        </w:rPr>
        <w:t>17.68</w:t>
      </w:r>
      <w:r>
        <w:t>万只。到规划水平年，</w:t>
      </w:r>
      <w:r>
        <w:rPr>
          <w:rFonts w:hint="eastAsia"/>
        </w:rPr>
        <w:t>按照省委、省政府“湖泊革命”、高原湖泊“三区”管控的相关要求，为规范“三湖”流域畜禽养殖行为，玉溪市“湖泊革命”指挥部印发《关于加强“三湖”流域畜禽养殖粪污收集处理及监管工作的指导意见》，要求属地政府根据当地环境容量、土地承载力、养殖需求等，科学调整和划定涉湖流域禁养、限养控制区，制定畜禽养殖分区管控办法。澄江市委市政府划定的抚仙湖一级保护区（抚仙湖保护条例规定的水域及湖滨带）为禁养区，二级保护区（一级保护区以外集水区以内的范围）为限养控制区，同时发布公告引导零散养殖户自愿退出养殖，加大南盘江农村牲畜养殖扶持力度。设计水平年抚仙湖片区、滇池片区（提古社区等）牲畜养殖原则上只减不增，南盘江片区由于政策扶持，养殖规模总体上会有所增加。预测2035水平年，大牲畜0.64万头，小牲畜1.89万只，家禽10.44万只。</w:t>
      </w:r>
    </w:p>
    <w:p>
      <w:pPr>
        <w:pStyle w:val="4"/>
      </w:pPr>
      <w:r>
        <w:t>具体详见下表。</w:t>
      </w:r>
    </w:p>
    <w:p>
      <w:pPr>
        <w:pStyle w:val="17"/>
        <w:keepNext/>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澄江市农村牲畜预测成果表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5"/>
        <w:gridCol w:w="2069"/>
        <w:gridCol w:w="2201"/>
        <w:gridCol w:w="1733"/>
        <w:gridCol w:w="17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blHeader/>
          <w:jc w:val="center"/>
        </w:trPr>
        <w:tc>
          <w:tcPr>
            <w:tcW w:w="848"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水平年</w:t>
            </w:r>
          </w:p>
        </w:tc>
        <w:tc>
          <w:tcPr>
            <w:tcW w:w="111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分区名称</w:t>
            </w:r>
          </w:p>
        </w:tc>
        <w:tc>
          <w:tcPr>
            <w:tcW w:w="118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大牲畜（万头）</w:t>
            </w:r>
          </w:p>
        </w:tc>
        <w:tc>
          <w:tcPr>
            <w:tcW w:w="933"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小牲畜（万只）</w:t>
            </w:r>
          </w:p>
        </w:tc>
        <w:tc>
          <w:tcPr>
            <w:tcW w:w="91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家禽（万只）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8"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111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1185" w:type="pct"/>
            <w:shd w:val="clear" w:color="auto" w:fill="auto"/>
            <w:noWrap/>
          </w:tcPr>
          <w:p>
            <w:pPr>
              <w:pStyle w:val="85"/>
              <w:rPr>
                <w:rFonts w:cs="Times New Roman"/>
                <w:color w:val="000000" w:themeColor="text1"/>
                <w14:textFill>
                  <w14:solidFill>
                    <w14:schemeClr w14:val="tx1"/>
                  </w14:solidFill>
                </w14:textFill>
              </w:rPr>
            </w:pPr>
            <w:r>
              <w:t xml:space="preserve">0.26 </w:t>
            </w:r>
          </w:p>
        </w:tc>
        <w:tc>
          <w:tcPr>
            <w:tcW w:w="933" w:type="pct"/>
            <w:shd w:val="clear" w:color="auto" w:fill="auto"/>
            <w:noWrap/>
          </w:tcPr>
          <w:p>
            <w:pPr>
              <w:pStyle w:val="85"/>
              <w:rPr>
                <w:rFonts w:cs="Times New Roman"/>
                <w:color w:val="000000" w:themeColor="text1"/>
                <w14:textFill>
                  <w14:solidFill>
                    <w14:schemeClr w14:val="tx1"/>
                  </w14:solidFill>
                </w14:textFill>
              </w:rPr>
            </w:pPr>
            <w:r>
              <w:t xml:space="preserve">1.77 </w:t>
            </w:r>
          </w:p>
        </w:tc>
        <w:tc>
          <w:tcPr>
            <w:tcW w:w="919" w:type="pct"/>
            <w:shd w:val="clear" w:color="auto" w:fill="auto"/>
            <w:noWrap/>
          </w:tcPr>
          <w:p>
            <w:pPr>
              <w:pStyle w:val="85"/>
              <w:rPr>
                <w:rFonts w:cs="Times New Roman"/>
                <w:color w:val="000000" w:themeColor="text1"/>
                <w14:textFill>
                  <w14:solidFill>
                    <w14:schemeClr w14:val="tx1"/>
                  </w14:solidFill>
                </w14:textFill>
              </w:rPr>
            </w:pPr>
            <w:r>
              <w:t xml:space="preserve">10.09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8" w:type="pct"/>
            <w:vMerge w:val="continue"/>
            <w:vAlign w:val="center"/>
          </w:tcPr>
          <w:p>
            <w:pPr>
              <w:pStyle w:val="85"/>
              <w:rPr>
                <w:rFonts w:cs="Times New Roman"/>
                <w:color w:val="000000" w:themeColor="text1"/>
                <w14:textFill>
                  <w14:solidFill>
                    <w14:schemeClr w14:val="tx1"/>
                  </w14:solidFill>
                </w14:textFill>
              </w:rPr>
            </w:pPr>
          </w:p>
        </w:tc>
        <w:tc>
          <w:tcPr>
            <w:tcW w:w="111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1185" w:type="pct"/>
            <w:shd w:val="clear" w:color="auto" w:fill="auto"/>
            <w:noWrap/>
          </w:tcPr>
          <w:p>
            <w:pPr>
              <w:pStyle w:val="85"/>
              <w:rPr>
                <w:rFonts w:cs="Times New Roman"/>
                <w:color w:val="000000" w:themeColor="text1"/>
                <w14:textFill>
                  <w14:solidFill>
                    <w14:schemeClr w14:val="tx1"/>
                  </w14:solidFill>
                </w14:textFill>
              </w:rPr>
            </w:pPr>
            <w:r>
              <w:t xml:space="preserve">0.47 </w:t>
            </w:r>
          </w:p>
        </w:tc>
        <w:tc>
          <w:tcPr>
            <w:tcW w:w="933" w:type="pct"/>
            <w:shd w:val="clear" w:color="auto" w:fill="auto"/>
            <w:noWrap/>
          </w:tcPr>
          <w:p>
            <w:pPr>
              <w:pStyle w:val="85"/>
              <w:rPr>
                <w:rFonts w:cs="Times New Roman"/>
                <w:color w:val="000000" w:themeColor="text1"/>
                <w14:textFill>
                  <w14:solidFill>
                    <w14:schemeClr w14:val="tx1"/>
                  </w14:solidFill>
                </w14:textFill>
              </w:rPr>
            </w:pPr>
            <w:r>
              <w:t xml:space="preserve">1.04 </w:t>
            </w:r>
          </w:p>
        </w:tc>
        <w:tc>
          <w:tcPr>
            <w:tcW w:w="919" w:type="pct"/>
            <w:shd w:val="clear" w:color="auto" w:fill="auto"/>
            <w:noWrap/>
          </w:tcPr>
          <w:p>
            <w:pPr>
              <w:pStyle w:val="85"/>
              <w:rPr>
                <w:rFonts w:cs="Times New Roman"/>
                <w:color w:val="000000" w:themeColor="text1"/>
                <w14:textFill>
                  <w14:solidFill>
                    <w14:schemeClr w14:val="tx1"/>
                  </w14:solidFill>
                </w14:textFill>
              </w:rPr>
            </w:pPr>
            <w:r>
              <w:t xml:space="preserve">7.51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8" w:type="pct"/>
            <w:vMerge w:val="continue"/>
            <w:vAlign w:val="center"/>
          </w:tcPr>
          <w:p>
            <w:pPr>
              <w:pStyle w:val="85"/>
              <w:rPr>
                <w:rFonts w:cs="Times New Roman"/>
                <w:color w:val="000000" w:themeColor="text1"/>
                <w14:textFill>
                  <w14:solidFill>
                    <w14:schemeClr w14:val="tx1"/>
                  </w14:solidFill>
                </w14:textFill>
              </w:rPr>
            </w:pPr>
          </w:p>
        </w:tc>
        <w:tc>
          <w:tcPr>
            <w:tcW w:w="111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1185" w:type="pct"/>
            <w:shd w:val="clear" w:color="auto" w:fill="auto"/>
            <w:noWrap/>
          </w:tcPr>
          <w:p>
            <w:pPr>
              <w:pStyle w:val="85"/>
              <w:rPr>
                <w:rFonts w:cs="Times New Roman"/>
                <w:color w:val="000000" w:themeColor="text1"/>
                <w14:textFill>
                  <w14:solidFill>
                    <w14:schemeClr w14:val="tx1"/>
                  </w14:solidFill>
                </w14:textFill>
              </w:rPr>
            </w:pPr>
            <w:r>
              <w:t xml:space="preserve">0.03 </w:t>
            </w:r>
          </w:p>
        </w:tc>
        <w:tc>
          <w:tcPr>
            <w:tcW w:w="933" w:type="pct"/>
            <w:shd w:val="clear" w:color="auto" w:fill="auto"/>
            <w:noWrap/>
          </w:tcPr>
          <w:p>
            <w:pPr>
              <w:pStyle w:val="85"/>
              <w:rPr>
                <w:rFonts w:cs="Times New Roman"/>
                <w:color w:val="000000" w:themeColor="text1"/>
                <w14:textFill>
                  <w14:solidFill>
                    <w14:schemeClr w14:val="tx1"/>
                  </w14:solidFill>
                </w14:textFill>
              </w:rPr>
            </w:pPr>
            <w:r>
              <w:t xml:space="preserve">0.02 </w:t>
            </w:r>
          </w:p>
        </w:tc>
        <w:tc>
          <w:tcPr>
            <w:tcW w:w="919" w:type="pct"/>
            <w:shd w:val="clear" w:color="auto" w:fill="auto"/>
            <w:noWrap/>
          </w:tcPr>
          <w:p>
            <w:pPr>
              <w:pStyle w:val="85"/>
              <w:rPr>
                <w:rFonts w:cs="Times New Roman"/>
                <w:color w:val="000000" w:themeColor="text1"/>
                <w14:textFill>
                  <w14:solidFill>
                    <w14:schemeClr w14:val="tx1"/>
                  </w14:solidFill>
                </w14:textFill>
              </w:rPr>
            </w:pPr>
            <w:r>
              <w:t xml:space="preserve">0.08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8" w:type="pct"/>
            <w:vMerge w:val="continue"/>
            <w:vAlign w:val="center"/>
          </w:tcPr>
          <w:p>
            <w:pPr>
              <w:pStyle w:val="85"/>
              <w:rPr>
                <w:rFonts w:cs="Times New Roman"/>
                <w:color w:val="000000" w:themeColor="text1"/>
                <w14:textFill>
                  <w14:solidFill>
                    <w14:schemeClr w14:val="tx1"/>
                  </w14:solidFill>
                </w14:textFill>
              </w:rPr>
            </w:pPr>
          </w:p>
        </w:tc>
        <w:tc>
          <w:tcPr>
            <w:tcW w:w="111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185" w:type="pct"/>
            <w:shd w:val="clear" w:color="auto" w:fill="auto"/>
            <w:noWrap/>
          </w:tcPr>
          <w:p>
            <w:pPr>
              <w:pStyle w:val="85"/>
              <w:rPr>
                <w:rFonts w:cs="Times New Roman"/>
                <w:color w:val="000000" w:themeColor="text1"/>
                <w14:textFill>
                  <w14:solidFill>
                    <w14:schemeClr w14:val="tx1"/>
                  </w14:solidFill>
                </w14:textFill>
              </w:rPr>
            </w:pPr>
            <w:r>
              <w:t xml:space="preserve">0.76 </w:t>
            </w:r>
          </w:p>
        </w:tc>
        <w:tc>
          <w:tcPr>
            <w:tcW w:w="933" w:type="pct"/>
            <w:shd w:val="clear" w:color="auto" w:fill="auto"/>
            <w:noWrap/>
          </w:tcPr>
          <w:p>
            <w:pPr>
              <w:pStyle w:val="85"/>
              <w:rPr>
                <w:rFonts w:cs="Times New Roman"/>
                <w:color w:val="000000" w:themeColor="text1"/>
                <w14:textFill>
                  <w14:solidFill>
                    <w14:schemeClr w14:val="tx1"/>
                  </w14:solidFill>
                </w14:textFill>
              </w:rPr>
            </w:pPr>
            <w:r>
              <w:t xml:space="preserve">2.83 </w:t>
            </w:r>
          </w:p>
        </w:tc>
        <w:tc>
          <w:tcPr>
            <w:tcW w:w="919" w:type="pct"/>
            <w:shd w:val="clear" w:color="auto" w:fill="auto"/>
            <w:noWrap/>
          </w:tcPr>
          <w:p>
            <w:pPr>
              <w:pStyle w:val="85"/>
              <w:rPr>
                <w:rFonts w:cs="Times New Roman"/>
                <w:color w:val="000000" w:themeColor="text1"/>
                <w14:textFill>
                  <w14:solidFill>
                    <w14:schemeClr w14:val="tx1"/>
                  </w14:solidFill>
                </w14:textFill>
              </w:rPr>
            </w:pPr>
            <w:r>
              <w:t xml:space="preserve">17.68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8"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111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1185" w:type="pct"/>
            <w:shd w:val="clear" w:color="auto" w:fill="auto"/>
            <w:noWrap/>
          </w:tcPr>
          <w:p>
            <w:pPr>
              <w:pStyle w:val="85"/>
              <w:rPr>
                <w:rFonts w:cs="Times New Roman"/>
                <w:color w:val="000000" w:themeColor="text1"/>
                <w14:textFill>
                  <w14:solidFill>
                    <w14:schemeClr w14:val="tx1"/>
                  </w14:solidFill>
                </w14:textFill>
              </w:rPr>
            </w:pPr>
            <w:r>
              <w:t xml:space="preserve">0.05 </w:t>
            </w:r>
          </w:p>
        </w:tc>
        <w:tc>
          <w:tcPr>
            <w:tcW w:w="933" w:type="pct"/>
            <w:shd w:val="clear" w:color="auto" w:fill="auto"/>
            <w:noWrap/>
          </w:tcPr>
          <w:p>
            <w:pPr>
              <w:pStyle w:val="85"/>
              <w:rPr>
                <w:rFonts w:cs="Times New Roman"/>
                <w:color w:val="000000" w:themeColor="text1"/>
                <w14:textFill>
                  <w14:solidFill>
                    <w14:schemeClr w14:val="tx1"/>
                  </w14:solidFill>
                </w14:textFill>
              </w:rPr>
            </w:pPr>
            <w:r>
              <w:t xml:space="preserve">0.70 </w:t>
            </w:r>
          </w:p>
        </w:tc>
        <w:tc>
          <w:tcPr>
            <w:tcW w:w="919" w:type="pct"/>
            <w:shd w:val="clear" w:color="auto" w:fill="auto"/>
            <w:noWrap/>
          </w:tcPr>
          <w:p>
            <w:pPr>
              <w:pStyle w:val="85"/>
              <w:rPr>
                <w:rFonts w:cs="Times New Roman"/>
                <w:color w:val="000000" w:themeColor="text1"/>
                <w14:textFill>
                  <w14:solidFill>
                    <w14:schemeClr w14:val="tx1"/>
                  </w14:solidFill>
                </w14:textFill>
              </w:rPr>
            </w:pPr>
            <w:r>
              <w:t xml:space="preserve">2.95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8" w:type="pct"/>
            <w:vMerge w:val="continue"/>
            <w:vAlign w:val="center"/>
          </w:tcPr>
          <w:p>
            <w:pPr>
              <w:pStyle w:val="85"/>
              <w:rPr>
                <w:rFonts w:cs="Times New Roman"/>
                <w:color w:val="000000" w:themeColor="text1"/>
                <w14:textFill>
                  <w14:solidFill>
                    <w14:schemeClr w14:val="tx1"/>
                  </w14:solidFill>
                </w14:textFill>
              </w:rPr>
            </w:pPr>
          </w:p>
        </w:tc>
        <w:tc>
          <w:tcPr>
            <w:tcW w:w="111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1185" w:type="pct"/>
            <w:shd w:val="clear" w:color="auto" w:fill="auto"/>
            <w:noWrap/>
          </w:tcPr>
          <w:p>
            <w:pPr>
              <w:pStyle w:val="85"/>
              <w:rPr>
                <w:rFonts w:cs="Times New Roman"/>
                <w:color w:val="000000" w:themeColor="text1"/>
                <w14:textFill>
                  <w14:solidFill>
                    <w14:schemeClr w14:val="tx1"/>
                  </w14:solidFill>
                </w14:textFill>
              </w:rPr>
            </w:pPr>
            <w:r>
              <w:t xml:space="preserve">0.56 </w:t>
            </w:r>
          </w:p>
        </w:tc>
        <w:tc>
          <w:tcPr>
            <w:tcW w:w="933" w:type="pct"/>
            <w:shd w:val="clear" w:color="auto" w:fill="auto"/>
            <w:noWrap/>
          </w:tcPr>
          <w:p>
            <w:pPr>
              <w:pStyle w:val="85"/>
              <w:rPr>
                <w:rFonts w:cs="Times New Roman"/>
                <w:color w:val="000000" w:themeColor="text1"/>
                <w14:textFill>
                  <w14:solidFill>
                    <w14:schemeClr w14:val="tx1"/>
                  </w14:solidFill>
                </w14:textFill>
              </w:rPr>
            </w:pPr>
            <w:r>
              <w:t xml:space="preserve">1.16 </w:t>
            </w:r>
          </w:p>
        </w:tc>
        <w:tc>
          <w:tcPr>
            <w:tcW w:w="919" w:type="pct"/>
            <w:shd w:val="clear" w:color="auto" w:fill="auto"/>
            <w:noWrap/>
          </w:tcPr>
          <w:p>
            <w:pPr>
              <w:pStyle w:val="85"/>
              <w:rPr>
                <w:rFonts w:cs="Times New Roman"/>
                <w:color w:val="000000" w:themeColor="text1"/>
                <w14:textFill>
                  <w14:solidFill>
                    <w14:schemeClr w14:val="tx1"/>
                  </w14:solidFill>
                </w14:textFill>
              </w:rPr>
            </w:pPr>
            <w:r>
              <w:t xml:space="preserve">7.39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8" w:type="pct"/>
            <w:vMerge w:val="continue"/>
            <w:vAlign w:val="center"/>
          </w:tcPr>
          <w:p>
            <w:pPr>
              <w:pStyle w:val="85"/>
              <w:rPr>
                <w:rFonts w:cs="Times New Roman"/>
                <w:color w:val="000000" w:themeColor="text1"/>
                <w14:textFill>
                  <w14:solidFill>
                    <w14:schemeClr w14:val="tx1"/>
                  </w14:solidFill>
                </w14:textFill>
              </w:rPr>
            </w:pPr>
          </w:p>
        </w:tc>
        <w:tc>
          <w:tcPr>
            <w:tcW w:w="111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1185" w:type="pct"/>
            <w:shd w:val="clear" w:color="auto" w:fill="auto"/>
            <w:noWrap/>
          </w:tcPr>
          <w:p>
            <w:pPr>
              <w:pStyle w:val="85"/>
              <w:rPr>
                <w:rFonts w:cs="Times New Roman"/>
                <w:color w:val="000000" w:themeColor="text1"/>
                <w14:textFill>
                  <w14:solidFill>
                    <w14:schemeClr w14:val="tx1"/>
                  </w14:solidFill>
                </w14:textFill>
              </w:rPr>
            </w:pPr>
            <w:r>
              <w:t xml:space="preserve">0.03 </w:t>
            </w:r>
          </w:p>
        </w:tc>
        <w:tc>
          <w:tcPr>
            <w:tcW w:w="933" w:type="pct"/>
            <w:shd w:val="clear" w:color="auto" w:fill="auto"/>
            <w:noWrap/>
          </w:tcPr>
          <w:p>
            <w:pPr>
              <w:pStyle w:val="85"/>
              <w:rPr>
                <w:rFonts w:cs="Times New Roman"/>
                <w:color w:val="000000" w:themeColor="text1"/>
                <w14:textFill>
                  <w14:solidFill>
                    <w14:schemeClr w14:val="tx1"/>
                  </w14:solidFill>
                </w14:textFill>
              </w:rPr>
            </w:pPr>
            <w:r>
              <w:t xml:space="preserve">0.03 </w:t>
            </w:r>
          </w:p>
        </w:tc>
        <w:tc>
          <w:tcPr>
            <w:tcW w:w="919" w:type="pct"/>
            <w:shd w:val="clear" w:color="auto" w:fill="auto"/>
            <w:noWrap/>
          </w:tcPr>
          <w:p>
            <w:pPr>
              <w:pStyle w:val="85"/>
              <w:rPr>
                <w:rFonts w:cs="Times New Roman"/>
                <w:color w:val="000000" w:themeColor="text1"/>
                <w14:textFill>
                  <w14:solidFill>
                    <w14:schemeClr w14:val="tx1"/>
                  </w14:solidFill>
                </w14:textFill>
              </w:rPr>
            </w:pPr>
            <w:r>
              <w:t xml:space="preserve">0.10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848" w:type="pct"/>
            <w:vMerge w:val="continue"/>
            <w:vAlign w:val="center"/>
          </w:tcPr>
          <w:p>
            <w:pPr>
              <w:pStyle w:val="85"/>
              <w:rPr>
                <w:rFonts w:cs="Times New Roman"/>
                <w:color w:val="000000" w:themeColor="text1"/>
                <w14:textFill>
                  <w14:solidFill>
                    <w14:schemeClr w14:val="tx1"/>
                  </w14:solidFill>
                </w14:textFill>
              </w:rPr>
            </w:pPr>
          </w:p>
        </w:tc>
        <w:tc>
          <w:tcPr>
            <w:tcW w:w="111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185" w:type="pct"/>
            <w:shd w:val="clear" w:color="auto" w:fill="auto"/>
            <w:noWrap/>
          </w:tcPr>
          <w:p>
            <w:pPr>
              <w:pStyle w:val="85"/>
              <w:rPr>
                <w:rFonts w:cs="Times New Roman"/>
                <w:color w:val="000000" w:themeColor="text1"/>
                <w14:textFill>
                  <w14:solidFill>
                    <w14:schemeClr w14:val="tx1"/>
                  </w14:solidFill>
                </w14:textFill>
              </w:rPr>
            </w:pPr>
            <w:r>
              <w:t xml:space="preserve">0.64 </w:t>
            </w:r>
          </w:p>
        </w:tc>
        <w:tc>
          <w:tcPr>
            <w:tcW w:w="933" w:type="pct"/>
            <w:shd w:val="clear" w:color="auto" w:fill="auto"/>
            <w:noWrap/>
          </w:tcPr>
          <w:p>
            <w:pPr>
              <w:pStyle w:val="85"/>
              <w:rPr>
                <w:rFonts w:cs="Times New Roman"/>
                <w:color w:val="000000" w:themeColor="text1"/>
                <w14:textFill>
                  <w14:solidFill>
                    <w14:schemeClr w14:val="tx1"/>
                  </w14:solidFill>
                </w14:textFill>
              </w:rPr>
            </w:pPr>
            <w:r>
              <w:t xml:space="preserve">1.89 </w:t>
            </w:r>
          </w:p>
        </w:tc>
        <w:tc>
          <w:tcPr>
            <w:tcW w:w="919" w:type="pct"/>
            <w:shd w:val="clear" w:color="auto" w:fill="auto"/>
            <w:noWrap/>
          </w:tcPr>
          <w:p>
            <w:pPr>
              <w:pStyle w:val="85"/>
              <w:rPr>
                <w:rFonts w:cs="Times New Roman"/>
                <w:color w:val="000000" w:themeColor="text1"/>
                <w14:textFill>
                  <w14:solidFill>
                    <w14:schemeClr w14:val="tx1"/>
                  </w14:solidFill>
                </w14:textFill>
              </w:rPr>
            </w:pPr>
            <w:r>
              <w:t xml:space="preserve">10.44 </w:t>
            </w:r>
          </w:p>
        </w:tc>
      </w:tr>
    </w:tbl>
    <w:p>
      <w:pPr>
        <w:pStyle w:val="7"/>
      </w:pPr>
      <w:bookmarkStart w:id="70" w:name="_Toc105257945"/>
      <w:r>
        <w:t>工业发展预测</w:t>
      </w:r>
      <w:bookmarkEnd w:id="70"/>
    </w:p>
    <w:p>
      <w:pPr>
        <w:pStyle w:val="4"/>
      </w:pPr>
      <w:r>
        <w:t>根据《澄江市“十四五”工业和信息化发展规划（2021-2025年）》和《澄江工业园区总体规划2021-2035》，近期到2025年，澄江工业园区实现主营业务收入50亿元，工业总产值达到70亿元，工业增加值15亿元，可以提供就业人口约4万人。中期预计2030年，实现主营业务收入90亿元，工业总产值达到120亿元，工业增加值30亿元，可以提供就业人口约5万人。远期预计2035年，实现主营业务收入140亿元，工业总产值达到200亿元，工业增加值45亿元，可以提供就业人口约7万人。</w:t>
      </w:r>
    </w:p>
    <w:p>
      <w:pPr>
        <w:pStyle w:val="4"/>
      </w:pPr>
      <w:r>
        <w:t>根据《澄江工业园区总体规划2021-2035》中澄江工业园区发展布局，澄江工业园区形成“一园、一轴、三片”的空间结构，与城区形成“南城北产、产城融合”的空间布局。其中一园指云南澄江产业园区；一轴指产城融合发展轴；三片区指九村片、提古片、牛场片。九村片包含现有的东溪哨工业园区和蛟龙潭工业园区，牛场片为新建工业园区。澄江市工业主要集中在南盘江片区和提古片区，不涉及抚仙湖片区。</w:t>
      </w:r>
    </w:p>
    <w:p>
      <w:pPr>
        <w:pStyle w:val="4"/>
      </w:pPr>
      <w:r>
        <w:t>云南澄江产业园区规划总用地面积为15.73km</w:t>
      </w:r>
      <w:r>
        <w:rPr>
          <w:vertAlign w:val="superscript"/>
        </w:rPr>
        <w:t>2</w:t>
      </w:r>
      <w:r>
        <w:t>，已开发面积3.48km</w:t>
      </w:r>
      <w:r>
        <w:rPr>
          <w:vertAlign w:val="superscript"/>
        </w:rPr>
        <w:t>2</w:t>
      </w:r>
      <w:r>
        <w:t>.其中九村片规划总面积12.35km</w:t>
      </w:r>
      <w:r>
        <w:rPr>
          <w:vertAlign w:val="superscript"/>
        </w:rPr>
        <w:t>2</w:t>
      </w:r>
      <w:r>
        <w:t>，已开发面积3.29km</w:t>
      </w:r>
      <w:r>
        <w:rPr>
          <w:vertAlign w:val="superscript"/>
        </w:rPr>
        <w:t>2</w:t>
      </w:r>
      <w:r>
        <w:t>，定位澄江产城融合示范区，磷化工绿色转型升级示范基地；提古片规划面积1.00km</w:t>
      </w:r>
      <w:r>
        <w:rPr>
          <w:vertAlign w:val="superscript"/>
        </w:rPr>
        <w:t>2</w:t>
      </w:r>
      <w:r>
        <w:t>，已开发面积0.19km</w:t>
      </w:r>
      <w:r>
        <w:rPr>
          <w:vertAlign w:val="superscript"/>
        </w:rPr>
        <w:t>2</w:t>
      </w:r>
      <w:r>
        <w:t>，定位生物资源加工基地；牛场片规划面积2.38km</w:t>
      </w:r>
      <w:r>
        <w:rPr>
          <w:vertAlign w:val="superscript"/>
        </w:rPr>
        <w:t>2</w:t>
      </w:r>
      <w:r>
        <w:t>，还未开发，定位装备制造产业基地。</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澄江工业园区规划信息统计表</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1"/>
        <w:gridCol w:w="1507"/>
        <w:gridCol w:w="1508"/>
        <w:gridCol w:w="1508"/>
        <w:gridCol w:w="36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14"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澄江工业园区</w:t>
            </w:r>
          </w:p>
        </w:tc>
        <w:tc>
          <w:tcPr>
            <w:tcW w:w="811"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规划面积（km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未开发面积（km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已开发面积（km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tc>
        <w:tc>
          <w:tcPr>
            <w:tcW w:w="1950"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产业布局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14"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九村片</w:t>
            </w:r>
          </w:p>
        </w:tc>
        <w:tc>
          <w:tcPr>
            <w:tcW w:w="811"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12.35</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9.06</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3.29</w:t>
            </w:r>
          </w:p>
        </w:tc>
        <w:tc>
          <w:tcPr>
            <w:tcW w:w="1950"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澄江产城融合示范区，磷化工绿色转型升级示范基地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14"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w:t>
            </w:r>
          </w:p>
        </w:tc>
        <w:tc>
          <w:tcPr>
            <w:tcW w:w="811"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0.82</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0.19</w:t>
            </w:r>
          </w:p>
        </w:tc>
        <w:tc>
          <w:tcPr>
            <w:tcW w:w="1950"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生物资源加工基地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14"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牛场片</w:t>
            </w:r>
          </w:p>
        </w:tc>
        <w:tc>
          <w:tcPr>
            <w:tcW w:w="811"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2.38</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2.38</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1950"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装备制造产业基地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14"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11"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15.73</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12.25</w:t>
            </w:r>
          </w:p>
        </w:tc>
        <w:tc>
          <w:tcPr>
            <w:tcW w:w="81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3.48</w:t>
            </w:r>
          </w:p>
        </w:tc>
        <w:tc>
          <w:tcPr>
            <w:tcW w:w="1950" w:type="pct"/>
            <w:vAlign w:val="center"/>
          </w:tcPr>
          <w:p>
            <w:pPr>
              <w:pStyle w:val="85"/>
              <w:rPr>
                <w:rFonts w:cs="Times New Roman"/>
                <w:color w:val="000000" w:themeColor="text1"/>
                <w14:textFill>
                  <w14:solidFill>
                    <w14:schemeClr w14:val="tx1"/>
                  </w14:solidFill>
                </w14:textFill>
              </w:rPr>
            </w:pPr>
          </w:p>
        </w:tc>
      </w:tr>
    </w:tbl>
    <w:p>
      <w:pPr>
        <w:pStyle w:val="7"/>
      </w:pPr>
      <w:bookmarkStart w:id="71" w:name="_Toc105257946"/>
      <w:r>
        <w:t>农业发展预测</w:t>
      </w:r>
      <w:bookmarkEnd w:id="71"/>
    </w:p>
    <w:p>
      <w:pPr>
        <w:pStyle w:val="4"/>
      </w:pPr>
      <w:r>
        <w:t>与灌溉需水预测相对应，农业发展主要预测各规划水平年的耕园地面积农田灌溉面积等指标。农业发展预测以澄江市农业、土地等主管部门制定的规划为依据，结合地方产业结构调整要求，并充分考虑粮食安全和增加农民收入、历史变化规律等多方面的因素，力求反映全市农业发展需求的实际。</w:t>
      </w:r>
    </w:p>
    <w:p>
      <w:pPr>
        <w:pStyle w:val="4"/>
      </w:pPr>
      <w:r>
        <w:t>（1）耕园地面积</w:t>
      </w:r>
    </w:p>
    <w:p>
      <w:pPr>
        <w:pStyle w:val="4"/>
      </w:pPr>
      <w:r>
        <w:t>现状耕园地面积采用澄江市第三次土地调查的相关成果复核确定。本次规划收集了澄江《土地利用现状调查报告》等报告，耕园地预测以上述所完成的规划为基础，结合考虑土地需求和土地供给两方面的因素，规划水平年城市发展占地、工业园区占地及其他占地的影响，预测规划水平的耕园地面积。</w:t>
      </w:r>
    </w:p>
    <w:p>
      <w:pPr>
        <w:pStyle w:val="4"/>
      </w:pPr>
      <w:r>
        <w:t>规划范围内现状总的耕园地为29.10万亩，其中，耕地26.66万亩，园地2.43万亩。根据2020年国务院印发《关于坚决制止耕地“非农化”行为的通知》文件，要求采取有力措施，强化监督管理，落实好最严格的耕地保护制度，坚决制止各类耕地“非农化”行为，坚决守住耕地红线。结合国土资源部《关于改进管理方式切实落实耕地占补平衡的通知》（国土资规〔2017〕13号）文件中，要求改进耕地占补平衡管理，建立以数量为基础、产能为核心的占补新机制，通过“算大账”的方式，落实占一补一、占优补优、占水田补水田，促进耕地数量、质量和生态三位一体保护。由此预测规划年规划区内耕园地数量不减少，为29.10万亩，其中，耕地26.66万亩，园地2.43万亩。</w:t>
      </w:r>
    </w:p>
    <w:p>
      <w:pPr>
        <w:pStyle w:val="4"/>
      </w:pPr>
      <w:r>
        <w:t>抚仙湖片区现状耕园地20.04万亩，其中，耕地17.93万亩、园地2.12万亩；规划水平年，预测抚仙湖片区耕园地与现状相同。南盘江片区现状耕园地8.69万亩，其中，耕地8.39万亩、园地0.30万亩；规划年，南盘江片区工业发展用地主要占用的是城市建设用地，不额外占用耕地，预测片区耕园地面积与现状相同。提古片区现状耕园地0.36万亩，其中，耕地0.35万亩、园地0.01万亩；20</w:t>
      </w:r>
      <w:r>
        <w:rPr>
          <w:rFonts w:hint="eastAsia"/>
        </w:rPr>
        <w:t>3</w:t>
      </w:r>
      <w:r>
        <w:t>5年，预测提古片区耕园地面积与现状相同。</w:t>
      </w:r>
    </w:p>
    <w:p>
      <w:pPr>
        <w:pStyle w:val="4"/>
      </w:pPr>
      <w:r>
        <w:t>（2）有效灌溉面积</w:t>
      </w:r>
    </w:p>
    <w:p>
      <w:pPr>
        <w:pStyle w:val="4"/>
      </w:pPr>
      <w:r>
        <w:t>农田灌溉面积预测以澄江市农业宏观发展指标为控制，尽力满足区域内农业发展和粮食需求，综合考虑后备耕地条件和水资源条件、水利工程建设新增灌溉以及技术进步，并与有关经济发展预测的发展趋势相互印证。</w:t>
      </w:r>
    </w:p>
    <w:p>
      <w:pPr>
        <w:pStyle w:val="4"/>
      </w:pPr>
      <w:r>
        <w:t>澄江市是人口比较集中区域，随着城镇、道路等基础设施的建设，无法依靠扩大耕地面积来保证粮食增产和农民增收，应在提高粮食单产上找出路，而发展灌溉是提高粮食单产的基本条件。因此，为保证粮食稳定增产，增加高标准农田数量，增加农民收入。根据澄江市土地利用现状和《澄江市水安全保障“十四五”规划》，结合现有水源可灌范围及在建和未来新建水源状况，现状年全市范围内有效灌溉面积为</w:t>
      </w:r>
      <w:r>
        <w:rPr>
          <w:rFonts w:hint="eastAsia"/>
        </w:rPr>
        <w:t>9.58</w:t>
      </w:r>
      <w:r>
        <w:t>万亩，有效灌溉率</w:t>
      </w:r>
      <w:r>
        <w:rPr>
          <w:rFonts w:hint="eastAsia"/>
        </w:rPr>
        <w:t>32.92</w:t>
      </w:r>
      <w:r>
        <w:t>%；至规划水平年，</w:t>
      </w:r>
      <w:r>
        <w:rPr>
          <w:rFonts w:hint="eastAsia"/>
        </w:rPr>
        <w:t>海新灌区</w:t>
      </w:r>
      <w:r>
        <w:t>等工程建成，新增灌溉面积</w:t>
      </w:r>
      <w:r>
        <w:rPr>
          <w:rFonts w:hint="eastAsia"/>
        </w:rPr>
        <w:t>2.70</w:t>
      </w:r>
      <w:r>
        <w:t>万亩，全市范围内有效灌溉面积为</w:t>
      </w:r>
      <w:r>
        <w:rPr>
          <w:rFonts w:hint="eastAsia"/>
        </w:rPr>
        <w:t>12.28</w:t>
      </w:r>
      <w:r>
        <w:t>万亩，有效灌溉率提高至</w:t>
      </w:r>
      <w:r>
        <w:rPr>
          <w:rFonts w:hint="eastAsia"/>
        </w:rPr>
        <w:t>42.20</w:t>
      </w:r>
      <w:r>
        <w:t>%。全市范围内有集中连片耕地，坝区基本为高效节水，现状高效节水面积5.34万亩；规划水平年，规划范围内</w:t>
      </w:r>
      <w:r>
        <w:rPr>
          <w:rFonts w:hint="eastAsia"/>
        </w:rPr>
        <w:t>大力</w:t>
      </w:r>
      <w:r>
        <w:t>发展高效节水，</w:t>
      </w:r>
      <w:r>
        <w:rPr>
          <w:rFonts w:hint="eastAsia"/>
        </w:rPr>
        <w:t>通过梁王河、东大河灌区续建配套与现代化改造，</w:t>
      </w:r>
      <w:r>
        <w:t>预测高效节水面积</w:t>
      </w:r>
      <w:r>
        <w:rPr>
          <w:rFonts w:hint="eastAsia"/>
        </w:rPr>
        <w:t>10.11万亩</w:t>
      </w:r>
      <w:r>
        <w:t>，主要为现状高效节水范围内完善和对损毁的节水设施修缮，以提高规划范围节水水平。规划范围内的耕园地面积情况见下表。</w:t>
      </w:r>
    </w:p>
    <w:p>
      <w:pPr>
        <w:pStyle w:val="17"/>
        <w:ind w:firstLine="576"/>
        <w:rPr>
          <w:color w:val="000000" w:themeColor="text1"/>
          <w14:textFill>
            <w14:solidFill>
              <w14:schemeClr w14:val="tx1"/>
            </w14:solidFill>
          </w14:textFill>
        </w:rPr>
      </w:pP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规划范围内各水平年耕园地面积预测表    单位：万亩</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66"/>
        <w:gridCol w:w="1330"/>
        <w:gridCol w:w="1152"/>
        <w:gridCol w:w="1328"/>
        <w:gridCol w:w="1330"/>
        <w:gridCol w:w="1152"/>
        <w:gridCol w:w="13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897"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片区</w:t>
            </w:r>
          </w:p>
        </w:tc>
        <w:tc>
          <w:tcPr>
            <w:tcW w:w="2051" w:type="pct"/>
            <w:gridSpan w:val="3"/>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2051" w:type="pct"/>
            <w:gridSpan w:val="3"/>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897" w:type="pct"/>
            <w:vMerge w:val="continue"/>
            <w:vAlign w:val="center"/>
          </w:tcPr>
          <w:p>
            <w:pPr>
              <w:pStyle w:val="85"/>
              <w:rPr>
                <w:rFonts w:cs="Times New Roman"/>
                <w:color w:val="000000" w:themeColor="text1"/>
                <w14:textFill>
                  <w14:solidFill>
                    <w14:schemeClr w14:val="tx1"/>
                  </w14:solidFill>
                </w14:textFill>
              </w:rPr>
            </w:pP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耕地</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园地</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耕地</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园地</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17.93</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2.12</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20.05</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17.93</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2.12</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8.39</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0.30</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8.69</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8.39</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0.30</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0.35</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0.36</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0.35</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9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26.66</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2.43</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29.10</w:t>
            </w:r>
          </w:p>
        </w:tc>
        <w:tc>
          <w:tcPr>
            <w:tcW w:w="71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26.66</w:t>
            </w:r>
          </w:p>
        </w:tc>
        <w:tc>
          <w:tcPr>
            <w:tcW w:w="62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2.43</w:t>
            </w:r>
          </w:p>
        </w:tc>
        <w:tc>
          <w:tcPr>
            <w:tcW w:w="71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29.10</w:t>
            </w:r>
          </w:p>
        </w:tc>
      </w:tr>
    </w:tbl>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规划范围各水平年有效灌溉面积预测表    单位：万亩</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997"/>
        <w:gridCol w:w="997"/>
        <w:gridCol w:w="997"/>
        <w:gridCol w:w="997"/>
        <w:gridCol w:w="997"/>
        <w:gridCol w:w="998"/>
        <w:gridCol w:w="998"/>
        <w:gridCol w:w="9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705"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片区</w:t>
            </w:r>
          </w:p>
        </w:tc>
        <w:tc>
          <w:tcPr>
            <w:tcW w:w="1074" w:type="pct"/>
            <w:gridSpan w:val="2"/>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耕园地面积</w:t>
            </w:r>
          </w:p>
        </w:tc>
        <w:tc>
          <w:tcPr>
            <w:tcW w:w="1074" w:type="pct"/>
            <w:gridSpan w:val="2"/>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有效灌溉面积</w:t>
            </w:r>
          </w:p>
        </w:tc>
        <w:tc>
          <w:tcPr>
            <w:tcW w:w="1074" w:type="pct"/>
            <w:gridSpan w:val="2"/>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其中高效节水面积</w:t>
            </w:r>
          </w:p>
        </w:tc>
        <w:tc>
          <w:tcPr>
            <w:tcW w:w="1073" w:type="pct"/>
            <w:gridSpan w:val="2"/>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有效灌溉率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705" w:type="pct"/>
            <w:vMerge w:val="continue"/>
            <w:vAlign w:val="center"/>
          </w:tcPr>
          <w:p>
            <w:pPr>
              <w:pStyle w:val="85"/>
              <w:rPr>
                <w:rFonts w:cs="Times New Roman"/>
                <w:color w:val="000000" w:themeColor="text1"/>
                <w14:textFill>
                  <w14:solidFill>
                    <w14:schemeClr w14:val="tx1"/>
                  </w14:solidFill>
                </w14:textFill>
              </w:rPr>
            </w:pPr>
          </w:p>
        </w:tc>
        <w:tc>
          <w:tcPr>
            <w:tcW w:w="53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53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53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53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53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53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53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5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05"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537" w:type="pct"/>
            <w:shd w:val="clear" w:color="auto" w:fill="auto"/>
            <w:noWrap/>
          </w:tcPr>
          <w:p>
            <w:pPr>
              <w:pStyle w:val="85"/>
              <w:rPr>
                <w:rFonts w:cs="Times New Roman"/>
                <w:color w:val="000000" w:themeColor="text1"/>
                <w14:textFill>
                  <w14:solidFill>
                    <w14:schemeClr w14:val="tx1"/>
                  </w14:solidFill>
                </w14:textFill>
              </w:rPr>
            </w:pPr>
            <w:r>
              <w:t>20.05</w:t>
            </w:r>
          </w:p>
        </w:tc>
        <w:tc>
          <w:tcPr>
            <w:tcW w:w="537" w:type="pct"/>
            <w:shd w:val="clear" w:color="auto" w:fill="auto"/>
            <w:noWrap/>
          </w:tcPr>
          <w:p>
            <w:pPr>
              <w:pStyle w:val="85"/>
              <w:rPr>
                <w:rFonts w:cs="Times New Roman"/>
                <w:color w:val="000000" w:themeColor="text1"/>
                <w14:textFill>
                  <w14:solidFill>
                    <w14:schemeClr w14:val="tx1"/>
                  </w14:solidFill>
                </w14:textFill>
              </w:rPr>
            </w:pPr>
            <w:r>
              <w:t>20.05</w:t>
            </w:r>
          </w:p>
        </w:tc>
        <w:tc>
          <w:tcPr>
            <w:tcW w:w="537" w:type="pct"/>
            <w:shd w:val="clear" w:color="auto" w:fill="auto"/>
            <w:noWrap/>
          </w:tcPr>
          <w:p>
            <w:pPr>
              <w:pStyle w:val="85"/>
              <w:rPr>
                <w:rFonts w:cs="Times New Roman"/>
                <w:color w:val="000000" w:themeColor="text1"/>
                <w14:textFill>
                  <w14:solidFill>
                    <w14:schemeClr w14:val="tx1"/>
                  </w14:solidFill>
                </w14:textFill>
              </w:rPr>
            </w:pPr>
            <w:r>
              <w:t xml:space="preserve">8.50 </w:t>
            </w:r>
          </w:p>
        </w:tc>
        <w:tc>
          <w:tcPr>
            <w:tcW w:w="537" w:type="pct"/>
            <w:shd w:val="clear" w:color="auto" w:fill="auto"/>
            <w:noWrap/>
          </w:tcPr>
          <w:p>
            <w:pPr>
              <w:pStyle w:val="85"/>
              <w:rPr>
                <w:rFonts w:cs="Times New Roman"/>
                <w:color w:val="000000" w:themeColor="text1"/>
                <w14:textFill>
                  <w14:solidFill>
                    <w14:schemeClr w14:val="tx1"/>
                  </w14:solidFill>
                </w14:textFill>
              </w:rPr>
            </w:pPr>
            <w:r>
              <w:t xml:space="preserve">8.50 </w:t>
            </w:r>
          </w:p>
        </w:tc>
        <w:tc>
          <w:tcPr>
            <w:tcW w:w="537" w:type="pct"/>
            <w:shd w:val="clear" w:color="auto" w:fill="auto"/>
            <w:noWrap/>
          </w:tcPr>
          <w:p>
            <w:pPr>
              <w:pStyle w:val="85"/>
              <w:rPr>
                <w:rFonts w:cs="Times New Roman"/>
                <w:color w:val="000000" w:themeColor="text1"/>
                <w14:textFill>
                  <w14:solidFill>
                    <w14:schemeClr w14:val="tx1"/>
                  </w14:solidFill>
                </w14:textFill>
              </w:rPr>
            </w:pPr>
            <w:r>
              <w:t>4.81</w:t>
            </w:r>
          </w:p>
        </w:tc>
        <w:tc>
          <w:tcPr>
            <w:tcW w:w="537" w:type="pct"/>
            <w:shd w:val="clear" w:color="auto" w:fill="auto"/>
            <w:noWrap/>
          </w:tcPr>
          <w:p>
            <w:pPr>
              <w:pStyle w:val="85"/>
              <w:rPr>
                <w:rFonts w:cs="Times New Roman"/>
                <w:color w:val="000000" w:themeColor="text1"/>
                <w14:textFill>
                  <w14:solidFill>
                    <w14:schemeClr w14:val="tx1"/>
                  </w14:solidFill>
                </w14:textFill>
              </w:rPr>
            </w:pPr>
            <w:r>
              <w:t>6.88</w:t>
            </w:r>
          </w:p>
        </w:tc>
        <w:tc>
          <w:tcPr>
            <w:tcW w:w="537" w:type="pct"/>
            <w:shd w:val="clear" w:color="auto" w:fill="auto"/>
            <w:noWrap/>
          </w:tcPr>
          <w:p>
            <w:pPr>
              <w:pStyle w:val="85"/>
              <w:rPr>
                <w:rFonts w:cs="Times New Roman"/>
                <w:color w:val="000000" w:themeColor="text1"/>
                <w14:textFill>
                  <w14:solidFill>
                    <w14:schemeClr w14:val="tx1"/>
                  </w14:solidFill>
                </w14:textFill>
              </w:rPr>
            </w:pPr>
            <w:r>
              <w:t>42.39%</w:t>
            </w:r>
          </w:p>
        </w:tc>
        <w:tc>
          <w:tcPr>
            <w:tcW w:w="536" w:type="pct"/>
            <w:shd w:val="clear" w:color="auto" w:fill="auto"/>
            <w:noWrap/>
          </w:tcPr>
          <w:p>
            <w:pPr>
              <w:pStyle w:val="85"/>
              <w:rPr>
                <w:rFonts w:cs="Times New Roman"/>
                <w:color w:val="000000" w:themeColor="text1"/>
                <w14:textFill>
                  <w14:solidFill>
                    <w14:schemeClr w14:val="tx1"/>
                  </w14:solidFill>
                </w14:textFill>
              </w:rPr>
            </w:pPr>
            <w:r>
              <w:t>42.39%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05"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537" w:type="pct"/>
            <w:shd w:val="clear" w:color="auto" w:fill="auto"/>
            <w:noWrap/>
          </w:tcPr>
          <w:p>
            <w:pPr>
              <w:pStyle w:val="85"/>
              <w:rPr>
                <w:rFonts w:cs="Times New Roman"/>
                <w:color w:val="000000" w:themeColor="text1"/>
                <w14:textFill>
                  <w14:solidFill>
                    <w14:schemeClr w14:val="tx1"/>
                  </w14:solidFill>
                </w14:textFill>
              </w:rPr>
            </w:pPr>
            <w:r>
              <w:t>8.69</w:t>
            </w:r>
          </w:p>
        </w:tc>
        <w:tc>
          <w:tcPr>
            <w:tcW w:w="537" w:type="pct"/>
            <w:shd w:val="clear" w:color="auto" w:fill="auto"/>
            <w:noWrap/>
          </w:tcPr>
          <w:p>
            <w:pPr>
              <w:pStyle w:val="85"/>
              <w:rPr>
                <w:rFonts w:cs="Times New Roman"/>
                <w:color w:val="000000" w:themeColor="text1"/>
                <w14:textFill>
                  <w14:solidFill>
                    <w14:schemeClr w14:val="tx1"/>
                  </w14:solidFill>
                </w14:textFill>
              </w:rPr>
            </w:pPr>
            <w:r>
              <w:t>8.69</w:t>
            </w:r>
          </w:p>
        </w:tc>
        <w:tc>
          <w:tcPr>
            <w:tcW w:w="537" w:type="pct"/>
            <w:shd w:val="clear" w:color="auto" w:fill="auto"/>
            <w:noWrap/>
          </w:tcPr>
          <w:p>
            <w:pPr>
              <w:pStyle w:val="85"/>
              <w:rPr>
                <w:rFonts w:cs="Times New Roman"/>
                <w:color w:val="000000" w:themeColor="text1"/>
                <w14:textFill>
                  <w14:solidFill>
                    <w14:schemeClr w14:val="tx1"/>
                  </w14:solidFill>
                </w14:textFill>
              </w:rPr>
            </w:pPr>
            <w:r>
              <w:t xml:space="preserve">1.08 </w:t>
            </w:r>
          </w:p>
        </w:tc>
        <w:tc>
          <w:tcPr>
            <w:tcW w:w="537" w:type="pct"/>
            <w:shd w:val="clear" w:color="auto" w:fill="auto"/>
            <w:noWrap/>
          </w:tcPr>
          <w:p>
            <w:pPr>
              <w:pStyle w:val="85"/>
              <w:rPr>
                <w:rFonts w:cs="Times New Roman"/>
                <w:color w:val="000000" w:themeColor="text1"/>
                <w14:textFill>
                  <w14:solidFill>
                    <w14:schemeClr w14:val="tx1"/>
                  </w14:solidFill>
                </w14:textFill>
              </w:rPr>
            </w:pPr>
            <w:r>
              <w:t xml:space="preserve">3.78 </w:t>
            </w:r>
          </w:p>
        </w:tc>
        <w:tc>
          <w:tcPr>
            <w:tcW w:w="537" w:type="pct"/>
            <w:shd w:val="clear" w:color="auto" w:fill="auto"/>
            <w:noWrap/>
          </w:tcPr>
          <w:p>
            <w:pPr>
              <w:pStyle w:val="85"/>
              <w:rPr>
                <w:rFonts w:cs="Times New Roman"/>
                <w:color w:val="000000" w:themeColor="text1"/>
                <w14:textFill>
                  <w14:solidFill>
                    <w14:schemeClr w14:val="tx1"/>
                  </w14:solidFill>
                </w14:textFill>
              </w:rPr>
            </w:pPr>
            <w:r>
              <w:t>0.53</w:t>
            </w:r>
          </w:p>
        </w:tc>
        <w:tc>
          <w:tcPr>
            <w:tcW w:w="537" w:type="pct"/>
            <w:shd w:val="clear" w:color="auto" w:fill="auto"/>
            <w:noWrap/>
          </w:tcPr>
          <w:p>
            <w:pPr>
              <w:pStyle w:val="85"/>
              <w:rPr>
                <w:rFonts w:cs="Times New Roman"/>
                <w:color w:val="000000" w:themeColor="text1"/>
                <w14:textFill>
                  <w14:solidFill>
                    <w14:schemeClr w14:val="tx1"/>
                  </w14:solidFill>
                </w14:textFill>
              </w:rPr>
            </w:pPr>
            <w:r>
              <w:t>3.23</w:t>
            </w:r>
          </w:p>
        </w:tc>
        <w:tc>
          <w:tcPr>
            <w:tcW w:w="537" w:type="pct"/>
            <w:shd w:val="clear" w:color="auto" w:fill="auto"/>
            <w:noWrap/>
          </w:tcPr>
          <w:p>
            <w:pPr>
              <w:pStyle w:val="85"/>
              <w:rPr>
                <w:rFonts w:cs="Times New Roman"/>
                <w:color w:val="000000" w:themeColor="text1"/>
                <w14:textFill>
                  <w14:solidFill>
                    <w14:schemeClr w14:val="tx1"/>
                  </w14:solidFill>
                </w14:textFill>
              </w:rPr>
            </w:pPr>
            <w:r>
              <w:t>12.43%</w:t>
            </w:r>
          </w:p>
        </w:tc>
        <w:tc>
          <w:tcPr>
            <w:tcW w:w="536" w:type="pct"/>
            <w:shd w:val="clear" w:color="auto" w:fill="auto"/>
            <w:noWrap/>
          </w:tcPr>
          <w:p>
            <w:pPr>
              <w:pStyle w:val="85"/>
              <w:rPr>
                <w:rFonts w:cs="Times New Roman"/>
                <w:color w:val="000000" w:themeColor="text1"/>
                <w14:textFill>
                  <w14:solidFill>
                    <w14:schemeClr w14:val="tx1"/>
                  </w14:solidFill>
                </w14:textFill>
              </w:rPr>
            </w:pPr>
            <w:r>
              <w:t>43.50%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05"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537" w:type="pct"/>
            <w:shd w:val="clear" w:color="auto" w:fill="auto"/>
            <w:noWrap/>
          </w:tcPr>
          <w:p>
            <w:pPr>
              <w:pStyle w:val="85"/>
              <w:rPr>
                <w:rFonts w:cs="Times New Roman"/>
                <w:color w:val="000000" w:themeColor="text1"/>
                <w14:textFill>
                  <w14:solidFill>
                    <w14:schemeClr w14:val="tx1"/>
                  </w14:solidFill>
                </w14:textFill>
              </w:rPr>
            </w:pPr>
            <w:r>
              <w:t>0.36</w:t>
            </w:r>
          </w:p>
        </w:tc>
        <w:tc>
          <w:tcPr>
            <w:tcW w:w="537" w:type="pct"/>
            <w:shd w:val="clear" w:color="auto" w:fill="auto"/>
            <w:noWrap/>
          </w:tcPr>
          <w:p>
            <w:pPr>
              <w:pStyle w:val="85"/>
              <w:rPr>
                <w:rFonts w:cs="Times New Roman"/>
                <w:color w:val="000000" w:themeColor="text1"/>
                <w14:textFill>
                  <w14:solidFill>
                    <w14:schemeClr w14:val="tx1"/>
                  </w14:solidFill>
                </w14:textFill>
              </w:rPr>
            </w:pPr>
            <w:r>
              <w:t>0.36</w:t>
            </w:r>
          </w:p>
        </w:tc>
        <w:tc>
          <w:tcPr>
            <w:tcW w:w="537" w:type="pct"/>
            <w:shd w:val="clear" w:color="auto" w:fill="auto"/>
            <w:noWrap/>
          </w:tcPr>
          <w:p>
            <w:pPr>
              <w:pStyle w:val="85"/>
              <w:rPr>
                <w:rFonts w:cs="Times New Roman"/>
                <w:color w:val="000000" w:themeColor="text1"/>
                <w14:textFill>
                  <w14:solidFill>
                    <w14:schemeClr w14:val="tx1"/>
                  </w14:solidFill>
                </w14:textFill>
              </w:rPr>
            </w:pPr>
            <w:r>
              <w:t>0</w:t>
            </w:r>
          </w:p>
        </w:tc>
        <w:tc>
          <w:tcPr>
            <w:tcW w:w="537" w:type="pct"/>
            <w:shd w:val="clear" w:color="auto" w:fill="auto"/>
            <w:noWrap/>
          </w:tcPr>
          <w:p>
            <w:pPr>
              <w:pStyle w:val="85"/>
              <w:rPr>
                <w:rFonts w:cs="Times New Roman"/>
                <w:color w:val="000000" w:themeColor="text1"/>
                <w14:textFill>
                  <w14:solidFill>
                    <w14:schemeClr w14:val="tx1"/>
                  </w14:solidFill>
                </w14:textFill>
              </w:rPr>
            </w:pPr>
            <w:r>
              <w:t>0</w:t>
            </w:r>
          </w:p>
        </w:tc>
        <w:tc>
          <w:tcPr>
            <w:tcW w:w="537" w:type="pct"/>
            <w:shd w:val="clear" w:color="auto" w:fill="auto"/>
            <w:noWrap/>
          </w:tcPr>
          <w:p>
            <w:pPr>
              <w:pStyle w:val="85"/>
              <w:rPr>
                <w:rFonts w:cs="Times New Roman"/>
                <w:color w:val="000000" w:themeColor="text1"/>
                <w14:textFill>
                  <w14:solidFill>
                    <w14:schemeClr w14:val="tx1"/>
                  </w14:solidFill>
                </w14:textFill>
              </w:rPr>
            </w:pPr>
            <w:r>
              <w:t>0</w:t>
            </w:r>
          </w:p>
        </w:tc>
        <w:tc>
          <w:tcPr>
            <w:tcW w:w="537" w:type="pct"/>
            <w:shd w:val="clear" w:color="auto" w:fill="auto"/>
            <w:noWrap/>
          </w:tcPr>
          <w:p>
            <w:pPr>
              <w:pStyle w:val="85"/>
              <w:rPr>
                <w:rFonts w:cs="Times New Roman"/>
                <w:color w:val="000000" w:themeColor="text1"/>
                <w14:textFill>
                  <w14:solidFill>
                    <w14:schemeClr w14:val="tx1"/>
                  </w14:solidFill>
                </w14:textFill>
              </w:rPr>
            </w:pPr>
            <w:r>
              <w:t>0</w:t>
            </w:r>
          </w:p>
        </w:tc>
        <w:tc>
          <w:tcPr>
            <w:tcW w:w="537" w:type="pct"/>
            <w:shd w:val="clear" w:color="auto" w:fill="auto"/>
            <w:noWrap/>
          </w:tcPr>
          <w:p>
            <w:pPr>
              <w:pStyle w:val="85"/>
              <w:rPr>
                <w:rFonts w:cs="Times New Roman"/>
                <w:color w:val="000000" w:themeColor="text1"/>
                <w14:textFill>
                  <w14:solidFill>
                    <w14:schemeClr w14:val="tx1"/>
                  </w14:solidFill>
                </w14:textFill>
              </w:rPr>
            </w:pPr>
            <w:r>
              <w:t>0.00%</w:t>
            </w:r>
          </w:p>
        </w:tc>
        <w:tc>
          <w:tcPr>
            <w:tcW w:w="536" w:type="pct"/>
            <w:shd w:val="clear" w:color="auto" w:fill="auto"/>
            <w:noWrap/>
          </w:tcPr>
          <w:p>
            <w:pPr>
              <w:pStyle w:val="85"/>
              <w:rPr>
                <w:rFonts w:cs="Times New Roman"/>
                <w:color w:val="000000" w:themeColor="text1"/>
                <w14:textFill>
                  <w14:solidFill>
                    <w14:schemeClr w14:val="tx1"/>
                  </w14:solidFill>
                </w14:textFill>
              </w:rPr>
            </w:pPr>
            <w: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05"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537" w:type="pct"/>
            <w:shd w:val="clear" w:color="auto" w:fill="auto"/>
            <w:noWrap/>
          </w:tcPr>
          <w:p>
            <w:pPr>
              <w:pStyle w:val="85"/>
              <w:rPr>
                <w:rFonts w:cs="Times New Roman"/>
                <w:color w:val="000000" w:themeColor="text1"/>
                <w14:textFill>
                  <w14:solidFill>
                    <w14:schemeClr w14:val="tx1"/>
                  </w14:solidFill>
                </w14:textFill>
              </w:rPr>
            </w:pPr>
            <w:r>
              <w:t>29.1</w:t>
            </w:r>
          </w:p>
        </w:tc>
        <w:tc>
          <w:tcPr>
            <w:tcW w:w="537" w:type="pct"/>
            <w:shd w:val="clear" w:color="auto" w:fill="auto"/>
            <w:noWrap/>
          </w:tcPr>
          <w:p>
            <w:pPr>
              <w:pStyle w:val="85"/>
              <w:rPr>
                <w:rFonts w:cs="Times New Roman"/>
                <w:color w:val="000000" w:themeColor="text1"/>
                <w14:textFill>
                  <w14:solidFill>
                    <w14:schemeClr w14:val="tx1"/>
                  </w14:solidFill>
                </w14:textFill>
              </w:rPr>
            </w:pPr>
            <w:r>
              <w:t>29.1</w:t>
            </w:r>
          </w:p>
        </w:tc>
        <w:tc>
          <w:tcPr>
            <w:tcW w:w="537" w:type="pct"/>
            <w:shd w:val="clear" w:color="auto" w:fill="auto"/>
            <w:noWrap/>
          </w:tcPr>
          <w:p>
            <w:pPr>
              <w:pStyle w:val="85"/>
              <w:rPr>
                <w:rFonts w:cs="Times New Roman"/>
                <w:color w:val="000000" w:themeColor="text1"/>
                <w14:textFill>
                  <w14:solidFill>
                    <w14:schemeClr w14:val="tx1"/>
                  </w14:solidFill>
                </w14:textFill>
              </w:rPr>
            </w:pPr>
            <w:r>
              <w:t xml:space="preserve">9.58 </w:t>
            </w:r>
          </w:p>
        </w:tc>
        <w:tc>
          <w:tcPr>
            <w:tcW w:w="537" w:type="pct"/>
            <w:shd w:val="clear" w:color="auto" w:fill="auto"/>
            <w:noWrap/>
          </w:tcPr>
          <w:p>
            <w:pPr>
              <w:pStyle w:val="85"/>
              <w:rPr>
                <w:rFonts w:cs="Times New Roman"/>
                <w:color w:val="000000" w:themeColor="text1"/>
                <w14:textFill>
                  <w14:solidFill>
                    <w14:schemeClr w14:val="tx1"/>
                  </w14:solidFill>
                </w14:textFill>
              </w:rPr>
            </w:pPr>
            <w:r>
              <w:t xml:space="preserve">12.28 </w:t>
            </w:r>
          </w:p>
        </w:tc>
        <w:tc>
          <w:tcPr>
            <w:tcW w:w="537" w:type="pct"/>
            <w:shd w:val="clear" w:color="auto" w:fill="auto"/>
            <w:noWrap/>
          </w:tcPr>
          <w:p>
            <w:pPr>
              <w:pStyle w:val="85"/>
              <w:rPr>
                <w:rFonts w:cs="Times New Roman"/>
                <w:color w:val="000000" w:themeColor="text1"/>
                <w14:textFill>
                  <w14:solidFill>
                    <w14:schemeClr w14:val="tx1"/>
                  </w14:solidFill>
                </w14:textFill>
              </w:rPr>
            </w:pPr>
            <w:r>
              <w:t>5.34</w:t>
            </w:r>
          </w:p>
        </w:tc>
        <w:tc>
          <w:tcPr>
            <w:tcW w:w="537" w:type="pct"/>
            <w:shd w:val="clear" w:color="auto" w:fill="auto"/>
            <w:noWrap/>
          </w:tcPr>
          <w:p>
            <w:pPr>
              <w:pStyle w:val="85"/>
              <w:rPr>
                <w:rFonts w:cs="Times New Roman"/>
                <w:color w:val="000000" w:themeColor="text1"/>
                <w14:textFill>
                  <w14:solidFill>
                    <w14:schemeClr w14:val="tx1"/>
                  </w14:solidFill>
                </w14:textFill>
              </w:rPr>
            </w:pPr>
            <w:r>
              <w:t>10.11</w:t>
            </w:r>
          </w:p>
        </w:tc>
        <w:tc>
          <w:tcPr>
            <w:tcW w:w="537" w:type="pct"/>
            <w:shd w:val="clear" w:color="auto" w:fill="auto"/>
            <w:noWrap/>
          </w:tcPr>
          <w:p>
            <w:pPr>
              <w:pStyle w:val="85"/>
              <w:rPr>
                <w:rFonts w:cs="Times New Roman"/>
                <w:color w:val="000000" w:themeColor="text1"/>
                <w14:textFill>
                  <w14:solidFill>
                    <w14:schemeClr w14:val="tx1"/>
                  </w14:solidFill>
                </w14:textFill>
              </w:rPr>
            </w:pPr>
            <w:r>
              <w:t>32.92%</w:t>
            </w:r>
          </w:p>
        </w:tc>
        <w:tc>
          <w:tcPr>
            <w:tcW w:w="536" w:type="pct"/>
            <w:shd w:val="clear" w:color="auto" w:fill="auto"/>
            <w:noWrap/>
          </w:tcPr>
          <w:p>
            <w:pPr>
              <w:pStyle w:val="85"/>
              <w:rPr>
                <w:rFonts w:cs="Times New Roman"/>
                <w:color w:val="000000" w:themeColor="text1"/>
                <w14:textFill>
                  <w14:solidFill>
                    <w14:schemeClr w14:val="tx1"/>
                  </w14:solidFill>
                </w14:textFill>
              </w:rPr>
            </w:pPr>
            <w:r>
              <w:t>42.20%</w:t>
            </w:r>
          </w:p>
        </w:tc>
      </w:tr>
    </w:tbl>
    <w:p>
      <w:pPr>
        <w:pStyle w:val="7"/>
      </w:pPr>
      <w:bookmarkStart w:id="72" w:name="_Toc105257947"/>
      <w:r>
        <w:t>旅游业发展预测</w:t>
      </w:r>
      <w:bookmarkEnd w:id="72"/>
    </w:p>
    <w:p>
      <w:pPr>
        <w:pStyle w:val="4"/>
      </w:pPr>
      <w:r>
        <w:t>根据《澄江市2022年国民经济和社会发展统计年报》，现状年含托管区全市共接待国内游客618.5万人，同比下降18.2%，截止2022年底，澄江市共有住宿设施664家，床位数25822个，其中：星级宾馆2家（象山宾馆、禄充龙马阳光酒店），床位数297个。高端度假酒店5家（抚仙湖希尔顿酒店、海豚湾酒店、翡翠湾酒店、滇池春天酒店、华美达酒店）共有床位数3014个，星级民宿20家，共有床位438个。澄江市旅游主要集中在抚仙湖流域，以抚仙湖沿湖周边为主。《澄江市“十四五”文化</w:t>
      </w:r>
      <w:r>
        <w:rPr>
          <w:rFonts w:hint="eastAsia"/>
        </w:rPr>
        <w:t>和</w:t>
      </w:r>
      <w:r>
        <w:t>旅游发展规划》提出，“十四五”期间，澄江市将积极融入和服务国家战略，结合云南省做强核心圈、做特两大带、做响大环线、打造集聚区的总体布局思路，构建澄江市文化旅游、健康养生、会议会展发展的“一湖为核，一城驱动，四区支撑，一环串联”空间布局，形成全域共建、全域共融、全域共享的现代服务业发展新模式。</w:t>
      </w:r>
    </w:p>
    <w:p>
      <w:pPr>
        <w:pStyle w:val="4"/>
      </w:pPr>
      <w:r>
        <w:t>根据澄江市“十四五”以文化旅游、健康养生、会议会展为重点的现代服务业发展规划》，到2025年澄江市旅游人口达到950万，20</w:t>
      </w:r>
      <w:r>
        <w:rPr>
          <w:rFonts w:hint="eastAsia"/>
        </w:rPr>
        <w:t>3</w:t>
      </w:r>
      <w:r>
        <w:t>5年到规划水平根据2019~2022年旅游人口的平均增长率2%预算，规划水平年全市旅游人口达1158万人。</w:t>
      </w:r>
    </w:p>
    <w:p>
      <w:pPr>
        <w:pStyle w:val="6"/>
      </w:pPr>
      <w:bookmarkStart w:id="73" w:name="_Toc105257948"/>
      <w:r>
        <w:t>需水预测</w:t>
      </w:r>
      <w:bookmarkEnd w:id="73"/>
    </w:p>
    <w:p>
      <w:pPr>
        <w:pStyle w:val="4"/>
      </w:pPr>
      <w:r>
        <w:t>为了满足水价计算需要，本次需水预测包括城镇生活用水、旅游用水、工业用水、农村用水和农业用水四类。城镇生活用水包括城镇居民生活、城镇公共和城镇环境，旅游用水主要为来抚仙湖旅游的生活用水，工业用水包括工业园区用水和一般工业用水，农村用水包括农村居民生活用水和牲畜用水，农业用水为农田灌溉用水。</w:t>
      </w:r>
    </w:p>
    <w:p>
      <w:pPr>
        <w:pStyle w:val="4"/>
      </w:pPr>
      <w:r>
        <w:t>在社会经济发展预测的基础上，充分考虑规划区水资源条件、可供水量、用水与节水水平、需水管理、水价及水市场因素对需求的调节作用等因素的前提下，经过相应的需水定额、用水效率分析确定，计算出各类用水户在不同水平年、不同保证率情况下的毛需水量。</w:t>
      </w:r>
    </w:p>
    <w:p>
      <w:pPr>
        <w:pStyle w:val="7"/>
      </w:pPr>
      <w:bookmarkStart w:id="74" w:name="_Toc105257949"/>
      <w:r>
        <w:t>城镇生活需水预测</w:t>
      </w:r>
      <w:bookmarkEnd w:id="74"/>
    </w:p>
    <w:p>
      <w:pPr>
        <w:pStyle w:val="4"/>
      </w:pPr>
      <w:r>
        <w:t>城镇生活用水指城镇用水中除工业用水以外的所有用水，包括城镇居民生活用水、公共用水、城镇环境用水。</w:t>
      </w:r>
    </w:p>
    <w:p>
      <w:pPr>
        <w:pStyle w:val="4"/>
      </w:pPr>
      <w:r>
        <w:t>（1）各水平年需水定额</w:t>
      </w:r>
    </w:p>
    <w:p>
      <w:pPr>
        <w:pStyle w:val="4"/>
      </w:pPr>
      <w:r>
        <w:t>城镇生活综合需水定额采用人均日用水量方法进行预测，根据经济社会发展水平、城镇规模、人均收入水平、水价水平、节水器具推广与普及情况，结合气候条件、生活用水习惯进行拟定。城镇生活综合需水定额为城镇居民生活需水定额、城镇公共需水定额和城镇环境需水定额之和，通过对现状城镇供、用水情况调查分析，结合《云南省用水定额》（2019年版 经云水发〔2019〕112号发布）得出现状各种类型城镇的居民生活用水定额。结合规划区现状城镇生活用水定额与节水潜力，预测20</w:t>
      </w:r>
      <w:r>
        <w:rPr>
          <w:rFonts w:hint="eastAsia"/>
        </w:rPr>
        <w:t>3</w:t>
      </w:r>
      <w:r>
        <w:t>5年城镇生活需水定额。城镇生活用水以自来水厂集中供水为主，输水管路普遍较长，需要考虑长距离的输水损失，所以，拟定的定额为净定额。澄江市城镇生活综合用水定额现状年为160L/人·d，其中，城镇居民生活用水110L/人·d，公共用水40L/人·d，城镇环境用水10L/人·d；规划年提高到190L/人·d，其中，城镇居民生活用水130L/人·d，公共用水45L/人·d，城镇环境用水15L/人·d。各水平年城镇生活需水定额成果见下表。</w:t>
      </w:r>
    </w:p>
    <w:p>
      <w:pPr>
        <w:pStyle w:val="17"/>
        <w:keepNext/>
        <w:ind w:firstLine="576"/>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澄江市城镇生活需水定额表</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单位：L/人·d</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7"/>
        <w:gridCol w:w="1997"/>
        <w:gridCol w:w="1997"/>
        <w:gridCol w:w="1997"/>
        <w:gridCol w:w="19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3"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水平年</w:t>
            </w:r>
          </w:p>
        </w:tc>
        <w:tc>
          <w:tcPr>
            <w:tcW w:w="1094"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居民生活用水</w:t>
            </w:r>
          </w:p>
        </w:tc>
        <w:tc>
          <w:tcPr>
            <w:tcW w:w="1094" w:type="pct"/>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公共用水</w:t>
            </w:r>
          </w:p>
        </w:tc>
        <w:tc>
          <w:tcPr>
            <w:tcW w:w="1094" w:type="pct"/>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环境用水</w:t>
            </w:r>
          </w:p>
        </w:tc>
        <w:tc>
          <w:tcPr>
            <w:tcW w:w="1094"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3"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1094"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110</w:t>
            </w:r>
          </w:p>
        </w:tc>
        <w:tc>
          <w:tcPr>
            <w:tcW w:w="1094" w:type="pct"/>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1094" w:type="pct"/>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094"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3"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1094"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1094" w:type="pct"/>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45</w:t>
            </w:r>
          </w:p>
        </w:tc>
        <w:tc>
          <w:tcPr>
            <w:tcW w:w="1094" w:type="pct"/>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1094" w:type="pct"/>
            <w:noWrap/>
            <w:tcMar>
              <w:top w:w="0" w:type="dxa"/>
              <w:left w:w="28" w:type="dxa"/>
              <w:bottom w:w="0" w:type="dxa"/>
              <w:right w:w="28" w:type="dxa"/>
            </w:tcMar>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190</w:t>
            </w:r>
          </w:p>
        </w:tc>
      </w:tr>
    </w:tbl>
    <w:p>
      <w:pPr>
        <w:pStyle w:val="4"/>
      </w:pPr>
      <w:r>
        <w:t>（2）节水及管网漏损</w:t>
      </w:r>
    </w:p>
    <w:p>
      <w:pPr>
        <w:pStyle w:val="4"/>
      </w:pPr>
      <w:r>
        <w:t>城镇生活节水要与城市化发展和人民生活水平相适应，同时考虑人口和资源条件，对水资源的需求和供给加以适当限制。节水重点在城市，按城市生活节水标准规划发展，并由城市向城镇推进；通过强化管理，建设和推广节水设施，逐步使用水定额得到控制，并使总用水增长率逐步降低，逐步将污水处理费征收标准调整到保本微利的水平。基本对策有：一是实行计划用水和定额管理；二是全面推行节水型用水器具，禁止生产国家已明令淘汰的用水设备和器具，提高生活用水节水效率；三是加快城市供水管网技术改造，降低输配水管网漏失率，严格限制城市自来水可供区域内的各种自备水源；四是加大城镇生活污水处理和回用力度，积极推广“中水道”技术，新建大型宾馆、饭店、文化体育设施以及办公楼、住宅区，应当按照有关配套建设中水设施的规定建设中水设施，今后城市在新建供水设施的同时，要规划建设相应的污水处理、污水回用设施；城市大型公共建筑和公共供水管网覆盖范围外的自备水源单位，都应当建立中水系统。澄江市城市供水管网现状年管网漏失率为25%，至规划年，随着城乡供排水一体化工程实施及城市供水管网更新，管网漏失率下降到9%，未预见水量均按11%计，自来水厂自用水量各水平年均按5%计。</w:t>
      </w:r>
    </w:p>
    <w:p>
      <w:pPr>
        <w:pStyle w:val="4"/>
      </w:pPr>
      <w:r>
        <w:t>（3）各水平年需水量</w:t>
      </w:r>
    </w:p>
    <w:p>
      <w:pPr>
        <w:pStyle w:val="4"/>
      </w:pPr>
      <w:r>
        <w:t>城镇生活需水以城镇用水人口和需水定额计算出净需水量，再考虑供水管网漏失率、未预见水量、自用水量后得城镇生活毛需水量。</w:t>
      </w:r>
      <w:bookmarkStart w:id="75" w:name="_Hlk184266899"/>
      <w:r>
        <w:t>澄江市现状年城镇生活总需水量为734万m</w:t>
      </w:r>
      <w:r>
        <w:rPr>
          <w:vertAlign w:val="superscript"/>
        </w:rPr>
        <w:t>3</w:t>
      </w:r>
      <w:r>
        <w:t>，其中抚仙湖片区为718万m</w:t>
      </w:r>
      <w:r>
        <w:rPr>
          <w:vertAlign w:val="superscript"/>
        </w:rPr>
        <w:t>3</w:t>
      </w:r>
      <w:r>
        <w:t>，南盘江片区为16万m</w:t>
      </w:r>
      <w:r>
        <w:rPr>
          <w:vertAlign w:val="superscript"/>
        </w:rPr>
        <w:t>3</w:t>
      </w:r>
      <w:r>
        <w:t>；预测规划水平年城镇生活总需水量为1162万m</w:t>
      </w:r>
      <w:r>
        <w:rPr>
          <w:vertAlign w:val="superscript"/>
        </w:rPr>
        <w:t>3</w:t>
      </w:r>
      <w:r>
        <w:t>，其中抚仙湖片区为1138万m</w:t>
      </w:r>
      <w:r>
        <w:rPr>
          <w:vertAlign w:val="superscript"/>
        </w:rPr>
        <w:t>3</w:t>
      </w:r>
      <w:r>
        <w:t>，南盘江片区为24万m</w:t>
      </w:r>
      <w:r>
        <w:rPr>
          <w:vertAlign w:val="superscript"/>
        </w:rPr>
        <w:t>3</w:t>
      </w:r>
      <w:r>
        <w:t>。</w:t>
      </w:r>
      <w:bookmarkEnd w:id="75"/>
      <w:r>
        <w:t>澄江市各片区各水平年城镇生活需水计算汇总情况见下表。</w:t>
      </w:r>
    </w:p>
    <w:p>
      <w:pPr>
        <w:pStyle w:val="17"/>
        <w:keepNext/>
        <w:ind w:left="800" w:firstLine="576"/>
        <w:rPr>
          <w:color w:val="000000" w:themeColor="text1"/>
          <w:szCs w:val="24"/>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澄江市城镇生活</w:t>
      </w:r>
      <w:r>
        <w:rPr>
          <w:color w:val="000000" w:themeColor="text1"/>
          <w:szCs w:val="24"/>
          <w14:textFill>
            <w14:solidFill>
              <w14:schemeClr w14:val="tx1"/>
            </w14:solidFill>
          </w14:textFill>
        </w:rPr>
        <w:t>毛需水量计算表</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6"/>
        <w:gridCol w:w="1116"/>
        <w:gridCol w:w="836"/>
        <w:gridCol w:w="794"/>
        <w:gridCol w:w="936"/>
        <w:gridCol w:w="936"/>
        <w:gridCol w:w="576"/>
        <w:gridCol w:w="1504"/>
        <w:gridCol w:w="1012"/>
        <w:gridCol w:w="8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水平年</w:t>
            </w:r>
          </w:p>
        </w:tc>
        <w:tc>
          <w:tcPr>
            <w:tcW w:w="0" w:type="auto"/>
            <w:vMerge w:val="restart"/>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片区名称</w:t>
            </w:r>
          </w:p>
        </w:tc>
        <w:tc>
          <w:tcPr>
            <w:tcW w:w="0" w:type="auto"/>
            <w:vMerge w:val="restart"/>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城镇人口</w:t>
            </w:r>
          </w:p>
        </w:tc>
        <w:tc>
          <w:tcPr>
            <w:tcW w:w="0" w:type="auto"/>
            <w:gridSpan w:val="4"/>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城镇生活用水定额</w:t>
            </w:r>
          </w:p>
        </w:tc>
        <w:tc>
          <w:tcPr>
            <w:tcW w:w="0" w:type="auto"/>
            <w:vMerge w:val="restart"/>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管网漏损及未预见水量</w:t>
            </w:r>
          </w:p>
        </w:tc>
        <w:tc>
          <w:tcPr>
            <w:tcW w:w="0" w:type="auto"/>
            <w:vMerge w:val="restart"/>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自来水厂自用</w:t>
            </w:r>
          </w:p>
        </w:tc>
        <w:tc>
          <w:tcPr>
            <w:tcW w:w="0" w:type="auto"/>
            <w:vMerge w:val="restart"/>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毛需水量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vMerge w:val="continue"/>
            <w:shd w:val="clear" w:color="auto" w:fill="auto"/>
            <w:vAlign w:val="center"/>
          </w:tcPr>
          <w:p>
            <w:pPr>
              <w:pStyle w:val="85"/>
              <w:rPr>
                <w:rFonts w:cs="Times New Roman"/>
                <w:color w:val="000000" w:themeColor="text1"/>
                <w:sz w:val="18"/>
                <w14:textFill>
                  <w14:solidFill>
                    <w14:schemeClr w14:val="tx1"/>
                  </w14:solidFill>
                </w14:textFill>
              </w:rPr>
            </w:pPr>
          </w:p>
        </w:tc>
        <w:tc>
          <w:tcPr>
            <w:tcW w:w="0" w:type="auto"/>
            <w:vMerge w:val="continue"/>
            <w:shd w:val="clear" w:color="auto" w:fill="auto"/>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城镇居民</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城镇公共</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城镇生态</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综合</w:t>
            </w:r>
          </w:p>
        </w:tc>
        <w:tc>
          <w:tcPr>
            <w:tcW w:w="0" w:type="auto"/>
            <w:vMerge w:val="continue"/>
            <w:shd w:val="clear" w:color="auto" w:fill="auto"/>
            <w:vAlign w:val="center"/>
          </w:tcPr>
          <w:p>
            <w:pPr>
              <w:pStyle w:val="85"/>
              <w:rPr>
                <w:rFonts w:cs="Times New Roman"/>
                <w:color w:val="000000" w:themeColor="text1"/>
                <w:sz w:val="18"/>
                <w14:textFill>
                  <w14:solidFill>
                    <w14:schemeClr w14:val="tx1"/>
                  </w14:solidFill>
                </w14:textFill>
              </w:rPr>
            </w:pPr>
          </w:p>
        </w:tc>
        <w:tc>
          <w:tcPr>
            <w:tcW w:w="0" w:type="auto"/>
            <w:vMerge w:val="continue"/>
            <w:vAlign w:val="center"/>
          </w:tcPr>
          <w:p>
            <w:pPr>
              <w:pStyle w:val="85"/>
              <w:rPr>
                <w:rFonts w:cs="Times New Roman"/>
                <w:color w:val="000000" w:themeColor="text1"/>
                <w:sz w:val="18"/>
                <w14:textFill>
                  <w14:solidFill>
                    <w14:schemeClr w14:val="tx1"/>
                  </w14:solidFill>
                </w14:textFill>
              </w:rPr>
            </w:pPr>
          </w:p>
        </w:tc>
        <w:tc>
          <w:tcPr>
            <w:tcW w:w="0" w:type="auto"/>
            <w:vMerge w:val="continue"/>
            <w:shd w:val="clear" w:color="auto" w:fill="auto"/>
            <w:vAlign w:val="center"/>
          </w:tcPr>
          <w:p>
            <w:pPr>
              <w:pStyle w:val="85"/>
              <w:rPr>
                <w:rFonts w:cs="Times New Roman"/>
                <w:color w:val="000000" w:themeColor="text1"/>
                <w:sz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vMerge w:val="continue"/>
            <w:shd w:val="clear" w:color="auto" w:fill="auto"/>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万人</w:t>
            </w:r>
          </w:p>
        </w:tc>
        <w:tc>
          <w:tcPr>
            <w:tcW w:w="0" w:type="auto"/>
            <w:gridSpan w:val="4"/>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L/人·d</w:t>
            </w: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万m³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现状年</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抚仙湖片区</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9.46 </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110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40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160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25</w:t>
            </w:r>
          </w:p>
        </w:tc>
        <w:tc>
          <w:tcPr>
            <w:tcW w:w="0" w:type="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5</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718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南盘江片区</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0.21 </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110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40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160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25</w:t>
            </w:r>
          </w:p>
        </w:tc>
        <w:tc>
          <w:tcPr>
            <w:tcW w:w="0" w:type="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5</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16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提古片区</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0.00 </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合计</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9.67 </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734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规划年</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抚仙湖片区</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13.13 </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130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45</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15</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190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20</w:t>
            </w:r>
          </w:p>
        </w:tc>
        <w:tc>
          <w:tcPr>
            <w:tcW w:w="0" w:type="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5</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1138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南盘江片区</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0.29 </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130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45</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15</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190</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20</w:t>
            </w:r>
          </w:p>
        </w:tc>
        <w:tc>
          <w:tcPr>
            <w:tcW w:w="0" w:type="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5</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24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提古片区</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0.00 </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vAlign w:val="center"/>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合计</w:t>
            </w: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13.42 </w:t>
            </w: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vAlign w:val="center"/>
          </w:tcPr>
          <w:p>
            <w:pPr>
              <w:pStyle w:val="85"/>
              <w:rPr>
                <w:rFonts w:cs="Times New Roman"/>
                <w:color w:val="000000" w:themeColor="text1"/>
                <w:sz w:val="18"/>
                <w14:textFill>
                  <w14:solidFill>
                    <w14:schemeClr w14:val="tx1"/>
                  </w14:solidFill>
                </w14:textFill>
              </w:rPr>
            </w:pPr>
          </w:p>
        </w:tc>
        <w:tc>
          <w:tcPr>
            <w:tcW w:w="0" w:type="auto"/>
            <w:vAlign w:val="center"/>
          </w:tcPr>
          <w:p>
            <w:pPr>
              <w:pStyle w:val="85"/>
              <w:rPr>
                <w:rFonts w:cs="Times New Roman"/>
                <w:color w:val="000000" w:themeColor="text1"/>
                <w:sz w:val="18"/>
                <w14:textFill>
                  <w14:solidFill>
                    <w14:schemeClr w14:val="tx1"/>
                  </w14:solidFill>
                </w14:textFill>
              </w:rPr>
            </w:pPr>
          </w:p>
        </w:tc>
        <w:tc>
          <w:tcPr>
            <w:tcW w:w="0" w:type="auto"/>
            <w:shd w:val="clear" w:color="auto" w:fill="auto"/>
            <w:noWrap/>
          </w:tcPr>
          <w:p>
            <w:pPr>
              <w:pStyle w:val="85"/>
              <w:rPr>
                <w:rFonts w:cs="Times New Roman"/>
                <w:color w:val="000000" w:themeColor="text1"/>
                <w:sz w:val="18"/>
                <w14:textFill>
                  <w14:solidFill>
                    <w14:schemeClr w14:val="tx1"/>
                  </w14:solidFill>
                </w14:textFill>
              </w:rPr>
            </w:pPr>
            <w:r>
              <w:rPr>
                <w:rFonts w:cs="Times New Roman"/>
                <w:color w:val="000000" w:themeColor="text1"/>
                <w:sz w:val="18"/>
                <w14:textFill>
                  <w14:solidFill>
                    <w14:schemeClr w14:val="tx1"/>
                  </w14:solidFill>
                </w14:textFill>
              </w:rPr>
              <w:t xml:space="preserve">1162 </w:t>
            </w:r>
          </w:p>
        </w:tc>
      </w:tr>
    </w:tbl>
    <w:p>
      <w:pPr>
        <w:pStyle w:val="7"/>
        <w:rPr>
          <w:rFonts w:eastAsia="仿宋_GB2312"/>
        </w:rPr>
      </w:pPr>
      <w:bookmarkStart w:id="76" w:name="_Toc105257950"/>
      <w:r>
        <w:t>农村生活需水预测</w:t>
      </w:r>
      <w:bookmarkEnd w:id="76"/>
    </w:p>
    <w:p>
      <w:pPr>
        <w:pStyle w:val="219"/>
        <w:ind w:firstLine="496"/>
        <w:rPr>
          <w:color w:val="000000" w:themeColor="text1"/>
          <w14:textFill>
            <w14:solidFill>
              <w14:schemeClr w14:val="tx1"/>
            </w14:solidFill>
          </w14:textFill>
        </w:rPr>
      </w:pPr>
      <w:r>
        <w:rPr>
          <w:color w:val="000000" w:themeColor="text1"/>
          <w14:textFill>
            <w14:solidFill>
              <w14:schemeClr w14:val="tx1"/>
            </w14:solidFill>
          </w14:textFill>
        </w:rPr>
        <w:t>（1）</w:t>
      </w:r>
      <w:bookmarkStart w:id="77" w:name="_Hlk184266949"/>
      <w:r>
        <w:rPr>
          <w:color w:val="000000" w:themeColor="text1"/>
          <w14:textFill>
            <w14:solidFill>
              <w14:schemeClr w14:val="tx1"/>
            </w14:solidFill>
          </w14:textFill>
        </w:rPr>
        <w:t>农村人畜生活需水定额</w:t>
      </w:r>
      <w:bookmarkEnd w:id="77"/>
    </w:p>
    <w:p>
      <w:pPr>
        <w:pStyle w:val="4"/>
      </w:pPr>
      <w:r>
        <w:t>1</w:t>
      </w:r>
      <w:r>
        <w:rPr>
          <w:rFonts w:hint="eastAsia"/>
        </w:rPr>
        <w:t>）</w:t>
      </w:r>
      <w:r>
        <w:t>农村居民生活需水净定额</w:t>
      </w:r>
    </w:p>
    <w:p>
      <w:pPr>
        <w:pStyle w:val="4"/>
      </w:pPr>
      <w:r>
        <w:t>农村居民生活需水主要指农村居民的生活饮用水和日常生活用水，采用人均用水定额法进行预测。影响农村居民用水定额的因素主要包括农村居民用水方式、生活习俗及供水条件等。在现状供用水调查的基础上，</w:t>
      </w:r>
      <w:bookmarkStart w:id="78" w:name="_Hlk184266970"/>
      <w:r>
        <w:t>结合《云南省用水定额》（2019年版 经云水发〔2019〕112号发布）等综合确定。澄江市为亚热带区（</w:t>
      </w:r>
      <w:r>
        <w:rPr>
          <w:rFonts w:eastAsia="微软雅黑"/>
        </w:rPr>
        <w:t>Ⅱ</w:t>
      </w:r>
      <w:r>
        <w:t>区），农村居民现状需水定额取</w:t>
      </w:r>
      <w:r>
        <w:rPr>
          <w:rFonts w:hint="eastAsia"/>
        </w:rPr>
        <w:t>75</w:t>
      </w:r>
      <w:r>
        <w:t>L/人·d，规划水平年取为</w:t>
      </w:r>
      <w:r>
        <w:rPr>
          <w:rFonts w:hint="eastAsia"/>
        </w:rPr>
        <w:t>85</w:t>
      </w:r>
      <w:r>
        <w:t>L/人·d。</w:t>
      </w:r>
    </w:p>
    <w:bookmarkEnd w:id="78"/>
    <w:p>
      <w:pPr>
        <w:pStyle w:val="4"/>
      </w:pPr>
      <w:r>
        <w:t>2</w:t>
      </w:r>
      <w:r>
        <w:rPr>
          <w:rFonts w:hint="eastAsia"/>
        </w:rPr>
        <w:t>）</w:t>
      </w:r>
      <w:r>
        <w:t>牲畜需水定额</w:t>
      </w:r>
    </w:p>
    <w:p>
      <w:pPr>
        <w:pStyle w:val="4"/>
      </w:pPr>
      <w:r>
        <w:t>牲畜用水分大、小牲畜、家禽按每头（只）日均用水量计算，需水定额参照《云南省用水定额》（2019年版 经云水发〔2019〕112号发布）确定。</w:t>
      </w:r>
      <w:bookmarkStart w:id="79" w:name="_Hlk184266984"/>
      <w:r>
        <w:t>大牲畜用水定额取50L/头·d，小牲畜用水定额分别为</w:t>
      </w:r>
      <w:r>
        <w:rPr>
          <w:rFonts w:hint="eastAsia"/>
        </w:rPr>
        <w:t>30</w:t>
      </w:r>
      <w:r>
        <w:t>L/头·d，家禽用水定额取</w:t>
      </w:r>
      <w:r>
        <w:rPr>
          <w:rFonts w:hint="eastAsia"/>
        </w:rPr>
        <w:t>1.2</w:t>
      </w:r>
      <w:r>
        <w:t>L/只·d。</w:t>
      </w:r>
      <w:bookmarkEnd w:id="79"/>
    </w:p>
    <w:p>
      <w:pPr>
        <w:pStyle w:val="17"/>
        <w:keepNext/>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 xml:space="preserve">  澄江市农村生活需水定额表</w:t>
      </w:r>
    </w:p>
    <w:p>
      <w:pPr>
        <w:pStyle w:val="89"/>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单位：L/人（头、只）·d</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1551"/>
        <w:gridCol w:w="2061"/>
        <w:gridCol w:w="2061"/>
        <w:gridCol w:w="15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11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水平年</w:t>
            </w:r>
          </w:p>
        </w:tc>
        <w:tc>
          <w:tcPr>
            <w:tcW w:w="83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农村</w:t>
            </w:r>
          </w:p>
        </w:tc>
        <w:tc>
          <w:tcPr>
            <w:tcW w:w="111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大牲畜</w:t>
            </w:r>
          </w:p>
        </w:tc>
        <w:tc>
          <w:tcPr>
            <w:tcW w:w="111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小牲畜</w:t>
            </w:r>
          </w:p>
        </w:tc>
        <w:tc>
          <w:tcPr>
            <w:tcW w:w="83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家禽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1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835" w:type="pct"/>
            <w:shd w:val="clear" w:color="auto" w:fill="auto"/>
            <w:noWrap/>
            <w:vAlign w:val="center"/>
          </w:tcPr>
          <w:p>
            <w:pPr>
              <w:pStyle w:val="85"/>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75</w:t>
            </w:r>
          </w:p>
        </w:tc>
        <w:tc>
          <w:tcPr>
            <w:tcW w:w="1110" w:type="pct"/>
            <w:shd w:val="clear" w:color="auto" w:fill="auto"/>
            <w:noWrap/>
            <w:vAlign w:val="center"/>
          </w:tcPr>
          <w:p>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1110" w:type="pct"/>
            <w:shd w:val="clear" w:color="auto" w:fill="auto"/>
            <w:vAlign w:val="center"/>
          </w:tcPr>
          <w:p>
            <w:pPr>
              <w:pStyle w:val="85"/>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30</w:t>
            </w:r>
          </w:p>
        </w:tc>
        <w:tc>
          <w:tcPr>
            <w:tcW w:w="835" w:type="pct"/>
            <w:shd w:val="clear" w:color="auto" w:fill="auto"/>
            <w:vAlign w:val="center"/>
          </w:tcPr>
          <w:p>
            <w:pPr>
              <w:pStyle w:val="85"/>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1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835" w:type="pct"/>
            <w:shd w:val="clear" w:color="auto" w:fill="auto"/>
            <w:noWrap/>
            <w:vAlign w:val="center"/>
          </w:tcPr>
          <w:p>
            <w:pPr>
              <w:pStyle w:val="85"/>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85</w:t>
            </w:r>
          </w:p>
        </w:tc>
        <w:tc>
          <w:tcPr>
            <w:tcW w:w="1110" w:type="pct"/>
            <w:shd w:val="clear" w:color="auto" w:fill="auto"/>
            <w:noWrap/>
            <w:vAlign w:val="center"/>
          </w:tcPr>
          <w:p>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1110" w:type="pct"/>
            <w:shd w:val="clear" w:color="auto" w:fill="auto"/>
            <w:vAlign w:val="center"/>
          </w:tcPr>
          <w:p>
            <w:pPr>
              <w:pStyle w:val="85"/>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30</w:t>
            </w:r>
          </w:p>
        </w:tc>
        <w:tc>
          <w:tcPr>
            <w:tcW w:w="835" w:type="pct"/>
            <w:shd w:val="clear" w:color="auto" w:fill="auto"/>
            <w:vAlign w:val="center"/>
          </w:tcPr>
          <w:p>
            <w:pPr>
              <w:pStyle w:val="85"/>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1.2</w:t>
            </w:r>
          </w:p>
        </w:tc>
      </w:tr>
    </w:tbl>
    <w:p>
      <w:pPr>
        <w:pStyle w:val="50"/>
        <w:ind w:firstLine="248"/>
        <w:rPr>
          <w:rFonts w:eastAsiaTheme="minorEastAsia"/>
          <w:color w:val="000000" w:themeColor="text1"/>
          <w:spacing w:val="4"/>
          <w:kern w:val="2"/>
          <w:position w:val="0"/>
          <w:sz w:val="24"/>
          <w:szCs w:val="28"/>
          <w14:textFill>
            <w14:solidFill>
              <w14:schemeClr w14:val="tx1"/>
            </w14:solidFill>
          </w14:textFill>
        </w:rPr>
      </w:pPr>
      <w:r>
        <w:rPr>
          <w:rFonts w:eastAsiaTheme="minorEastAsia"/>
          <w:color w:val="000000" w:themeColor="text1"/>
          <w:spacing w:val="4"/>
          <w:kern w:val="2"/>
          <w:position w:val="0"/>
          <w:sz w:val="24"/>
          <w:szCs w:val="28"/>
          <w14:textFill>
            <w14:solidFill>
              <w14:schemeClr w14:val="tx1"/>
            </w14:solidFill>
          </w14:textFill>
        </w:rPr>
        <w:t>（2）农村生活需水量</w:t>
      </w:r>
    </w:p>
    <w:p>
      <w:pPr>
        <w:pStyle w:val="4"/>
      </w:pPr>
      <w:r>
        <w:t>根据预测的各水平年农村人口、牲畜数量和拟定的用水定额，可计算得到农村生活净需水量。供水线路存在一定的输水损失，供水管网现状年管网漏失率按25%考虑，至规划水平年，随着农村供水保障工程实施及管网更新，管网漏失率下降到15%，规划水平年考虑5%未预见水量。</w:t>
      </w:r>
    </w:p>
    <w:p>
      <w:pPr>
        <w:pStyle w:val="4"/>
      </w:pPr>
      <w:bookmarkStart w:id="80" w:name="_Hlk184267018"/>
      <w:r>
        <w:t>澄江市现状年农村生活需水量366万m³，其中抚仙湖片区为296万m³，南盘江片区为65万m³，提古片区为4万m³；到规划年澄江市农村生活需水量为267万m³，</w:t>
      </w:r>
      <w:bookmarkEnd w:id="80"/>
      <w:r>
        <w:t>其中抚仙湖片区为203万m³，南盘江片区为58万m³，提古片区为5万m³。农村生活需水计算成果见下表。</w:t>
      </w:r>
    </w:p>
    <w:p>
      <w:pPr>
        <w:pStyle w:val="17"/>
        <w:keepNext/>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 xml:space="preserve">  澄江市农村生活需水量计算表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7"/>
        <w:gridCol w:w="1588"/>
        <w:gridCol w:w="1605"/>
        <w:gridCol w:w="1248"/>
        <w:gridCol w:w="1250"/>
        <w:gridCol w:w="1250"/>
        <w:gridCol w:w="12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restar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水平年</w:t>
            </w:r>
          </w:p>
        </w:tc>
        <w:tc>
          <w:tcPr>
            <w:tcW w:w="855" w:type="pct"/>
            <w:vMerge w:val="restar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分区</w:t>
            </w:r>
          </w:p>
        </w:tc>
        <w:tc>
          <w:tcPr>
            <w:tcW w:w="3554" w:type="pct"/>
            <w:gridSpan w:val="5"/>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农村生活需水量（万m³）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continue"/>
            <w:vAlign w:val="center"/>
          </w:tcPr>
          <w:p>
            <w:pPr>
              <w:pStyle w:val="85"/>
              <w:rPr>
                <w:rFonts w:cs="Times New Roman"/>
                <w:color w:val="000000" w:themeColor="text1"/>
                <w14:textFill>
                  <w14:solidFill>
                    <w14:schemeClr w14:val="tx1"/>
                  </w14:solidFill>
                </w14:textFill>
              </w:rPr>
            </w:pPr>
          </w:p>
        </w:tc>
        <w:tc>
          <w:tcPr>
            <w:tcW w:w="855" w:type="pct"/>
            <w:vMerge w:val="continue"/>
            <w:vAlign w:val="center"/>
          </w:tcPr>
          <w:p>
            <w:pPr>
              <w:pStyle w:val="85"/>
              <w:rPr>
                <w:rFonts w:cs="Times New Roman"/>
                <w:color w:val="000000" w:themeColor="text1"/>
                <w14:textFill>
                  <w14:solidFill>
                    <w14:schemeClr w14:val="tx1"/>
                  </w14:solidFill>
                </w14:textFill>
              </w:rPr>
            </w:pPr>
          </w:p>
        </w:tc>
        <w:tc>
          <w:tcPr>
            <w:tcW w:w="864"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农村居民</w:t>
            </w:r>
          </w:p>
        </w:tc>
        <w:tc>
          <w:tcPr>
            <w:tcW w:w="672"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大牲畜</w:t>
            </w:r>
          </w:p>
        </w:tc>
        <w:tc>
          <w:tcPr>
            <w:tcW w:w="673"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小牲畜</w:t>
            </w:r>
          </w:p>
        </w:tc>
        <w:tc>
          <w:tcPr>
            <w:tcW w:w="673"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家禽</w:t>
            </w:r>
          </w:p>
        </w:tc>
        <w:tc>
          <w:tcPr>
            <w:tcW w:w="672" w:type="pct"/>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restart"/>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855"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864" w:type="pct"/>
          </w:tcPr>
          <w:p>
            <w:pPr>
              <w:pStyle w:val="85"/>
              <w:rPr>
                <w:rFonts w:cs="Times New Roman"/>
                <w:color w:val="000000" w:themeColor="text1"/>
                <w14:textFill>
                  <w14:solidFill>
                    <w14:schemeClr w14:val="tx1"/>
                  </w14:solidFill>
                </w14:textFill>
              </w:rPr>
            </w:pPr>
            <w:r>
              <w:t xml:space="preserve">261 </w:t>
            </w:r>
          </w:p>
        </w:tc>
        <w:tc>
          <w:tcPr>
            <w:tcW w:w="672" w:type="pct"/>
            <w:noWrap/>
          </w:tcPr>
          <w:p>
            <w:pPr>
              <w:pStyle w:val="85"/>
              <w:rPr>
                <w:rFonts w:cs="Times New Roman"/>
                <w:color w:val="000000" w:themeColor="text1"/>
                <w14:textFill>
                  <w14:solidFill>
                    <w14:schemeClr w14:val="tx1"/>
                  </w14:solidFill>
                </w14:textFill>
              </w:rPr>
            </w:pPr>
            <w:r>
              <w:t xml:space="preserve">6 </w:t>
            </w:r>
          </w:p>
        </w:tc>
        <w:tc>
          <w:tcPr>
            <w:tcW w:w="673" w:type="pct"/>
            <w:noWrap/>
          </w:tcPr>
          <w:p>
            <w:pPr>
              <w:pStyle w:val="85"/>
              <w:rPr>
                <w:rFonts w:cs="Times New Roman"/>
                <w:color w:val="000000" w:themeColor="text1"/>
                <w14:textFill>
                  <w14:solidFill>
                    <w14:schemeClr w14:val="tx1"/>
                  </w14:solidFill>
                </w14:textFill>
              </w:rPr>
            </w:pPr>
            <w:r>
              <w:t xml:space="preserve">24 </w:t>
            </w:r>
          </w:p>
        </w:tc>
        <w:tc>
          <w:tcPr>
            <w:tcW w:w="673" w:type="pct"/>
            <w:noWrap/>
          </w:tcPr>
          <w:p>
            <w:pPr>
              <w:pStyle w:val="85"/>
              <w:rPr>
                <w:rFonts w:cs="Times New Roman"/>
                <w:color w:val="000000" w:themeColor="text1"/>
                <w14:textFill>
                  <w14:solidFill>
                    <w14:schemeClr w14:val="tx1"/>
                  </w14:solidFill>
                </w14:textFill>
              </w:rPr>
            </w:pPr>
            <w:r>
              <w:t xml:space="preserve">6 </w:t>
            </w:r>
          </w:p>
        </w:tc>
        <w:tc>
          <w:tcPr>
            <w:tcW w:w="672" w:type="pct"/>
            <w:noWrap/>
          </w:tcPr>
          <w:p>
            <w:pPr>
              <w:pStyle w:val="85"/>
              <w:rPr>
                <w:rFonts w:cs="Times New Roman"/>
                <w:color w:val="000000" w:themeColor="text1"/>
                <w14:textFill>
                  <w14:solidFill>
                    <w14:schemeClr w14:val="tx1"/>
                  </w14:solidFill>
                </w14:textFill>
              </w:rPr>
            </w:pPr>
            <w:r>
              <w:t xml:space="preserve">296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continue"/>
            <w:vAlign w:val="center"/>
          </w:tcPr>
          <w:p>
            <w:pPr>
              <w:pStyle w:val="85"/>
              <w:rPr>
                <w:rFonts w:cs="Times New Roman"/>
                <w:color w:val="000000" w:themeColor="text1"/>
                <w14:textFill>
                  <w14:solidFill>
                    <w14:schemeClr w14:val="tx1"/>
                  </w14:solidFill>
                </w14:textFill>
              </w:rPr>
            </w:pPr>
          </w:p>
        </w:tc>
        <w:tc>
          <w:tcPr>
            <w:tcW w:w="855"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864" w:type="pct"/>
          </w:tcPr>
          <w:p>
            <w:pPr>
              <w:pStyle w:val="85"/>
              <w:rPr>
                <w:rFonts w:cs="Times New Roman"/>
                <w:color w:val="000000" w:themeColor="text1"/>
                <w14:textFill>
                  <w14:solidFill>
                    <w14:schemeClr w14:val="tx1"/>
                  </w14:solidFill>
                </w14:textFill>
              </w:rPr>
            </w:pPr>
            <w:r>
              <w:t xml:space="preserve">36 </w:t>
            </w:r>
          </w:p>
        </w:tc>
        <w:tc>
          <w:tcPr>
            <w:tcW w:w="672" w:type="pct"/>
            <w:noWrap/>
          </w:tcPr>
          <w:p>
            <w:pPr>
              <w:pStyle w:val="85"/>
              <w:rPr>
                <w:rFonts w:cs="Times New Roman"/>
                <w:color w:val="000000" w:themeColor="text1"/>
                <w14:textFill>
                  <w14:solidFill>
                    <w14:schemeClr w14:val="tx1"/>
                  </w14:solidFill>
                </w14:textFill>
              </w:rPr>
            </w:pPr>
            <w:r>
              <w:t xml:space="preserve">11 </w:t>
            </w:r>
          </w:p>
        </w:tc>
        <w:tc>
          <w:tcPr>
            <w:tcW w:w="673" w:type="pct"/>
            <w:noWrap/>
          </w:tcPr>
          <w:p>
            <w:pPr>
              <w:pStyle w:val="85"/>
              <w:rPr>
                <w:rFonts w:cs="Times New Roman"/>
                <w:color w:val="000000" w:themeColor="text1"/>
                <w14:textFill>
                  <w14:solidFill>
                    <w14:schemeClr w14:val="tx1"/>
                  </w14:solidFill>
                </w14:textFill>
              </w:rPr>
            </w:pPr>
            <w:r>
              <w:t xml:space="preserve">14 </w:t>
            </w:r>
          </w:p>
        </w:tc>
        <w:tc>
          <w:tcPr>
            <w:tcW w:w="673" w:type="pct"/>
            <w:noWrap/>
          </w:tcPr>
          <w:p>
            <w:pPr>
              <w:pStyle w:val="85"/>
              <w:rPr>
                <w:rFonts w:cs="Times New Roman"/>
                <w:color w:val="000000" w:themeColor="text1"/>
                <w14:textFill>
                  <w14:solidFill>
                    <w14:schemeClr w14:val="tx1"/>
                  </w14:solidFill>
                </w14:textFill>
              </w:rPr>
            </w:pPr>
            <w:r>
              <w:t xml:space="preserve">4 </w:t>
            </w:r>
          </w:p>
        </w:tc>
        <w:tc>
          <w:tcPr>
            <w:tcW w:w="672" w:type="pct"/>
            <w:noWrap/>
          </w:tcPr>
          <w:p>
            <w:pPr>
              <w:pStyle w:val="85"/>
              <w:rPr>
                <w:rFonts w:cs="Times New Roman"/>
                <w:color w:val="000000" w:themeColor="text1"/>
                <w14:textFill>
                  <w14:solidFill>
                    <w14:schemeClr w14:val="tx1"/>
                  </w14:solidFill>
                </w14:textFill>
              </w:rPr>
            </w:pPr>
            <w:r>
              <w:t xml:space="preserve">65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continue"/>
            <w:vAlign w:val="center"/>
          </w:tcPr>
          <w:p>
            <w:pPr>
              <w:pStyle w:val="85"/>
              <w:rPr>
                <w:rFonts w:cs="Times New Roman"/>
                <w:color w:val="000000" w:themeColor="text1"/>
                <w14:textFill>
                  <w14:solidFill>
                    <w14:schemeClr w14:val="tx1"/>
                  </w14:solidFill>
                </w14:textFill>
              </w:rPr>
            </w:pPr>
          </w:p>
        </w:tc>
        <w:tc>
          <w:tcPr>
            <w:tcW w:w="855"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864" w:type="pct"/>
          </w:tcPr>
          <w:p>
            <w:pPr>
              <w:pStyle w:val="85"/>
              <w:rPr>
                <w:rFonts w:cs="Times New Roman"/>
                <w:color w:val="000000" w:themeColor="text1"/>
                <w14:textFill>
                  <w14:solidFill>
                    <w14:schemeClr w14:val="tx1"/>
                  </w14:solidFill>
                </w14:textFill>
              </w:rPr>
            </w:pPr>
            <w:r>
              <w:t xml:space="preserve">3 </w:t>
            </w:r>
          </w:p>
        </w:tc>
        <w:tc>
          <w:tcPr>
            <w:tcW w:w="672" w:type="pct"/>
            <w:noWrap/>
          </w:tcPr>
          <w:p>
            <w:pPr>
              <w:pStyle w:val="85"/>
              <w:rPr>
                <w:rFonts w:cs="Times New Roman"/>
                <w:color w:val="000000" w:themeColor="text1"/>
                <w14:textFill>
                  <w14:solidFill>
                    <w14:schemeClr w14:val="tx1"/>
                  </w14:solidFill>
                </w14:textFill>
              </w:rPr>
            </w:pPr>
            <w:r>
              <w:t xml:space="preserve">1 </w:t>
            </w:r>
          </w:p>
        </w:tc>
        <w:tc>
          <w:tcPr>
            <w:tcW w:w="673" w:type="pct"/>
            <w:noWrap/>
          </w:tcPr>
          <w:p>
            <w:pPr>
              <w:pStyle w:val="85"/>
              <w:rPr>
                <w:rFonts w:cs="Times New Roman"/>
                <w:color w:val="000000" w:themeColor="text1"/>
                <w14:textFill>
                  <w14:solidFill>
                    <w14:schemeClr w14:val="tx1"/>
                  </w14:solidFill>
                </w14:textFill>
              </w:rPr>
            </w:pPr>
            <w:r>
              <w:t xml:space="preserve">0 </w:t>
            </w:r>
          </w:p>
        </w:tc>
        <w:tc>
          <w:tcPr>
            <w:tcW w:w="673" w:type="pct"/>
            <w:noWrap/>
          </w:tcPr>
          <w:p>
            <w:pPr>
              <w:pStyle w:val="85"/>
              <w:rPr>
                <w:rFonts w:cs="Times New Roman"/>
                <w:color w:val="000000" w:themeColor="text1"/>
                <w14:textFill>
                  <w14:solidFill>
                    <w14:schemeClr w14:val="tx1"/>
                  </w14:solidFill>
                </w14:textFill>
              </w:rPr>
            </w:pPr>
            <w:r>
              <w:t xml:space="preserve">0 </w:t>
            </w:r>
          </w:p>
        </w:tc>
        <w:tc>
          <w:tcPr>
            <w:tcW w:w="672" w:type="pct"/>
            <w:noWrap/>
          </w:tcPr>
          <w:p>
            <w:pPr>
              <w:pStyle w:val="85"/>
              <w:rPr>
                <w:rFonts w:cs="Times New Roman"/>
                <w:color w:val="000000" w:themeColor="text1"/>
                <w14:textFill>
                  <w14:solidFill>
                    <w14:schemeClr w14:val="tx1"/>
                  </w14:solidFill>
                </w14:textFill>
              </w:rPr>
            </w:pPr>
            <w:r>
              <w:t xml:space="preserve">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continue"/>
            <w:vAlign w:val="center"/>
          </w:tcPr>
          <w:p>
            <w:pPr>
              <w:pStyle w:val="85"/>
              <w:rPr>
                <w:rFonts w:cs="Times New Roman"/>
                <w:color w:val="000000" w:themeColor="text1"/>
                <w14:textFill>
                  <w14:solidFill>
                    <w14:schemeClr w14:val="tx1"/>
                  </w14:solidFill>
                </w14:textFill>
              </w:rPr>
            </w:pPr>
          </w:p>
        </w:tc>
        <w:tc>
          <w:tcPr>
            <w:tcW w:w="855"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64" w:type="pct"/>
          </w:tcPr>
          <w:p>
            <w:pPr>
              <w:pStyle w:val="85"/>
              <w:rPr>
                <w:rFonts w:cs="Times New Roman"/>
                <w:color w:val="000000" w:themeColor="text1"/>
                <w14:textFill>
                  <w14:solidFill>
                    <w14:schemeClr w14:val="tx1"/>
                  </w14:solidFill>
                </w14:textFill>
              </w:rPr>
            </w:pPr>
            <w:r>
              <w:t xml:space="preserve">300 </w:t>
            </w:r>
          </w:p>
        </w:tc>
        <w:tc>
          <w:tcPr>
            <w:tcW w:w="672" w:type="pct"/>
            <w:noWrap/>
          </w:tcPr>
          <w:p>
            <w:pPr>
              <w:pStyle w:val="85"/>
              <w:rPr>
                <w:rFonts w:cs="Times New Roman"/>
                <w:color w:val="000000" w:themeColor="text1"/>
                <w14:textFill>
                  <w14:solidFill>
                    <w14:schemeClr w14:val="tx1"/>
                  </w14:solidFill>
                </w14:textFill>
              </w:rPr>
            </w:pPr>
            <w:r>
              <w:t xml:space="preserve">17 </w:t>
            </w:r>
          </w:p>
        </w:tc>
        <w:tc>
          <w:tcPr>
            <w:tcW w:w="673" w:type="pct"/>
            <w:noWrap/>
          </w:tcPr>
          <w:p>
            <w:pPr>
              <w:pStyle w:val="85"/>
              <w:rPr>
                <w:rFonts w:cs="Times New Roman"/>
                <w:color w:val="000000" w:themeColor="text1"/>
                <w14:textFill>
                  <w14:solidFill>
                    <w14:schemeClr w14:val="tx1"/>
                  </w14:solidFill>
                </w14:textFill>
              </w:rPr>
            </w:pPr>
            <w:r>
              <w:t xml:space="preserve">39 </w:t>
            </w:r>
          </w:p>
        </w:tc>
        <w:tc>
          <w:tcPr>
            <w:tcW w:w="673" w:type="pct"/>
            <w:noWrap/>
          </w:tcPr>
          <w:p>
            <w:pPr>
              <w:pStyle w:val="85"/>
              <w:rPr>
                <w:rFonts w:cs="Times New Roman"/>
                <w:color w:val="000000" w:themeColor="text1"/>
                <w14:textFill>
                  <w14:solidFill>
                    <w14:schemeClr w14:val="tx1"/>
                  </w14:solidFill>
                </w14:textFill>
              </w:rPr>
            </w:pPr>
            <w:r>
              <w:t xml:space="preserve">10 </w:t>
            </w:r>
          </w:p>
        </w:tc>
        <w:tc>
          <w:tcPr>
            <w:tcW w:w="672" w:type="pct"/>
            <w:noWrap/>
          </w:tcPr>
          <w:p>
            <w:pPr>
              <w:pStyle w:val="85"/>
              <w:rPr>
                <w:rFonts w:cs="Times New Roman"/>
                <w:color w:val="000000" w:themeColor="text1"/>
                <w14:textFill>
                  <w14:solidFill>
                    <w14:schemeClr w14:val="tx1"/>
                  </w14:solidFill>
                </w14:textFill>
              </w:rPr>
            </w:pPr>
            <w:r>
              <w:t xml:space="preserve">366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restart"/>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855"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864" w:type="pct"/>
          </w:tcPr>
          <w:p>
            <w:pPr>
              <w:pStyle w:val="85"/>
              <w:rPr>
                <w:rFonts w:cs="Times New Roman"/>
                <w:color w:val="000000" w:themeColor="text1"/>
                <w14:textFill>
                  <w14:solidFill>
                    <w14:schemeClr w14:val="tx1"/>
                  </w14:solidFill>
                </w14:textFill>
              </w:rPr>
            </w:pPr>
            <w:r>
              <w:t xml:space="preserve">192 </w:t>
            </w:r>
          </w:p>
        </w:tc>
        <w:tc>
          <w:tcPr>
            <w:tcW w:w="672" w:type="pct"/>
            <w:noWrap/>
          </w:tcPr>
          <w:p>
            <w:pPr>
              <w:pStyle w:val="85"/>
              <w:rPr>
                <w:rFonts w:cs="Times New Roman"/>
                <w:color w:val="000000" w:themeColor="text1"/>
                <w14:textFill>
                  <w14:solidFill>
                    <w14:schemeClr w14:val="tx1"/>
                  </w14:solidFill>
                </w14:textFill>
              </w:rPr>
            </w:pPr>
            <w:r>
              <w:t xml:space="preserve">1 </w:t>
            </w:r>
          </w:p>
        </w:tc>
        <w:tc>
          <w:tcPr>
            <w:tcW w:w="673" w:type="pct"/>
            <w:noWrap/>
          </w:tcPr>
          <w:p>
            <w:pPr>
              <w:pStyle w:val="85"/>
              <w:rPr>
                <w:rFonts w:cs="Times New Roman"/>
                <w:color w:val="000000" w:themeColor="text1"/>
                <w14:textFill>
                  <w14:solidFill>
                    <w14:schemeClr w14:val="tx1"/>
                  </w14:solidFill>
                </w14:textFill>
              </w:rPr>
            </w:pPr>
            <w:r>
              <w:t xml:space="preserve">9 </w:t>
            </w:r>
          </w:p>
        </w:tc>
        <w:tc>
          <w:tcPr>
            <w:tcW w:w="673" w:type="pct"/>
            <w:noWrap/>
          </w:tcPr>
          <w:p>
            <w:pPr>
              <w:pStyle w:val="85"/>
              <w:rPr>
                <w:rFonts w:cs="Times New Roman"/>
                <w:color w:val="000000" w:themeColor="text1"/>
                <w14:textFill>
                  <w14:solidFill>
                    <w14:schemeClr w14:val="tx1"/>
                  </w14:solidFill>
                </w14:textFill>
              </w:rPr>
            </w:pPr>
            <w:r>
              <w:t xml:space="preserve">1 </w:t>
            </w:r>
          </w:p>
        </w:tc>
        <w:tc>
          <w:tcPr>
            <w:tcW w:w="672" w:type="pct"/>
            <w:noWrap/>
          </w:tcPr>
          <w:p>
            <w:pPr>
              <w:pStyle w:val="85"/>
              <w:rPr>
                <w:rFonts w:cs="Times New Roman"/>
                <w:color w:val="000000" w:themeColor="text1"/>
                <w14:textFill>
                  <w14:solidFill>
                    <w14:schemeClr w14:val="tx1"/>
                  </w14:solidFill>
                </w14:textFill>
              </w:rPr>
            </w:pPr>
            <w:r>
              <w:t xml:space="preserve">203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continue"/>
            <w:vAlign w:val="center"/>
          </w:tcPr>
          <w:p>
            <w:pPr>
              <w:pStyle w:val="85"/>
              <w:rPr>
                <w:rFonts w:cs="Times New Roman"/>
                <w:color w:val="000000" w:themeColor="text1"/>
                <w14:textFill>
                  <w14:solidFill>
                    <w14:schemeClr w14:val="tx1"/>
                  </w14:solidFill>
                </w14:textFill>
              </w:rPr>
            </w:pPr>
          </w:p>
        </w:tc>
        <w:tc>
          <w:tcPr>
            <w:tcW w:w="855"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864" w:type="pct"/>
          </w:tcPr>
          <w:p>
            <w:pPr>
              <w:pStyle w:val="85"/>
              <w:rPr>
                <w:rFonts w:cs="Times New Roman"/>
                <w:color w:val="000000" w:themeColor="text1"/>
                <w14:textFill>
                  <w14:solidFill>
                    <w14:schemeClr w14:val="tx1"/>
                  </w14:solidFill>
                </w14:textFill>
              </w:rPr>
            </w:pPr>
            <w:r>
              <w:t xml:space="preserve">27 </w:t>
            </w:r>
          </w:p>
        </w:tc>
        <w:tc>
          <w:tcPr>
            <w:tcW w:w="672" w:type="pct"/>
            <w:noWrap/>
          </w:tcPr>
          <w:p>
            <w:pPr>
              <w:pStyle w:val="85"/>
              <w:rPr>
                <w:rFonts w:cs="Times New Roman"/>
                <w:color w:val="000000" w:themeColor="text1"/>
                <w14:textFill>
                  <w14:solidFill>
                    <w14:schemeClr w14:val="tx1"/>
                  </w14:solidFill>
                </w14:textFill>
              </w:rPr>
            </w:pPr>
            <w:r>
              <w:t xml:space="preserve">13 </w:t>
            </w:r>
          </w:p>
        </w:tc>
        <w:tc>
          <w:tcPr>
            <w:tcW w:w="673" w:type="pct"/>
            <w:noWrap/>
          </w:tcPr>
          <w:p>
            <w:pPr>
              <w:pStyle w:val="85"/>
              <w:rPr>
                <w:rFonts w:cs="Times New Roman"/>
                <w:color w:val="000000" w:themeColor="text1"/>
                <w14:textFill>
                  <w14:solidFill>
                    <w14:schemeClr w14:val="tx1"/>
                  </w14:solidFill>
                </w14:textFill>
              </w:rPr>
            </w:pPr>
            <w:r>
              <w:t xml:space="preserve">15 </w:t>
            </w:r>
          </w:p>
        </w:tc>
        <w:tc>
          <w:tcPr>
            <w:tcW w:w="673" w:type="pct"/>
            <w:noWrap/>
          </w:tcPr>
          <w:p>
            <w:pPr>
              <w:pStyle w:val="85"/>
              <w:rPr>
                <w:rFonts w:cs="Times New Roman"/>
                <w:color w:val="000000" w:themeColor="text1"/>
                <w14:textFill>
                  <w14:solidFill>
                    <w14:schemeClr w14:val="tx1"/>
                  </w14:solidFill>
                </w14:textFill>
              </w:rPr>
            </w:pPr>
            <w:r>
              <w:t xml:space="preserve">3 </w:t>
            </w:r>
          </w:p>
        </w:tc>
        <w:tc>
          <w:tcPr>
            <w:tcW w:w="672" w:type="pct"/>
            <w:noWrap/>
          </w:tcPr>
          <w:p>
            <w:pPr>
              <w:pStyle w:val="85"/>
              <w:rPr>
                <w:rFonts w:cs="Times New Roman"/>
                <w:color w:val="000000" w:themeColor="text1"/>
                <w14:textFill>
                  <w14:solidFill>
                    <w14:schemeClr w14:val="tx1"/>
                  </w14:solidFill>
                </w14:textFill>
              </w:rPr>
            </w:pPr>
            <w:r>
              <w:t xml:space="preserve">58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continue"/>
            <w:vAlign w:val="center"/>
          </w:tcPr>
          <w:p>
            <w:pPr>
              <w:pStyle w:val="85"/>
              <w:rPr>
                <w:rFonts w:cs="Times New Roman"/>
                <w:color w:val="000000" w:themeColor="text1"/>
                <w14:textFill>
                  <w14:solidFill>
                    <w14:schemeClr w14:val="tx1"/>
                  </w14:solidFill>
                </w14:textFill>
              </w:rPr>
            </w:pPr>
          </w:p>
        </w:tc>
        <w:tc>
          <w:tcPr>
            <w:tcW w:w="855"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864" w:type="pct"/>
          </w:tcPr>
          <w:p>
            <w:pPr>
              <w:pStyle w:val="85"/>
              <w:rPr>
                <w:rFonts w:cs="Times New Roman"/>
                <w:color w:val="000000" w:themeColor="text1"/>
                <w14:textFill>
                  <w14:solidFill>
                    <w14:schemeClr w14:val="tx1"/>
                  </w14:solidFill>
                </w14:textFill>
              </w:rPr>
            </w:pPr>
            <w:r>
              <w:t xml:space="preserve">4 </w:t>
            </w:r>
          </w:p>
        </w:tc>
        <w:tc>
          <w:tcPr>
            <w:tcW w:w="672" w:type="pct"/>
            <w:noWrap/>
          </w:tcPr>
          <w:p>
            <w:pPr>
              <w:pStyle w:val="85"/>
              <w:rPr>
                <w:rFonts w:cs="Times New Roman"/>
                <w:color w:val="000000" w:themeColor="text1"/>
                <w14:textFill>
                  <w14:solidFill>
                    <w14:schemeClr w14:val="tx1"/>
                  </w14:solidFill>
                </w14:textFill>
              </w:rPr>
            </w:pPr>
            <w:r>
              <w:t xml:space="preserve">1 </w:t>
            </w:r>
          </w:p>
        </w:tc>
        <w:tc>
          <w:tcPr>
            <w:tcW w:w="673" w:type="pct"/>
            <w:noWrap/>
          </w:tcPr>
          <w:p>
            <w:pPr>
              <w:pStyle w:val="85"/>
              <w:rPr>
                <w:rFonts w:cs="Times New Roman"/>
                <w:color w:val="000000" w:themeColor="text1"/>
                <w14:textFill>
                  <w14:solidFill>
                    <w14:schemeClr w14:val="tx1"/>
                  </w14:solidFill>
                </w14:textFill>
              </w:rPr>
            </w:pPr>
            <w:r>
              <w:t xml:space="preserve">0 </w:t>
            </w:r>
          </w:p>
        </w:tc>
        <w:tc>
          <w:tcPr>
            <w:tcW w:w="673" w:type="pct"/>
            <w:noWrap/>
          </w:tcPr>
          <w:p>
            <w:pPr>
              <w:pStyle w:val="85"/>
              <w:rPr>
                <w:rFonts w:cs="Times New Roman"/>
                <w:color w:val="000000" w:themeColor="text1"/>
                <w14:textFill>
                  <w14:solidFill>
                    <w14:schemeClr w14:val="tx1"/>
                  </w14:solidFill>
                </w14:textFill>
              </w:rPr>
            </w:pPr>
            <w:r>
              <w:t xml:space="preserve">0 </w:t>
            </w:r>
          </w:p>
        </w:tc>
        <w:tc>
          <w:tcPr>
            <w:tcW w:w="672" w:type="pct"/>
            <w:noWrap/>
          </w:tcPr>
          <w:p>
            <w:pPr>
              <w:pStyle w:val="85"/>
              <w:rPr>
                <w:rFonts w:cs="Times New Roman"/>
                <w:color w:val="000000" w:themeColor="text1"/>
                <w14:textFill>
                  <w14:solidFill>
                    <w14:schemeClr w14:val="tx1"/>
                  </w14:solidFill>
                </w14:textFill>
              </w:rPr>
            </w:pPr>
            <w:r>
              <w:t xml:space="preserve">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91" w:type="pct"/>
            <w:vMerge w:val="continue"/>
            <w:vAlign w:val="center"/>
          </w:tcPr>
          <w:p>
            <w:pPr>
              <w:pStyle w:val="85"/>
              <w:rPr>
                <w:rFonts w:cs="Times New Roman"/>
                <w:color w:val="000000" w:themeColor="text1"/>
                <w14:textFill>
                  <w14:solidFill>
                    <w14:schemeClr w14:val="tx1"/>
                  </w14:solidFill>
                </w14:textFill>
              </w:rPr>
            </w:pPr>
          </w:p>
        </w:tc>
        <w:tc>
          <w:tcPr>
            <w:tcW w:w="855" w:type="pct"/>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64" w:type="pct"/>
          </w:tcPr>
          <w:p>
            <w:pPr>
              <w:pStyle w:val="85"/>
              <w:rPr>
                <w:rFonts w:cs="Times New Roman"/>
                <w:color w:val="000000" w:themeColor="text1"/>
                <w14:textFill>
                  <w14:solidFill>
                    <w14:schemeClr w14:val="tx1"/>
                  </w14:solidFill>
                </w14:textFill>
              </w:rPr>
            </w:pPr>
            <w:r>
              <w:t xml:space="preserve">223 </w:t>
            </w:r>
          </w:p>
        </w:tc>
        <w:tc>
          <w:tcPr>
            <w:tcW w:w="672" w:type="pct"/>
            <w:noWrap/>
          </w:tcPr>
          <w:p>
            <w:pPr>
              <w:pStyle w:val="85"/>
              <w:rPr>
                <w:rFonts w:cs="Times New Roman"/>
                <w:color w:val="000000" w:themeColor="text1"/>
                <w14:textFill>
                  <w14:solidFill>
                    <w14:schemeClr w14:val="tx1"/>
                  </w14:solidFill>
                </w14:textFill>
              </w:rPr>
            </w:pPr>
            <w:r>
              <w:t xml:space="preserve">15 </w:t>
            </w:r>
          </w:p>
        </w:tc>
        <w:tc>
          <w:tcPr>
            <w:tcW w:w="673" w:type="pct"/>
            <w:noWrap/>
          </w:tcPr>
          <w:p>
            <w:pPr>
              <w:pStyle w:val="85"/>
              <w:rPr>
                <w:rFonts w:cs="Times New Roman"/>
                <w:color w:val="000000" w:themeColor="text1"/>
                <w14:textFill>
                  <w14:solidFill>
                    <w14:schemeClr w14:val="tx1"/>
                  </w14:solidFill>
                </w14:textFill>
              </w:rPr>
            </w:pPr>
            <w:r>
              <w:t xml:space="preserve">24 </w:t>
            </w:r>
          </w:p>
        </w:tc>
        <w:tc>
          <w:tcPr>
            <w:tcW w:w="673" w:type="pct"/>
            <w:noWrap/>
          </w:tcPr>
          <w:p>
            <w:pPr>
              <w:pStyle w:val="85"/>
              <w:rPr>
                <w:rFonts w:cs="Times New Roman"/>
                <w:color w:val="000000" w:themeColor="text1"/>
                <w14:textFill>
                  <w14:solidFill>
                    <w14:schemeClr w14:val="tx1"/>
                  </w14:solidFill>
                </w14:textFill>
              </w:rPr>
            </w:pPr>
            <w:r>
              <w:t xml:space="preserve">5 </w:t>
            </w:r>
          </w:p>
        </w:tc>
        <w:tc>
          <w:tcPr>
            <w:tcW w:w="672" w:type="pct"/>
            <w:noWrap/>
          </w:tcPr>
          <w:p>
            <w:pPr>
              <w:pStyle w:val="85"/>
              <w:rPr>
                <w:rFonts w:cs="Times New Roman"/>
                <w:color w:val="000000" w:themeColor="text1"/>
                <w14:textFill>
                  <w14:solidFill>
                    <w14:schemeClr w14:val="tx1"/>
                  </w14:solidFill>
                </w14:textFill>
              </w:rPr>
            </w:pPr>
            <w:r>
              <w:t>26</w:t>
            </w:r>
            <w:r>
              <w:rPr>
                <w:rFonts w:hint="eastAsia"/>
              </w:rPr>
              <w:t>7</w:t>
            </w:r>
          </w:p>
        </w:tc>
      </w:tr>
    </w:tbl>
    <w:p>
      <w:pPr>
        <w:pStyle w:val="7"/>
      </w:pPr>
      <w:bookmarkStart w:id="81" w:name="_Toc105257951"/>
      <w:r>
        <w:t>工业需水预测</w:t>
      </w:r>
      <w:bookmarkEnd w:id="81"/>
    </w:p>
    <w:p>
      <w:pPr>
        <w:pStyle w:val="4"/>
      </w:pPr>
      <w:r>
        <w:t>澄江市现状工业用水主要为澄江工业园区提古片区、九村片区，规划年新增牛场片区。</w:t>
      </w:r>
    </w:p>
    <w:p>
      <w:pPr>
        <w:pStyle w:val="4"/>
      </w:pPr>
      <w:bookmarkStart w:id="82" w:name="_Hlk184267069"/>
      <w:r>
        <w:t>本次采用单位工业用地指标法，澄江市工业园区现状面积为411公顷，其中提古片区面积为19公顷，九村片区东溪哨工业园区面积为392公顷。根据《澄江工业园区总体规划2021-2035》，规划年澄江工业园区面积增长至1573公顷，其中提古片区面积为100公顷，九村片区东溪哨工业园区面积为1235公顷，牛场片区为238公顷。工业用地用水量指标取130m</w:t>
      </w:r>
      <w:r>
        <w:rPr>
          <w:vertAlign w:val="superscript"/>
        </w:rPr>
        <w:t>3</w:t>
      </w:r>
      <w:r>
        <w:t>/ha·d，其他用地用水量指标取50m</w:t>
      </w:r>
      <w:r>
        <w:rPr>
          <w:vertAlign w:val="superscript"/>
        </w:rPr>
        <w:t>3</w:t>
      </w:r>
      <w:r>
        <w:t>/ha·d，现状年重复利用系数为75%，考虑5%管网漏损，5%水厂自用水量；根据《澄江市水安全保障“十四五”规划》中95%的工业用水重复利用率及《澄江市“十四五”工业和信息化发展规划》中工业用水重复利用率达到80%以上的取值综合考虑，规划年重复利用率选90%，考虑11%未预见水量，9%管网漏损，5%水厂自用水量。</w:t>
      </w:r>
    </w:p>
    <w:p>
      <w:pPr>
        <w:pStyle w:val="4"/>
        <w:sectPr>
          <w:pgSz w:w="11906" w:h="16838"/>
          <w:pgMar w:top="1440" w:right="1418" w:bottom="1440" w:left="1418" w:header="851" w:footer="851" w:gutter="0"/>
          <w:cols w:space="425" w:num="1"/>
          <w:docGrid w:type="linesAndChars" w:linePitch="312" w:charSpace="0"/>
        </w:sectPr>
      </w:pPr>
      <w:r>
        <w:t>经计算，现状水平年工业毛需水量为556万m</w:t>
      </w:r>
      <w:r>
        <w:rPr>
          <w:vertAlign w:val="superscript"/>
        </w:rPr>
        <w:t>3</w:t>
      </w:r>
      <w:r>
        <w:t>，其中提古片区需水量为26万m</w:t>
      </w:r>
      <w:r>
        <w:rPr>
          <w:vertAlign w:val="superscript"/>
        </w:rPr>
        <w:t>3</w:t>
      </w:r>
      <w:r>
        <w:t>，九村片区需水量为530万m</w:t>
      </w:r>
      <w:r>
        <w:rPr>
          <w:vertAlign w:val="superscript"/>
        </w:rPr>
        <w:t>3</w:t>
      </w:r>
      <w:r>
        <w:t>；规划水平年工业毛需水量为659万m</w:t>
      </w:r>
      <w:r>
        <w:rPr>
          <w:vertAlign w:val="superscript"/>
        </w:rPr>
        <w:t>3</w:t>
      </w:r>
      <w:r>
        <w:t>，提古片区需水量为46万m</w:t>
      </w:r>
      <w:r>
        <w:rPr>
          <w:vertAlign w:val="superscript"/>
        </w:rPr>
        <w:t>3</w:t>
      </w:r>
      <w:r>
        <w:t>，九村片区需水量为482万m</w:t>
      </w:r>
      <w:r>
        <w:rPr>
          <w:vertAlign w:val="superscript"/>
        </w:rPr>
        <w:t>3</w:t>
      </w:r>
      <w:r>
        <w:t>，牛场片区为131万m</w:t>
      </w:r>
      <w:r>
        <w:rPr>
          <w:vertAlign w:val="superscript"/>
        </w:rPr>
        <w:t>3</w:t>
      </w:r>
      <w:r>
        <w:t>。</w:t>
      </w:r>
      <w:bookmarkEnd w:id="82"/>
      <w:r>
        <w:t>各片区工业需水情况详见下表。</w:t>
      </w:r>
    </w:p>
    <w:p>
      <w:pPr>
        <w:pStyle w:val="17"/>
        <w:keepNext/>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 xml:space="preserve">  现状年澄江市工业需水表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64"/>
        <w:gridCol w:w="1720"/>
        <w:gridCol w:w="1720"/>
        <w:gridCol w:w="2300"/>
        <w:gridCol w:w="1720"/>
        <w:gridCol w:w="1703"/>
        <w:gridCol w:w="1704"/>
        <w:gridCol w:w="1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9" w:hRule="atLeast"/>
          <w:jc w:val="center"/>
        </w:trPr>
        <w:tc>
          <w:tcPr>
            <w:tcW w:w="585"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片区名称</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用地性质</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面积（ha）</w:t>
            </w:r>
          </w:p>
        </w:tc>
        <w:tc>
          <w:tcPr>
            <w:tcW w:w="809"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用水量指标（m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/ha.d）</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管网漏损（%）</w:t>
            </w:r>
          </w:p>
        </w:tc>
        <w:tc>
          <w:tcPr>
            <w:tcW w:w="599"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水厂自用（%）</w:t>
            </w:r>
          </w:p>
        </w:tc>
        <w:tc>
          <w:tcPr>
            <w:tcW w:w="599"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重复利用率（%）</w:t>
            </w:r>
          </w:p>
        </w:tc>
        <w:tc>
          <w:tcPr>
            <w:tcW w:w="59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新鲜水毛需水量（万m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5"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工业用地</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15.2</w:t>
            </w:r>
          </w:p>
        </w:tc>
        <w:tc>
          <w:tcPr>
            <w:tcW w:w="80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605"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599"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99"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c>
          <w:tcPr>
            <w:tcW w:w="594"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5" w:type="pct"/>
            <w:vMerge w:val="continue"/>
            <w:vAlign w:val="center"/>
          </w:tcPr>
          <w:p>
            <w:pPr>
              <w:pStyle w:val="85"/>
              <w:rPr>
                <w:rFonts w:cs="Times New Roman"/>
                <w:color w:val="000000" w:themeColor="text1"/>
                <w14:textFill>
                  <w14:solidFill>
                    <w14:schemeClr w14:val="tx1"/>
                  </w14:solidFill>
                </w14:textFill>
              </w:rPr>
            </w:pP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其他用地</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3.8</w:t>
            </w:r>
          </w:p>
        </w:tc>
        <w:tc>
          <w:tcPr>
            <w:tcW w:w="80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605" w:type="pct"/>
            <w:vMerge w:val="continue"/>
            <w:vAlign w:val="center"/>
          </w:tcPr>
          <w:p>
            <w:pPr>
              <w:pStyle w:val="85"/>
              <w:rPr>
                <w:rFonts w:cs="Times New Roman"/>
                <w:color w:val="000000" w:themeColor="text1"/>
                <w14:textFill>
                  <w14:solidFill>
                    <w14:schemeClr w14:val="tx1"/>
                  </w14:solidFill>
                </w14:textFill>
              </w:rPr>
            </w:pPr>
          </w:p>
        </w:tc>
        <w:tc>
          <w:tcPr>
            <w:tcW w:w="599" w:type="pct"/>
            <w:vMerge w:val="continue"/>
            <w:vAlign w:val="center"/>
          </w:tcPr>
          <w:p>
            <w:pPr>
              <w:pStyle w:val="85"/>
              <w:rPr>
                <w:rFonts w:cs="Times New Roman"/>
                <w:color w:val="000000" w:themeColor="text1"/>
                <w14:textFill>
                  <w14:solidFill>
                    <w14:schemeClr w14:val="tx1"/>
                  </w14:solidFill>
                </w14:textFill>
              </w:rPr>
            </w:pPr>
          </w:p>
        </w:tc>
        <w:tc>
          <w:tcPr>
            <w:tcW w:w="599" w:type="pct"/>
            <w:vMerge w:val="continue"/>
            <w:vAlign w:val="center"/>
          </w:tcPr>
          <w:p>
            <w:pPr>
              <w:pStyle w:val="85"/>
              <w:rPr>
                <w:rFonts w:cs="Times New Roman"/>
                <w:color w:val="000000" w:themeColor="text1"/>
                <w14:textFill>
                  <w14:solidFill>
                    <w14:schemeClr w14:val="tx1"/>
                  </w14:solidFill>
                </w14:textFill>
              </w:rPr>
            </w:pPr>
          </w:p>
        </w:tc>
        <w:tc>
          <w:tcPr>
            <w:tcW w:w="594"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5" w:type="pct"/>
            <w:vMerge w:val="continue"/>
            <w:vAlign w:val="center"/>
          </w:tcPr>
          <w:p>
            <w:pPr>
              <w:pStyle w:val="85"/>
              <w:rPr>
                <w:rFonts w:cs="Times New Roman"/>
                <w:color w:val="000000" w:themeColor="text1"/>
                <w14:textFill>
                  <w14:solidFill>
                    <w14:schemeClr w14:val="tx1"/>
                  </w14:solidFill>
                </w14:textFill>
              </w:rPr>
            </w:pP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小计</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w:t>
            </w:r>
          </w:p>
        </w:tc>
        <w:tc>
          <w:tcPr>
            <w:tcW w:w="80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605" w:type="pct"/>
            <w:vMerge w:val="continue"/>
            <w:vAlign w:val="center"/>
          </w:tcPr>
          <w:p>
            <w:pPr>
              <w:pStyle w:val="85"/>
              <w:rPr>
                <w:rFonts w:cs="Times New Roman"/>
                <w:color w:val="000000" w:themeColor="text1"/>
                <w14:textFill>
                  <w14:solidFill>
                    <w14:schemeClr w14:val="tx1"/>
                  </w14:solidFill>
                </w14:textFill>
              </w:rPr>
            </w:pPr>
          </w:p>
        </w:tc>
        <w:tc>
          <w:tcPr>
            <w:tcW w:w="599" w:type="pct"/>
            <w:vMerge w:val="continue"/>
            <w:vAlign w:val="center"/>
          </w:tcPr>
          <w:p>
            <w:pPr>
              <w:pStyle w:val="85"/>
              <w:rPr>
                <w:rFonts w:cs="Times New Roman"/>
                <w:color w:val="000000" w:themeColor="text1"/>
                <w14:textFill>
                  <w14:solidFill>
                    <w14:schemeClr w14:val="tx1"/>
                  </w14:solidFill>
                </w14:textFill>
              </w:rPr>
            </w:pPr>
          </w:p>
        </w:tc>
        <w:tc>
          <w:tcPr>
            <w:tcW w:w="599" w:type="pct"/>
            <w:vMerge w:val="continue"/>
            <w:vAlign w:val="center"/>
          </w:tcPr>
          <w:p>
            <w:pPr>
              <w:pStyle w:val="85"/>
              <w:rPr>
                <w:rFonts w:cs="Times New Roman"/>
                <w:color w:val="000000" w:themeColor="text1"/>
                <w14:textFill>
                  <w14:solidFill>
                    <w14:schemeClr w14:val="tx1"/>
                  </w14:solidFill>
                </w14:textFill>
              </w:rPr>
            </w:pPr>
          </w:p>
        </w:tc>
        <w:tc>
          <w:tcPr>
            <w:tcW w:w="594"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5"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九村片区</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工业用地</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313.6</w:t>
            </w:r>
          </w:p>
        </w:tc>
        <w:tc>
          <w:tcPr>
            <w:tcW w:w="80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605"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599"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99"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c>
          <w:tcPr>
            <w:tcW w:w="594"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5" w:type="pct"/>
            <w:vMerge w:val="continue"/>
            <w:vAlign w:val="center"/>
          </w:tcPr>
          <w:p>
            <w:pPr>
              <w:pStyle w:val="85"/>
              <w:rPr>
                <w:rFonts w:cs="Times New Roman"/>
                <w:color w:val="000000" w:themeColor="text1"/>
                <w14:textFill>
                  <w14:solidFill>
                    <w14:schemeClr w14:val="tx1"/>
                  </w14:solidFill>
                </w14:textFill>
              </w:rPr>
            </w:pP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其他用地</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78.4</w:t>
            </w:r>
          </w:p>
        </w:tc>
        <w:tc>
          <w:tcPr>
            <w:tcW w:w="80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605" w:type="pct"/>
            <w:vMerge w:val="continue"/>
            <w:vAlign w:val="center"/>
          </w:tcPr>
          <w:p>
            <w:pPr>
              <w:pStyle w:val="85"/>
              <w:rPr>
                <w:rFonts w:cs="Times New Roman"/>
                <w:color w:val="000000" w:themeColor="text1"/>
                <w14:textFill>
                  <w14:solidFill>
                    <w14:schemeClr w14:val="tx1"/>
                  </w14:solidFill>
                </w14:textFill>
              </w:rPr>
            </w:pPr>
          </w:p>
        </w:tc>
        <w:tc>
          <w:tcPr>
            <w:tcW w:w="599" w:type="pct"/>
            <w:vMerge w:val="continue"/>
            <w:vAlign w:val="center"/>
          </w:tcPr>
          <w:p>
            <w:pPr>
              <w:pStyle w:val="85"/>
              <w:rPr>
                <w:rFonts w:cs="Times New Roman"/>
                <w:color w:val="000000" w:themeColor="text1"/>
                <w14:textFill>
                  <w14:solidFill>
                    <w14:schemeClr w14:val="tx1"/>
                  </w14:solidFill>
                </w14:textFill>
              </w:rPr>
            </w:pPr>
          </w:p>
        </w:tc>
        <w:tc>
          <w:tcPr>
            <w:tcW w:w="599" w:type="pct"/>
            <w:vMerge w:val="continue"/>
            <w:vAlign w:val="center"/>
          </w:tcPr>
          <w:p>
            <w:pPr>
              <w:pStyle w:val="85"/>
              <w:rPr>
                <w:rFonts w:cs="Times New Roman"/>
                <w:color w:val="000000" w:themeColor="text1"/>
                <w14:textFill>
                  <w14:solidFill>
                    <w14:schemeClr w14:val="tx1"/>
                  </w14:solidFill>
                </w14:textFill>
              </w:rPr>
            </w:pPr>
          </w:p>
        </w:tc>
        <w:tc>
          <w:tcPr>
            <w:tcW w:w="594"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5" w:type="pct"/>
            <w:vMerge w:val="continue"/>
            <w:vAlign w:val="center"/>
          </w:tcPr>
          <w:p>
            <w:pPr>
              <w:pStyle w:val="85"/>
              <w:rPr>
                <w:rFonts w:cs="Times New Roman"/>
                <w:color w:val="000000" w:themeColor="text1"/>
                <w14:textFill>
                  <w14:solidFill>
                    <w14:schemeClr w14:val="tx1"/>
                  </w14:solidFill>
                </w14:textFill>
              </w:rPr>
            </w:pP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小计</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392</w:t>
            </w:r>
          </w:p>
        </w:tc>
        <w:tc>
          <w:tcPr>
            <w:tcW w:w="80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605" w:type="pct"/>
            <w:vMerge w:val="continue"/>
            <w:vAlign w:val="center"/>
          </w:tcPr>
          <w:p>
            <w:pPr>
              <w:pStyle w:val="85"/>
              <w:rPr>
                <w:rFonts w:cs="Times New Roman"/>
                <w:color w:val="000000" w:themeColor="text1"/>
                <w14:textFill>
                  <w14:solidFill>
                    <w14:schemeClr w14:val="tx1"/>
                  </w14:solidFill>
                </w14:textFill>
              </w:rPr>
            </w:pPr>
          </w:p>
        </w:tc>
        <w:tc>
          <w:tcPr>
            <w:tcW w:w="599" w:type="pct"/>
            <w:vMerge w:val="continue"/>
            <w:vAlign w:val="center"/>
          </w:tcPr>
          <w:p>
            <w:pPr>
              <w:pStyle w:val="85"/>
              <w:rPr>
                <w:rFonts w:cs="Times New Roman"/>
                <w:color w:val="000000" w:themeColor="text1"/>
                <w14:textFill>
                  <w14:solidFill>
                    <w14:schemeClr w14:val="tx1"/>
                  </w14:solidFill>
                </w14:textFill>
              </w:rPr>
            </w:pPr>
          </w:p>
        </w:tc>
        <w:tc>
          <w:tcPr>
            <w:tcW w:w="599" w:type="pct"/>
            <w:vMerge w:val="continue"/>
            <w:vAlign w:val="center"/>
          </w:tcPr>
          <w:p>
            <w:pPr>
              <w:pStyle w:val="85"/>
              <w:rPr>
                <w:rFonts w:cs="Times New Roman"/>
                <w:color w:val="000000" w:themeColor="text1"/>
                <w14:textFill>
                  <w14:solidFill>
                    <w14:schemeClr w14:val="tx1"/>
                  </w14:solidFill>
                </w14:textFill>
              </w:rPr>
            </w:pPr>
          </w:p>
        </w:tc>
        <w:tc>
          <w:tcPr>
            <w:tcW w:w="594"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5"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605"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411</w:t>
            </w:r>
          </w:p>
        </w:tc>
        <w:tc>
          <w:tcPr>
            <w:tcW w:w="80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60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599"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599"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594"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556</w:t>
            </w:r>
          </w:p>
        </w:tc>
      </w:tr>
    </w:tbl>
    <w:p>
      <w:pPr>
        <w:pStyle w:val="4"/>
      </w:pPr>
    </w:p>
    <w:p>
      <w:pPr>
        <w:pStyle w:val="4"/>
      </w:pPr>
    </w:p>
    <w:p>
      <w:pPr>
        <w:pStyle w:val="4"/>
      </w:pPr>
    </w:p>
    <w:p>
      <w:pPr>
        <w:pStyle w:val="4"/>
      </w:pPr>
    </w:p>
    <w:p>
      <w:pPr>
        <w:pStyle w:val="4"/>
      </w:pPr>
    </w:p>
    <w:p>
      <w:pPr>
        <w:pStyle w:val="4"/>
      </w:pPr>
    </w:p>
    <w:p>
      <w:pPr>
        <w:pStyle w:val="4"/>
      </w:pPr>
    </w:p>
    <w:p>
      <w:pPr>
        <w:pStyle w:val="17"/>
        <w:keepNext/>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 xml:space="preserve">  规划年澄江市工业需水表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3"/>
        <w:gridCol w:w="1460"/>
        <w:gridCol w:w="1460"/>
        <w:gridCol w:w="1958"/>
        <w:gridCol w:w="1651"/>
        <w:gridCol w:w="1449"/>
        <w:gridCol w:w="1449"/>
        <w:gridCol w:w="1461"/>
        <w:gridCol w:w="19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508"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片区名称</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用地性质</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面积（ha）</w:t>
            </w:r>
          </w:p>
        </w:tc>
        <w:tc>
          <w:tcPr>
            <w:tcW w:w="696"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用水量指标（m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/ha.d）</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管网漏损（%）</w:t>
            </w:r>
          </w:p>
        </w:tc>
        <w:tc>
          <w:tcPr>
            <w:tcW w:w="51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水厂自用（%）</w:t>
            </w:r>
          </w:p>
        </w:tc>
        <w:tc>
          <w:tcPr>
            <w:tcW w:w="51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重复利用率（%）</w:t>
            </w:r>
          </w:p>
        </w:tc>
        <w:tc>
          <w:tcPr>
            <w:tcW w:w="521"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未预见水量（5%）</w:t>
            </w:r>
          </w:p>
        </w:tc>
        <w:tc>
          <w:tcPr>
            <w:tcW w:w="680"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新鲜水毛需水量（万m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工业用地</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67.00</w:t>
            </w:r>
          </w:p>
        </w:tc>
        <w:tc>
          <w:tcPr>
            <w:tcW w:w="69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521"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517"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17"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w:t>
            </w:r>
          </w:p>
        </w:tc>
        <w:tc>
          <w:tcPr>
            <w:tcW w:w="521" w:type="pct"/>
            <w:vMerge w:val="restart"/>
            <w:shd w:val="clear" w:color="auto" w:fill="auto"/>
            <w:noWrap/>
            <w:vAlign w:val="center"/>
          </w:tcPr>
          <w:p>
            <w:pPr>
              <w:pStyle w:val="85"/>
              <w:rPr>
                <w:rFonts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11</w:t>
            </w:r>
          </w:p>
        </w:tc>
        <w:tc>
          <w:tcPr>
            <w:tcW w:w="680"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continue"/>
            <w:vAlign w:val="center"/>
          </w:tcPr>
          <w:p>
            <w:pPr>
              <w:pStyle w:val="85"/>
              <w:rPr>
                <w:rFonts w:cs="Times New Roman"/>
                <w:color w:val="000000" w:themeColor="text1"/>
                <w14:textFill>
                  <w14:solidFill>
                    <w14:schemeClr w14:val="tx1"/>
                  </w14:solidFill>
                </w14:textFill>
              </w:rPr>
            </w:pP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其他用地</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33.00</w:t>
            </w:r>
          </w:p>
        </w:tc>
        <w:tc>
          <w:tcPr>
            <w:tcW w:w="69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521"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21" w:type="pct"/>
            <w:vMerge w:val="continue"/>
            <w:vAlign w:val="center"/>
          </w:tcPr>
          <w:p>
            <w:pPr>
              <w:pStyle w:val="85"/>
              <w:rPr>
                <w:rFonts w:cs="Times New Roman"/>
                <w:color w:val="000000" w:themeColor="text1"/>
                <w:sz w:val="22"/>
                <w:szCs w:val="22"/>
                <w14:textFill>
                  <w14:solidFill>
                    <w14:schemeClr w14:val="tx1"/>
                  </w14:solidFill>
                </w14:textFill>
              </w:rPr>
            </w:pPr>
          </w:p>
        </w:tc>
        <w:tc>
          <w:tcPr>
            <w:tcW w:w="680"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continue"/>
            <w:vAlign w:val="center"/>
          </w:tcPr>
          <w:p>
            <w:pPr>
              <w:pStyle w:val="85"/>
              <w:rPr>
                <w:rFonts w:cs="Times New Roman"/>
                <w:color w:val="000000" w:themeColor="text1"/>
                <w14:textFill>
                  <w14:solidFill>
                    <w14:schemeClr w14:val="tx1"/>
                  </w14:solidFill>
                </w14:textFill>
              </w:rPr>
            </w:pP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小计</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100.00 </w:t>
            </w:r>
          </w:p>
        </w:tc>
        <w:tc>
          <w:tcPr>
            <w:tcW w:w="696" w:type="pct"/>
            <w:shd w:val="clear" w:color="auto" w:fill="auto"/>
            <w:noWrap/>
            <w:vAlign w:val="center"/>
          </w:tcPr>
          <w:p>
            <w:pPr>
              <w:pStyle w:val="85"/>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　</w:t>
            </w:r>
          </w:p>
        </w:tc>
        <w:tc>
          <w:tcPr>
            <w:tcW w:w="521"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21" w:type="pct"/>
            <w:vMerge w:val="continue"/>
            <w:vAlign w:val="center"/>
          </w:tcPr>
          <w:p>
            <w:pPr>
              <w:pStyle w:val="85"/>
              <w:rPr>
                <w:rFonts w:cs="Times New Roman"/>
                <w:color w:val="000000" w:themeColor="text1"/>
                <w:sz w:val="22"/>
                <w:szCs w:val="22"/>
                <w14:textFill>
                  <w14:solidFill>
                    <w14:schemeClr w14:val="tx1"/>
                  </w14:solidFill>
                </w14:textFill>
              </w:rPr>
            </w:pPr>
          </w:p>
        </w:tc>
        <w:tc>
          <w:tcPr>
            <w:tcW w:w="680"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九村片区</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工业用地</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603.00</w:t>
            </w:r>
          </w:p>
        </w:tc>
        <w:tc>
          <w:tcPr>
            <w:tcW w:w="69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521"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517"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17"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w:t>
            </w:r>
          </w:p>
        </w:tc>
        <w:tc>
          <w:tcPr>
            <w:tcW w:w="521" w:type="pct"/>
            <w:vMerge w:val="restart"/>
            <w:shd w:val="clear" w:color="auto" w:fill="auto"/>
            <w:noWrap/>
            <w:vAlign w:val="center"/>
          </w:tcPr>
          <w:p>
            <w:pPr>
              <w:pStyle w:val="85"/>
              <w:rPr>
                <w:rFonts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11</w:t>
            </w:r>
          </w:p>
        </w:tc>
        <w:tc>
          <w:tcPr>
            <w:tcW w:w="680"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482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continue"/>
            <w:vAlign w:val="center"/>
          </w:tcPr>
          <w:p>
            <w:pPr>
              <w:pStyle w:val="85"/>
              <w:rPr>
                <w:rFonts w:cs="Times New Roman"/>
                <w:color w:val="000000" w:themeColor="text1"/>
                <w14:textFill>
                  <w14:solidFill>
                    <w14:schemeClr w14:val="tx1"/>
                  </w14:solidFill>
                </w14:textFill>
              </w:rPr>
            </w:pP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其他用地</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632.00</w:t>
            </w:r>
          </w:p>
        </w:tc>
        <w:tc>
          <w:tcPr>
            <w:tcW w:w="69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521"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21" w:type="pct"/>
            <w:vMerge w:val="continue"/>
            <w:vAlign w:val="center"/>
          </w:tcPr>
          <w:p>
            <w:pPr>
              <w:pStyle w:val="85"/>
              <w:rPr>
                <w:rFonts w:cs="Times New Roman"/>
                <w:color w:val="000000" w:themeColor="text1"/>
                <w:sz w:val="22"/>
                <w:szCs w:val="22"/>
                <w14:textFill>
                  <w14:solidFill>
                    <w14:schemeClr w14:val="tx1"/>
                  </w14:solidFill>
                </w14:textFill>
              </w:rPr>
            </w:pPr>
          </w:p>
        </w:tc>
        <w:tc>
          <w:tcPr>
            <w:tcW w:w="680"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continue"/>
            <w:vAlign w:val="center"/>
          </w:tcPr>
          <w:p>
            <w:pPr>
              <w:pStyle w:val="85"/>
              <w:rPr>
                <w:rFonts w:cs="Times New Roman"/>
                <w:color w:val="000000" w:themeColor="text1"/>
                <w14:textFill>
                  <w14:solidFill>
                    <w14:schemeClr w14:val="tx1"/>
                  </w14:solidFill>
                </w14:textFill>
              </w:rPr>
            </w:pP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小计</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1235.00 </w:t>
            </w:r>
          </w:p>
        </w:tc>
        <w:tc>
          <w:tcPr>
            <w:tcW w:w="69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521"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21" w:type="pct"/>
            <w:vMerge w:val="continue"/>
            <w:vAlign w:val="center"/>
          </w:tcPr>
          <w:p>
            <w:pPr>
              <w:pStyle w:val="85"/>
              <w:rPr>
                <w:rFonts w:cs="Times New Roman"/>
                <w:color w:val="000000" w:themeColor="text1"/>
                <w:sz w:val="22"/>
                <w:szCs w:val="22"/>
                <w14:textFill>
                  <w14:solidFill>
                    <w14:schemeClr w14:val="tx1"/>
                  </w14:solidFill>
                </w14:textFill>
              </w:rPr>
            </w:pPr>
          </w:p>
        </w:tc>
        <w:tc>
          <w:tcPr>
            <w:tcW w:w="680"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牛场片区</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工业用地</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190</w:t>
            </w:r>
          </w:p>
        </w:tc>
        <w:tc>
          <w:tcPr>
            <w:tcW w:w="69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521"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517"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17"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w:t>
            </w:r>
          </w:p>
        </w:tc>
        <w:tc>
          <w:tcPr>
            <w:tcW w:w="521" w:type="pct"/>
            <w:vMerge w:val="restart"/>
            <w:shd w:val="clear" w:color="auto" w:fill="auto"/>
            <w:noWrap/>
            <w:vAlign w:val="center"/>
          </w:tcPr>
          <w:p>
            <w:pPr>
              <w:pStyle w:val="85"/>
              <w:rPr>
                <w:rFonts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11</w:t>
            </w:r>
          </w:p>
        </w:tc>
        <w:tc>
          <w:tcPr>
            <w:tcW w:w="680" w:type="pct"/>
            <w:vMerge w:val="restar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131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continue"/>
            <w:vAlign w:val="center"/>
          </w:tcPr>
          <w:p>
            <w:pPr>
              <w:pStyle w:val="85"/>
              <w:rPr>
                <w:rFonts w:cs="Times New Roman"/>
                <w:color w:val="000000" w:themeColor="text1"/>
                <w14:textFill>
                  <w14:solidFill>
                    <w14:schemeClr w14:val="tx1"/>
                  </w14:solidFill>
                </w14:textFill>
              </w:rPr>
            </w:pP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其他用地</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48</w:t>
            </w:r>
          </w:p>
        </w:tc>
        <w:tc>
          <w:tcPr>
            <w:tcW w:w="69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521"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21" w:type="pct"/>
            <w:vMerge w:val="continue"/>
            <w:vAlign w:val="center"/>
          </w:tcPr>
          <w:p>
            <w:pPr>
              <w:pStyle w:val="85"/>
              <w:rPr>
                <w:rFonts w:cs="Times New Roman"/>
                <w:color w:val="000000" w:themeColor="text1"/>
                <w:sz w:val="22"/>
                <w:szCs w:val="22"/>
                <w14:textFill>
                  <w14:solidFill>
                    <w14:schemeClr w14:val="tx1"/>
                  </w14:solidFill>
                </w14:textFill>
              </w:rPr>
            </w:pPr>
          </w:p>
        </w:tc>
        <w:tc>
          <w:tcPr>
            <w:tcW w:w="680"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vMerge w:val="continue"/>
            <w:vAlign w:val="center"/>
          </w:tcPr>
          <w:p>
            <w:pPr>
              <w:pStyle w:val="85"/>
              <w:rPr>
                <w:rFonts w:cs="Times New Roman"/>
                <w:color w:val="000000" w:themeColor="text1"/>
                <w14:textFill>
                  <w14:solidFill>
                    <w14:schemeClr w14:val="tx1"/>
                  </w14:solidFill>
                </w14:textFill>
              </w:rPr>
            </w:pP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小计</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238</w:t>
            </w:r>
          </w:p>
        </w:tc>
        <w:tc>
          <w:tcPr>
            <w:tcW w:w="696" w:type="pct"/>
            <w:shd w:val="clear" w:color="auto" w:fill="auto"/>
            <w:noWrap/>
            <w:vAlign w:val="center"/>
          </w:tcPr>
          <w:p>
            <w:pPr>
              <w:pStyle w:val="85"/>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　</w:t>
            </w:r>
          </w:p>
        </w:tc>
        <w:tc>
          <w:tcPr>
            <w:tcW w:w="521"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17" w:type="pct"/>
            <w:vMerge w:val="continue"/>
            <w:vAlign w:val="center"/>
          </w:tcPr>
          <w:p>
            <w:pPr>
              <w:pStyle w:val="85"/>
              <w:rPr>
                <w:rFonts w:cs="Times New Roman"/>
                <w:color w:val="000000" w:themeColor="text1"/>
                <w14:textFill>
                  <w14:solidFill>
                    <w14:schemeClr w14:val="tx1"/>
                  </w14:solidFill>
                </w14:textFill>
              </w:rPr>
            </w:pPr>
          </w:p>
        </w:tc>
        <w:tc>
          <w:tcPr>
            <w:tcW w:w="521" w:type="pct"/>
            <w:vMerge w:val="continue"/>
            <w:vAlign w:val="center"/>
          </w:tcPr>
          <w:p>
            <w:pPr>
              <w:pStyle w:val="85"/>
              <w:rPr>
                <w:rFonts w:cs="Times New Roman"/>
                <w:color w:val="000000" w:themeColor="text1"/>
                <w:sz w:val="22"/>
                <w:szCs w:val="22"/>
                <w14:textFill>
                  <w14:solidFill>
                    <w14:schemeClr w14:val="tx1"/>
                  </w14:solidFill>
                </w14:textFill>
              </w:rPr>
            </w:pPr>
          </w:p>
        </w:tc>
        <w:tc>
          <w:tcPr>
            <w:tcW w:w="680" w:type="pct"/>
            <w:vMerge w:val="continue"/>
            <w:vAlign w:val="center"/>
          </w:tcPr>
          <w:p>
            <w:pPr>
              <w:pStyle w:val="85"/>
              <w:rPr>
                <w:rFonts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08" w:type="pct"/>
            <w:shd w:val="clear" w:color="auto" w:fill="auto"/>
            <w:vAlign w:val="center"/>
          </w:tcPr>
          <w:p>
            <w:pPr>
              <w:pStyle w:val="8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合计</w:t>
            </w:r>
          </w:p>
        </w:tc>
        <w:tc>
          <w:tcPr>
            <w:tcW w:w="521" w:type="pct"/>
            <w:shd w:val="clear" w:color="auto" w:fill="auto"/>
            <w:vAlign w:val="center"/>
          </w:tcPr>
          <w:p>
            <w:pPr>
              <w:pStyle w:val="8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w:t>
            </w:r>
          </w:p>
        </w:tc>
        <w:tc>
          <w:tcPr>
            <w:tcW w:w="521"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1573.00 </w:t>
            </w:r>
          </w:p>
        </w:tc>
        <w:tc>
          <w:tcPr>
            <w:tcW w:w="696" w:type="pct"/>
            <w:shd w:val="clear" w:color="auto" w:fill="auto"/>
            <w:noWrap/>
            <w:vAlign w:val="center"/>
          </w:tcPr>
          <w:p>
            <w:pPr>
              <w:pStyle w:val="8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w:t>
            </w:r>
          </w:p>
        </w:tc>
        <w:tc>
          <w:tcPr>
            <w:tcW w:w="521" w:type="pct"/>
            <w:shd w:val="clear" w:color="auto" w:fill="auto"/>
            <w:noWrap/>
            <w:vAlign w:val="center"/>
          </w:tcPr>
          <w:p>
            <w:pPr>
              <w:pStyle w:val="8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w:t>
            </w:r>
          </w:p>
        </w:tc>
        <w:tc>
          <w:tcPr>
            <w:tcW w:w="517" w:type="pct"/>
            <w:shd w:val="clear" w:color="auto" w:fill="auto"/>
            <w:vAlign w:val="center"/>
          </w:tcPr>
          <w:p>
            <w:pPr>
              <w:pStyle w:val="8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w:t>
            </w:r>
          </w:p>
        </w:tc>
        <w:tc>
          <w:tcPr>
            <w:tcW w:w="517" w:type="pct"/>
            <w:shd w:val="clear" w:color="auto" w:fill="auto"/>
            <w:vAlign w:val="center"/>
          </w:tcPr>
          <w:p>
            <w:pPr>
              <w:pStyle w:val="8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w:t>
            </w:r>
          </w:p>
        </w:tc>
        <w:tc>
          <w:tcPr>
            <w:tcW w:w="521" w:type="pct"/>
            <w:shd w:val="clear" w:color="auto" w:fill="auto"/>
            <w:noWrap/>
            <w:vAlign w:val="bottom"/>
          </w:tcPr>
          <w:p>
            <w:pPr>
              <w:pStyle w:val="85"/>
              <w:rPr>
                <w:rFonts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　</w:t>
            </w:r>
          </w:p>
        </w:tc>
        <w:tc>
          <w:tcPr>
            <w:tcW w:w="680" w:type="pct"/>
            <w:shd w:val="clear" w:color="auto" w:fill="auto"/>
            <w:vAlign w:val="center"/>
          </w:tcPr>
          <w:p>
            <w:pPr>
              <w:pStyle w:val="8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 xml:space="preserve">659 </w:t>
            </w:r>
          </w:p>
        </w:tc>
      </w:tr>
    </w:tbl>
    <w:p>
      <w:pPr>
        <w:pStyle w:val="4"/>
      </w:pPr>
    </w:p>
    <w:p>
      <w:pPr>
        <w:pStyle w:val="4"/>
        <w:sectPr>
          <w:pgSz w:w="16838" w:h="11906" w:orient="landscape"/>
          <w:pgMar w:top="1440" w:right="1418" w:bottom="1440" w:left="1418" w:header="851" w:footer="851" w:gutter="0"/>
          <w:cols w:space="425" w:num="1"/>
          <w:docGrid w:type="linesAndChars" w:linePitch="312" w:charSpace="0"/>
        </w:sectPr>
      </w:pPr>
    </w:p>
    <w:p>
      <w:pPr>
        <w:pStyle w:val="7"/>
        <w:rPr>
          <w:rFonts w:eastAsia="仿宋_GB2312"/>
        </w:rPr>
      </w:pPr>
      <w:bookmarkStart w:id="83" w:name="_Toc105257952"/>
      <w:r>
        <w:t>农田灌溉需水预测</w:t>
      </w:r>
      <w:bookmarkEnd w:id="83"/>
    </w:p>
    <w:p>
      <w:pPr>
        <w:pStyle w:val="4"/>
      </w:pPr>
      <w:r>
        <w:t>由于提古片区无有效灌溉面积，本次农田灌溉需水预测主要为抚仙湖片区和南盘江片区。</w:t>
      </w:r>
    </w:p>
    <w:p>
      <w:pPr>
        <w:pStyle w:val="4"/>
      </w:pPr>
      <w:r>
        <w:t>（1）计算方法</w:t>
      </w:r>
    </w:p>
    <w:p>
      <w:pPr>
        <w:pStyle w:val="4"/>
      </w:pPr>
      <w:r>
        <w:t>灌溉制度是农业需水预测的基础，为了合理预测规划范围内各片区农业需水量，必须因地制宜，科学地制定灌溉制度。根据水资源配置的需要，本次规划区农灌涉及2个片区，由于各计算片区属于不同的类型区，因此灌溉制度设计以典型区为代表，推广到规划区的各计算片区。</w:t>
      </w:r>
    </w:p>
    <w:p>
      <w:pPr>
        <w:pStyle w:val="4"/>
      </w:pPr>
      <w:r>
        <w:t>由于规划区缺乏灌溉试验资料及相关成果，因此灌溉制度设计采用理论计算与实际灌溉经验相结合的办法。水稻是耗水量最大的作物，灌溉定额地区差异较大，其灌溉制度设计以理论计算为主，采用彭曼法公式计算农作物蒸腾蒸发量、扣除有效降雨并考虑田间灌溉损失的方法计算水稻灌溉净需水量，最终计算出1961～2020年共60年的长系列灌溉定额及灌水过程，并与实际灌溉方式和用水情况相结合，与已完成的有关规划、设计取用定额比较，通过综合分析确定合理的灌溉制度。对旱作物灌溉用水则以典型调查为主，并与降水、蒸发等主要影响因素进行相关分析，确定其灌溉制度。</w:t>
      </w:r>
    </w:p>
    <w:p>
      <w:pPr>
        <w:pStyle w:val="50"/>
        <w:ind w:firstLine="248"/>
        <w:rPr>
          <w:rFonts w:eastAsiaTheme="minorEastAsia"/>
          <w:color w:val="000000" w:themeColor="text1"/>
          <w:spacing w:val="4"/>
          <w:kern w:val="2"/>
          <w:position w:val="0"/>
          <w:sz w:val="24"/>
          <w:szCs w:val="28"/>
          <w14:textFill>
            <w14:solidFill>
              <w14:schemeClr w14:val="tx1"/>
            </w14:solidFill>
          </w14:textFill>
        </w:rPr>
      </w:pPr>
      <w:r>
        <w:rPr>
          <w:rFonts w:eastAsiaTheme="minorEastAsia"/>
          <w:color w:val="000000" w:themeColor="text1"/>
          <w:spacing w:val="4"/>
          <w:kern w:val="2"/>
          <w:position w:val="0"/>
          <w:sz w:val="24"/>
          <w:szCs w:val="28"/>
          <w14:textFill>
            <w14:solidFill>
              <w14:schemeClr w14:val="tx1"/>
            </w14:solidFill>
          </w14:textFill>
        </w:rPr>
        <w:t>（2）典型区选择</w:t>
      </w:r>
    </w:p>
    <w:p>
      <w:pPr>
        <w:pStyle w:val="4"/>
      </w:pPr>
      <w:r>
        <w:t>为使典型区能够成为同一类型灌区的代表，在选择灌溉典型区时遵循以下相似性原则：</w:t>
      </w:r>
      <w:r>
        <w:rPr>
          <w:rFonts w:hint="eastAsia" w:ascii="宋体" w:hAnsi="宋体" w:eastAsia="宋体" w:cs="宋体"/>
        </w:rPr>
        <w:t>①</w:t>
      </w:r>
      <w:r>
        <w:t>典型区自然条件；</w:t>
      </w:r>
      <w:r>
        <w:rPr>
          <w:rFonts w:hint="eastAsia" w:ascii="宋体" w:hAnsi="宋体" w:eastAsia="宋体" w:cs="宋体"/>
        </w:rPr>
        <w:t>②</w:t>
      </w:r>
      <w:r>
        <w:t>典型区社会经济条件；</w:t>
      </w:r>
      <w:r>
        <w:rPr>
          <w:rFonts w:hint="eastAsia" w:ascii="宋体" w:hAnsi="宋体" w:eastAsia="宋体" w:cs="宋体"/>
        </w:rPr>
        <w:t>③</w:t>
      </w:r>
      <w:r>
        <w:t>典型区水利条件；</w:t>
      </w:r>
      <w:r>
        <w:rPr>
          <w:rFonts w:hint="eastAsia" w:ascii="宋体" w:hAnsi="宋体" w:eastAsia="宋体" w:cs="宋体"/>
        </w:rPr>
        <w:t>④</w:t>
      </w:r>
      <w:r>
        <w:t>典型区农经作物结构和种植比例。</w:t>
      </w:r>
    </w:p>
    <w:p>
      <w:pPr>
        <w:pStyle w:val="4"/>
      </w:pPr>
      <w:r>
        <w:t>根据上述原则，规划范围内抚仙湖片区为1个典型区，南盘江片区为1个典型区，提古片区由于没有有效灌溉面积，不设典型区，规划范围合计2个灌溉典型区。典型区中抚仙湖片区围绕抚仙湖保护，主要种植烤烟、油菜等需水量少的作物，南盘江片区主要种植蔬菜等经济价值高的作物，2个典型基本涵盖了规划范围的社会经济水平、农业生产水平、水利条件和自然条件的不同类型的灌区，具有充分的代表性。</w:t>
      </w:r>
    </w:p>
    <w:p>
      <w:pPr>
        <w:pStyle w:val="4"/>
      </w:pPr>
      <w:r>
        <w:t>（3）典型区作物组成及预测</w:t>
      </w:r>
    </w:p>
    <w:p>
      <w:pPr>
        <w:pStyle w:val="4"/>
      </w:pPr>
      <w:r>
        <w:t>全市作物按类别划分可分为二大类：粮食作物和经济作物。粮食作物主要有水稻、玉米、小麦、豆类等；经济作物以烤烟、油菜和蓝莓为主。</w:t>
      </w:r>
    </w:p>
    <w:p>
      <w:pPr>
        <w:pStyle w:val="4"/>
      </w:pPr>
      <w:r>
        <w:t>另外，本次规划考虑水土资源配置衔接，规划区作物还可从播种时间上划分为三大类：大春作物、小春作物和常年作物。大春作物主要有水稻、玉米、烤烟等；小春作物以麦类、豆类等为主；常年作物主要以蔬菜、蓝莓为主。以下的作物种植结构发展预测情况以此分类方法进行。</w:t>
      </w:r>
    </w:p>
    <w:p>
      <w:pPr>
        <w:pStyle w:val="4"/>
      </w:pPr>
      <w:r>
        <w:t>规划水平年作物种植结构调整，主要根据澄江市的国民经济“十四五”规划、农业发展规划并结合抚仙湖保护需要，规划区作物种植结构调整的基本原则和思路如下：</w:t>
      </w:r>
    </w:p>
    <w:p>
      <w:pPr>
        <w:pStyle w:val="4"/>
      </w:pPr>
      <w:r>
        <w:t>1</w:t>
      </w:r>
      <w:r>
        <w:rPr>
          <w:rFonts w:hint="eastAsia"/>
        </w:rPr>
        <w:t>）</w:t>
      </w:r>
      <w:r>
        <w:t>根据《云南省抚仙湖湖滨生态红线及湖泊生态黄线“两线”划定方案》和《抚仙湖流域农业绿色发展实施方案》等文件要求，为了保护抚仙湖，加快调整农业结构，推广有机种植，抚仙湖流域大力推广烤烟、油菜、麦类、蚕豆等生态保育型和环境友好型农作物，坚决取缔菜豌豆、四季豆、韭菜、芹菜等高耗水高耗肥等农作物。根据《澄江市十四五农业思路及措施》，南盘江片区九村镇重点发展蔬菜产业园。</w:t>
      </w:r>
    </w:p>
    <w:p>
      <w:pPr>
        <w:pStyle w:val="4"/>
      </w:pPr>
      <w:r>
        <w:t>2</w:t>
      </w:r>
      <w:r>
        <w:rPr>
          <w:rFonts w:hint="eastAsia"/>
        </w:rPr>
        <w:t>）</w:t>
      </w:r>
      <w:r>
        <w:t>发展“两高一优”农业，包括巩固传统优势产业和发展新的经济支柱产业，主要通过改造中低产农田，发展高产稳产和优质高效节水灌溉来实现，因此复种指数要适当提高，并增加耕地灌溉率。</w:t>
      </w:r>
    </w:p>
    <w:p>
      <w:pPr>
        <w:pStyle w:val="4"/>
      </w:pPr>
      <w:r>
        <w:t>3</w:t>
      </w:r>
      <w:r>
        <w:rPr>
          <w:rFonts w:hint="eastAsia"/>
        </w:rPr>
        <w:t>）</w:t>
      </w:r>
      <w:r>
        <w:t>作物结构调整与各地特点相适应，贯彻绿色经济强省的方针，结合各地实际和市场要求，发展特色农业、突出优势，粮经比例调整要在稳定粮食生产的基础上适当增加经作比例，调优结构，增加农民收入。</w:t>
      </w:r>
    </w:p>
    <w:p>
      <w:pPr>
        <w:pStyle w:val="4"/>
      </w:pPr>
      <w:r>
        <w:t>根据上述作物结构调整的总体思路和基本原则，结合各计算片区特点、优势及水资源条件，分别对各计算单元的复种指数和各种作物的种植比例进行了预测。抚仙湖片区大力发展烤烟</w:t>
      </w:r>
      <w:r>
        <w:rPr>
          <w:rFonts w:hint="eastAsia"/>
        </w:rPr>
        <w:t>，减少大棚种植耗水高的蓝莓</w:t>
      </w:r>
      <w:r>
        <w:t>；南盘江片区提高蔬菜种植比例。灌溉典型区作物种植结构发展预测情况见下表。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13</w:t>
      </w:r>
      <w:r>
        <w:rPr>
          <w:color w:val="000000" w:themeColor="text1"/>
          <w14:textFill>
            <w14:solidFill>
              <w14:schemeClr w14:val="tx1"/>
            </w14:solidFill>
          </w14:textFill>
        </w:rPr>
        <w:t xml:space="preserve">  抚仙湖片区作物种植结构</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0"/>
        <w:gridCol w:w="1697"/>
        <w:gridCol w:w="2320"/>
        <w:gridCol w:w="1946"/>
        <w:gridCol w:w="1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2906" w:type="pct"/>
            <w:gridSpan w:val="3"/>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作物</w:t>
            </w:r>
          </w:p>
        </w:tc>
        <w:tc>
          <w:tcPr>
            <w:tcW w:w="1048"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w:t>
            </w:r>
          </w:p>
        </w:tc>
        <w:tc>
          <w:tcPr>
            <w:tcW w:w="104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常规</w:t>
            </w:r>
          </w:p>
        </w:tc>
        <w:tc>
          <w:tcPr>
            <w:tcW w:w="91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大春</w:t>
            </w: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水稻</w:t>
            </w:r>
          </w:p>
        </w:tc>
        <w:tc>
          <w:tcPr>
            <w:tcW w:w="1048" w:type="pct"/>
            <w:shd w:val="clear" w:color="auto" w:fill="auto"/>
            <w:noWrap/>
          </w:tcPr>
          <w:p>
            <w:pPr>
              <w:pStyle w:val="85"/>
              <w:rPr>
                <w:rFonts w:cs="Times New Roman"/>
                <w:color w:val="000000" w:themeColor="text1"/>
                <w14:textFill>
                  <w14:solidFill>
                    <w14:schemeClr w14:val="tx1"/>
                  </w14:solidFill>
                </w14:textFill>
              </w:rPr>
            </w:pPr>
            <w:r>
              <w:t>14%</w:t>
            </w:r>
          </w:p>
        </w:tc>
        <w:tc>
          <w:tcPr>
            <w:tcW w:w="1046" w:type="pct"/>
            <w:shd w:val="clear" w:color="auto" w:fill="auto"/>
            <w:noWrap/>
          </w:tcPr>
          <w:p>
            <w:pPr>
              <w:pStyle w:val="85"/>
              <w:rPr>
                <w:rFonts w:cs="Times New Roman"/>
                <w:color w:val="000000" w:themeColor="text1"/>
                <w14:textFill>
                  <w14:solidFill>
                    <w14:schemeClr w14:val="tx1"/>
                  </w14:solidFill>
                </w14:textFill>
              </w:rPr>
            </w:pPr>
            <w: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烤烟</w:t>
            </w:r>
          </w:p>
        </w:tc>
        <w:tc>
          <w:tcPr>
            <w:tcW w:w="1048" w:type="pct"/>
            <w:shd w:val="clear" w:color="auto" w:fill="auto"/>
            <w:noWrap/>
          </w:tcPr>
          <w:p>
            <w:pPr>
              <w:pStyle w:val="85"/>
              <w:rPr>
                <w:rFonts w:cs="Times New Roman"/>
                <w:color w:val="000000" w:themeColor="text1"/>
                <w14:textFill>
                  <w14:solidFill>
                    <w14:schemeClr w14:val="tx1"/>
                  </w14:solidFill>
                </w14:textFill>
              </w:rPr>
            </w:pPr>
            <w:r>
              <w:t>29%</w:t>
            </w:r>
          </w:p>
        </w:tc>
        <w:tc>
          <w:tcPr>
            <w:tcW w:w="1046" w:type="pct"/>
            <w:shd w:val="clear" w:color="auto" w:fill="auto"/>
            <w:noWrap/>
          </w:tcPr>
          <w:p>
            <w:pPr>
              <w:pStyle w:val="85"/>
              <w:rPr>
                <w:rFonts w:cs="Times New Roman"/>
                <w:color w:val="000000" w:themeColor="text1"/>
                <w14:textFill>
                  <w14:solidFill>
                    <w14:schemeClr w14:val="tx1"/>
                  </w14:solidFill>
                </w14:textFill>
              </w:rPr>
            </w:pPr>
            <w:r>
              <w:t>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玉米</w:t>
            </w:r>
          </w:p>
        </w:tc>
        <w:tc>
          <w:tcPr>
            <w:tcW w:w="1048" w:type="pct"/>
            <w:shd w:val="clear" w:color="auto" w:fill="auto"/>
            <w:noWrap/>
          </w:tcPr>
          <w:p>
            <w:pPr>
              <w:pStyle w:val="85"/>
              <w:rPr>
                <w:rFonts w:cs="Times New Roman"/>
                <w:color w:val="000000" w:themeColor="text1"/>
                <w14:textFill>
                  <w14:solidFill>
                    <w14:schemeClr w14:val="tx1"/>
                  </w14:solidFill>
                </w14:textFill>
              </w:rPr>
            </w:pPr>
            <w:r>
              <w:t>38%</w:t>
            </w:r>
          </w:p>
        </w:tc>
        <w:tc>
          <w:tcPr>
            <w:tcW w:w="1046" w:type="pct"/>
            <w:shd w:val="clear" w:color="auto" w:fill="auto"/>
            <w:noWrap/>
          </w:tcPr>
          <w:p>
            <w:pPr>
              <w:pStyle w:val="85"/>
              <w:rPr>
                <w:rFonts w:cs="Times New Roman"/>
                <w:color w:val="000000" w:themeColor="text1"/>
                <w14:textFill>
                  <w14:solidFill>
                    <w14:schemeClr w14:val="tx1"/>
                  </w14:solidFill>
                </w14:textFill>
              </w:rPr>
            </w:pPr>
            <w:r>
              <w:t>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小春</w:t>
            </w: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油菜</w:t>
            </w:r>
          </w:p>
        </w:tc>
        <w:tc>
          <w:tcPr>
            <w:tcW w:w="1048" w:type="pct"/>
            <w:shd w:val="clear" w:color="auto" w:fill="auto"/>
            <w:noWrap/>
          </w:tcPr>
          <w:p>
            <w:pPr>
              <w:pStyle w:val="85"/>
              <w:rPr>
                <w:rFonts w:cs="Times New Roman"/>
                <w:color w:val="000000" w:themeColor="text1"/>
                <w14:textFill>
                  <w14:solidFill>
                    <w14:schemeClr w14:val="tx1"/>
                  </w14:solidFill>
                </w14:textFill>
              </w:rPr>
            </w:pPr>
            <w:r>
              <w:t>12%</w:t>
            </w:r>
          </w:p>
        </w:tc>
        <w:tc>
          <w:tcPr>
            <w:tcW w:w="1046" w:type="pct"/>
            <w:shd w:val="clear" w:color="auto" w:fill="auto"/>
            <w:noWrap/>
          </w:tcPr>
          <w:p>
            <w:pPr>
              <w:pStyle w:val="85"/>
              <w:rPr>
                <w:rFonts w:cs="Times New Roman"/>
                <w:color w:val="000000" w:themeColor="text1"/>
                <w14:textFill>
                  <w14:solidFill>
                    <w14:schemeClr w14:val="tx1"/>
                  </w14:solidFill>
                </w14:textFill>
              </w:rPr>
            </w:pPr>
            <w: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小麦</w:t>
            </w:r>
          </w:p>
        </w:tc>
        <w:tc>
          <w:tcPr>
            <w:tcW w:w="1048" w:type="pct"/>
            <w:shd w:val="clear" w:color="auto" w:fill="auto"/>
            <w:noWrap/>
          </w:tcPr>
          <w:p>
            <w:pPr>
              <w:pStyle w:val="85"/>
              <w:rPr>
                <w:rFonts w:cs="Times New Roman"/>
                <w:color w:val="000000" w:themeColor="text1"/>
                <w14:textFill>
                  <w14:solidFill>
                    <w14:schemeClr w14:val="tx1"/>
                  </w14:solidFill>
                </w14:textFill>
              </w:rPr>
            </w:pPr>
            <w:r>
              <w:t>16%</w:t>
            </w:r>
          </w:p>
        </w:tc>
        <w:tc>
          <w:tcPr>
            <w:tcW w:w="1046" w:type="pct"/>
            <w:shd w:val="clear" w:color="auto" w:fill="auto"/>
            <w:noWrap/>
          </w:tcPr>
          <w:p>
            <w:pPr>
              <w:pStyle w:val="85"/>
              <w:rPr>
                <w:rFonts w:cs="Times New Roman"/>
                <w:color w:val="000000" w:themeColor="text1"/>
                <w14:textFill>
                  <w14:solidFill>
                    <w14:schemeClr w14:val="tx1"/>
                  </w14:solidFill>
                </w14:textFill>
              </w:rPr>
            </w:pPr>
            <w: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小春蔬菜</w:t>
            </w:r>
          </w:p>
        </w:tc>
        <w:tc>
          <w:tcPr>
            <w:tcW w:w="1048" w:type="pct"/>
            <w:shd w:val="clear" w:color="auto" w:fill="auto"/>
            <w:noWrap/>
          </w:tcPr>
          <w:p>
            <w:pPr>
              <w:pStyle w:val="85"/>
              <w:rPr>
                <w:rFonts w:cs="Times New Roman"/>
                <w:color w:val="000000" w:themeColor="text1"/>
                <w14:textFill>
                  <w14:solidFill>
                    <w14:schemeClr w14:val="tx1"/>
                  </w14:solidFill>
                </w14:textFill>
              </w:rPr>
            </w:pPr>
            <w:r>
              <w:t>9%</w:t>
            </w:r>
          </w:p>
        </w:tc>
        <w:tc>
          <w:tcPr>
            <w:tcW w:w="1046" w:type="pct"/>
            <w:shd w:val="clear" w:color="auto" w:fill="auto"/>
            <w:noWrap/>
          </w:tcPr>
          <w:p>
            <w:pPr>
              <w:pStyle w:val="85"/>
              <w:rPr>
                <w:rFonts w:cs="Times New Roman"/>
                <w:color w:val="000000" w:themeColor="text1"/>
                <w14:textFill>
                  <w14:solidFill>
                    <w14:schemeClr w14:val="tx1"/>
                  </w14:solidFill>
                </w14:textFill>
              </w:rPr>
            </w:pP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蚕豆</w:t>
            </w:r>
          </w:p>
        </w:tc>
        <w:tc>
          <w:tcPr>
            <w:tcW w:w="1048" w:type="pct"/>
            <w:shd w:val="clear" w:color="auto" w:fill="auto"/>
            <w:noWrap/>
          </w:tcPr>
          <w:p>
            <w:pPr>
              <w:pStyle w:val="85"/>
              <w:rPr>
                <w:rFonts w:cs="Times New Roman"/>
                <w:color w:val="000000" w:themeColor="text1"/>
                <w14:textFill>
                  <w14:solidFill>
                    <w14:schemeClr w14:val="tx1"/>
                  </w14:solidFill>
                </w14:textFill>
              </w:rPr>
            </w:pPr>
            <w:r>
              <w:t>11%</w:t>
            </w:r>
          </w:p>
        </w:tc>
        <w:tc>
          <w:tcPr>
            <w:tcW w:w="1046" w:type="pct"/>
            <w:shd w:val="clear" w:color="auto" w:fill="auto"/>
            <w:noWrap/>
          </w:tcPr>
          <w:p>
            <w:pPr>
              <w:pStyle w:val="85"/>
              <w:rPr>
                <w:rFonts w:cs="Times New Roman"/>
                <w:color w:val="000000" w:themeColor="text1"/>
                <w14:textFill>
                  <w14:solidFill>
                    <w14:schemeClr w14:val="tx1"/>
                  </w14:solidFill>
                </w14:textFill>
              </w:rPr>
            </w:pPr>
            <w: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常年</w:t>
            </w: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荷藕</w:t>
            </w:r>
          </w:p>
        </w:tc>
        <w:tc>
          <w:tcPr>
            <w:tcW w:w="1048" w:type="pct"/>
            <w:shd w:val="clear" w:color="auto" w:fill="auto"/>
            <w:noWrap/>
          </w:tcPr>
          <w:p>
            <w:pPr>
              <w:pStyle w:val="85"/>
              <w:rPr>
                <w:rFonts w:cs="Times New Roman"/>
                <w:color w:val="000000" w:themeColor="text1"/>
                <w14:textFill>
                  <w14:solidFill>
                    <w14:schemeClr w14:val="tx1"/>
                  </w14:solidFill>
                </w14:textFill>
              </w:rPr>
            </w:pPr>
            <w:r>
              <w:t>2%</w:t>
            </w:r>
          </w:p>
        </w:tc>
        <w:tc>
          <w:tcPr>
            <w:tcW w:w="1046" w:type="pct"/>
            <w:shd w:val="clear" w:color="auto" w:fill="auto"/>
            <w:noWrap/>
          </w:tcPr>
          <w:p>
            <w:pPr>
              <w:pStyle w:val="85"/>
              <w:rPr>
                <w:rFonts w:cs="Times New Roman"/>
                <w:color w:val="000000" w:themeColor="text1"/>
                <w14:textFill>
                  <w14:solidFill>
                    <w14:schemeClr w14:val="tx1"/>
                  </w14:solidFill>
                </w14:textFill>
              </w:rPr>
            </w:pPr>
            <w: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蔬菜</w:t>
            </w:r>
          </w:p>
        </w:tc>
        <w:tc>
          <w:tcPr>
            <w:tcW w:w="1048" w:type="pct"/>
            <w:shd w:val="clear" w:color="auto" w:fill="auto"/>
            <w:noWrap/>
          </w:tcPr>
          <w:p>
            <w:pPr>
              <w:pStyle w:val="85"/>
              <w:rPr>
                <w:rFonts w:cs="Times New Roman"/>
                <w:color w:val="000000" w:themeColor="text1"/>
                <w14:textFill>
                  <w14:solidFill>
                    <w14:schemeClr w14:val="tx1"/>
                  </w14:solidFill>
                </w14:textFill>
              </w:rPr>
            </w:pPr>
            <w:r>
              <w:t>11%</w:t>
            </w:r>
          </w:p>
        </w:tc>
        <w:tc>
          <w:tcPr>
            <w:tcW w:w="1046" w:type="pct"/>
            <w:shd w:val="clear" w:color="auto" w:fill="auto"/>
            <w:noWrap/>
          </w:tcPr>
          <w:p>
            <w:pPr>
              <w:pStyle w:val="85"/>
              <w:rPr>
                <w:rFonts w:cs="Times New Roman"/>
                <w:color w:val="000000" w:themeColor="text1"/>
                <w14:textFill>
                  <w14:solidFill>
                    <w14:schemeClr w14:val="tx1"/>
                  </w14:solidFill>
                </w14:textFill>
              </w:rPr>
            </w:pP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蓝莓</w:t>
            </w:r>
          </w:p>
        </w:tc>
        <w:tc>
          <w:tcPr>
            <w:tcW w:w="1048" w:type="pct"/>
            <w:shd w:val="clear" w:color="auto" w:fill="auto"/>
            <w:noWrap/>
          </w:tcPr>
          <w:p>
            <w:pPr>
              <w:pStyle w:val="85"/>
              <w:rPr>
                <w:rFonts w:cs="Times New Roman"/>
                <w:color w:val="000000" w:themeColor="text1"/>
                <w14:textFill>
                  <w14:solidFill>
                    <w14:schemeClr w14:val="tx1"/>
                  </w14:solidFill>
                </w14:textFill>
              </w:rPr>
            </w:pPr>
            <w:r>
              <w:t>6%</w:t>
            </w:r>
          </w:p>
        </w:tc>
        <w:tc>
          <w:tcPr>
            <w:tcW w:w="1046" w:type="pct"/>
            <w:shd w:val="clear" w:color="auto" w:fill="auto"/>
            <w:noWrap/>
          </w:tcPr>
          <w:p>
            <w:pPr>
              <w:pStyle w:val="85"/>
              <w:rPr>
                <w:rFonts w:cs="Times New Roman"/>
                <w:color w:val="000000" w:themeColor="text1"/>
                <w14:textFill>
                  <w14:solidFill>
                    <w14:schemeClr w14:val="tx1"/>
                  </w14:solidFill>
                </w14:textFill>
              </w:rPr>
            </w:pPr>
            <w: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6" w:hRule="atLeast"/>
          <w:jc w:val="center"/>
        </w:trPr>
        <w:tc>
          <w:tcPr>
            <w:tcW w:w="743"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高效节水</w:t>
            </w:r>
          </w:p>
        </w:tc>
        <w:tc>
          <w:tcPr>
            <w:tcW w:w="91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大春</w:t>
            </w:r>
          </w:p>
        </w:tc>
        <w:tc>
          <w:tcPr>
            <w:tcW w:w="1249" w:type="pct"/>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水稻</w:t>
            </w:r>
          </w:p>
        </w:tc>
        <w:tc>
          <w:tcPr>
            <w:tcW w:w="1048" w:type="pct"/>
            <w:shd w:val="clear" w:color="auto" w:fill="auto"/>
            <w:noWrap/>
          </w:tcPr>
          <w:p>
            <w:pPr>
              <w:pStyle w:val="85"/>
              <w:rPr>
                <w:rFonts w:cs="Times New Roman"/>
                <w:color w:val="000000" w:themeColor="text1"/>
                <w14:textFill>
                  <w14:solidFill>
                    <w14:schemeClr w14:val="tx1"/>
                  </w14:solidFill>
                </w14:textFill>
              </w:rPr>
            </w:pPr>
            <w:r>
              <w:t>10%</w:t>
            </w:r>
          </w:p>
        </w:tc>
        <w:tc>
          <w:tcPr>
            <w:tcW w:w="1046" w:type="pct"/>
            <w:shd w:val="clear" w:color="auto" w:fill="auto"/>
            <w:noWrap/>
          </w:tcPr>
          <w:p>
            <w:pPr>
              <w:pStyle w:val="85"/>
              <w:rPr>
                <w:rFonts w:cs="Times New Roman"/>
                <w:color w:val="000000" w:themeColor="text1"/>
                <w14:textFill>
                  <w14:solidFill>
                    <w14:schemeClr w14:val="tx1"/>
                  </w14:solidFill>
                </w14:textFill>
              </w:rPr>
            </w:pPr>
            <w: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shd w:val="clear" w:color="auto" w:fill="auto"/>
            <w:noWrap/>
            <w:vAlign w:val="center"/>
          </w:tcPr>
          <w:p>
            <w:pPr>
              <w:pStyle w:val="85"/>
              <w:rPr>
                <w:rFonts w:cs="Times New Roman"/>
                <w:color w:val="000000" w:themeColor="text1"/>
                <w14:textFill>
                  <w14:solidFill>
                    <w14:schemeClr w14:val="tx1"/>
                  </w14:solidFill>
                </w14:textFill>
              </w:rPr>
            </w:pPr>
          </w:p>
        </w:tc>
        <w:tc>
          <w:tcPr>
            <w:tcW w:w="914" w:type="pct"/>
            <w:vMerge w:val="continue"/>
            <w:shd w:val="clear" w:color="auto" w:fill="auto"/>
            <w:noWrap/>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烤烟</w:t>
            </w:r>
          </w:p>
        </w:tc>
        <w:tc>
          <w:tcPr>
            <w:tcW w:w="1048" w:type="pct"/>
            <w:shd w:val="clear" w:color="auto" w:fill="auto"/>
            <w:noWrap/>
          </w:tcPr>
          <w:p>
            <w:pPr>
              <w:pStyle w:val="85"/>
            </w:pPr>
            <w:r>
              <w:t>58%</w:t>
            </w:r>
          </w:p>
        </w:tc>
        <w:tc>
          <w:tcPr>
            <w:tcW w:w="1046" w:type="pct"/>
            <w:shd w:val="clear" w:color="auto" w:fill="auto"/>
            <w:noWrap/>
          </w:tcPr>
          <w:p>
            <w:pPr>
              <w:pStyle w:val="85"/>
            </w:pPr>
            <w:r>
              <w:t>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小春</w:t>
            </w:r>
          </w:p>
        </w:tc>
        <w:tc>
          <w:tcPr>
            <w:tcW w:w="124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蚕豆</w:t>
            </w:r>
          </w:p>
        </w:tc>
        <w:tc>
          <w:tcPr>
            <w:tcW w:w="1048" w:type="pct"/>
            <w:shd w:val="clear" w:color="auto" w:fill="auto"/>
            <w:noWrap/>
          </w:tcPr>
          <w:p>
            <w:pPr>
              <w:pStyle w:val="85"/>
              <w:rPr>
                <w:rFonts w:cs="Times New Roman"/>
                <w:color w:val="000000" w:themeColor="text1"/>
                <w14:textFill>
                  <w14:solidFill>
                    <w14:schemeClr w14:val="tx1"/>
                  </w14:solidFill>
                </w14:textFill>
              </w:rPr>
            </w:pPr>
            <w:r>
              <w:t>24%</w:t>
            </w:r>
          </w:p>
        </w:tc>
        <w:tc>
          <w:tcPr>
            <w:tcW w:w="1046" w:type="pct"/>
            <w:shd w:val="clear" w:color="auto" w:fill="auto"/>
            <w:noWrap/>
          </w:tcPr>
          <w:p>
            <w:pPr>
              <w:pStyle w:val="85"/>
              <w:rPr>
                <w:rFonts w:cs="Times New Roman"/>
                <w:color w:val="000000" w:themeColor="text1"/>
                <w14:textFill>
                  <w14:solidFill>
                    <w14:schemeClr w14:val="tx1"/>
                  </w14:solidFill>
                </w14:textFill>
              </w:rPr>
            </w:pPr>
            <w: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油菜</w:t>
            </w:r>
          </w:p>
        </w:tc>
        <w:tc>
          <w:tcPr>
            <w:tcW w:w="1048" w:type="pct"/>
            <w:shd w:val="clear" w:color="auto" w:fill="auto"/>
            <w:noWrap/>
          </w:tcPr>
          <w:p>
            <w:pPr>
              <w:pStyle w:val="85"/>
              <w:rPr>
                <w:rFonts w:cs="Times New Roman"/>
                <w:color w:val="000000" w:themeColor="text1"/>
                <w14:textFill>
                  <w14:solidFill>
                    <w14:schemeClr w14:val="tx1"/>
                  </w14:solidFill>
                </w14:textFill>
              </w:rPr>
            </w:pPr>
            <w:r>
              <w:t>18%</w:t>
            </w:r>
          </w:p>
        </w:tc>
        <w:tc>
          <w:tcPr>
            <w:tcW w:w="1046" w:type="pct"/>
            <w:shd w:val="clear" w:color="auto" w:fill="auto"/>
            <w:noWrap/>
          </w:tcPr>
          <w:p>
            <w:pPr>
              <w:pStyle w:val="85"/>
              <w:rPr>
                <w:rFonts w:cs="Times New Roman"/>
                <w:color w:val="000000" w:themeColor="text1"/>
                <w14:textFill>
                  <w14:solidFill>
                    <w14:schemeClr w14:val="tx1"/>
                  </w14:solidFill>
                </w14:textFill>
              </w:rPr>
            </w:pPr>
            <w: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常年</w:t>
            </w:r>
          </w:p>
        </w:tc>
        <w:tc>
          <w:tcPr>
            <w:tcW w:w="124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蓝莓</w:t>
            </w:r>
          </w:p>
        </w:tc>
        <w:tc>
          <w:tcPr>
            <w:tcW w:w="1048" w:type="pct"/>
            <w:shd w:val="clear" w:color="auto" w:fill="auto"/>
            <w:noWrap/>
          </w:tcPr>
          <w:p>
            <w:pPr>
              <w:pStyle w:val="85"/>
              <w:rPr>
                <w:rFonts w:cs="Times New Roman"/>
                <w:color w:val="000000" w:themeColor="text1"/>
                <w14:textFill>
                  <w14:solidFill>
                    <w14:schemeClr w14:val="tx1"/>
                  </w14:solidFill>
                </w14:textFill>
              </w:rPr>
            </w:pPr>
            <w:r>
              <w:t>24%</w:t>
            </w:r>
          </w:p>
        </w:tc>
        <w:tc>
          <w:tcPr>
            <w:tcW w:w="1046" w:type="pct"/>
            <w:shd w:val="clear" w:color="auto" w:fill="auto"/>
            <w:noWrap/>
          </w:tcPr>
          <w:p>
            <w:pPr>
              <w:pStyle w:val="85"/>
              <w:rPr>
                <w:rFonts w:cs="Times New Roman"/>
                <w:color w:val="000000" w:themeColor="text1"/>
                <w14:textFill>
                  <w14:solidFill>
                    <w14:schemeClr w14:val="tx1"/>
                  </w14:solidFill>
                </w14:textFill>
              </w:rPr>
            </w:pPr>
            <w: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43" w:type="pct"/>
            <w:vMerge w:val="continue"/>
            <w:vAlign w:val="center"/>
          </w:tcPr>
          <w:p>
            <w:pPr>
              <w:pStyle w:val="85"/>
              <w:rPr>
                <w:rFonts w:cs="Times New Roman"/>
                <w:color w:val="000000" w:themeColor="text1"/>
                <w14:textFill>
                  <w14:solidFill>
                    <w14:schemeClr w14:val="tx1"/>
                  </w14:solidFill>
                </w14:textFill>
              </w:rPr>
            </w:pPr>
          </w:p>
        </w:tc>
        <w:tc>
          <w:tcPr>
            <w:tcW w:w="914" w:type="pct"/>
            <w:vMerge w:val="continue"/>
            <w:vAlign w:val="center"/>
          </w:tcPr>
          <w:p>
            <w:pPr>
              <w:pStyle w:val="85"/>
              <w:rPr>
                <w:rFonts w:cs="Times New Roman"/>
                <w:color w:val="000000" w:themeColor="text1"/>
                <w14:textFill>
                  <w14:solidFill>
                    <w14:schemeClr w14:val="tx1"/>
                  </w14:solidFill>
                </w14:textFill>
              </w:rPr>
            </w:pPr>
          </w:p>
        </w:tc>
        <w:tc>
          <w:tcPr>
            <w:tcW w:w="124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蔬菜</w:t>
            </w:r>
          </w:p>
        </w:tc>
        <w:tc>
          <w:tcPr>
            <w:tcW w:w="1048" w:type="pct"/>
            <w:shd w:val="clear" w:color="auto" w:fill="auto"/>
            <w:noWrap/>
          </w:tcPr>
          <w:p>
            <w:pPr>
              <w:pStyle w:val="85"/>
              <w:rPr>
                <w:rFonts w:cs="Times New Roman"/>
                <w:color w:val="000000" w:themeColor="text1"/>
                <w14:textFill>
                  <w14:solidFill>
                    <w14:schemeClr w14:val="tx1"/>
                  </w14:solidFill>
                </w14:textFill>
              </w:rPr>
            </w:pPr>
            <w:r>
              <w:t>9%</w:t>
            </w:r>
          </w:p>
        </w:tc>
        <w:tc>
          <w:tcPr>
            <w:tcW w:w="1046" w:type="pct"/>
            <w:shd w:val="clear" w:color="auto" w:fill="auto"/>
            <w:noWrap/>
          </w:tcPr>
          <w:p>
            <w:pPr>
              <w:pStyle w:val="85"/>
              <w:rPr>
                <w:rFonts w:cs="Times New Roman"/>
                <w:color w:val="000000" w:themeColor="text1"/>
                <w14:textFill>
                  <w14:solidFill>
                    <w14:schemeClr w14:val="tx1"/>
                  </w14:solidFill>
                </w14:textFill>
              </w:rPr>
            </w:pP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2906" w:type="pct"/>
            <w:gridSpan w:val="3"/>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常规复种指数</w:t>
            </w:r>
          </w:p>
        </w:tc>
        <w:tc>
          <w:tcPr>
            <w:tcW w:w="1048" w:type="pct"/>
            <w:shd w:val="clear" w:color="auto" w:fill="auto"/>
            <w:noWrap/>
          </w:tcPr>
          <w:p>
            <w:pPr>
              <w:pStyle w:val="85"/>
              <w:rPr>
                <w:rFonts w:cs="Times New Roman"/>
                <w:color w:val="000000" w:themeColor="text1"/>
                <w14:textFill>
                  <w14:solidFill>
                    <w14:schemeClr w14:val="tx1"/>
                  </w14:solidFill>
                </w14:textFill>
              </w:rPr>
            </w:pPr>
            <w:r>
              <w:t>167%</w:t>
            </w:r>
          </w:p>
        </w:tc>
        <w:tc>
          <w:tcPr>
            <w:tcW w:w="1046" w:type="pct"/>
            <w:shd w:val="clear" w:color="auto" w:fill="auto"/>
            <w:noWrap/>
          </w:tcPr>
          <w:p>
            <w:pPr>
              <w:pStyle w:val="85"/>
              <w:rPr>
                <w:rFonts w:cs="Times New Roman"/>
                <w:color w:val="000000" w:themeColor="text1"/>
                <w14:textFill>
                  <w14:solidFill>
                    <w14:schemeClr w14:val="tx1"/>
                  </w14:solidFill>
                </w14:textFill>
              </w:rPr>
            </w:pPr>
            <w:r>
              <w:t>171%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2906" w:type="pct"/>
            <w:gridSpan w:val="3"/>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高效节水复种指数</w:t>
            </w:r>
          </w:p>
        </w:tc>
        <w:tc>
          <w:tcPr>
            <w:tcW w:w="1048" w:type="pct"/>
            <w:shd w:val="clear" w:color="auto" w:fill="auto"/>
            <w:noWrap/>
          </w:tcPr>
          <w:p>
            <w:pPr>
              <w:pStyle w:val="85"/>
              <w:rPr>
                <w:rFonts w:cs="Times New Roman"/>
                <w:color w:val="000000" w:themeColor="text1"/>
                <w14:textFill>
                  <w14:solidFill>
                    <w14:schemeClr w14:val="tx1"/>
                  </w14:solidFill>
                </w14:textFill>
              </w:rPr>
            </w:pPr>
            <w:r>
              <w:t>174%</w:t>
            </w:r>
          </w:p>
        </w:tc>
        <w:tc>
          <w:tcPr>
            <w:tcW w:w="1046" w:type="pct"/>
            <w:shd w:val="clear" w:color="auto" w:fill="auto"/>
            <w:noWrap/>
          </w:tcPr>
          <w:p>
            <w:pPr>
              <w:pStyle w:val="85"/>
              <w:rPr>
                <w:rFonts w:cs="Times New Roman"/>
                <w:color w:val="000000" w:themeColor="text1"/>
                <w14:textFill>
                  <w14:solidFill>
                    <w14:schemeClr w14:val="tx1"/>
                  </w14:solidFill>
                </w14:textFill>
              </w:rPr>
            </w:pPr>
            <w:r>
              <w:t>178%</w:t>
            </w:r>
          </w:p>
        </w:tc>
      </w:tr>
    </w:tbl>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 xml:space="preserve">  南盘江片区作物种植结构</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36"/>
        <w:gridCol w:w="1480"/>
        <w:gridCol w:w="1484"/>
        <w:gridCol w:w="1941"/>
        <w:gridCol w:w="16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3069" w:type="pct"/>
            <w:gridSpan w:val="3"/>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作物</w:t>
            </w:r>
          </w:p>
        </w:tc>
        <w:tc>
          <w:tcPr>
            <w:tcW w:w="104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88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常规作物</w:t>
            </w:r>
          </w:p>
        </w:tc>
        <w:tc>
          <w:tcPr>
            <w:tcW w:w="797"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大春</w:t>
            </w: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水稻</w:t>
            </w:r>
          </w:p>
        </w:tc>
        <w:tc>
          <w:tcPr>
            <w:tcW w:w="1045" w:type="pct"/>
            <w:shd w:val="clear" w:color="auto" w:fill="auto"/>
            <w:noWrap/>
          </w:tcPr>
          <w:p>
            <w:pPr>
              <w:pStyle w:val="85"/>
              <w:rPr>
                <w:rFonts w:cs="Times New Roman"/>
                <w:color w:val="000000" w:themeColor="text1"/>
                <w14:textFill>
                  <w14:solidFill>
                    <w14:schemeClr w14:val="tx1"/>
                  </w14:solidFill>
                </w14:textFill>
              </w:rPr>
            </w:pPr>
            <w:r>
              <w:t>10%</w:t>
            </w:r>
          </w:p>
        </w:tc>
        <w:tc>
          <w:tcPr>
            <w:tcW w:w="886" w:type="pct"/>
            <w:shd w:val="clear" w:color="auto" w:fill="auto"/>
            <w:noWrap/>
          </w:tcPr>
          <w:p>
            <w:pPr>
              <w:pStyle w:val="85"/>
              <w:rPr>
                <w:rFonts w:cs="Times New Roman"/>
                <w:color w:val="000000" w:themeColor="text1"/>
                <w14:textFill>
                  <w14:solidFill>
                    <w14:schemeClr w14:val="tx1"/>
                  </w14:solidFill>
                </w14:textFill>
              </w:rPr>
            </w:pPr>
            <w: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continue"/>
            <w:vAlign w:val="center"/>
          </w:tcPr>
          <w:p>
            <w:pPr>
              <w:pStyle w:val="85"/>
              <w:rPr>
                <w:rFonts w:cs="Times New Roman"/>
                <w:color w:val="000000" w:themeColor="text1"/>
                <w14:textFill>
                  <w14:solidFill>
                    <w14:schemeClr w14:val="tx1"/>
                  </w14:solidFill>
                </w14:textFill>
              </w:rPr>
            </w:pPr>
          </w:p>
        </w:tc>
        <w:tc>
          <w:tcPr>
            <w:tcW w:w="797" w:type="pct"/>
            <w:vMerge w:val="continue"/>
            <w:vAlign w:val="center"/>
          </w:tcPr>
          <w:p>
            <w:pPr>
              <w:pStyle w:val="85"/>
              <w:rPr>
                <w:rFonts w:cs="Times New Roman"/>
                <w:color w:val="000000" w:themeColor="text1"/>
                <w14:textFill>
                  <w14:solidFill>
                    <w14:schemeClr w14:val="tx1"/>
                  </w14:solidFill>
                </w14:textFill>
              </w:rPr>
            </w:pP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烤烟</w:t>
            </w:r>
          </w:p>
        </w:tc>
        <w:tc>
          <w:tcPr>
            <w:tcW w:w="1045" w:type="pct"/>
            <w:shd w:val="clear" w:color="auto" w:fill="auto"/>
            <w:noWrap/>
          </w:tcPr>
          <w:p>
            <w:pPr>
              <w:pStyle w:val="85"/>
              <w:rPr>
                <w:rFonts w:cs="Times New Roman"/>
                <w:color w:val="000000" w:themeColor="text1"/>
                <w14:textFill>
                  <w14:solidFill>
                    <w14:schemeClr w14:val="tx1"/>
                  </w14:solidFill>
                </w14:textFill>
              </w:rPr>
            </w:pPr>
            <w:r>
              <w:t>34%</w:t>
            </w:r>
          </w:p>
        </w:tc>
        <w:tc>
          <w:tcPr>
            <w:tcW w:w="886" w:type="pct"/>
            <w:shd w:val="clear" w:color="auto" w:fill="auto"/>
            <w:noWrap/>
          </w:tcPr>
          <w:p>
            <w:pPr>
              <w:pStyle w:val="85"/>
              <w:rPr>
                <w:rFonts w:cs="Times New Roman"/>
                <w:color w:val="000000" w:themeColor="text1"/>
                <w14:textFill>
                  <w14:solidFill>
                    <w14:schemeClr w14:val="tx1"/>
                  </w14:solidFill>
                </w14:textFill>
              </w:rPr>
            </w:pPr>
            <w:r>
              <w:t>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continue"/>
            <w:vAlign w:val="center"/>
          </w:tcPr>
          <w:p>
            <w:pPr>
              <w:pStyle w:val="85"/>
              <w:rPr>
                <w:rFonts w:cs="Times New Roman"/>
                <w:color w:val="000000" w:themeColor="text1"/>
                <w14:textFill>
                  <w14:solidFill>
                    <w14:schemeClr w14:val="tx1"/>
                  </w14:solidFill>
                </w14:textFill>
              </w:rPr>
            </w:pPr>
          </w:p>
        </w:tc>
        <w:tc>
          <w:tcPr>
            <w:tcW w:w="797" w:type="pct"/>
            <w:vMerge w:val="continue"/>
            <w:vAlign w:val="center"/>
          </w:tcPr>
          <w:p>
            <w:pPr>
              <w:pStyle w:val="85"/>
              <w:rPr>
                <w:rFonts w:cs="Times New Roman"/>
                <w:color w:val="000000" w:themeColor="text1"/>
                <w14:textFill>
                  <w14:solidFill>
                    <w14:schemeClr w14:val="tx1"/>
                  </w14:solidFill>
                </w14:textFill>
              </w:rPr>
            </w:pP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玉米</w:t>
            </w:r>
          </w:p>
        </w:tc>
        <w:tc>
          <w:tcPr>
            <w:tcW w:w="1045" w:type="pct"/>
            <w:shd w:val="clear" w:color="auto" w:fill="auto"/>
            <w:noWrap/>
          </w:tcPr>
          <w:p>
            <w:pPr>
              <w:pStyle w:val="85"/>
              <w:rPr>
                <w:rFonts w:cs="Times New Roman"/>
                <w:color w:val="000000" w:themeColor="text1"/>
                <w14:textFill>
                  <w14:solidFill>
                    <w14:schemeClr w14:val="tx1"/>
                  </w14:solidFill>
                </w14:textFill>
              </w:rPr>
            </w:pPr>
            <w:r>
              <w:t>18%</w:t>
            </w:r>
          </w:p>
        </w:tc>
        <w:tc>
          <w:tcPr>
            <w:tcW w:w="886" w:type="pct"/>
            <w:shd w:val="clear" w:color="auto" w:fill="auto"/>
            <w:noWrap/>
          </w:tcPr>
          <w:p>
            <w:pPr>
              <w:pStyle w:val="85"/>
              <w:rPr>
                <w:rFonts w:cs="Times New Roman"/>
                <w:color w:val="000000" w:themeColor="text1"/>
                <w14:textFill>
                  <w14:solidFill>
                    <w14:schemeClr w14:val="tx1"/>
                  </w14:solidFill>
                </w14:textFill>
              </w:rPr>
            </w:pPr>
            <w: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continue"/>
            <w:vAlign w:val="center"/>
          </w:tcPr>
          <w:p>
            <w:pPr>
              <w:pStyle w:val="85"/>
              <w:rPr>
                <w:rFonts w:cs="Times New Roman"/>
                <w:color w:val="000000" w:themeColor="text1"/>
                <w14:textFill>
                  <w14:solidFill>
                    <w14:schemeClr w14:val="tx1"/>
                  </w14:solidFill>
                </w14:textFill>
              </w:rPr>
            </w:pPr>
          </w:p>
        </w:tc>
        <w:tc>
          <w:tcPr>
            <w:tcW w:w="79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小春</w:t>
            </w: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小麦</w:t>
            </w:r>
          </w:p>
        </w:tc>
        <w:tc>
          <w:tcPr>
            <w:tcW w:w="1045" w:type="pct"/>
            <w:shd w:val="clear" w:color="auto" w:fill="auto"/>
            <w:noWrap/>
          </w:tcPr>
          <w:p>
            <w:pPr>
              <w:pStyle w:val="85"/>
              <w:rPr>
                <w:rFonts w:cs="Times New Roman"/>
                <w:color w:val="000000" w:themeColor="text1"/>
                <w14:textFill>
                  <w14:solidFill>
                    <w14:schemeClr w14:val="tx1"/>
                  </w14:solidFill>
                </w14:textFill>
              </w:rPr>
            </w:pPr>
            <w:r>
              <w:t>16%</w:t>
            </w:r>
          </w:p>
        </w:tc>
        <w:tc>
          <w:tcPr>
            <w:tcW w:w="886" w:type="pct"/>
            <w:shd w:val="clear" w:color="auto" w:fill="auto"/>
            <w:noWrap/>
          </w:tcPr>
          <w:p>
            <w:pPr>
              <w:pStyle w:val="85"/>
              <w:rPr>
                <w:rFonts w:cs="Times New Roman"/>
                <w:color w:val="000000" w:themeColor="text1"/>
                <w14:textFill>
                  <w14:solidFill>
                    <w14:schemeClr w14:val="tx1"/>
                  </w14:solidFill>
                </w14:textFill>
              </w:rPr>
            </w:pPr>
            <w: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continue"/>
            <w:vAlign w:val="center"/>
          </w:tcPr>
          <w:p>
            <w:pPr>
              <w:pStyle w:val="85"/>
              <w:rPr>
                <w:rFonts w:cs="Times New Roman"/>
                <w:color w:val="000000" w:themeColor="text1"/>
                <w14:textFill>
                  <w14:solidFill>
                    <w14:schemeClr w14:val="tx1"/>
                  </w14:solidFill>
                </w14:textFill>
              </w:rPr>
            </w:pPr>
          </w:p>
        </w:tc>
        <w:tc>
          <w:tcPr>
            <w:tcW w:w="79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常年</w:t>
            </w: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蔬菜</w:t>
            </w:r>
          </w:p>
        </w:tc>
        <w:tc>
          <w:tcPr>
            <w:tcW w:w="1045" w:type="pct"/>
            <w:shd w:val="clear" w:color="auto" w:fill="auto"/>
            <w:noWrap/>
          </w:tcPr>
          <w:p>
            <w:pPr>
              <w:pStyle w:val="85"/>
              <w:rPr>
                <w:rFonts w:cs="Times New Roman"/>
                <w:color w:val="000000" w:themeColor="text1"/>
                <w14:textFill>
                  <w14:solidFill>
                    <w14:schemeClr w14:val="tx1"/>
                  </w14:solidFill>
                </w14:textFill>
              </w:rPr>
            </w:pPr>
            <w:r>
              <w:t>38%</w:t>
            </w:r>
          </w:p>
        </w:tc>
        <w:tc>
          <w:tcPr>
            <w:tcW w:w="886" w:type="pct"/>
            <w:shd w:val="clear" w:color="auto" w:fill="auto"/>
            <w:noWrap/>
          </w:tcPr>
          <w:p>
            <w:pPr>
              <w:pStyle w:val="85"/>
              <w:rPr>
                <w:rFonts w:cs="Times New Roman"/>
                <w:color w:val="000000" w:themeColor="text1"/>
                <w14:textFill>
                  <w14:solidFill>
                    <w14:schemeClr w14:val="tx1"/>
                  </w14:solidFill>
                </w14:textFill>
              </w:rPr>
            </w:pPr>
            <w:r>
              <w:t>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高效节水</w:t>
            </w:r>
          </w:p>
        </w:tc>
        <w:tc>
          <w:tcPr>
            <w:tcW w:w="797"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大春</w:t>
            </w: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水稻</w:t>
            </w:r>
          </w:p>
        </w:tc>
        <w:tc>
          <w:tcPr>
            <w:tcW w:w="1045" w:type="pct"/>
            <w:shd w:val="clear" w:color="auto" w:fill="auto"/>
            <w:noWrap/>
          </w:tcPr>
          <w:p>
            <w:pPr>
              <w:pStyle w:val="85"/>
              <w:rPr>
                <w:rFonts w:cs="Times New Roman"/>
                <w:color w:val="000000" w:themeColor="text1"/>
                <w14:textFill>
                  <w14:solidFill>
                    <w14:schemeClr w14:val="tx1"/>
                  </w14:solidFill>
                </w14:textFill>
              </w:rPr>
            </w:pPr>
            <w:r>
              <w:t>6%</w:t>
            </w:r>
          </w:p>
        </w:tc>
        <w:tc>
          <w:tcPr>
            <w:tcW w:w="886" w:type="pct"/>
            <w:shd w:val="clear" w:color="auto" w:fill="auto"/>
            <w:noWrap/>
          </w:tcPr>
          <w:p>
            <w:pPr>
              <w:pStyle w:val="85"/>
              <w:rPr>
                <w:rFonts w:cs="Times New Roman"/>
                <w:color w:val="000000" w:themeColor="text1"/>
                <w14:textFill>
                  <w14:solidFill>
                    <w14:schemeClr w14:val="tx1"/>
                  </w14:solidFill>
                </w14:textFill>
              </w:rPr>
            </w:pPr>
            <w: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continue"/>
            <w:shd w:val="clear" w:color="auto" w:fill="auto"/>
            <w:noWrap/>
            <w:vAlign w:val="center"/>
          </w:tcPr>
          <w:p>
            <w:pPr>
              <w:pStyle w:val="85"/>
              <w:rPr>
                <w:rFonts w:cs="Times New Roman"/>
                <w:color w:val="000000" w:themeColor="text1"/>
                <w14:textFill>
                  <w14:solidFill>
                    <w14:schemeClr w14:val="tx1"/>
                  </w14:solidFill>
                </w14:textFill>
              </w:rPr>
            </w:pPr>
          </w:p>
        </w:tc>
        <w:tc>
          <w:tcPr>
            <w:tcW w:w="797" w:type="pct"/>
            <w:vMerge w:val="continue"/>
            <w:shd w:val="clear" w:color="auto" w:fill="auto"/>
            <w:noWrap/>
            <w:vAlign w:val="center"/>
          </w:tcPr>
          <w:p>
            <w:pPr>
              <w:pStyle w:val="85"/>
              <w:rPr>
                <w:rFonts w:cs="Times New Roman"/>
                <w:color w:val="000000" w:themeColor="text1"/>
                <w14:textFill>
                  <w14:solidFill>
                    <w14:schemeClr w14:val="tx1"/>
                  </w14:solidFill>
                </w14:textFill>
              </w:rPr>
            </w:pP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烤烟</w:t>
            </w:r>
          </w:p>
        </w:tc>
        <w:tc>
          <w:tcPr>
            <w:tcW w:w="1045" w:type="pct"/>
            <w:shd w:val="clear" w:color="auto" w:fill="auto"/>
            <w:noWrap/>
          </w:tcPr>
          <w:p>
            <w:pPr>
              <w:pStyle w:val="85"/>
              <w:rPr>
                <w:rFonts w:cs="Times New Roman"/>
                <w:color w:val="000000" w:themeColor="text1"/>
                <w14:textFill>
                  <w14:solidFill>
                    <w14:schemeClr w14:val="tx1"/>
                  </w14:solidFill>
                </w14:textFill>
              </w:rPr>
            </w:pPr>
            <w:r>
              <w:t>42%</w:t>
            </w:r>
          </w:p>
        </w:tc>
        <w:tc>
          <w:tcPr>
            <w:tcW w:w="886" w:type="pct"/>
            <w:shd w:val="clear" w:color="auto" w:fill="auto"/>
            <w:noWrap/>
          </w:tcPr>
          <w:p>
            <w:pPr>
              <w:pStyle w:val="85"/>
              <w:rPr>
                <w:rFonts w:cs="Times New Roman"/>
                <w:color w:val="000000" w:themeColor="text1"/>
                <w14:textFill>
                  <w14:solidFill>
                    <w14:schemeClr w14:val="tx1"/>
                  </w14:solidFill>
                </w14:textFill>
              </w:rPr>
            </w:pPr>
            <w: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continue"/>
            <w:vAlign w:val="center"/>
          </w:tcPr>
          <w:p>
            <w:pPr>
              <w:pStyle w:val="85"/>
              <w:rPr>
                <w:rFonts w:cs="Times New Roman"/>
                <w:color w:val="000000" w:themeColor="text1"/>
                <w14:textFill>
                  <w14:solidFill>
                    <w14:schemeClr w14:val="tx1"/>
                  </w14:solidFill>
                </w14:textFill>
              </w:rPr>
            </w:pPr>
          </w:p>
        </w:tc>
        <w:tc>
          <w:tcPr>
            <w:tcW w:w="79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小春</w:t>
            </w: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小麦</w:t>
            </w:r>
          </w:p>
        </w:tc>
        <w:tc>
          <w:tcPr>
            <w:tcW w:w="1045" w:type="pct"/>
            <w:shd w:val="clear" w:color="auto" w:fill="auto"/>
            <w:noWrap/>
          </w:tcPr>
          <w:p>
            <w:pPr>
              <w:pStyle w:val="85"/>
              <w:rPr>
                <w:rFonts w:cs="Times New Roman"/>
                <w:color w:val="000000" w:themeColor="text1"/>
                <w14:textFill>
                  <w14:solidFill>
                    <w14:schemeClr w14:val="tx1"/>
                  </w14:solidFill>
                </w14:textFill>
              </w:rPr>
            </w:pPr>
            <w:r>
              <w:t>15%</w:t>
            </w:r>
          </w:p>
        </w:tc>
        <w:tc>
          <w:tcPr>
            <w:tcW w:w="886" w:type="pct"/>
            <w:shd w:val="clear" w:color="auto" w:fill="auto"/>
            <w:noWrap/>
          </w:tcPr>
          <w:p>
            <w:pPr>
              <w:pStyle w:val="85"/>
              <w:rPr>
                <w:rFonts w:cs="Times New Roman"/>
                <w:color w:val="000000" w:themeColor="text1"/>
                <w14:textFill>
                  <w14:solidFill>
                    <w14:schemeClr w14:val="tx1"/>
                  </w14:solidFill>
                </w14:textFill>
              </w:rPr>
            </w:pPr>
            <w: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continue"/>
            <w:vAlign w:val="center"/>
          </w:tcPr>
          <w:p>
            <w:pPr>
              <w:pStyle w:val="85"/>
              <w:rPr>
                <w:rFonts w:cs="Times New Roman"/>
                <w:color w:val="000000" w:themeColor="text1"/>
                <w14:textFill>
                  <w14:solidFill>
                    <w14:schemeClr w14:val="tx1"/>
                  </w14:solidFill>
                </w14:textFill>
              </w:rPr>
            </w:pPr>
          </w:p>
        </w:tc>
        <w:tc>
          <w:tcPr>
            <w:tcW w:w="797"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常年</w:t>
            </w: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蔬菜</w:t>
            </w:r>
          </w:p>
        </w:tc>
        <w:tc>
          <w:tcPr>
            <w:tcW w:w="1045" w:type="pct"/>
            <w:shd w:val="clear" w:color="auto" w:fill="auto"/>
            <w:noWrap/>
          </w:tcPr>
          <w:p>
            <w:pPr>
              <w:pStyle w:val="85"/>
              <w:rPr>
                <w:rFonts w:cs="Times New Roman"/>
                <w:color w:val="000000" w:themeColor="text1"/>
                <w14:textFill>
                  <w14:solidFill>
                    <w14:schemeClr w14:val="tx1"/>
                  </w14:solidFill>
                </w14:textFill>
              </w:rPr>
            </w:pPr>
            <w:r>
              <w:t>47%</w:t>
            </w:r>
          </w:p>
        </w:tc>
        <w:tc>
          <w:tcPr>
            <w:tcW w:w="886" w:type="pct"/>
            <w:shd w:val="clear" w:color="auto" w:fill="auto"/>
            <w:noWrap/>
          </w:tcPr>
          <w:p>
            <w:pPr>
              <w:pStyle w:val="85"/>
              <w:rPr>
                <w:rFonts w:cs="Times New Roman"/>
                <w:color w:val="000000" w:themeColor="text1"/>
                <w14:textFill>
                  <w14:solidFill>
                    <w14:schemeClr w14:val="tx1"/>
                  </w14:solidFill>
                </w14:textFill>
              </w:rPr>
            </w:pPr>
            <w: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473" w:type="pct"/>
            <w:vMerge w:val="continue"/>
            <w:vAlign w:val="center"/>
          </w:tcPr>
          <w:p>
            <w:pPr>
              <w:pStyle w:val="85"/>
              <w:rPr>
                <w:rFonts w:cs="Times New Roman"/>
                <w:color w:val="000000" w:themeColor="text1"/>
                <w14:textFill>
                  <w14:solidFill>
                    <w14:schemeClr w14:val="tx1"/>
                  </w14:solidFill>
                </w14:textFill>
              </w:rPr>
            </w:pPr>
          </w:p>
        </w:tc>
        <w:tc>
          <w:tcPr>
            <w:tcW w:w="797" w:type="pct"/>
            <w:vMerge w:val="continue"/>
            <w:vAlign w:val="center"/>
          </w:tcPr>
          <w:p>
            <w:pPr>
              <w:pStyle w:val="85"/>
              <w:rPr>
                <w:rFonts w:cs="Times New Roman"/>
                <w:color w:val="000000" w:themeColor="text1"/>
                <w14:textFill>
                  <w14:solidFill>
                    <w14:schemeClr w14:val="tx1"/>
                  </w14:solidFill>
                </w14:textFill>
              </w:rPr>
            </w:pPr>
          </w:p>
        </w:tc>
        <w:tc>
          <w:tcPr>
            <w:tcW w:w="79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水果</w:t>
            </w:r>
          </w:p>
        </w:tc>
        <w:tc>
          <w:tcPr>
            <w:tcW w:w="1045" w:type="pct"/>
            <w:shd w:val="clear" w:color="auto" w:fill="auto"/>
            <w:noWrap/>
          </w:tcPr>
          <w:p>
            <w:pPr>
              <w:pStyle w:val="85"/>
              <w:rPr>
                <w:rFonts w:cs="Times New Roman"/>
                <w:color w:val="000000" w:themeColor="text1"/>
                <w14:textFill>
                  <w14:solidFill>
                    <w14:schemeClr w14:val="tx1"/>
                  </w14:solidFill>
                </w14:textFill>
              </w:rPr>
            </w:pPr>
            <w:r>
              <w:t>5%</w:t>
            </w:r>
          </w:p>
        </w:tc>
        <w:tc>
          <w:tcPr>
            <w:tcW w:w="886" w:type="pct"/>
            <w:shd w:val="clear" w:color="auto" w:fill="auto"/>
            <w:noWrap/>
          </w:tcPr>
          <w:p>
            <w:pPr>
              <w:pStyle w:val="85"/>
              <w:rPr>
                <w:rFonts w:cs="Times New Roman"/>
                <w:color w:val="000000" w:themeColor="text1"/>
                <w14:textFill>
                  <w14:solidFill>
                    <w14:schemeClr w14:val="tx1"/>
                  </w14:solidFill>
                </w14:textFill>
              </w:rPr>
            </w:pPr>
            <w: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3069" w:type="pct"/>
            <w:gridSpan w:val="3"/>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常规复种指数</w:t>
            </w:r>
          </w:p>
        </w:tc>
        <w:tc>
          <w:tcPr>
            <w:tcW w:w="1045"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155%</w:t>
            </w:r>
          </w:p>
        </w:tc>
        <w:tc>
          <w:tcPr>
            <w:tcW w:w="886"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3069" w:type="pct"/>
            <w:gridSpan w:val="3"/>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高效节水复种指数</w:t>
            </w:r>
          </w:p>
        </w:tc>
        <w:tc>
          <w:tcPr>
            <w:tcW w:w="1045"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167%</w:t>
            </w:r>
          </w:p>
        </w:tc>
        <w:tc>
          <w:tcPr>
            <w:tcW w:w="886"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174%</w:t>
            </w:r>
          </w:p>
        </w:tc>
      </w:tr>
    </w:tbl>
    <w:p>
      <w:pPr>
        <w:pStyle w:val="4"/>
      </w:pPr>
      <w:r>
        <w:t>（4）作物灌溉制度</w:t>
      </w:r>
    </w:p>
    <w:p>
      <w:pPr>
        <w:pStyle w:val="4"/>
      </w:pPr>
      <w:r>
        <w:t>本次灌溉制度设计按农经作物组成分为水稻、荷藕、旱作物三大类，并考虑各自的需水特点和生长阶段进行设计。</w:t>
      </w:r>
    </w:p>
    <w:p>
      <w:pPr>
        <w:pStyle w:val="4"/>
      </w:pPr>
      <w:r>
        <w:t>1</w:t>
      </w:r>
      <w:r>
        <w:rPr>
          <w:rFonts w:hint="eastAsia"/>
        </w:rPr>
        <w:t>）</w:t>
      </w:r>
      <w:r>
        <w:t>水稻灌溉制度</w:t>
      </w:r>
    </w:p>
    <w:p>
      <w:pPr>
        <w:pStyle w:val="4"/>
      </w:pPr>
      <w:r>
        <w:t>通过调查分析，规划范围内水稻种植为一季中稻，秧苗期一般在45天左右，大田生育期113天左右，秧苗期通常在3月下旬～5月上旬，移栽期在5月中旬，大田生育期在5～9月，泡田定额为170m³/亩。水稻灌溉制度设计选取澄江气象站为典型站点，分别采用长系列、P=75%设计枯水代表年的降水、蒸发、湿度、气温、日照、风速等有关气象因子资料，以及灌区水稻生育期参数、土壤渗漏参数、灌溉方式、泡田方式、适宜水层等资料和边界条件，采用彭曼法计算逐月的作物潜在需水量，在此基础上通过田间水量平衡计算出水稻灌溉定额，其中秧田灌水量按秧田与本田比1：10分配。水稻各生育阶段参数成果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 xml:space="preserve">  水稻各生育阶段参数表</w:t>
      </w:r>
    </w:p>
    <w:tbl>
      <w:tblPr>
        <w:tblStyle w:val="51"/>
        <w:tblW w:w="9040" w:type="dxa"/>
        <w:jc w:val="center"/>
        <w:tblLayout w:type="fixed"/>
        <w:tblCellMar>
          <w:top w:w="0" w:type="dxa"/>
          <w:left w:w="108" w:type="dxa"/>
          <w:bottom w:w="0" w:type="dxa"/>
          <w:right w:w="108" w:type="dxa"/>
        </w:tblCellMar>
      </w:tblPr>
      <w:tblGrid>
        <w:gridCol w:w="1318"/>
        <w:gridCol w:w="592"/>
        <w:gridCol w:w="592"/>
        <w:gridCol w:w="843"/>
        <w:gridCol w:w="1325"/>
        <w:gridCol w:w="1323"/>
        <w:gridCol w:w="1856"/>
        <w:gridCol w:w="1191"/>
      </w:tblGrid>
      <w:tr>
        <w:tblPrEx>
          <w:tblCellMar>
            <w:top w:w="0" w:type="dxa"/>
            <w:left w:w="108" w:type="dxa"/>
            <w:bottom w:w="0" w:type="dxa"/>
            <w:right w:w="108" w:type="dxa"/>
          </w:tblCellMar>
        </w:tblPrEx>
        <w:trPr>
          <w:tblHeader/>
          <w:jc w:val="center"/>
        </w:trPr>
        <w:tc>
          <w:tcPr>
            <w:tcW w:w="1318"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生育阶段</w:t>
            </w:r>
          </w:p>
        </w:tc>
        <w:tc>
          <w:tcPr>
            <w:tcW w:w="1184" w:type="dxa"/>
            <w:gridSpan w:val="2"/>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起止日期</w:t>
            </w:r>
          </w:p>
        </w:tc>
        <w:tc>
          <w:tcPr>
            <w:tcW w:w="843" w:type="dxa"/>
            <w:vMerge w:val="restart"/>
            <w:tcBorders>
              <w:top w:val="single" w:color="auto" w:sz="12" w:space="0"/>
              <w:left w:val="nil"/>
              <w:bottom w:val="nil"/>
              <w:right w:val="single" w:color="auto" w:sz="4" w:space="0"/>
            </w:tcBorders>
            <w:shd w:val="clear" w:color="auto" w:fill="auto"/>
            <w:vAlign w:val="center"/>
          </w:tcPr>
          <w:p>
            <w:pPr>
              <w:pStyle w:val="85"/>
              <w:ind w:left="-124" w:leftChars="-50" w:right="-124" w:rightChar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天数（天）</w:t>
            </w:r>
          </w:p>
        </w:tc>
        <w:tc>
          <w:tcPr>
            <w:tcW w:w="2648"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适宜水层深度（mm）</w:t>
            </w:r>
          </w:p>
        </w:tc>
        <w:tc>
          <w:tcPr>
            <w:tcW w:w="1856" w:type="dxa"/>
            <w:vMerge w:val="restart"/>
            <w:tcBorders>
              <w:top w:val="single" w:color="auto" w:sz="12" w:space="0"/>
              <w:left w:val="nil"/>
              <w:bottom w:val="nil"/>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日渗漏强度（mm/d）</w:t>
            </w:r>
          </w:p>
        </w:tc>
        <w:tc>
          <w:tcPr>
            <w:tcW w:w="1191" w:type="dxa"/>
            <w:vMerge w:val="restart"/>
            <w:tcBorders>
              <w:top w:val="single" w:color="auto" w:sz="12" w:space="0"/>
              <w:left w:val="nil"/>
              <w:bottom w:val="nil"/>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作物系数Kc</w:t>
            </w:r>
          </w:p>
        </w:tc>
      </w:tr>
      <w:tr>
        <w:tblPrEx>
          <w:tblCellMar>
            <w:top w:w="0" w:type="dxa"/>
            <w:left w:w="108" w:type="dxa"/>
            <w:bottom w:w="0" w:type="dxa"/>
            <w:right w:w="108" w:type="dxa"/>
          </w:tblCellMar>
        </w:tblPrEx>
        <w:trPr>
          <w:tblHeader/>
          <w:jc w:val="center"/>
        </w:trPr>
        <w:tc>
          <w:tcPr>
            <w:tcW w:w="1318" w:type="dxa"/>
            <w:vMerge w:val="continue"/>
            <w:tcBorders>
              <w:top w:val="single" w:color="auto" w:sz="4" w:space="0"/>
              <w:left w:val="single" w:color="auto" w:sz="12" w:space="0"/>
              <w:bottom w:val="single" w:color="auto" w:sz="4" w:space="0"/>
              <w:right w:val="single" w:color="auto" w:sz="4" w:space="0"/>
            </w:tcBorders>
            <w:vAlign w:val="center"/>
          </w:tcPr>
          <w:p>
            <w:pPr>
              <w:pStyle w:val="85"/>
              <w:rPr>
                <w:rFonts w:cs="Times New Roman"/>
                <w:color w:val="000000" w:themeColor="text1"/>
                <w14:textFill>
                  <w14:solidFill>
                    <w14:schemeClr w14:val="tx1"/>
                  </w14:solidFill>
                </w14:textFill>
              </w:rPr>
            </w:pPr>
          </w:p>
        </w:tc>
        <w:tc>
          <w:tcPr>
            <w:tcW w:w="118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85"/>
              <w:rPr>
                <w:rFonts w:cs="Times New Roman"/>
                <w:color w:val="000000" w:themeColor="text1"/>
                <w14:textFill>
                  <w14:solidFill>
                    <w14:schemeClr w14:val="tx1"/>
                  </w14:solidFill>
                </w14:textFill>
              </w:rPr>
            </w:pPr>
          </w:p>
        </w:tc>
        <w:tc>
          <w:tcPr>
            <w:tcW w:w="843" w:type="dxa"/>
            <w:vMerge w:val="continue"/>
            <w:tcBorders>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w:t>
            </w: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下</w:t>
            </w:r>
          </w:p>
        </w:tc>
        <w:tc>
          <w:tcPr>
            <w:tcW w:w="1856" w:type="dxa"/>
            <w:vMerge w:val="continue"/>
            <w:tcBorders>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1191" w:type="dxa"/>
            <w:vMerge w:val="continue"/>
            <w:tcBorders>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一、秧田期</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26/3-9/5</w:t>
            </w:r>
          </w:p>
        </w:tc>
        <w:tc>
          <w:tcPr>
            <w:tcW w:w="843"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45</w:t>
            </w: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1856"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1191" w:type="dxa"/>
            <w:tcBorders>
              <w:top w:val="nil"/>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二、本田期</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843"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113</w:t>
            </w: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1856"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p>
        </w:tc>
        <w:tc>
          <w:tcPr>
            <w:tcW w:w="1191" w:type="dxa"/>
            <w:tcBorders>
              <w:top w:val="nil"/>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返青</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10/5-20/5</w:t>
            </w:r>
          </w:p>
        </w:tc>
        <w:tc>
          <w:tcPr>
            <w:tcW w:w="843"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w:t>
            </w: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856"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191" w:type="dxa"/>
            <w:tcBorders>
              <w:top w:val="nil"/>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1.05</w:t>
            </w: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分蘖初</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21/5-31/5</w:t>
            </w:r>
          </w:p>
        </w:tc>
        <w:tc>
          <w:tcPr>
            <w:tcW w:w="843"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w:t>
            </w: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856"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1191" w:type="dxa"/>
            <w:tcBorders>
              <w:top w:val="nil"/>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w:t>
            </w: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分蘖末</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1/6-22/6</w:t>
            </w:r>
          </w:p>
        </w:tc>
        <w:tc>
          <w:tcPr>
            <w:tcW w:w="843"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22</w:t>
            </w: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856"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1191" w:type="dxa"/>
            <w:tcBorders>
              <w:top w:val="nil"/>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1.15</w:t>
            </w: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拔节孕穗</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23/6-23/7</w:t>
            </w:r>
          </w:p>
        </w:tc>
        <w:tc>
          <w:tcPr>
            <w:tcW w:w="843"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31</w:t>
            </w: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1856"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1191" w:type="dxa"/>
            <w:tcBorders>
              <w:top w:val="nil"/>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w:t>
            </w: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抽穗扬花</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24/7-3/8</w:t>
            </w:r>
          </w:p>
        </w:tc>
        <w:tc>
          <w:tcPr>
            <w:tcW w:w="843"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w:t>
            </w: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w:t>
            </w: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1856"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191" w:type="dxa"/>
            <w:tcBorders>
              <w:top w:val="nil"/>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w:t>
            </w: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乳熟</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4/8-14/8</w:t>
            </w:r>
          </w:p>
        </w:tc>
        <w:tc>
          <w:tcPr>
            <w:tcW w:w="843"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w:t>
            </w:r>
          </w:p>
        </w:tc>
        <w:tc>
          <w:tcPr>
            <w:tcW w:w="1325"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856" w:type="dxa"/>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191" w:type="dxa"/>
            <w:tcBorders>
              <w:top w:val="nil"/>
              <w:left w:val="nil"/>
              <w:bottom w:val="single" w:color="auto" w:sz="4"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1.05</w:t>
            </w:r>
          </w:p>
        </w:tc>
      </w:tr>
      <w:tr>
        <w:tblPrEx>
          <w:tblCellMar>
            <w:top w:w="0" w:type="dxa"/>
            <w:left w:w="108" w:type="dxa"/>
            <w:bottom w:w="0" w:type="dxa"/>
            <w:right w:w="108" w:type="dxa"/>
          </w:tblCellMar>
        </w:tblPrEx>
        <w:trPr>
          <w:jc w:val="center"/>
        </w:trPr>
        <w:tc>
          <w:tcPr>
            <w:tcW w:w="1318" w:type="dxa"/>
            <w:tcBorders>
              <w:top w:val="nil"/>
              <w:left w:val="single" w:color="auto" w:sz="12" w:space="0"/>
              <w:bottom w:val="nil"/>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黄熟</w:t>
            </w:r>
          </w:p>
        </w:tc>
        <w:tc>
          <w:tcPr>
            <w:tcW w:w="1184" w:type="dxa"/>
            <w:gridSpan w:val="2"/>
            <w:tcBorders>
              <w:top w:val="nil"/>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15/8-30/8</w:t>
            </w:r>
          </w:p>
        </w:tc>
        <w:tc>
          <w:tcPr>
            <w:tcW w:w="843" w:type="dxa"/>
            <w:tcBorders>
              <w:top w:val="nil"/>
              <w:left w:val="nil"/>
              <w:bottom w:val="nil"/>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w:t>
            </w:r>
          </w:p>
        </w:tc>
        <w:tc>
          <w:tcPr>
            <w:tcW w:w="1325" w:type="dxa"/>
            <w:tcBorders>
              <w:top w:val="nil"/>
              <w:left w:val="nil"/>
              <w:bottom w:val="nil"/>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1323" w:type="dxa"/>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856" w:type="dxa"/>
            <w:tcBorders>
              <w:top w:val="nil"/>
              <w:left w:val="nil"/>
              <w:bottom w:val="nil"/>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1191" w:type="dxa"/>
            <w:tcBorders>
              <w:top w:val="nil"/>
              <w:left w:val="nil"/>
              <w:bottom w:val="nil"/>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0.95</w:t>
            </w:r>
          </w:p>
        </w:tc>
      </w:tr>
      <w:tr>
        <w:tblPrEx>
          <w:tblCellMar>
            <w:top w:w="0" w:type="dxa"/>
            <w:left w:w="108" w:type="dxa"/>
            <w:bottom w:w="0" w:type="dxa"/>
            <w:right w:w="108" w:type="dxa"/>
          </w:tblCellMar>
        </w:tblPrEx>
        <w:trPr>
          <w:jc w:val="center"/>
        </w:trPr>
        <w:tc>
          <w:tcPr>
            <w:tcW w:w="1318"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泡田天数</w:t>
            </w:r>
          </w:p>
        </w:tc>
        <w:tc>
          <w:tcPr>
            <w:tcW w:w="592" w:type="dxa"/>
            <w:tcBorders>
              <w:top w:val="single" w:color="auto" w:sz="4" w:space="0"/>
              <w:left w:val="nil"/>
              <w:bottom w:val="single" w:color="auto" w:sz="4" w:space="0"/>
              <w:right w:val="single" w:color="auto" w:sz="4" w:space="0"/>
            </w:tcBorders>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1435" w:type="dxa"/>
            <w:gridSpan w:val="2"/>
            <w:tcBorders>
              <w:top w:val="single" w:color="auto" w:sz="4" w:space="0"/>
              <w:left w:val="nil"/>
              <w:bottom w:val="single" w:color="auto" w:sz="4"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进度（%d）</w:t>
            </w:r>
          </w:p>
        </w:tc>
        <w:tc>
          <w:tcPr>
            <w:tcW w:w="2648" w:type="dxa"/>
            <w:gridSpan w:val="2"/>
            <w:tcBorders>
              <w:top w:val="single" w:color="auto" w:sz="4" w:space="0"/>
              <w:left w:val="nil"/>
              <w:bottom w:val="single" w:color="auto" w:sz="4" w:space="0"/>
              <w:right w:val="single" w:color="000000" w:sz="4" w:space="0"/>
            </w:tcBorders>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30%,2×20%,2×15%</w:t>
            </w:r>
          </w:p>
        </w:tc>
        <w:tc>
          <w:tcPr>
            <w:tcW w:w="1856" w:type="dxa"/>
            <w:tcBorders>
              <w:top w:val="single" w:color="auto" w:sz="4" w:space="0"/>
              <w:left w:val="nil"/>
              <w:bottom w:val="single" w:color="auto" w:sz="4" w:space="0"/>
              <w:right w:val="single" w:color="000000" w:sz="4" w:space="0"/>
            </w:tcBorders>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泡田定额</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（m³/亩）</w:t>
            </w:r>
          </w:p>
        </w:tc>
        <w:tc>
          <w:tcPr>
            <w:tcW w:w="1191" w:type="dxa"/>
            <w:tcBorders>
              <w:top w:val="single" w:color="auto" w:sz="4" w:space="0"/>
              <w:left w:val="nil"/>
              <w:bottom w:val="single" w:color="auto" w:sz="4" w:space="0"/>
              <w:right w:val="single" w:color="auto" w:sz="12" w:space="0"/>
            </w:tcBorders>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170</w:t>
            </w:r>
          </w:p>
        </w:tc>
      </w:tr>
      <w:tr>
        <w:tblPrEx>
          <w:tblCellMar>
            <w:top w:w="0" w:type="dxa"/>
            <w:left w:w="108" w:type="dxa"/>
            <w:bottom w:w="0" w:type="dxa"/>
            <w:right w:w="108" w:type="dxa"/>
          </w:tblCellMar>
        </w:tblPrEx>
        <w:trPr>
          <w:jc w:val="center"/>
        </w:trPr>
        <w:tc>
          <w:tcPr>
            <w:tcW w:w="1318" w:type="dxa"/>
            <w:tcBorders>
              <w:top w:val="nil"/>
              <w:left w:val="single" w:color="auto" w:sz="12" w:space="0"/>
              <w:bottom w:val="single" w:color="auto" w:sz="12"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移栽天数</w:t>
            </w:r>
          </w:p>
        </w:tc>
        <w:tc>
          <w:tcPr>
            <w:tcW w:w="592" w:type="dxa"/>
            <w:tcBorders>
              <w:top w:val="single" w:color="auto" w:sz="4" w:space="0"/>
              <w:left w:val="nil"/>
              <w:bottom w:val="single" w:color="auto" w:sz="12" w:space="0"/>
              <w:right w:val="single" w:color="auto" w:sz="4" w:space="0"/>
            </w:tcBorders>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435" w:type="dxa"/>
            <w:gridSpan w:val="2"/>
            <w:tcBorders>
              <w:top w:val="single" w:color="auto" w:sz="4" w:space="0"/>
              <w:left w:val="nil"/>
              <w:bottom w:val="single" w:color="auto" w:sz="12" w:space="0"/>
              <w:right w:val="single" w:color="auto"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进度（%d）</w:t>
            </w:r>
          </w:p>
        </w:tc>
        <w:tc>
          <w:tcPr>
            <w:tcW w:w="2648" w:type="dxa"/>
            <w:gridSpan w:val="2"/>
            <w:tcBorders>
              <w:top w:val="single" w:color="auto" w:sz="4" w:space="0"/>
              <w:left w:val="nil"/>
              <w:bottom w:val="single" w:color="auto" w:sz="12" w:space="0"/>
              <w:right w:val="single" w:color="000000"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3×8%,4×12%,2×10%,8%</w:t>
            </w:r>
          </w:p>
        </w:tc>
        <w:tc>
          <w:tcPr>
            <w:tcW w:w="1856" w:type="dxa"/>
            <w:tcBorders>
              <w:top w:val="single" w:color="auto" w:sz="4" w:space="0"/>
              <w:left w:val="nil"/>
              <w:bottom w:val="single" w:color="auto" w:sz="12" w:space="0"/>
              <w:right w:val="single" w:color="000000" w:sz="4"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秧田与大田比例</w:t>
            </w:r>
          </w:p>
        </w:tc>
        <w:tc>
          <w:tcPr>
            <w:tcW w:w="1191" w:type="dxa"/>
            <w:tcBorders>
              <w:top w:val="nil"/>
              <w:left w:val="nil"/>
              <w:bottom w:val="single" w:color="auto" w:sz="12" w:space="0"/>
              <w:right w:val="single" w:color="auto" w:sz="12" w:space="0"/>
            </w:tcBorders>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1:10</w:t>
            </w:r>
          </w:p>
        </w:tc>
      </w:tr>
    </w:tbl>
    <w:p>
      <w:pPr>
        <w:pStyle w:val="4"/>
      </w:pPr>
      <w:r>
        <w:t>水稻按其生长特点，其整个生育阶段划分为秧苗期和本田期两大生育阶段，水稻全生育期需水量为秧田期与本田期用水量之和。经分析计算，规划范围内水稻全生育期多年平均灌溉净定额为430m</w:t>
      </w:r>
      <w:r>
        <w:rPr>
          <w:vertAlign w:val="superscript"/>
        </w:rPr>
        <w:t>3</w:t>
      </w:r>
      <w:r>
        <w:t>/亩，P=75%灌溉净定额为470m</w:t>
      </w:r>
      <w:r>
        <w:rPr>
          <w:vertAlign w:val="superscript"/>
        </w:rPr>
        <w:t>3</w:t>
      </w:r>
      <w:r>
        <w:t>/亩，P=95%灌溉净定额530m</w:t>
      </w:r>
      <w:r>
        <w:rPr>
          <w:vertAlign w:val="superscript"/>
        </w:rPr>
        <w:t>3</w:t>
      </w:r>
      <w:r>
        <w:t>/亩。具体见下表。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 xml:space="preserve">  水稻净定额情况表    （亩/m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7"/>
        <w:gridCol w:w="639"/>
        <w:gridCol w:w="639"/>
        <w:gridCol w:w="639"/>
        <w:gridCol w:w="639"/>
        <w:gridCol w:w="639"/>
        <w:gridCol w:w="639"/>
        <w:gridCol w:w="639"/>
        <w:gridCol w:w="639"/>
        <w:gridCol w:w="639"/>
        <w:gridCol w:w="689"/>
        <w:gridCol w:w="681"/>
        <w:gridCol w:w="689"/>
        <w:gridCol w:w="6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频率</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12月</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平均</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8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87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163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89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35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32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17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8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84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143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104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63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47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20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8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88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212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115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48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18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5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530 </w:t>
            </w:r>
          </w:p>
        </w:tc>
      </w:tr>
    </w:tbl>
    <w:p>
      <w:pPr>
        <w:pStyle w:val="4"/>
      </w:pPr>
      <w:r>
        <w:t>2</w:t>
      </w:r>
      <w:r>
        <w:rPr>
          <w:rFonts w:hint="eastAsia"/>
        </w:rPr>
        <w:t>）</w:t>
      </w:r>
      <w:r>
        <w:t>荷藕灌溉制度</w:t>
      </w:r>
    </w:p>
    <w:p>
      <w:pPr>
        <w:pStyle w:val="4"/>
      </w:pPr>
      <w:r>
        <w:t>荷藕的灌溉制度采用彭曼法计算典型年逐月的作物潜在需水量，在此基础上通过田间水量平衡计算出荷藕灌溉定额，计算得荷藕P=75%净定额为750m</w:t>
      </w:r>
      <w:r>
        <w:rPr>
          <w:vertAlign w:val="superscript"/>
        </w:rPr>
        <w:t>3</w:t>
      </w:r>
      <w:r>
        <w:t>/亩。荷藕典型年月过程见下表。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 xml:space="preserve">  荷藕逐月需水过程    单位：m³/亩</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6"/>
        <w:gridCol w:w="644"/>
        <w:gridCol w:w="644"/>
        <w:gridCol w:w="644"/>
        <w:gridCol w:w="644"/>
        <w:gridCol w:w="644"/>
        <w:gridCol w:w="644"/>
        <w:gridCol w:w="644"/>
        <w:gridCol w:w="644"/>
        <w:gridCol w:w="645"/>
        <w:gridCol w:w="645"/>
        <w:gridCol w:w="645"/>
        <w:gridCol w:w="645"/>
        <w:gridCol w:w="6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77" w:type="pct"/>
            <w:shd w:val="clear" w:color="auto" w:fill="auto"/>
            <w:noWrap/>
            <w:vAlign w:val="center"/>
          </w:tcPr>
          <w:p>
            <w:pPr>
              <w:pStyle w:val="85"/>
              <w:rPr>
                <w:rFonts w:cs="Times New Roman"/>
                <w:color w:val="000000" w:themeColor="text1"/>
                <w14:textFill>
                  <w14:solidFill>
                    <w14:schemeClr w14:val="tx1"/>
                  </w14:solidFill>
                </w14:textFill>
              </w:rPr>
            </w:pP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1月</w:t>
            </w: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2月</w:t>
            </w: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3月</w:t>
            </w: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4月</w:t>
            </w: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5月</w:t>
            </w: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6月</w:t>
            </w: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7月</w:t>
            </w: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8月</w:t>
            </w:r>
          </w:p>
        </w:tc>
        <w:tc>
          <w:tcPr>
            <w:tcW w:w="347" w:type="pct"/>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9月</w:t>
            </w:r>
          </w:p>
        </w:tc>
        <w:tc>
          <w:tcPr>
            <w:tcW w:w="347" w:type="pct"/>
            <w:shd w:val="clear" w:color="auto" w:fill="auto"/>
            <w:vAlign w:val="center"/>
          </w:tcPr>
          <w:p>
            <w:pPr>
              <w:pStyle w:val="85"/>
              <w:ind w:left="-124" w:leftChars="-50" w:right="-124" w:rightChar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10月</w:t>
            </w:r>
          </w:p>
        </w:tc>
        <w:tc>
          <w:tcPr>
            <w:tcW w:w="347" w:type="pct"/>
            <w:shd w:val="clear" w:color="auto" w:fill="auto"/>
            <w:vAlign w:val="center"/>
          </w:tcPr>
          <w:p>
            <w:pPr>
              <w:pStyle w:val="85"/>
              <w:ind w:left="-124" w:leftChars="-50" w:right="-124" w:rightChar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11月</w:t>
            </w:r>
          </w:p>
        </w:tc>
        <w:tc>
          <w:tcPr>
            <w:tcW w:w="347" w:type="pct"/>
            <w:shd w:val="clear" w:color="auto" w:fill="auto"/>
            <w:vAlign w:val="center"/>
          </w:tcPr>
          <w:p>
            <w:pPr>
              <w:pStyle w:val="85"/>
              <w:ind w:left="-124" w:leftChars="-50" w:right="-124" w:rightChar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12月</w:t>
            </w:r>
          </w:p>
        </w:tc>
        <w:tc>
          <w:tcPr>
            <w:tcW w:w="3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47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74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80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107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103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53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42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32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98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60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38 </w:t>
            </w:r>
          </w:p>
        </w:tc>
        <w:tc>
          <w:tcPr>
            <w:tcW w:w="34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62 </w:t>
            </w:r>
          </w:p>
        </w:tc>
        <w:tc>
          <w:tcPr>
            <w:tcW w:w="3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750 </w:t>
            </w:r>
          </w:p>
        </w:tc>
      </w:tr>
    </w:tbl>
    <w:p>
      <w:pPr>
        <w:pStyle w:val="4"/>
      </w:pPr>
      <w:r>
        <w:t>3</w:t>
      </w:r>
      <w:r>
        <w:rPr>
          <w:rFonts w:hint="eastAsia"/>
        </w:rPr>
        <w:t>）</w:t>
      </w:r>
      <w:r>
        <w:t>旱作物灌溉制度</w:t>
      </w:r>
    </w:p>
    <w:p>
      <w:pPr>
        <w:pStyle w:val="4"/>
        <w:sectPr>
          <w:type w:val="continuous"/>
          <w:pgSz w:w="11906" w:h="16838"/>
          <w:pgMar w:top="1440" w:right="1418" w:bottom="1440" w:left="1418" w:header="851" w:footer="851" w:gutter="0"/>
          <w:cols w:space="425" w:num="1"/>
          <w:docGrid w:type="linesAndChars" w:linePitch="312" w:charSpace="0"/>
        </w:sectPr>
      </w:pPr>
      <w:r>
        <w:t>旱作物灌溉制度设计针对灌区内需要人工给水的主要旱作物制定。旱作物用水主要在枯季，其灌溉用水差异相对较小，因此主要采用调查的方法并参考《云南省用水定额》（2019年版 经云水发〔2019〕112号发布）来拟定旱作物灌溉制度。灌溉典型区P=75%旱作物灌溉定额见下表，为了计算长系列的需水过程，根据各年降水与灌溉定额的相关分析，推算长系列的旱作物灌溉需水过程。</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 xml:space="preserve">  旱作物灌溉定额    单位：m³/亩</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02"/>
        <w:gridCol w:w="636"/>
        <w:gridCol w:w="1476"/>
        <w:gridCol w:w="1224"/>
        <w:gridCol w:w="1276"/>
        <w:gridCol w:w="615"/>
        <w:gridCol w:w="615"/>
        <w:gridCol w:w="615"/>
        <w:gridCol w:w="615"/>
        <w:gridCol w:w="615"/>
        <w:gridCol w:w="615"/>
        <w:gridCol w:w="616"/>
        <w:gridCol w:w="616"/>
        <w:gridCol w:w="616"/>
        <w:gridCol w:w="812"/>
        <w:gridCol w:w="812"/>
        <w:gridCol w:w="7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7" w:type="pct"/>
            <w:gridSpan w:val="2"/>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种植时间</w:t>
            </w:r>
          </w:p>
        </w:tc>
        <w:tc>
          <w:tcPr>
            <w:tcW w:w="459"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作物名称</w:t>
            </w:r>
          </w:p>
        </w:tc>
        <w:tc>
          <w:tcPr>
            <w:tcW w:w="436"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生长期</w:t>
            </w:r>
          </w:p>
        </w:tc>
        <w:tc>
          <w:tcPr>
            <w:tcW w:w="45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灌水量</w:t>
            </w:r>
          </w:p>
        </w:tc>
        <w:tc>
          <w:tcPr>
            <w:tcW w:w="2855" w:type="pct"/>
            <w:gridSpan w:val="12"/>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月份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7" w:type="pct"/>
            <w:gridSpan w:val="2"/>
            <w:vMerge w:val="continue"/>
            <w:vAlign w:val="center"/>
          </w:tcPr>
          <w:p>
            <w:pPr>
              <w:pStyle w:val="85"/>
              <w:rPr>
                <w:rFonts w:cs="Times New Roman"/>
                <w:color w:val="000000" w:themeColor="text1"/>
                <w14:textFill>
                  <w14:solidFill>
                    <w14:schemeClr w14:val="tx1"/>
                  </w14:solidFill>
                </w14:textFill>
              </w:rPr>
            </w:pPr>
          </w:p>
        </w:tc>
        <w:tc>
          <w:tcPr>
            <w:tcW w:w="459" w:type="pct"/>
            <w:vMerge w:val="continue"/>
            <w:vAlign w:val="center"/>
          </w:tcPr>
          <w:p>
            <w:pPr>
              <w:pStyle w:val="85"/>
              <w:rPr>
                <w:rFonts w:cs="Times New Roman"/>
                <w:color w:val="000000" w:themeColor="text1"/>
                <w14:textFill>
                  <w14:solidFill>
                    <w14:schemeClr w14:val="tx1"/>
                  </w14:solidFill>
                </w14:textFill>
              </w:rPr>
            </w:pPr>
          </w:p>
        </w:tc>
        <w:tc>
          <w:tcPr>
            <w:tcW w:w="436" w:type="pct"/>
            <w:vMerge w:val="continue"/>
            <w:vAlign w:val="center"/>
          </w:tcPr>
          <w:p>
            <w:pPr>
              <w:pStyle w:val="85"/>
              <w:rPr>
                <w:rFonts w:cs="Times New Roman"/>
                <w:color w:val="000000" w:themeColor="text1"/>
                <w14:textFill>
                  <w14:solidFill>
                    <w14:schemeClr w14:val="tx1"/>
                  </w14:solidFill>
                </w14:textFill>
              </w:rPr>
            </w:pPr>
          </w:p>
        </w:tc>
        <w:tc>
          <w:tcPr>
            <w:tcW w:w="454" w:type="pct"/>
            <w:vMerge w:val="continue"/>
            <w:vAlign w:val="center"/>
          </w:tcPr>
          <w:p>
            <w:pPr>
              <w:pStyle w:val="85"/>
              <w:rPr>
                <w:rFonts w:cs="Times New Roman"/>
                <w:color w:val="000000" w:themeColor="text1"/>
                <w14:textFill>
                  <w14:solidFill>
                    <w14:schemeClr w14:val="tx1"/>
                  </w14:solidFill>
                </w14:textFill>
              </w:rPr>
            </w:pP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1月</w:t>
            </w: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2月</w:t>
            </w: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3月</w:t>
            </w: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4月</w:t>
            </w: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5月</w:t>
            </w: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6月</w:t>
            </w: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7月</w:t>
            </w: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8月</w:t>
            </w:r>
          </w:p>
        </w:tc>
        <w:tc>
          <w:tcPr>
            <w:tcW w:w="221"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9月</w:t>
            </w:r>
          </w:p>
        </w:tc>
        <w:tc>
          <w:tcPr>
            <w:tcW w:w="290"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10月</w:t>
            </w:r>
          </w:p>
        </w:tc>
        <w:tc>
          <w:tcPr>
            <w:tcW w:w="290"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11月</w:t>
            </w:r>
          </w:p>
        </w:tc>
        <w:tc>
          <w:tcPr>
            <w:tcW w:w="285"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restart"/>
            <w:shd w:val="clear" w:color="auto" w:fill="auto"/>
            <w:noWrap/>
            <w:vAlign w:val="center"/>
          </w:tcPr>
          <w:p>
            <w:pPr>
              <w:pStyle w:val="85"/>
              <w:rPr>
                <w:rFonts w:eastAsia="等线" w:cs="Times New Roman"/>
                <w:color w:val="000000" w:themeColor="text1"/>
                <w:kern w:val="0"/>
                <w:sz w:val="22"/>
                <w:szCs w:val="22"/>
                <w14:textFill>
                  <w14:solidFill>
                    <w14:schemeClr w14:val="tx1"/>
                  </w14:solidFill>
                </w14:textFill>
              </w:rPr>
            </w:pPr>
            <w:r>
              <w:rPr>
                <w:rFonts w:eastAsia="等线" w:cs="Times New Roman"/>
                <w:color w:val="000000" w:themeColor="text1"/>
                <w:kern w:val="0"/>
                <w:sz w:val="22"/>
                <w:szCs w:val="22"/>
                <w14:textFill>
                  <w14:solidFill>
                    <w14:schemeClr w14:val="tx1"/>
                  </w14:solidFill>
                </w14:textFill>
              </w:rPr>
              <w:t>常规灌溉</w:t>
            </w:r>
          </w:p>
        </w:tc>
        <w:tc>
          <w:tcPr>
            <w:tcW w:w="228"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大春</w:t>
            </w: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玉米</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4～9</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130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烤烟</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3～8</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110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小春</w:t>
            </w: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小麦</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10～次年4</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200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40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蚕豆</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10～次年4</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180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55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60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65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冬蔬菜</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10～次年4</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165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35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油菜</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10～次年4</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190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60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70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60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常年</w:t>
            </w: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蔬菜</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全年</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270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35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荷藕</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全年</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750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74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80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107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103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53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42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32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98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60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38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63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蓝莓</w:t>
            </w:r>
            <w:r>
              <w:rPr>
                <w:rFonts w:hint="eastAsia" w:cs="Times New Roman"/>
                <w:color w:val="000000" w:themeColor="text1"/>
                <w14:textFill>
                  <w14:solidFill>
                    <w14:schemeClr w14:val="tx1"/>
                  </w14:solidFill>
                </w14:textFill>
              </w:rPr>
              <w:t>（露天）</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全年</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220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50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20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20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20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高效节水</w:t>
            </w:r>
          </w:p>
        </w:tc>
        <w:tc>
          <w:tcPr>
            <w:tcW w:w="228"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大春</w:t>
            </w: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烤烟</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3～8</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35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10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10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10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小春</w:t>
            </w: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小麦</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10～次年4</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140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蚕豆</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10～次年4</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130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45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45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油菜</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10～次年4</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140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55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45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常年</w:t>
            </w:r>
          </w:p>
        </w:tc>
        <w:tc>
          <w:tcPr>
            <w:tcW w:w="4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蔬菜</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全年</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350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20 </w:t>
            </w:r>
          </w:p>
        </w:tc>
        <w:tc>
          <w:tcPr>
            <w:tcW w:w="221" w:type="pct"/>
            <w:shd w:val="clear" w:color="auto" w:fill="auto"/>
            <w:noWrap/>
          </w:tcPr>
          <w:p>
            <w:pPr>
              <w:pStyle w:val="85"/>
              <w:rPr>
                <w:rFonts w:cs="Times New Roman"/>
                <w:color w:val="000000" w:themeColor="text1"/>
                <w14:textFill>
                  <w14:solidFill>
                    <w14:schemeClr w14:val="tx1"/>
                  </w14:solidFill>
                </w14:textFill>
              </w:rPr>
            </w:pPr>
          </w:p>
        </w:tc>
        <w:tc>
          <w:tcPr>
            <w:tcW w:w="221" w:type="pct"/>
            <w:shd w:val="clear" w:color="auto" w:fill="auto"/>
            <w:noWrap/>
          </w:tcPr>
          <w:p>
            <w:pPr>
              <w:pStyle w:val="85"/>
              <w:rPr>
                <w:rFonts w:cs="Times New Roman"/>
                <w:color w:val="000000" w:themeColor="text1"/>
                <w14:textFill>
                  <w14:solidFill>
                    <w14:schemeClr w14:val="tx1"/>
                  </w14:solidFill>
                </w14:textFill>
              </w:rPr>
            </w:pPr>
          </w:p>
        </w:tc>
        <w:tc>
          <w:tcPr>
            <w:tcW w:w="221" w:type="pct"/>
            <w:shd w:val="clear" w:color="auto" w:fill="auto"/>
            <w:noWrap/>
          </w:tcPr>
          <w:p>
            <w:pPr>
              <w:pStyle w:val="85"/>
              <w:rPr>
                <w:rFonts w:cs="Times New Roman"/>
                <w:color w:val="000000" w:themeColor="text1"/>
                <w14:textFill>
                  <w14:solidFill>
                    <w14:schemeClr w14:val="tx1"/>
                  </w14:solidFill>
                </w14:textFill>
              </w:rPr>
            </w:pPr>
          </w:p>
        </w:tc>
        <w:tc>
          <w:tcPr>
            <w:tcW w:w="290" w:type="pct"/>
            <w:shd w:val="clear" w:color="auto" w:fill="auto"/>
            <w:noWrap/>
          </w:tcPr>
          <w:p>
            <w:pPr>
              <w:pStyle w:val="85"/>
              <w:rPr>
                <w:rFonts w:cs="Times New Roman"/>
                <w:color w:val="000000" w:themeColor="text1"/>
                <w14:textFill>
                  <w14:solidFill>
                    <w14:schemeClr w14:val="tx1"/>
                  </w14:solidFill>
                </w14:textFill>
              </w:rPr>
            </w:pP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25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9" w:type="pct"/>
            <w:vMerge w:val="continue"/>
            <w:vAlign w:val="center"/>
          </w:tcPr>
          <w:p>
            <w:pPr>
              <w:pStyle w:val="85"/>
              <w:rPr>
                <w:rFonts w:eastAsia="等线" w:cs="Times New Roman"/>
                <w:color w:val="000000" w:themeColor="text1"/>
                <w:kern w:val="0"/>
                <w:sz w:val="22"/>
                <w:szCs w:val="22"/>
                <w14:textFill>
                  <w14:solidFill>
                    <w14:schemeClr w14:val="tx1"/>
                  </w14:solidFill>
                </w14:textFill>
              </w:rPr>
            </w:pPr>
          </w:p>
        </w:tc>
        <w:tc>
          <w:tcPr>
            <w:tcW w:w="228" w:type="pct"/>
            <w:vMerge w:val="continue"/>
            <w:vAlign w:val="center"/>
          </w:tcPr>
          <w:p>
            <w:pPr>
              <w:pStyle w:val="85"/>
              <w:rPr>
                <w:rFonts w:cs="Times New Roman"/>
                <w:color w:val="000000" w:themeColor="text1"/>
                <w14:textFill>
                  <w14:solidFill>
                    <w14:schemeClr w14:val="tx1"/>
                  </w14:solidFill>
                </w14:textFill>
              </w:rPr>
            </w:pPr>
          </w:p>
        </w:tc>
        <w:tc>
          <w:tcPr>
            <w:tcW w:w="459" w:type="pct"/>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蓝莓</w:t>
            </w:r>
            <w:r>
              <w:rPr>
                <w:rFonts w:hint="eastAsia" w:cs="Times New Roman"/>
                <w:color w:val="000000" w:themeColor="text1"/>
                <w14:textFill>
                  <w14:solidFill>
                    <w14:schemeClr w14:val="tx1"/>
                  </w14:solidFill>
                </w14:textFill>
              </w:rPr>
              <w:t>（大棚）</w:t>
            </w:r>
          </w:p>
        </w:tc>
        <w:tc>
          <w:tcPr>
            <w:tcW w:w="43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全年</w:t>
            </w:r>
          </w:p>
        </w:tc>
        <w:tc>
          <w:tcPr>
            <w:tcW w:w="454" w:type="pct"/>
            <w:shd w:val="clear" w:color="auto" w:fill="auto"/>
            <w:noWrap/>
          </w:tcPr>
          <w:p>
            <w:pPr>
              <w:pStyle w:val="85"/>
              <w:rPr>
                <w:rFonts w:cs="Times New Roman"/>
                <w:color w:val="000000" w:themeColor="text1"/>
                <w14:textFill>
                  <w14:solidFill>
                    <w14:schemeClr w14:val="tx1"/>
                  </w14:solidFill>
                </w14:textFill>
              </w:rPr>
            </w:pPr>
            <w:r>
              <w:t xml:space="preserve">540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60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75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75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21"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90" w:type="pct"/>
            <w:shd w:val="clear" w:color="auto" w:fill="auto"/>
            <w:noWrap/>
          </w:tcPr>
          <w:p>
            <w:pPr>
              <w:pStyle w:val="85"/>
              <w:rPr>
                <w:rFonts w:cs="Times New Roman"/>
                <w:color w:val="000000" w:themeColor="text1"/>
                <w14:textFill>
                  <w14:solidFill>
                    <w14:schemeClr w14:val="tx1"/>
                  </w14:solidFill>
                </w14:textFill>
              </w:rPr>
            </w:pPr>
            <w:r>
              <w:t xml:space="preserve">60 </w:t>
            </w:r>
          </w:p>
        </w:tc>
        <w:tc>
          <w:tcPr>
            <w:tcW w:w="285" w:type="pct"/>
            <w:shd w:val="clear" w:color="auto" w:fill="auto"/>
            <w:noWrap/>
          </w:tcPr>
          <w:p>
            <w:pPr>
              <w:pStyle w:val="85"/>
              <w:rPr>
                <w:rFonts w:cs="Times New Roman"/>
                <w:color w:val="000000" w:themeColor="text1"/>
                <w14:textFill>
                  <w14:solidFill>
                    <w14:schemeClr w14:val="tx1"/>
                  </w14:solidFill>
                </w14:textFill>
              </w:rPr>
            </w:pPr>
            <w:r>
              <w:t xml:space="preserve">60 </w:t>
            </w:r>
          </w:p>
        </w:tc>
      </w:tr>
    </w:tbl>
    <w:p>
      <w:pPr>
        <w:pStyle w:val="4"/>
      </w:pPr>
    </w:p>
    <w:p>
      <w:pPr>
        <w:pStyle w:val="4"/>
        <w:sectPr>
          <w:pgSz w:w="16838" w:h="11906" w:orient="landscape"/>
          <w:pgMar w:top="1418" w:right="1440" w:bottom="1418" w:left="1440" w:header="851" w:footer="851" w:gutter="0"/>
          <w:cols w:space="425" w:num="1"/>
          <w:docGrid w:type="linesAndChars" w:linePitch="312" w:charSpace="0"/>
        </w:sectPr>
      </w:pPr>
    </w:p>
    <w:p>
      <w:pPr>
        <w:pStyle w:val="4"/>
      </w:pPr>
      <w:r>
        <w:t>（5）农田灌溉综合定额</w:t>
      </w:r>
    </w:p>
    <w:p>
      <w:pPr>
        <w:pStyle w:val="4"/>
      </w:pPr>
      <w:r>
        <w:t>根据各典型区的作物灌溉制度设计成果和作物种植结构预测成果，经组合计算得各水平年的农田综合灌溉净定额。计算出各时段综合净定额后，分年合计即得长系列的综合净灌溉定额。</w:t>
      </w:r>
    </w:p>
    <w:p>
      <w:pPr>
        <w:pStyle w:val="4"/>
      </w:pPr>
      <w:bookmarkStart w:id="84" w:name="_Hlk184267172"/>
      <w:r>
        <w:t>现状年抚仙湖片区常规灌溉多年平均农田灌溉净定额为</w:t>
      </w:r>
      <w:r>
        <w:rPr>
          <w:rFonts w:hint="eastAsia"/>
        </w:rPr>
        <w:t>285</w:t>
      </w:r>
      <w:r>
        <w:t>m³/亩，P=75%农田灌溉净定额为</w:t>
      </w:r>
      <w:r>
        <w:rPr>
          <w:rFonts w:hint="eastAsia"/>
        </w:rPr>
        <w:t>297</w:t>
      </w:r>
      <w:r>
        <w:t>m³/亩，P=95%农田灌溉净定额为</w:t>
      </w:r>
      <w:r>
        <w:rPr>
          <w:rFonts w:hint="eastAsia"/>
        </w:rPr>
        <w:t>349</w:t>
      </w:r>
      <w:r>
        <w:t>m³/亩；高效节水多年平均农田灌溉净定额为</w:t>
      </w:r>
      <w:r>
        <w:rPr>
          <w:rFonts w:hint="eastAsia"/>
        </w:rPr>
        <w:t>258</w:t>
      </w:r>
      <w:r>
        <w:t>m³/亩，P=75%农田灌溉净定额为</w:t>
      </w:r>
      <w:r>
        <w:rPr>
          <w:rFonts w:hint="eastAsia"/>
        </w:rPr>
        <w:t>269</w:t>
      </w:r>
      <w:r>
        <w:t>m³/亩，P=95%农田灌溉净定额为</w:t>
      </w:r>
      <w:r>
        <w:rPr>
          <w:rFonts w:hint="eastAsia"/>
        </w:rPr>
        <w:t>317</w:t>
      </w:r>
      <w:r>
        <w:t>m³/亩。南盘江片区常规灌溉多年平均农田灌溉净定额为</w:t>
      </w:r>
      <w:r>
        <w:rPr>
          <w:rFonts w:hint="eastAsia"/>
        </w:rPr>
        <w:t>234</w:t>
      </w:r>
      <w:r>
        <w:t>m³/亩，P=75%农田灌溉净定额为</w:t>
      </w:r>
      <w:r>
        <w:rPr>
          <w:rFonts w:hint="eastAsia"/>
        </w:rPr>
        <w:t>245</w:t>
      </w:r>
      <w:r>
        <w:t>m³/亩，P=95%农田灌溉净定额为</w:t>
      </w:r>
      <w:r>
        <w:rPr>
          <w:rFonts w:hint="eastAsia"/>
        </w:rPr>
        <w:t>288</w:t>
      </w:r>
      <w:r>
        <w:t>m³/亩；高效节水多年平均农田灌溉净定额为</w:t>
      </w:r>
      <w:r>
        <w:rPr>
          <w:rFonts w:hint="eastAsia"/>
        </w:rPr>
        <w:t>176</w:t>
      </w:r>
      <w:r>
        <w:t>m³/亩，P=75%农田灌溉净定额为</w:t>
      </w:r>
      <w:r>
        <w:rPr>
          <w:rFonts w:hint="eastAsia"/>
        </w:rPr>
        <w:t>184</w:t>
      </w:r>
      <w:r>
        <w:t>m³/亩，P=95%农田灌溉净定额为</w:t>
      </w:r>
      <w:r>
        <w:rPr>
          <w:rFonts w:hint="eastAsia"/>
        </w:rPr>
        <w:t>217</w:t>
      </w:r>
      <w:r>
        <w:t>m³/亩。</w:t>
      </w:r>
    </w:p>
    <w:p>
      <w:pPr>
        <w:pStyle w:val="4"/>
      </w:pPr>
      <w:r>
        <w:t>规划年抚仙湖片区常规灌溉多年平均农田灌溉净定额为</w:t>
      </w:r>
      <w:r>
        <w:rPr>
          <w:rFonts w:hint="eastAsia"/>
        </w:rPr>
        <w:t>300</w:t>
      </w:r>
      <w:r>
        <w:t>m³/亩，P=75%农田灌溉净定额为</w:t>
      </w:r>
      <w:r>
        <w:rPr>
          <w:rFonts w:hint="eastAsia"/>
        </w:rPr>
        <w:t>312</w:t>
      </w:r>
      <w:r>
        <w:t>m³/亩，P=95%农田灌溉净定额为</w:t>
      </w:r>
      <w:r>
        <w:rPr>
          <w:rFonts w:hint="eastAsia"/>
        </w:rPr>
        <w:t>367</w:t>
      </w:r>
      <w:r>
        <w:t>m³/亩；高效节水多年平均农田灌溉净定额为</w:t>
      </w:r>
      <w:r>
        <w:rPr>
          <w:rFonts w:hint="eastAsia"/>
        </w:rPr>
        <w:t>206</w:t>
      </w:r>
      <w:r>
        <w:t>m³/亩，P=75%农田灌溉净定额为</w:t>
      </w:r>
      <w:r>
        <w:rPr>
          <w:rFonts w:hint="eastAsia"/>
        </w:rPr>
        <w:t>214</w:t>
      </w:r>
      <w:r>
        <w:t>m³/亩，P=95%农田灌溉净定额为</w:t>
      </w:r>
      <w:r>
        <w:rPr>
          <w:rFonts w:hint="eastAsia"/>
        </w:rPr>
        <w:t>249</w:t>
      </w:r>
      <w:r>
        <w:t>m³/亩。南盘江片区常规灌溉多年平均农田灌溉净定额为265m³/亩，P=75%农田灌溉净定额为276m³/亩，P=95%农田灌溉净定额为324m³/亩；高效节水多年平均农田灌溉净定额为</w:t>
      </w:r>
      <w:r>
        <w:rPr>
          <w:rFonts w:hint="eastAsia"/>
        </w:rPr>
        <w:t>214</w:t>
      </w:r>
      <w:r>
        <w:t>m³/亩，P=75%农田灌溉净定额为</w:t>
      </w:r>
      <w:r>
        <w:rPr>
          <w:rFonts w:hint="eastAsia"/>
        </w:rPr>
        <w:t>222</w:t>
      </w:r>
      <w:r>
        <w:t>m³/亩，P=95%农田灌溉净定额为</w:t>
      </w:r>
      <w:r>
        <w:rPr>
          <w:rFonts w:hint="eastAsia"/>
        </w:rPr>
        <w:t>260</w:t>
      </w:r>
      <w:r>
        <w:t>m³/亩。</w:t>
      </w:r>
      <w:bookmarkEnd w:id="84"/>
      <w:r>
        <w:t>具体情况详见下表。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 xml:space="preserve">  规划范围内万亩综合定额情况表    单位：m³/亩</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70"/>
        <w:gridCol w:w="1800"/>
        <w:gridCol w:w="1671"/>
        <w:gridCol w:w="1922"/>
        <w:gridCol w:w="19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1061"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片区</w:t>
            </w:r>
          </w:p>
        </w:tc>
        <w:tc>
          <w:tcPr>
            <w:tcW w:w="969"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灌溉类型</w:t>
            </w:r>
          </w:p>
        </w:tc>
        <w:tc>
          <w:tcPr>
            <w:tcW w:w="90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频率</w:t>
            </w:r>
          </w:p>
        </w:tc>
        <w:tc>
          <w:tcPr>
            <w:tcW w:w="2070" w:type="pct"/>
            <w:gridSpan w:val="2"/>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万亩综合灌溉定额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vMerge w:val="continue"/>
            <w:vAlign w:val="center"/>
          </w:tcPr>
          <w:p>
            <w:pPr>
              <w:pStyle w:val="85"/>
              <w:rPr>
                <w:rFonts w:cs="Times New Roman"/>
                <w:color w:val="000000" w:themeColor="text1"/>
                <w14:textFill>
                  <w14:solidFill>
                    <w14:schemeClr w14:val="tx1"/>
                  </w14:solidFill>
                </w14:textFill>
              </w:rPr>
            </w:pPr>
          </w:p>
        </w:tc>
        <w:tc>
          <w:tcPr>
            <w:tcW w:w="103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103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969"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常规灌溉</w:t>
            </w: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285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300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297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312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349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367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高效节水</w:t>
            </w: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258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206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269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214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317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249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969"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常规灌溉</w:t>
            </w: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235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265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245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276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288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324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高效节水</w:t>
            </w: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176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214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184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222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061" w:type="pct"/>
            <w:vMerge w:val="continue"/>
            <w:vAlign w:val="center"/>
          </w:tcPr>
          <w:p>
            <w:pPr>
              <w:pStyle w:val="85"/>
              <w:rPr>
                <w:rFonts w:cs="Times New Roman"/>
                <w:color w:val="000000" w:themeColor="text1"/>
                <w14:textFill>
                  <w14:solidFill>
                    <w14:schemeClr w14:val="tx1"/>
                  </w14:solidFill>
                </w14:textFill>
              </w:rPr>
            </w:pPr>
          </w:p>
        </w:tc>
        <w:tc>
          <w:tcPr>
            <w:tcW w:w="969" w:type="pct"/>
            <w:vMerge w:val="continue"/>
            <w:vAlign w:val="center"/>
          </w:tcPr>
          <w:p>
            <w:pPr>
              <w:pStyle w:val="85"/>
              <w:rPr>
                <w:rFonts w:cs="Times New Roman"/>
                <w:color w:val="000000" w:themeColor="text1"/>
                <w14:textFill>
                  <w14:solidFill>
                    <w14:schemeClr w14:val="tx1"/>
                  </w14:solidFill>
                </w14:textFill>
              </w:rPr>
            </w:pPr>
          </w:p>
        </w:tc>
        <w:tc>
          <w:tcPr>
            <w:tcW w:w="9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217 </w:t>
            </w:r>
          </w:p>
        </w:tc>
        <w:tc>
          <w:tcPr>
            <w:tcW w:w="1035" w:type="pct"/>
            <w:shd w:val="clear" w:color="auto" w:fill="auto"/>
            <w:noWrap/>
          </w:tcPr>
          <w:p>
            <w:pPr>
              <w:pStyle w:val="85"/>
              <w:rPr>
                <w:rFonts w:cs="Times New Roman"/>
                <w:color w:val="000000" w:themeColor="text1"/>
                <w14:textFill>
                  <w14:solidFill>
                    <w14:schemeClr w14:val="tx1"/>
                  </w14:solidFill>
                </w14:textFill>
              </w:rPr>
            </w:pPr>
            <w:r>
              <w:t xml:space="preserve">260 </w:t>
            </w:r>
          </w:p>
        </w:tc>
      </w:tr>
    </w:tbl>
    <w:p>
      <w:pPr>
        <w:pStyle w:val="4"/>
      </w:pPr>
      <w:r>
        <w:t>（6）灌溉定额合理性分析</w:t>
      </w:r>
    </w:p>
    <w:p>
      <w:pPr>
        <w:pStyle w:val="4"/>
      </w:pPr>
      <w:r>
        <w:t>灌溉定额包括各单项作物灌溉定额和综合灌溉定额，由于规划区旱作物灌溉用水主要在枯季，其灌溉定额差异较小，而水稻灌溉定额和综合定额受影响因素较多，因此重点对水稻灌溉定额和综合定额进行合理性分析，以检查灌溉定额与影响因素之间关系是否符合基本规律。</w:t>
      </w:r>
    </w:p>
    <w:p>
      <w:pPr>
        <w:pStyle w:val="4"/>
      </w:pPr>
      <w:r>
        <w:t>水稻灌溉净定额的影响因素较多，不仅受生育期降水量、蒸发量影响，也与土壤土质条件有关。主要表现在水稻生育期降水量小、蒸发量大，则水稻灌溉净定额大，反之则小；地表渗漏量大，则水稻灌溉净定额较高，反之则较低。规划区水稻灌溉净定额符合这一基本规律。</w:t>
      </w:r>
    </w:p>
    <w:p>
      <w:pPr>
        <w:pStyle w:val="4"/>
      </w:pPr>
      <w:r>
        <w:t>综合灌溉净定额除受到上述因素的影响外，还受到作物种植比例和复种指数等因素的影响。基本的规律是，水稻种植比例、复种指数提高，综合灌溉净定额相应就较高。从上表可以看出综合灌溉净定额还是呈小幅上升趋势，主要是各片区复种指数提高。</w:t>
      </w:r>
    </w:p>
    <w:p>
      <w:pPr>
        <w:pStyle w:val="4"/>
      </w:pPr>
      <w:r>
        <w:t>总的来看，规划区各灌溉典型区的灌溉定额基本反映了灌溉需水在各类型地区之间的差异，可推广应用于规划调出区和受水区中对应的各计算片区。</w:t>
      </w:r>
    </w:p>
    <w:p>
      <w:pPr>
        <w:pStyle w:val="4"/>
      </w:pPr>
      <w:r>
        <w:t>（7）灌溉节水及灌溉水利用分析</w:t>
      </w:r>
    </w:p>
    <w:p>
      <w:pPr>
        <w:pStyle w:val="4"/>
      </w:pPr>
      <w:r>
        <w:t>1</w:t>
      </w:r>
      <w:r>
        <w:rPr>
          <w:rFonts w:hint="eastAsia"/>
        </w:rPr>
        <w:t>）</w:t>
      </w:r>
      <w:r>
        <w:t>灌溉节水</w:t>
      </w:r>
    </w:p>
    <w:p>
      <w:pPr>
        <w:pStyle w:val="4"/>
      </w:pPr>
      <w:r>
        <w:t>农业节水发展应与农业产业结构调整、农村地区小城镇建设以及生态建设相协调；依据水资源条件，按不同水平年分地区实行用水的总量控制。重点是灌区的节水改造，按节水目标规划发展，同时加强节水目标规划的管理和协调。</w:t>
      </w:r>
    </w:p>
    <w:p>
      <w:pPr>
        <w:pStyle w:val="4"/>
      </w:pPr>
      <w:r>
        <w:t>基本对策有：以节水增产为目标对灌区进行技术改造；因地制宜加快发展各种节水灌溉工程；建立健全各类灌区的管理机构和管理制度，加强用水定额管理，推广管灌、喷灌、微灌等农业灌溉节水技术，完善节水灌溉管理制度，建立节水管理信息系统；建立和完善以取水许可制度和水资源有偿使用制度为核心的，包括水资源论证、用水总量控制与定额管理、三同时四到位、节水产品认证等在内的水资源和节水管理制度体系；平田整地开展田间工程改造；大力推广节水农业技术；积极发展节水综合技术等。</w:t>
      </w:r>
    </w:p>
    <w:p>
      <w:pPr>
        <w:pStyle w:val="4"/>
      </w:pPr>
      <w:r>
        <w:t>应把减少渠道输水损失与减少田间灌水损失相结合，先进节水技术与常规节水技术相结合，工程节水措施与管理节水措施相结合，水利节水措施与农艺节水措施相结合，农民节水积极性与政府宏观扶持引导相结合。同时农业节水灌溉要与农村家庭联产承包责任制相适应，并注意改善生产条件与改善生态环境相结合，开展农业面源污染防治工作。开展有关农业、工程、管理节水新技术的专题研究。</w:t>
      </w:r>
    </w:p>
    <w:p>
      <w:pPr>
        <w:pStyle w:val="4"/>
      </w:pPr>
      <w:r>
        <w:t>2</w:t>
      </w:r>
      <w:r>
        <w:rPr>
          <w:rFonts w:hint="eastAsia"/>
        </w:rPr>
        <w:t>）</w:t>
      </w:r>
      <w:r>
        <w:t>农田灌溉水有效利用系数</w:t>
      </w:r>
    </w:p>
    <w:p>
      <w:pPr>
        <w:pStyle w:val="4"/>
      </w:pPr>
      <w:r>
        <w:t>农业用水效率以农田灌溉水有效利用系数表示，是衡量灌区水利用效率、管理水平、节水灌溉的一个重要指标，是进行灌溉需水预测的基础。根据灌区大小、现状用水效率和各规划水平年节水和供水的发展，通过分析输配水设施的节水措施、用水管理水平等因素进行预测。</w:t>
      </w:r>
    </w:p>
    <w:p>
      <w:pPr>
        <w:pStyle w:val="4"/>
      </w:pPr>
      <w:r>
        <w:t>根据灌区规模和节水灌溉发展实际，各规划水平年按照节水要求，仍需逐步提高节水水平，在达到国家节水灌溉强制性规范要求的基础上进一步有所提高。规划区节水措施是在加强节水管理，结合调整作物结构及农艺措施节水的基础上，主要通过渠道防渗措施提高水利用系数，局部条件较好的地区推广先进的节水灌溉技术。</w:t>
      </w:r>
      <w:bookmarkStart w:id="85" w:name="_Hlk184267234"/>
      <w:r>
        <w:t>规划范围内2个片区现状常规灌溉和高效节水的农田灌溉水有效利用系数几乎相同，常规灌溉为0.5</w:t>
      </w:r>
      <w:r>
        <w:rPr>
          <w:rFonts w:hint="eastAsia"/>
        </w:rPr>
        <w:t>1</w:t>
      </w:r>
      <w:r>
        <w:t>、高效节水为0.7</w:t>
      </w:r>
      <w:r>
        <w:rPr>
          <w:rFonts w:hint="eastAsia"/>
        </w:rPr>
        <w:t>0</w:t>
      </w:r>
      <w:r>
        <w:t>；规划水平年随着高标准农田建设和高效节水实施完善，常规灌溉和高效节水农田灌溉水有效利用系数分别提高至0.65、0.8。</w:t>
      </w:r>
    </w:p>
    <w:bookmarkEnd w:id="85"/>
    <w:p>
      <w:pPr>
        <w:pStyle w:val="4"/>
      </w:pPr>
      <w:r>
        <w:t>（8）农业需水量</w:t>
      </w:r>
    </w:p>
    <w:p>
      <w:pPr>
        <w:pStyle w:val="4"/>
      </w:pPr>
      <w:bookmarkStart w:id="86" w:name="_Hlk184267269"/>
      <w:r>
        <w:t>现状年全市范围内农田灌溉多年平均需水量</w:t>
      </w:r>
      <w:r>
        <w:rPr>
          <w:rFonts w:hint="eastAsia"/>
        </w:rPr>
        <w:t>4224</w:t>
      </w:r>
      <w:r>
        <w:t>万m</w:t>
      </w:r>
      <w:r>
        <w:rPr>
          <w:vertAlign w:val="superscript"/>
        </w:rPr>
        <w:t>3</w:t>
      </w:r>
      <w:r>
        <w:t>，P=75%需水量</w:t>
      </w:r>
      <w:r>
        <w:rPr>
          <w:rFonts w:hint="eastAsia"/>
        </w:rPr>
        <w:t>4401</w:t>
      </w:r>
      <w:r>
        <w:t>万m</w:t>
      </w:r>
      <w:r>
        <w:rPr>
          <w:vertAlign w:val="superscript"/>
        </w:rPr>
        <w:t>3</w:t>
      </w:r>
      <w:r>
        <w:t>，P=95%需水量</w:t>
      </w:r>
      <w:r>
        <w:rPr>
          <w:rFonts w:hint="eastAsia"/>
        </w:rPr>
        <w:t>5177</w:t>
      </w:r>
      <w:r>
        <w:t>万m</w:t>
      </w:r>
      <w:r>
        <w:rPr>
          <w:vertAlign w:val="superscript"/>
        </w:rPr>
        <w:t>3</w:t>
      </w:r>
      <w:r>
        <w:t>。其中，抚仙湖片区农田灌溉多年平均需水量</w:t>
      </w:r>
      <w:r>
        <w:rPr>
          <w:rFonts w:hint="eastAsia"/>
        </w:rPr>
        <w:t>3837</w:t>
      </w:r>
      <w:r>
        <w:t>万m</w:t>
      </w:r>
      <w:r>
        <w:rPr>
          <w:vertAlign w:val="superscript"/>
        </w:rPr>
        <w:t>3</w:t>
      </w:r>
      <w:r>
        <w:t>，P=75%需水量</w:t>
      </w:r>
      <w:r>
        <w:rPr>
          <w:rFonts w:hint="eastAsia"/>
        </w:rPr>
        <w:t>3998</w:t>
      </w:r>
      <w:r>
        <w:t>万m</w:t>
      </w:r>
      <w:r>
        <w:rPr>
          <w:vertAlign w:val="superscript"/>
        </w:rPr>
        <w:t>3</w:t>
      </w:r>
      <w:r>
        <w:t>，P=95%需水量</w:t>
      </w:r>
      <w:r>
        <w:rPr>
          <w:rFonts w:hint="eastAsia"/>
        </w:rPr>
        <w:t>4702</w:t>
      </w:r>
      <w:r>
        <w:t>万m</w:t>
      </w:r>
      <w:r>
        <w:rPr>
          <w:vertAlign w:val="superscript"/>
        </w:rPr>
        <w:t>3</w:t>
      </w:r>
      <w:r>
        <w:t>；南盘江片区农田灌溉多年平均需水量</w:t>
      </w:r>
      <w:r>
        <w:rPr>
          <w:rFonts w:hint="eastAsia"/>
        </w:rPr>
        <w:t>387</w:t>
      </w:r>
      <w:r>
        <w:t>万m</w:t>
      </w:r>
      <w:r>
        <w:rPr>
          <w:vertAlign w:val="superscript"/>
        </w:rPr>
        <w:t>3</w:t>
      </w:r>
      <w:r>
        <w:t>，P=75%需水量</w:t>
      </w:r>
      <w:r>
        <w:rPr>
          <w:rFonts w:hint="eastAsia"/>
        </w:rPr>
        <w:t>403</w:t>
      </w:r>
      <w:r>
        <w:t>万m</w:t>
      </w:r>
      <w:r>
        <w:rPr>
          <w:vertAlign w:val="superscript"/>
        </w:rPr>
        <w:t>3</w:t>
      </w:r>
      <w:r>
        <w:t>，P=95%需水量</w:t>
      </w:r>
      <w:r>
        <w:rPr>
          <w:rFonts w:hint="eastAsia"/>
        </w:rPr>
        <w:t>476</w:t>
      </w:r>
      <w:r>
        <w:t>万m</w:t>
      </w:r>
      <w:r>
        <w:rPr>
          <w:vertAlign w:val="superscript"/>
        </w:rPr>
        <w:t>3</w:t>
      </w:r>
      <w:r>
        <w:t>；提古片区农田灌溉需水为0万m</w:t>
      </w:r>
      <w:r>
        <w:rPr>
          <w:vertAlign w:val="superscript"/>
        </w:rPr>
        <w:t>3</w:t>
      </w:r>
      <w:r>
        <w:t>。</w:t>
      </w:r>
    </w:p>
    <w:p>
      <w:pPr>
        <w:pStyle w:val="4"/>
      </w:pPr>
      <w:r>
        <w:t>规划年全市范围内农田灌溉多年平均需水量</w:t>
      </w:r>
      <w:r>
        <w:rPr>
          <w:rFonts w:hint="eastAsia"/>
        </w:rPr>
        <w:t>.3602</w:t>
      </w:r>
      <w:r>
        <w:t>万m</w:t>
      </w:r>
      <w:r>
        <w:rPr>
          <w:vertAlign w:val="superscript"/>
        </w:rPr>
        <w:t>3</w:t>
      </w:r>
      <w:r>
        <w:t>，P=75%需水量</w:t>
      </w:r>
      <w:r>
        <w:rPr>
          <w:rFonts w:hint="eastAsia"/>
        </w:rPr>
        <w:t>3753</w:t>
      </w:r>
      <w:r>
        <w:t>万m</w:t>
      </w:r>
      <w:r>
        <w:rPr>
          <w:vertAlign w:val="superscript"/>
        </w:rPr>
        <w:t>3</w:t>
      </w:r>
      <w:r>
        <w:t>，P=95%需水量</w:t>
      </w:r>
      <w:r>
        <w:rPr>
          <w:rFonts w:hint="eastAsia"/>
        </w:rPr>
        <w:t>4382</w:t>
      </w:r>
      <w:r>
        <w:t>万m</w:t>
      </w:r>
      <w:r>
        <w:rPr>
          <w:vertAlign w:val="superscript"/>
        </w:rPr>
        <w:t>3</w:t>
      </w:r>
      <w:r>
        <w:t>。其中，抚仙湖片区农田灌溉多年平均需水量</w:t>
      </w:r>
      <w:r>
        <w:rPr>
          <w:rFonts w:hint="eastAsia"/>
        </w:rPr>
        <w:t>2516</w:t>
      </w:r>
      <w:r>
        <w:t>万m</w:t>
      </w:r>
      <w:r>
        <w:rPr>
          <w:vertAlign w:val="superscript"/>
        </w:rPr>
        <w:t>3</w:t>
      </w:r>
      <w:r>
        <w:t>，P=75%需水量</w:t>
      </w:r>
      <w:r>
        <w:rPr>
          <w:rFonts w:hint="eastAsia"/>
        </w:rPr>
        <w:t>2622</w:t>
      </w:r>
      <w:r>
        <w:t>万m</w:t>
      </w:r>
      <w:r>
        <w:rPr>
          <w:vertAlign w:val="superscript"/>
        </w:rPr>
        <w:t>3</w:t>
      </w:r>
      <w:r>
        <w:t>，P=95%需水量</w:t>
      </w:r>
      <w:r>
        <w:rPr>
          <w:rFonts w:hint="eastAsia"/>
        </w:rPr>
        <w:t>3059</w:t>
      </w:r>
      <w:r>
        <w:t>万m</w:t>
      </w:r>
      <w:r>
        <w:rPr>
          <w:vertAlign w:val="superscript"/>
        </w:rPr>
        <w:t>3</w:t>
      </w:r>
      <w:r>
        <w:t>；南盘江片区农田灌溉多年平均需水量</w:t>
      </w:r>
      <w:r>
        <w:rPr>
          <w:rFonts w:hint="eastAsia"/>
        </w:rPr>
        <w:t>1086</w:t>
      </w:r>
      <w:r>
        <w:t>万m</w:t>
      </w:r>
      <w:r>
        <w:rPr>
          <w:vertAlign w:val="superscript"/>
        </w:rPr>
        <w:t>3</w:t>
      </w:r>
      <w:r>
        <w:t>，P=75%需水量</w:t>
      </w:r>
      <w:r>
        <w:rPr>
          <w:rFonts w:hint="eastAsia"/>
        </w:rPr>
        <w:t>1132</w:t>
      </w:r>
      <w:r>
        <w:t>万m</w:t>
      </w:r>
      <w:r>
        <w:rPr>
          <w:vertAlign w:val="superscript"/>
        </w:rPr>
        <w:t>3</w:t>
      </w:r>
      <w:r>
        <w:t>，P=95%需水量</w:t>
      </w:r>
      <w:r>
        <w:rPr>
          <w:rFonts w:hint="eastAsia"/>
        </w:rPr>
        <w:t>1323</w:t>
      </w:r>
      <w:r>
        <w:t>万m</w:t>
      </w:r>
      <w:r>
        <w:rPr>
          <w:vertAlign w:val="superscript"/>
        </w:rPr>
        <w:t>3</w:t>
      </w:r>
      <w:r>
        <w:t>；提古片区农田灌溉需水为0。</w:t>
      </w:r>
      <w:bookmarkEnd w:id="86"/>
      <w:r>
        <w:t>具体情况详见下表。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 xml:space="preserve">  规划范围合计农业需水量    单位：万m³ </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30"/>
        <w:gridCol w:w="2152"/>
        <w:gridCol w:w="2152"/>
        <w:gridCol w:w="21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152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片区</w:t>
            </w:r>
          </w:p>
        </w:tc>
        <w:tc>
          <w:tcPr>
            <w:tcW w:w="1159"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频率</w:t>
            </w:r>
          </w:p>
        </w:tc>
        <w:tc>
          <w:tcPr>
            <w:tcW w:w="2317" w:type="pct"/>
            <w:gridSpan w:val="2"/>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需水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1158"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3837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2516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3998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2622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4702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3059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387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1086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403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1132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476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1323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1159" w:type="pct"/>
            <w:shd w:val="clear" w:color="auto" w:fill="auto"/>
            <w:noWrap/>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1158" w:type="pct"/>
            <w:shd w:val="clear" w:color="auto" w:fill="auto"/>
            <w:noWrap/>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1159" w:type="pct"/>
            <w:shd w:val="clear" w:color="auto" w:fill="auto"/>
            <w:noWrap/>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1158" w:type="pct"/>
            <w:shd w:val="clear" w:color="auto" w:fill="auto"/>
            <w:noWrap/>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1159" w:type="pct"/>
            <w:shd w:val="clear" w:color="auto" w:fill="auto"/>
            <w:noWrap/>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c>
          <w:tcPr>
            <w:tcW w:w="1158" w:type="pct"/>
            <w:shd w:val="clear" w:color="auto" w:fill="auto"/>
            <w:noWrap/>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4224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3602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4401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3753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524" w:type="pct"/>
            <w:vMerge w:val="continue"/>
            <w:vAlign w:val="center"/>
          </w:tcPr>
          <w:p>
            <w:pPr>
              <w:pStyle w:val="85"/>
              <w:rPr>
                <w:rFonts w:cs="Times New Roman"/>
                <w:color w:val="000000" w:themeColor="text1"/>
                <w14:textFill>
                  <w14:solidFill>
                    <w14:schemeClr w14:val="tx1"/>
                  </w14:solidFill>
                </w14:textFill>
              </w:rPr>
            </w:pPr>
          </w:p>
        </w:tc>
        <w:tc>
          <w:tcPr>
            <w:tcW w:w="11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1159" w:type="pct"/>
            <w:shd w:val="clear" w:color="auto" w:fill="auto"/>
            <w:noWrap/>
          </w:tcPr>
          <w:p>
            <w:pPr>
              <w:pStyle w:val="85"/>
              <w:rPr>
                <w:rFonts w:cs="Times New Roman"/>
                <w:color w:val="000000" w:themeColor="text1"/>
                <w14:textFill>
                  <w14:solidFill>
                    <w14:schemeClr w14:val="tx1"/>
                  </w14:solidFill>
                </w14:textFill>
              </w:rPr>
            </w:pPr>
            <w:r>
              <w:t xml:space="preserve">5177 </w:t>
            </w:r>
          </w:p>
        </w:tc>
        <w:tc>
          <w:tcPr>
            <w:tcW w:w="1158" w:type="pct"/>
            <w:shd w:val="clear" w:color="auto" w:fill="auto"/>
            <w:noWrap/>
          </w:tcPr>
          <w:p>
            <w:pPr>
              <w:pStyle w:val="85"/>
              <w:rPr>
                <w:rFonts w:cs="Times New Roman"/>
                <w:color w:val="000000" w:themeColor="text1"/>
                <w14:textFill>
                  <w14:solidFill>
                    <w14:schemeClr w14:val="tx1"/>
                  </w14:solidFill>
                </w14:textFill>
              </w:rPr>
            </w:pPr>
            <w:r>
              <w:t xml:space="preserve">4382 </w:t>
            </w:r>
          </w:p>
        </w:tc>
      </w:tr>
    </w:tbl>
    <w:p>
      <w:pPr>
        <w:pStyle w:val="17"/>
        <w:ind w:firstLine="576"/>
        <w:rPr>
          <w:color w:val="000000" w:themeColor="text1"/>
          <w14:textFill>
            <w14:solidFill>
              <w14:schemeClr w14:val="tx1"/>
            </w14:solidFill>
          </w14:textFill>
        </w:rPr>
      </w:pPr>
    </w:p>
    <w:p>
      <w:pPr>
        <w:pStyle w:val="7"/>
      </w:pPr>
      <w:bookmarkStart w:id="87" w:name="_Toc105257953"/>
      <w:r>
        <w:t>旅游需水预测</w:t>
      </w:r>
      <w:bookmarkEnd w:id="87"/>
    </w:p>
    <w:p>
      <w:pPr>
        <w:pStyle w:val="4"/>
      </w:pPr>
      <w:r>
        <w:t>旅游需水综合定额采用人均日用水量方法进行预测，根据经济社会发展水平、旅游特点、酒店规模、节水器具推广与普及情况进行拟定。通过对现状城镇供、用水情况调查分析，结合《云南省用水定额》（2019年版 经云水发〔2019〕112号发布）得出现状旅游需水综合定额。结合规划区现状旅游需水综合定额与节水潜力，预测规划年旅游需水综合定额。旅游供水以自来水厂集中供水为主。澄江市旅游需水综合定额现状年为110L/人·d，规划年提高到130L/人·d。与澄江市城镇生活用水相同，供水管网现状年管网漏损率为25%，规划水平年下降到12%，未预见水量按8%计，自来水厂自用水量各水平年均按5%计。</w:t>
      </w:r>
      <w:bookmarkStart w:id="88" w:name="_Hlk184267350"/>
      <w:r>
        <w:t>现状年澄江市旅游毛需水为177万m</w:t>
      </w:r>
      <w:r>
        <w:rPr>
          <w:vertAlign w:val="superscript"/>
        </w:rPr>
        <w:t>3</w:t>
      </w:r>
      <w:r>
        <w:t>，规划年毛需水量为201万m</w:t>
      </w:r>
      <w:r>
        <w:rPr>
          <w:vertAlign w:val="superscript"/>
        </w:rPr>
        <w:t>3</w:t>
      </w:r>
      <w:r>
        <w:t>，</w:t>
      </w:r>
      <w:bookmarkEnd w:id="88"/>
      <w:r>
        <w:t>旅游需水均发生在抚仙湖片区。各水平年旅游需水情况见下表。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 xml:space="preserve">  澄江市旅游</w:t>
      </w:r>
      <w:r>
        <w:rPr>
          <w:color w:val="000000" w:themeColor="text1"/>
          <w:szCs w:val="24"/>
          <w14:textFill>
            <w14:solidFill>
              <w14:schemeClr w14:val="tx1"/>
            </w14:solidFill>
          </w14:textFill>
        </w:rPr>
        <w:t>毛需水量计算表</w:t>
      </w:r>
    </w:p>
    <w:tbl>
      <w:tblPr>
        <w:tblStyle w:val="51"/>
        <w:tblW w:w="513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6"/>
        <w:gridCol w:w="1251"/>
        <w:gridCol w:w="994"/>
        <w:gridCol w:w="1745"/>
        <w:gridCol w:w="1896"/>
        <w:gridCol w:w="1476"/>
        <w:gridCol w:w="13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水平年</w:t>
            </w:r>
          </w:p>
        </w:tc>
        <w:tc>
          <w:tcPr>
            <w:tcW w:w="66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游客数量</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（万人）</w:t>
            </w:r>
          </w:p>
        </w:tc>
        <w:tc>
          <w:tcPr>
            <w:tcW w:w="53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人均游</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玩时间</w:t>
            </w:r>
          </w:p>
        </w:tc>
        <w:tc>
          <w:tcPr>
            <w:tcW w:w="92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综合用水净定额</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（L/人·d）</w:t>
            </w:r>
          </w:p>
        </w:tc>
        <w:tc>
          <w:tcPr>
            <w:tcW w:w="10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管网漏损及未预见</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水量（%）</w:t>
            </w:r>
          </w:p>
        </w:tc>
        <w:tc>
          <w:tcPr>
            <w:tcW w:w="72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水厂自用水量</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0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毛需水量</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现状年</w:t>
            </w:r>
          </w:p>
        </w:tc>
        <w:tc>
          <w:tcPr>
            <w:tcW w:w="66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618.5</w:t>
            </w:r>
          </w:p>
        </w:tc>
        <w:tc>
          <w:tcPr>
            <w:tcW w:w="53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92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110</w:t>
            </w:r>
          </w:p>
        </w:tc>
        <w:tc>
          <w:tcPr>
            <w:tcW w:w="10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72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70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规划年</w:t>
            </w:r>
          </w:p>
        </w:tc>
        <w:tc>
          <w:tcPr>
            <w:tcW w:w="667"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1158</w:t>
            </w:r>
          </w:p>
        </w:tc>
        <w:tc>
          <w:tcPr>
            <w:tcW w:w="53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92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130</w:t>
            </w:r>
          </w:p>
        </w:tc>
        <w:tc>
          <w:tcPr>
            <w:tcW w:w="100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72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70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376</w:t>
            </w:r>
          </w:p>
        </w:tc>
      </w:tr>
    </w:tbl>
    <w:p>
      <w:pPr>
        <w:pStyle w:val="7"/>
      </w:pPr>
      <w:r>
        <w:rPr>
          <w:rFonts w:hint="eastAsia"/>
        </w:rPr>
        <w:t>生态需水量</w:t>
      </w:r>
    </w:p>
    <w:p>
      <w:pPr>
        <w:pStyle w:val="4"/>
        <w:rPr>
          <w:rFonts w:hint="eastAsia"/>
        </w:rPr>
      </w:pPr>
      <w:r>
        <w:rPr>
          <w:rFonts w:hint="eastAsia"/>
        </w:rPr>
        <w:t>现状年，由于满足抚仙湖流域生产生活需水，现有水利工程无多余水量下放至抚仙湖；至规划水平年，滇中引水工程通水，分配抚仙湖流域水量</w:t>
      </w:r>
      <w:r>
        <w:t>4064万m</w:t>
      </w:r>
      <w:r>
        <w:rPr>
          <w:vertAlign w:val="superscript"/>
        </w:rPr>
        <w:t>3</w:t>
      </w:r>
      <w:r>
        <w:rPr>
          <w:rFonts w:hint="eastAsia"/>
        </w:rPr>
        <w:t>，流域现有工程供水量作为生态需水下放至抚仙湖2450万</w:t>
      </w:r>
      <w:r>
        <w:t>m</w:t>
      </w:r>
      <w:r>
        <w:rPr>
          <w:vertAlign w:val="superscript"/>
        </w:rPr>
        <w:t>3</w:t>
      </w:r>
      <w:r>
        <w:rPr>
          <w:rFonts w:hint="eastAsia"/>
        </w:rPr>
        <w:t>。</w:t>
      </w:r>
    </w:p>
    <w:p>
      <w:pPr>
        <w:pStyle w:val="7"/>
        <w:rPr>
          <w:rFonts w:eastAsia="仿宋_GB2312"/>
        </w:rPr>
      </w:pPr>
      <w:r>
        <w:t>需水汇总</w:t>
      </w:r>
    </w:p>
    <w:p>
      <w:pPr>
        <w:pStyle w:val="4"/>
      </w:pPr>
      <w:r>
        <w:t>根据前述预测全市范围内各水平年的城镇生活、旅游、农村生活、农业和工业需水，对规划区需水预测成果进行汇总，将旅游需水合并到城镇生活用水中。</w:t>
      </w:r>
    </w:p>
    <w:p>
      <w:pPr>
        <w:pStyle w:val="4"/>
      </w:pPr>
      <w:bookmarkStart w:id="89" w:name="_Hlk184267414"/>
      <w:r>
        <w:t>全市范围内现状保证率多年平均、P=75%、P=95%总需水量为</w:t>
      </w:r>
      <w:r>
        <w:rPr>
          <w:rFonts w:hint="eastAsia"/>
        </w:rPr>
        <w:t>6056</w:t>
      </w:r>
      <w:r>
        <w:t>万m</w:t>
      </w:r>
      <w:r>
        <w:rPr>
          <w:vertAlign w:val="superscript"/>
        </w:rPr>
        <w:t>3</w:t>
      </w:r>
      <w:r>
        <w:t>、</w:t>
      </w:r>
      <w:r>
        <w:rPr>
          <w:rFonts w:hint="eastAsia"/>
        </w:rPr>
        <w:t>6233</w:t>
      </w:r>
      <w:r>
        <w:t>万m</w:t>
      </w:r>
      <w:r>
        <w:rPr>
          <w:vertAlign w:val="superscript"/>
        </w:rPr>
        <w:t>3</w:t>
      </w:r>
      <w:r>
        <w:t>、</w:t>
      </w:r>
      <w:r>
        <w:rPr>
          <w:rFonts w:hint="eastAsia"/>
        </w:rPr>
        <w:t>7010</w:t>
      </w:r>
      <w:r>
        <w:t>万m</w:t>
      </w:r>
      <w:r>
        <w:rPr>
          <w:vertAlign w:val="superscript"/>
        </w:rPr>
        <w:t>3</w:t>
      </w:r>
      <w:r>
        <w:t>；预测到规划水平年多年平均、P=75%、P=95%总需水量为</w:t>
      </w:r>
      <w:r>
        <w:rPr>
          <w:rFonts w:hint="eastAsia"/>
        </w:rPr>
        <w:t>8516</w:t>
      </w:r>
      <w:r>
        <w:t>万m</w:t>
      </w:r>
      <w:r>
        <w:rPr>
          <w:vertAlign w:val="superscript"/>
        </w:rPr>
        <w:t>3</w:t>
      </w:r>
      <w:r>
        <w:t>、</w:t>
      </w:r>
      <w:r>
        <w:rPr>
          <w:rFonts w:hint="eastAsia"/>
        </w:rPr>
        <w:t>8667</w:t>
      </w:r>
      <w:r>
        <w:t>万m</w:t>
      </w:r>
      <w:r>
        <w:rPr>
          <w:vertAlign w:val="superscript"/>
        </w:rPr>
        <w:t>3</w:t>
      </w:r>
      <w:r>
        <w:t>、</w:t>
      </w:r>
      <w:r>
        <w:rPr>
          <w:rFonts w:hint="eastAsia"/>
        </w:rPr>
        <w:t>9296</w:t>
      </w:r>
      <w:r>
        <w:t>万m</w:t>
      </w:r>
      <w:r>
        <w:rPr>
          <w:vertAlign w:val="superscript"/>
        </w:rPr>
        <w:t>3</w:t>
      </w:r>
      <w:r>
        <w:t>。</w:t>
      </w:r>
    </w:p>
    <w:bookmarkEnd w:id="89"/>
    <w:p>
      <w:pPr>
        <w:pStyle w:val="4"/>
      </w:pPr>
      <w:r>
        <w:t>抚仙湖片区现状保证率多年平均、P=75%、P=95%总需水量为</w:t>
      </w:r>
      <w:r>
        <w:rPr>
          <w:rFonts w:hint="eastAsia"/>
        </w:rPr>
        <w:t>5028</w:t>
      </w:r>
      <w:r>
        <w:t>万m</w:t>
      </w:r>
      <w:r>
        <w:rPr>
          <w:vertAlign w:val="superscript"/>
        </w:rPr>
        <w:t>3</w:t>
      </w:r>
      <w:r>
        <w:t>、</w:t>
      </w:r>
      <w:r>
        <w:rPr>
          <w:rFonts w:hint="eastAsia"/>
        </w:rPr>
        <w:t>5189</w:t>
      </w:r>
      <w:r>
        <w:t>万m</w:t>
      </w:r>
      <w:r>
        <w:rPr>
          <w:vertAlign w:val="superscript"/>
        </w:rPr>
        <w:t>3</w:t>
      </w:r>
      <w:r>
        <w:t>、</w:t>
      </w:r>
      <w:r>
        <w:rPr>
          <w:rFonts w:hint="eastAsia"/>
        </w:rPr>
        <w:t>5893</w:t>
      </w:r>
      <w:r>
        <w:t>万m</w:t>
      </w:r>
      <w:r>
        <w:rPr>
          <w:vertAlign w:val="superscript"/>
        </w:rPr>
        <w:t>3</w:t>
      </w:r>
      <w:r>
        <w:t>；预测到规划水平年多年平均、P=75%、P=95%总需水量为</w:t>
      </w:r>
      <w:r>
        <w:rPr>
          <w:rFonts w:hint="eastAsia"/>
        </w:rPr>
        <w:t>6683</w:t>
      </w:r>
      <w:r>
        <w:t>万m</w:t>
      </w:r>
      <w:r>
        <w:rPr>
          <w:vertAlign w:val="superscript"/>
        </w:rPr>
        <w:t>3</w:t>
      </w:r>
      <w:r>
        <w:t>、</w:t>
      </w:r>
      <w:r>
        <w:rPr>
          <w:rFonts w:hint="eastAsia"/>
        </w:rPr>
        <w:t>6789</w:t>
      </w:r>
      <w:r>
        <w:t>万m</w:t>
      </w:r>
      <w:r>
        <w:rPr>
          <w:vertAlign w:val="superscript"/>
        </w:rPr>
        <w:t>3</w:t>
      </w:r>
      <w:r>
        <w:t>、</w:t>
      </w:r>
      <w:r>
        <w:rPr>
          <w:rFonts w:hint="eastAsia"/>
        </w:rPr>
        <w:t>7226</w:t>
      </w:r>
      <w:r>
        <w:t>万m</w:t>
      </w:r>
      <w:r>
        <w:rPr>
          <w:vertAlign w:val="superscript"/>
        </w:rPr>
        <w:t>3</w:t>
      </w:r>
      <w:r>
        <w:t>。</w:t>
      </w:r>
    </w:p>
    <w:p>
      <w:pPr>
        <w:pStyle w:val="4"/>
      </w:pPr>
      <w:r>
        <w:t>南盘江片区现状保证率多年平均、P=75%、P=95%总需水量为</w:t>
      </w:r>
      <w:r>
        <w:rPr>
          <w:rFonts w:hint="eastAsia"/>
        </w:rPr>
        <w:t>999</w:t>
      </w:r>
      <w:r>
        <w:t>万m</w:t>
      </w:r>
      <w:r>
        <w:rPr>
          <w:vertAlign w:val="superscript"/>
        </w:rPr>
        <w:t>3</w:t>
      </w:r>
      <w:r>
        <w:t>、</w:t>
      </w:r>
      <w:r>
        <w:rPr>
          <w:rFonts w:hint="eastAsia"/>
        </w:rPr>
        <w:t>1015</w:t>
      </w:r>
      <w:r>
        <w:t>万m</w:t>
      </w:r>
      <w:r>
        <w:rPr>
          <w:vertAlign w:val="superscript"/>
        </w:rPr>
        <w:t>3</w:t>
      </w:r>
      <w:r>
        <w:t>、</w:t>
      </w:r>
      <w:r>
        <w:rPr>
          <w:rFonts w:hint="eastAsia"/>
        </w:rPr>
        <w:t>1087</w:t>
      </w:r>
      <w:r>
        <w:t>万m</w:t>
      </w:r>
      <w:r>
        <w:rPr>
          <w:vertAlign w:val="superscript"/>
        </w:rPr>
        <w:t>3</w:t>
      </w:r>
      <w:r>
        <w:t>；预测到规划水平年多年平均、P=75%、P=95%总需水量为</w:t>
      </w:r>
      <w:r>
        <w:rPr>
          <w:rFonts w:hint="eastAsia"/>
        </w:rPr>
        <w:t>1781</w:t>
      </w:r>
      <w:r>
        <w:t>万m</w:t>
      </w:r>
      <w:r>
        <w:rPr>
          <w:vertAlign w:val="superscript"/>
        </w:rPr>
        <w:t>3</w:t>
      </w:r>
      <w:r>
        <w:t>、</w:t>
      </w:r>
      <w:r>
        <w:rPr>
          <w:rFonts w:hint="eastAsia"/>
        </w:rPr>
        <w:t>1826</w:t>
      </w:r>
      <w:r>
        <w:t>万m</w:t>
      </w:r>
      <w:r>
        <w:rPr>
          <w:vertAlign w:val="superscript"/>
        </w:rPr>
        <w:t>3</w:t>
      </w:r>
      <w:r>
        <w:t>、</w:t>
      </w:r>
      <w:r>
        <w:rPr>
          <w:rFonts w:hint="eastAsia"/>
        </w:rPr>
        <w:t>2018</w:t>
      </w:r>
      <w:r>
        <w:t>万m</w:t>
      </w:r>
      <w:r>
        <w:rPr>
          <w:vertAlign w:val="superscript"/>
        </w:rPr>
        <w:t>3</w:t>
      </w:r>
      <w:r>
        <w:t>。</w:t>
      </w:r>
    </w:p>
    <w:p>
      <w:pPr>
        <w:pStyle w:val="4"/>
      </w:pPr>
      <w:r>
        <w:t>提古片区现状保证率多年平均、P=75%、P=95%总需水量都为30万m</w:t>
      </w:r>
      <w:r>
        <w:rPr>
          <w:vertAlign w:val="superscript"/>
        </w:rPr>
        <w:t>3</w:t>
      </w:r>
      <w:r>
        <w:t>；预测到规划水平年多年平均、P=75%、P=95%总需水量都为52万m</w:t>
      </w:r>
      <w:r>
        <w:rPr>
          <w:vertAlign w:val="superscript"/>
        </w:rPr>
        <w:t>3</w:t>
      </w:r>
      <w:r>
        <w:t>。</w:t>
      </w:r>
    </w:p>
    <w:p>
      <w:pPr>
        <w:pStyle w:val="4"/>
      </w:pPr>
    </w:p>
    <w:p>
      <w:pPr>
        <w:pStyle w:val="4"/>
        <w:sectPr>
          <w:pgSz w:w="11906" w:h="16838"/>
          <w:pgMar w:top="1440" w:right="1418" w:bottom="1440" w:left="1418" w:header="851" w:footer="851" w:gutter="0"/>
          <w:cols w:space="425" w:num="1"/>
          <w:docGrid w:type="linesAndChars" w:linePitch="312" w:charSpace="0"/>
        </w:sectPr>
      </w:pP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 xml:space="preserve">  规划范围需水情况表    单位：万m</w:t>
      </w:r>
      <w:r>
        <w:rPr>
          <w:color w:val="000000" w:themeColor="text1"/>
          <w:vertAlign w:val="superscript"/>
          <w14:textFill>
            <w14:solidFill>
              <w14:schemeClr w14:val="tx1"/>
            </w14:solidFill>
          </w14:textFill>
        </w:rPr>
        <w:t>3</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18"/>
        <w:gridCol w:w="1172"/>
        <w:gridCol w:w="1172"/>
        <w:gridCol w:w="1172"/>
        <w:gridCol w:w="1172"/>
        <w:gridCol w:w="1172"/>
        <w:gridCol w:w="1410"/>
        <w:gridCol w:w="1055"/>
        <w:gridCol w:w="1055"/>
        <w:gridCol w:w="1410"/>
        <w:gridCol w:w="1055"/>
        <w:gridCol w:w="10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restar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分区</w:t>
            </w:r>
          </w:p>
        </w:tc>
        <w:tc>
          <w:tcPr>
            <w:tcW w:w="412" w:type="pct"/>
            <w:vMerge w:val="restar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水平年</w:t>
            </w:r>
          </w:p>
        </w:tc>
        <w:tc>
          <w:tcPr>
            <w:tcW w:w="412" w:type="pct"/>
            <w:vMerge w:val="restar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城镇生活</w:t>
            </w:r>
          </w:p>
        </w:tc>
        <w:tc>
          <w:tcPr>
            <w:tcW w:w="412" w:type="pct"/>
            <w:vMerge w:val="restar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农村生活</w:t>
            </w:r>
          </w:p>
        </w:tc>
        <w:tc>
          <w:tcPr>
            <w:tcW w:w="412" w:type="pct"/>
            <w:vMerge w:val="restar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工业</w:t>
            </w:r>
          </w:p>
        </w:tc>
        <w:tc>
          <w:tcPr>
            <w:tcW w:w="412" w:type="pct"/>
            <w:vMerge w:val="restar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生态</w:t>
            </w:r>
          </w:p>
        </w:tc>
        <w:tc>
          <w:tcPr>
            <w:tcW w:w="1237" w:type="pct"/>
            <w:gridSpan w:val="3"/>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农业</w:t>
            </w:r>
          </w:p>
        </w:tc>
        <w:tc>
          <w:tcPr>
            <w:tcW w:w="1237" w:type="pct"/>
            <w:gridSpan w:val="3"/>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总需水量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96" w:type="pc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多年平均</w:t>
            </w:r>
          </w:p>
        </w:tc>
        <w:tc>
          <w:tcPr>
            <w:tcW w:w="371"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P=75%</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P=95%</w:t>
            </w:r>
          </w:p>
        </w:tc>
        <w:tc>
          <w:tcPr>
            <w:tcW w:w="496" w:type="pc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多年平均</w:t>
            </w:r>
          </w:p>
        </w:tc>
        <w:tc>
          <w:tcPr>
            <w:tcW w:w="371"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P=75%</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P=95%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restar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抚仙湖片区</w:t>
            </w:r>
          </w:p>
        </w:tc>
        <w:tc>
          <w:tcPr>
            <w:tcW w:w="412" w:type="pc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现状年</w:t>
            </w:r>
          </w:p>
        </w:tc>
        <w:tc>
          <w:tcPr>
            <w:tcW w:w="412"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895</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296</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3837</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3998</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4702</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5028</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5189</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5893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规划年</w:t>
            </w:r>
          </w:p>
        </w:tc>
        <w:tc>
          <w:tcPr>
            <w:tcW w:w="412"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1514</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203</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2450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2516</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2622</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3059</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6683</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6789</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7226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restar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南盘江片区</w:t>
            </w:r>
          </w:p>
        </w:tc>
        <w:tc>
          <w:tcPr>
            <w:tcW w:w="412" w:type="pc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现状年</w:t>
            </w:r>
          </w:p>
        </w:tc>
        <w:tc>
          <w:tcPr>
            <w:tcW w:w="412"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16</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65</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530</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387</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403</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476</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998</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1014</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1087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规划年</w:t>
            </w:r>
          </w:p>
        </w:tc>
        <w:tc>
          <w:tcPr>
            <w:tcW w:w="412"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24</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58</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612</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1086</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1132</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1323</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1780</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1826</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restar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提古片区</w:t>
            </w:r>
          </w:p>
        </w:tc>
        <w:tc>
          <w:tcPr>
            <w:tcW w:w="412" w:type="pc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现状年</w:t>
            </w:r>
          </w:p>
        </w:tc>
        <w:tc>
          <w:tcPr>
            <w:tcW w:w="412"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0</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4</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26</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30</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30</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规划年</w:t>
            </w:r>
          </w:p>
        </w:tc>
        <w:tc>
          <w:tcPr>
            <w:tcW w:w="412"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0</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46</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51</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51</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restar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合计</w:t>
            </w:r>
          </w:p>
        </w:tc>
        <w:tc>
          <w:tcPr>
            <w:tcW w:w="412" w:type="pct"/>
            <w:shd w:val="clear" w:color="auto" w:fill="auto"/>
            <w:noWrap/>
            <w:vAlign w:val="center"/>
          </w:tcPr>
          <w:p>
            <w:pPr>
              <w:widowControl/>
              <w:spacing w:line="240" w:lineRule="auto"/>
              <w:ind w:firstLine="0" w:firstLineChars="0"/>
              <w:jc w:val="center"/>
              <w:rPr>
                <w:rFonts w:hint="eastAsia"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现状年</w:t>
            </w:r>
          </w:p>
        </w:tc>
        <w:tc>
          <w:tcPr>
            <w:tcW w:w="412"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911</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366</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556</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4224</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4401</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5177</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6057</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6234</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7010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64" w:type="pct"/>
            <w:vMerge w:val="continue"/>
            <w:vAlign w:val="center"/>
          </w:tcPr>
          <w:p>
            <w:pPr>
              <w:widowControl/>
              <w:spacing w:line="240" w:lineRule="auto"/>
              <w:ind w:firstLine="0" w:firstLineChars="0"/>
              <w:jc w:val="left"/>
              <w:rPr>
                <w:rFonts w:ascii="宋体" w:hAnsi="宋体" w:eastAsia="宋体" w:cs="宋体"/>
                <w:color w:val="000000"/>
                <w:spacing w:val="0"/>
                <w:kern w:val="0"/>
                <w:sz w:val="21"/>
                <w:szCs w:val="21"/>
              </w:rPr>
            </w:pPr>
          </w:p>
        </w:tc>
        <w:tc>
          <w:tcPr>
            <w:tcW w:w="412" w:type="pct"/>
            <w:shd w:val="clear" w:color="auto" w:fill="auto"/>
            <w:noWrap/>
            <w:vAlign w:val="center"/>
          </w:tcPr>
          <w:p>
            <w:pPr>
              <w:widowControl/>
              <w:spacing w:line="240" w:lineRule="auto"/>
              <w:ind w:firstLine="0" w:firstLineChars="0"/>
              <w:jc w:val="center"/>
              <w:rPr>
                <w:rFonts w:ascii="宋体" w:hAnsi="宋体" w:eastAsia="宋体" w:cs="宋体"/>
                <w:color w:val="000000"/>
                <w:spacing w:val="0"/>
                <w:kern w:val="0"/>
                <w:sz w:val="21"/>
                <w:szCs w:val="21"/>
              </w:rPr>
            </w:pPr>
            <w:r>
              <w:rPr>
                <w:rFonts w:hint="eastAsia" w:ascii="宋体" w:hAnsi="宋体" w:eastAsia="宋体" w:cs="宋体"/>
                <w:color w:val="000000"/>
                <w:spacing w:val="0"/>
                <w:kern w:val="0"/>
                <w:sz w:val="21"/>
                <w:szCs w:val="21"/>
              </w:rPr>
              <w:t>规划年</w:t>
            </w:r>
          </w:p>
        </w:tc>
        <w:tc>
          <w:tcPr>
            <w:tcW w:w="412" w:type="pct"/>
            <w:shd w:val="clear" w:color="auto" w:fill="auto"/>
            <w:noWrap/>
            <w:vAlign w:val="center"/>
          </w:tcPr>
          <w:p>
            <w:pPr>
              <w:widowControl/>
              <w:spacing w:line="240" w:lineRule="auto"/>
              <w:ind w:firstLine="0" w:firstLineChars="0"/>
              <w:jc w:val="center"/>
              <w:rPr>
                <w:rFonts w:hint="eastAsia" w:eastAsia="等线"/>
                <w:color w:val="000000"/>
                <w:spacing w:val="0"/>
                <w:kern w:val="0"/>
                <w:sz w:val="21"/>
                <w:szCs w:val="21"/>
              </w:rPr>
            </w:pPr>
            <w:r>
              <w:rPr>
                <w:rFonts w:eastAsia="等线"/>
                <w:color w:val="000000"/>
                <w:spacing w:val="0"/>
                <w:kern w:val="0"/>
                <w:sz w:val="21"/>
                <w:szCs w:val="21"/>
              </w:rPr>
              <w:t>1539</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267</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659</w:t>
            </w:r>
          </w:p>
        </w:tc>
        <w:tc>
          <w:tcPr>
            <w:tcW w:w="412"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2450</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3602</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3753</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4382</w:t>
            </w:r>
          </w:p>
        </w:tc>
        <w:tc>
          <w:tcPr>
            <w:tcW w:w="496"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8516</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8667</w:t>
            </w:r>
          </w:p>
        </w:tc>
        <w:tc>
          <w:tcPr>
            <w:tcW w:w="371" w:type="pct"/>
            <w:shd w:val="clear" w:color="auto" w:fill="auto"/>
            <w:noWrap/>
            <w:vAlign w:val="center"/>
          </w:tcPr>
          <w:p>
            <w:pPr>
              <w:widowControl/>
              <w:spacing w:line="240" w:lineRule="auto"/>
              <w:ind w:firstLine="0" w:firstLineChars="0"/>
              <w:jc w:val="center"/>
              <w:rPr>
                <w:rFonts w:eastAsia="等线"/>
                <w:color w:val="000000"/>
                <w:spacing w:val="0"/>
                <w:kern w:val="0"/>
                <w:sz w:val="21"/>
                <w:szCs w:val="21"/>
              </w:rPr>
            </w:pPr>
            <w:r>
              <w:rPr>
                <w:rFonts w:eastAsia="等线"/>
                <w:color w:val="000000"/>
                <w:spacing w:val="0"/>
                <w:kern w:val="0"/>
                <w:sz w:val="21"/>
                <w:szCs w:val="21"/>
              </w:rPr>
              <w:t>9296</w:t>
            </w:r>
          </w:p>
        </w:tc>
      </w:tr>
    </w:tbl>
    <w:p>
      <w:pPr>
        <w:pStyle w:val="4"/>
      </w:pPr>
    </w:p>
    <w:p>
      <w:pPr>
        <w:pStyle w:val="4"/>
      </w:pPr>
    </w:p>
    <w:p>
      <w:pPr>
        <w:pStyle w:val="4"/>
        <w:sectPr>
          <w:type w:val="continuous"/>
          <w:pgSz w:w="16838" w:h="11906" w:orient="landscape"/>
          <w:pgMar w:top="1440" w:right="1418" w:bottom="1440" w:left="1418" w:header="851" w:footer="851" w:gutter="0"/>
          <w:cols w:space="425" w:num="1"/>
          <w:docGrid w:type="linesAndChars" w:linePitch="312" w:charSpace="0"/>
        </w:sectPr>
      </w:pPr>
    </w:p>
    <w:p>
      <w:pPr>
        <w:pStyle w:val="5"/>
      </w:pPr>
      <w:bookmarkStart w:id="90" w:name="_Toc184023330"/>
      <w:bookmarkStart w:id="91" w:name="_Toc105257961"/>
      <w:r>
        <w:t>供水预测分析</w:t>
      </w:r>
      <w:bookmarkEnd w:id="90"/>
      <w:bookmarkEnd w:id="91"/>
    </w:p>
    <w:p>
      <w:pPr>
        <w:pStyle w:val="6"/>
      </w:pPr>
      <w:bookmarkStart w:id="92" w:name="_Toc105257962"/>
      <w:r>
        <w:t>供水预测原则</w:t>
      </w:r>
      <w:bookmarkEnd w:id="92"/>
    </w:p>
    <w:p>
      <w:pPr>
        <w:pStyle w:val="4"/>
      </w:pPr>
      <w:r>
        <w:t>（1）规划区水资源开发利用，首要是满足抚仙湖保护的需要，在可供水量充足的前提下，减少抚仙湖提水量；其次流域经济社会的发展要与水资源的承载能力相适应，城市发展、生产力布局、产业结构调整以及生态环境都要充分考虑水资源条件。</w:t>
      </w:r>
    </w:p>
    <w:p>
      <w:pPr>
        <w:pStyle w:val="4"/>
      </w:pPr>
      <w:r>
        <w:t>（2）坚持以人为本，按可持续的科学发展观协调生活、生产和生态用水关系；水资源开发利用与经济社会发展的目标、规模、水平和速度相适应，并适当超前；坚持“三先三后”原则，合理配置地表水与地下水、当地水与外调水、再生水与清洁水，强化水资源节约与保护，提高用水效率，实现水资源可持续利用。</w:t>
      </w:r>
    </w:p>
    <w:p>
      <w:pPr>
        <w:pStyle w:val="4"/>
      </w:pPr>
      <w:r>
        <w:t>（3）可供水量预测与需水预测相结合，使规划范围内国民经济各部门的需水在设计保证率下基本得到平衡，工业、生活用水保证率P=95%，农业灌溉P=75%~95%。</w:t>
      </w:r>
    </w:p>
    <w:p>
      <w:pPr>
        <w:pStyle w:val="4"/>
      </w:pPr>
      <w:r>
        <w:t>（4）水资源开发利用要统筹安排河道内、河道外用水以及生产、生活、生态环境用水，以满足水资源可持续利用要求。优先下泄河道生态基流，生态下泄标准为枯期（12月至次年5月）按多年平均天然径流量的10%下泄河道生态，汛期（6月至11月）按多年平均天然径流量的30%下泄河道生态。</w:t>
      </w:r>
    </w:p>
    <w:p>
      <w:pPr>
        <w:pStyle w:val="4"/>
      </w:pPr>
      <w:r>
        <w:t>（5）水库调度规则是，首先满足防洪和下游生态基流要求，然后是供水任务，供水配置时应遵循“优水优用、高水高用”的原则。</w:t>
      </w:r>
    </w:p>
    <w:p>
      <w:pPr>
        <w:pStyle w:val="4"/>
      </w:pPr>
      <w:r>
        <w:t>（6）每个片区分为城镇生活、工业、农业灌溉、农村生活用水部门，各片区内的供水工程分别按其供水对象供水。</w:t>
      </w:r>
    </w:p>
    <w:p>
      <w:pPr>
        <w:pStyle w:val="4"/>
      </w:pPr>
      <w:r>
        <w:t>（7）供水预测要充分考虑技术经济因素、水质状况、对生态环境的影响。对技术复杂近期不可能解决的工程，不计入本次供水预测中；供水预测生活用水水质要求为</w:t>
      </w:r>
      <w:r>
        <w:rPr>
          <w:rFonts w:eastAsia="微软雅黑"/>
        </w:rPr>
        <w:t>Ⅰ</w:t>
      </w:r>
      <w:r>
        <w:t>～</w:t>
      </w:r>
      <w:r>
        <w:rPr>
          <w:rFonts w:eastAsia="微软雅黑"/>
        </w:rPr>
        <w:t>Ⅲ</w:t>
      </w:r>
      <w:r>
        <w:t>类。</w:t>
      </w:r>
    </w:p>
    <w:p>
      <w:pPr>
        <w:pStyle w:val="4"/>
      </w:pPr>
      <w:r>
        <w:t>（8）供水预测要充分吸收和利用有关流域规划、区域规划及专业规划成果，并根据本次规划要求和新的情况变化，复核可供水量。</w:t>
      </w:r>
    </w:p>
    <w:p>
      <w:pPr>
        <w:pStyle w:val="4"/>
      </w:pPr>
      <w:r>
        <w:t>（9）供水预测遵循“先节水后开发，先本区后调水，先治污后用水”的原则。</w:t>
      </w:r>
    </w:p>
    <w:p>
      <w:pPr>
        <w:pStyle w:val="4"/>
      </w:pPr>
      <w:r>
        <w:t>（10）全市加大中水回用的配置，提高中水利用率。经过深度处理的城市再生水可用于城镇生活中生态环境用水；抚仙湖北岸调蓄带拦截的农田退水可用于农田回灌，提供充足的肥料，有利于作物的生长发育。</w:t>
      </w:r>
    </w:p>
    <w:p>
      <w:pPr>
        <w:pStyle w:val="6"/>
      </w:pPr>
      <w:bookmarkStart w:id="93" w:name="_Toc105257963"/>
      <w:r>
        <w:t>现状年可供水量</w:t>
      </w:r>
      <w:bookmarkEnd w:id="93"/>
    </w:p>
    <w:p>
      <w:pPr>
        <w:pStyle w:val="4"/>
      </w:pPr>
      <w:r>
        <w:t>结合供水预测原则，按照蓄、引、提、中水工程分别计算不同水平年各类工程的可供水量。</w:t>
      </w:r>
    </w:p>
    <w:p>
      <w:pPr>
        <w:pStyle w:val="4"/>
      </w:pPr>
      <w:r>
        <w:t>蓄水工程可供水量计算，根据水文分析计算得到的水库坝址断面各频率来水量、蒸发、水库库容曲线、特征水位等，结合供水区的需水过程以月为时段进行兴利调节计算得到各水平年不同频率下的供水量，结合规划区内水库实际情况，主要对中型和小（一）型进行兴利调节计算，一般小（二）型水库和坝塘等供水量主要通过兴利库容和复蓄指数的关系进行概化处理。</w:t>
      </w:r>
    </w:p>
    <w:p>
      <w:pPr>
        <w:pStyle w:val="4"/>
      </w:pPr>
      <w:r>
        <w:t>引水工程可供水量计算，根据水文计算的各引水工程取水口处天然来水量，扣除上游用水部门的用水量并考虑一定回归水得到取水口断面实际来水量，再扣除该断面生态水量后得到引水口处的水量，河道引水考虑到来水的不均匀性，必须乘以引水系数，汛期6～11月取0.70，枯期12月～次年5月取0.90。乘以引水系数后按引水工程的设计流量取小值得到可引水量，再结合规划区的需水量要求后得到引水工程可供水量；龙潭引水工程的来水比较稳定，只扣除生态水量，不考虑来水的不均匀性。在具体分析过程中主要对0.3m</w:t>
      </w:r>
      <w:r>
        <w:rPr>
          <w:vertAlign w:val="superscript"/>
        </w:rPr>
        <w:t>3</w:t>
      </w:r>
      <w:r>
        <w:t>/s以上的主要引水工程逐条进行分析计算，而对0.3m</w:t>
      </w:r>
      <w:r>
        <w:rPr>
          <w:vertAlign w:val="superscript"/>
        </w:rPr>
        <w:t>3</w:t>
      </w:r>
      <w:r>
        <w:t>/s以下的小引水渠道则作概化处理。</w:t>
      </w:r>
    </w:p>
    <w:p>
      <w:pPr>
        <w:pStyle w:val="4"/>
      </w:pPr>
      <w:r>
        <w:t>提水工程可供水量计算，根据提水工程取水水源处来水量，结合提水泵站装机、扬程和设计流量等，结合需水量进行计算得到。</w:t>
      </w:r>
    </w:p>
    <w:p>
      <w:pPr>
        <w:pStyle w:val="4"/>
      </w:pPr>
      <w:r>
        <w:t>中水回用工程根据工程覆盖范围的来水量、工程的供水能力和回用范围内的需水量取小值来计算供水量。</w:t>
      </w:r>
    </w:p>
    <w:p>
      <w:pPr>
        <w:pStyle w:val="4"/>
      </w:pPr>
      <w:r>
        <w:t>经分析计算，规划范围内现状保证率多年平均、P=75%、P=95%供水量为</w:t>
      </w:r>
      <w:r>
        <w:rPr>
          <w:rFonts w:hint="eastAsia"/>
        </w:rPr>
        <w:t>5829</w:t>
      </w:r>
      <w:r>
        <w:t>万m</w:t>
      </w:r>
      <w:r>
        <w:rPr>
          <w:vertAlign w:val="superscript"/>
        </w:rPr>
        <w:t>3</w:t>
      </w:r>
      <w:r>
        <w:t>、</w:t>
      </w:r>
      <w:r>
        <w:rPr>
          <w:rFonts w:hint="eastAsia"/>
        </w:rPr>
        <w:t>5967</w:t>
      </w:r>
      <w:r>
        <w:t>万m</w:t>
      </w:r>
      <w:r>
        <w:rPr>
          <w:vertAlign w:val="superscript"/>
        </w:rPr>
        <w:t>3</w:t>
      </w:r>
      <w:r>
        <w:t>、</w:t>
      </w:r>
      <w:r>
        <w:rPr>
          <w:rFonts w:hint="eastAsia"/>
        </w:rPr>
        <w:t>5525</w:t>
      </w:r>
      <w:r>
        <w:t>万m</w:t>
      </w:r>
      <w:r>
        <w:rPr>
          <w:vertAlign w:val="superscript"/>
        </w:rPr>
        <w:t>3</w:t>
      </w:r>
      <w:r>
        <w:t>。其中，抚仙湖片区现状保证率多年平均、P=75%、P=95%供水量为</w:t>
      </w:r>
      <w:r>
        <w:rPr>
          <w:rFonts w:hint="eastAsia"/>
        </w:rPr>
        <w:t>4838</w:t>
      </w:r>
      <w:r>
        <w:t>万m</w:t>
      </w:r>
      <w:r>
        <w:rPr>
          <w:vertAlign w:val="superscript"/>
        </w:rPr>
        <w:t>3</w:t>
      </w:r>
      <w:r>
        <w:t>、</w:t>
      </w:r>
      <w:r>
        <w:rPr>
          <w:rFonts w:hint="eastAsia"/>
        </w:rPr>
        <w:t>4929</w:t>
      </w:r>
      <w:r>
        <w:t>万m</w:t>
      </w:r>
      <w:r>
        <w:rPr>
          <w:vertAlign w:val="superscript"/>
        </w:rPr>
        <w:t>3</w:t>
      </w:r>
      <w:r>
        <w:t>、</w:t>
      </w:r>
      <w:r>
        <w:rPr>
          <w:rFonts w:hint="eastAsia"/>
        </w:rPr>
        <w:t>4543</w:t>
      </w:r>
      <w:r>
        <w:t>万m</w:t>
      </w:r>
      <w:r>
        <w:rPr>
          <w:vertAlign w:val="superscript"/>
        </w:rPr>
        <w:t>3</w:t>
      </w:r>
      <w:r>
        <w:t>；南盘江片区现状保证率多年平均、P=75%、P=95%供水量为</w:t>
      </w:r>
      <w:r>
        <w:rPr>
          <w:rFonts w:hint="eastAsia"/>
        </w:rPr>
        <w:t>962</w:t>
      </w:r>
      <w:r>
        <w:t>万m</w:t>
      </w:r>
      <w:r>
        <w:rPr>
          <w:vertAlign w:val="superscript"/>
        </w:rPr>
        <w:t>3</w:t>
      </w:r>
      <w:r>
        <w:t>、</w:t>
      </w:r>
      <w:r>
        <w:rPr>
          <w:rFonts w:hint="eastAsia"/>
        </w:rPr>
        <w:t>1009</w:t>
      </w:r>
      <w:r>
        <w:t>万m</w:t>
      </w:r>
      <w:r>
        <w:rPr>
          <w:vertAlign w:val="superscript"/>
        </w:rPr>
        <w:t>3</w:t>
      </w:r>
      <w:r>
        <w:t>、</w:t>
      </w:r>
      <w:r>
        <w:rPr>
          <w:rFonts w:hint="eastAsia"/>
        </w:rPr>
        <w:t>953</w:t>
      </w:r>
      <w:r>
        <w:t>万m</w:t>
      </w:r>
      <w:r>
        <w:rPr>
          <w:vertAlign w:val="superscript"/>
        </w:rPr>
        <w:t>3</w:t>
      </w:r>
      <w:r>
        <w:t>；提古片区现状保证率多年平均、P=75%、P=95%供水量都为30万m</w:t>
      </w:r>
      <w:r>
        <w:rPr>
          <w:vertAlign w:val="superscript"/>
        </w:rPr>
        <w:t>3</w:t>
      </w:r>
      <w:r>
        <w:t>。具体情况详见下表。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表_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规划区现状供水量    单位：万m</w:t>
      </w:r>
      <w:r>
        <w:rPr>
          <w:color w:val="000000" w:themeColor="text1"/>
          <w:vertAlign w:val="superscript"/>
          <w14:textFill>
            <w14:solidFill>
              <w14:schemeClr w14:val="tx1"/>
            </w14:solidFill>
          </w14:textFill>
        </w:rPr>
        <w:t>3</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7"/>
        <w:gridCol w:w="1118"/>
        <w:gridCol w:w="1118"/>
        <w:gridCol w:w="1118"/>
        <w:gridCol w:w="1118"/>
        <w:gridCol w:w="1118"/>
        <w:gridCol w:w="1118"/>
        <w:gridCol w:w="11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79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单元</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频率</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蓄水</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引水</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提水</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机井</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中水回用</w:t>
            </w:r>
          </w:p>
        </w:tc>
        <w:tc>
          <w:tcPr>
            <w:tcW w:w="598"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2605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772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630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410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421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4838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2706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700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734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410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379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4929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2249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686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838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410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360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4543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453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365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95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1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962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487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365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101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1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1009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438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365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97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1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953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27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27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27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3085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823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995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505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422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5829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3219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758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1099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511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380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5967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2714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741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1203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507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361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5525 </w:t>
            </w:r>
          </w:p>
        </w:tc>
      </w:tr>
    </w:tbl>
    <w:p>
      <w:pPr>
        <w:pStyle w:val="6"/>
      </w:pPr>
      <w:bookmarkStart w:id="94" w:name="_Toc105257965"/>
      <w:r>
        <w:t>规划年可供水量</w:t>
      </w:r>
      <w:bookmarkEnd w:id="94"/>
    </w:p>
    <w:p>
      <w:pPr>
        <w:pStyle w:val="4"/>
      </w:pPr>
      <w:r>
        <w:t>规划水平年的供水预测以现有工程可供水量为基础，以当地水资源开发利用潜力为控制条件，根据规划区的水资源情况、开发条件、需水要求，按不同工程类型水源工程，通过技术经济综合比较，提供水资源供需分析与合理配置选用。规划水平年的可供水量为现状可供水量加上的各类新水源工程的供水量。</w:t>
      </w:r>
    </w:p>
    <w:p>
      <w:pPr>
        <w:pStyle w:val="4"/>
      </w:pPr>
      <w:r>
        <w:t>供水工程方案以服从地区国民经济和社会发展的需要，因地制宜、分类指导、统筹兼顾、突出重点为原则。供水工程规划及重点建设的方针是：以保护抚仙湖目的，现有工程挖潜、灌区续建配套与新建工程相结合，节水与开源并重；蓄引提结合，以蓄为主；以开发地表水资源为主，加强再生和农田退水综合利用。</w:t>
      </w:r>
    </w:p>
    <w:p>
      <w:pPr>
        <w:pStyle w:val="4"/>
      </w:pPr>
      <w:r>
        <w:t>为加强抚仙湖保护，防止抚仙湖水位继续下降，加大抚仙湖片区节水减排，到规划水平年，全面取缔抚仙湖片区引水、提水及机井工程。现状年从抚仙湖取水的生活和农灌改由滇中引水、甸垛龙潭和大龙潭调水工程供给，东溪哨工业园区用水由滇中引水供给。同时，加大中水回用力度。</w:t>
      </w:r>
    </w:p>
    <w:p>
      <w:pPr>
        <w:pStyle w:val="4"/>
      </w:pPr>
      <w:r>
        <w:t>规划水平年，加入规划新建工程，规划区保证率多年平均、P=75%、P=95%供水量为</w:t>
      </w:r>
      <w:r>
        <w:rPr>
          <w:rFonts w:hint="eastAsia"/>
        </w:rPr>
        <w:t>8481</w:t>
      </w:r>
      <w:r>
        <w:t>万m</w:t>
      </w:r>
      <w:r>
        <w:rPr>
          <w:vertAlign w:val="superscript"/>
        </w:rPr>
        <w:t>3</w:t>
      </w:r>
      <w:r>
        <w:t>、</w:t>
      </w:r>
      <w:r>
        <w:rPr>
          <w:rFonts w:hint="eastAsia"/>
        </w:rPr>
        <w:t>8602</w:t>
      </w:r>
      <w:r>
        <w:t>万m</w:t>
      </w:r>
      <w:r>
        <w:rPr>
          <w:vertAlign w:val="superscript"/>
        </w:rPr>
        <w:t>3</w:t>
      </w:r>
      <w:r>
        <w:t>、</w:t>
      </w:r>
      <w:r>
        <w:rPr>
          <w:rFonts w:hint="eastAsia"/>
        </w:rPr>
        <w:t>8604</w:t>
      </w:r>
      <w:r>
        <w:t>万m</w:t>
      </w:r>
      <w:r>
        <w:rPr>
          <w:vertAlign w:val="superscript"/>
        </w:rPr>
        <w:t>3</w:t>
      </w:r>
      <w:r>
        <w:t>。其中，抚仙湖片区保证率多年平均、P=75%、P=95%供水量为</w:t>
      </w:r>
      <w:r>
        <w:rPr>
          <w:rFonts w:hint="eastAsia"/>
        </w:rPr>
        <w:t>6675</w:t>
      </w:r>
      <w:r>
        <w:t>万m</w:t>
      </w:r>
      <w:r>
        <w:rPr>
          <w:vertAlign w:val="superscript"/>
        </w:rPr>
        <w:t>3</w:t>
      </w:r>
      <w:r>
        <w:t>、</w:t>
      </w:r>
      <w:r>
        <w:rPr>
          <w:rFonts w:hint="eastAsia"/>
        </w:rPr>
        <w:t>6789</w:t>
      </w:r>
      <w:r>
        <w:t>万m</w:t>
      </w:r>
      <w:r>
        <w:rPr>
          <w:vertAlign w:val="superscript"/>
        </w:rPr>
        <w:t>3</w:t>
      </w:r>
      <w:r>
        <w:t>、</w:t>
      </w:r>
      <w:r>
        <w:rPr>
          <w:rFonts w:hint="eastAsia"/>
        </w:rPr>
        <w:t>6896</w:t>
      </w:r>
      <w:r>
        <w:t>万m</w:t>
      </w:r>
      <w:r>
        <w:rPr>
          <w:vertAlign w:val="superscript"/>
        </w:rPr>
        <w:t>3</w:t>
      </w:r>
      <w:r>
        <w:t>；南盘江片区保证率多年平均、P=75%、P=95%供水量为</w:t>
      </w:r>
      <w:r>
        <w:rPr>
          <w:rFonts w:hint="eastAsia"/>
        </w:rPr>
        <w:t>1774</w:t>
      </w:r>
      <w:r>
        <w:t>万m</w:t>
      </w:r>
      <w:r>
        <w:rPr>
          <w:vertAlign w:val="superscript"/>
        </w:rPr>
        <w:t>3</w:t>
      </w:r>
      <w:r>
        <w:t>、</w:t>
      </w:r>
      <w:r>
        <w:rPr>
          <w:rFonts w:hint="eastAsia"/>
        </w:rPr>
        <w:t>1761</w:t>
      </w:r>
      <w:r>
        <w:t>万m</w:t>
      </w:r>
      <w:r>
        <w:rPr>
          <w:vertAlign w:val="superscript"/>
        </w:rPr>
        <w:t>3</w:t>
      </w:r>
      <w:r>
        <w:t>、</w:t>
      </w:r>
      <w:r>
        <w:rPr>
          <w:rFonts w:hint="eastAsia"/>
        </w:rPr>
        <w:t>1656</w:t>
      </w:r>
      <w:r>
        <w:t>万m</w:t>
      </w:r>
      <w:r>
        <w:rPr>
          <w:vertAlign w:val="superscript"/>
        </w:rPr>
        <w:t>3</w:t>
      </w:r>
      <w:r>
        <w:t>；提古片区保证率多年平均、P=75%、P=95%供水量都为52万m</w:t>
      </w:r>
      <w:r>
        <w:rPr>
          <w:vertAlign w:val="superscript"/>
        </w:rPr>
        <w:t>3</w:t>
      </w:r>
      <w:r>
        <w:t>。具体情况详见下表。</w:t>
      </w:r>
    </w:p>
    <w:p>
      <w:pPr>
        <w:pStyle w:val="17"/>
        <w:ind w:firstLine="57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表_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规划区规划水平年供水量    单位：万m</w:t>
      </w:r>
      <w:r>
        <w:rPr>
          <w:color w:val="000000" w:themeColor="text1"/>
          <w:vertAlign w:val="superscript"/>
          <w14:textFill>
            <w14:solidFill>
              <w14:schemeClr w14:val="tx1"/>
            </w14:solidFill>
          </w14:textFill>
        </w:rPr>
        <w:t>3</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7"/>
        <w:gridCol w:w="1118"/>
        <w:gridCol w:w="1118"/>
        <w:gridCol w:w="1118"/>
        <w:gridCol w:w="1118"/>
        <w:gridCol w:w="1118"/>
        <w:gridCol w:w="1118"/>
        <w:gridCol w:w="11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blHeader/>
          <w:jc w:val="center"/>
        </w:trPr>
        <w:tc>
          <w:tcPr>
            <w:tcW w:w="790"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单元</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频率</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蓄水</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引水</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提水</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调水</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中水回用</w:t>
            </w:r>
          </w:p>
        </w:tc>
        <w:tc>
          <w:tcPr>
            <w:tcW w:w="598"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2520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390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3130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635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6675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2529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390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3130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740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6789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2398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660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3130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708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6896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408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65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443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482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356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1754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453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350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482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398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1761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443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345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482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328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1656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52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2928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455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443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3664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991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8481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2982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468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350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3664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1138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8602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790" w:type="pct"/>
            <w:vMerge w:val="continue"/>
            <w:vAlign w:val="center"/>
          </w:tcPr>
          <w:p>
            <w:pPr>
              <w:pStyle w:val="85"/>
              <w:rPr>
                <w:rFonts w:cs="Times New Roman"/>
                <w:color w:val="000000" w:themeColor="text1"/>
                <w14:textFill>
                  <w14:solidFill>
                    <w14:schemeClr w14:val="tx1"/>
                  </w14:solidFill>
                </w14:textFill>
              </w:rPr>
            </w:pPr>
          </w:p>
        </w:tc>
        <w:tc>
          <w:tcPr>
            <w:tcW w:w="60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2841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718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345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3664 </w:t>
            </w:r>
          </w:p>
        </w:tc>
        <w:tc>
          <w:tcPr>
            <w:tcW w:w="602" w:type="pct"/>
            <w:shd w:val="clear" w:color="auto" w:fill="auto"/>
            <w:noWrap/>
          </w:tcPr>
          <w:p>
            <w:pPr>
              <w:pStyle w:val="85"/>
              <w:rPr>
                <w:rFonts w:cs="Times New Roman"/>
                <w:color w:val="000000" w:themeColor="text1"/>
                <w14:textFill>
                  <w14:solidFill>
                    <w14:schemeClr w14:val="tx1"/>
                  </w14:solidFill>
                </w14:textFill>
              </w:rPr>
            </w:pPr>
            <w:r>
              <w:t xml:space="preserve">1036 </w:t>
            </w:r>
          </w:p>
        </w:tc>
        <w:tc>
          <w:tcPr>
            <w:tcW w:w="598" w:type="pct"/>
            <w:shd w:val="clear" w:color="auto" w:fill="auto"/>
            <w:noWrap/>
          </w:tcPr>
          <w:p>
            <w:pPr>
              <w:pStyle w:val="85"/>
              <w:rPr>
                <w:rFonts w:cs="Times New Roman"/>
                <w:color w:val="000000" w:themeColor="text1"/>
                <w14:textFill>
                  <w14:solidFill>
                    <w14:schemeClr w14:val="tx1"/>
                  </w14:solidFill>
                </w14:textFill>
              </w:rPr>
            </w:pPr>
            <w:r>
              <w:t xml:space="preserve">8604 </w:t>
            </w:r>
          </w:p>
        </w:tc>
      </w:tr>
    </w:tbl>
    <w:p>
      <w:pPr>
        <w:pStyle w:val="4"/>
        <w:sectPr>
          <w:pgSz w:w="11906" w:h="16838"/>
          <w:pgMar w:top="1440" w:right="1418" w:bottom="1440" w:left="1418" w:header="851" w:footer="851" w:gutter="0"/>
          <w:cols w:space="425" w:num="1"/>
          <w:docGrid w:type="linesAndChars" w:linePitch="312" w:charSpace="0"/>
        </w:sectPr>
      </w:pPr>
    </w:p>
    <w:p>
      <w:pPr>
        <w:pStyle w:val="5"/>
      </w:pPr>
      <w:bookmarkStart w:id="95" w:name="_Toc105257966"/>
      <w:bookmarkStart w:id="96" w:name="_Toc184023331"/>
      <w:r>
        <w:t>水资源配置</w:t>
      </w:r>
      <w:bookmarkEnd w:id="95"/>
      <w:bookmarkEnd w:id="96"/>
    </w:p>
    <w:p>
      <w:pPr>
        <w:pStyle w:val="6"/>
      </w:pPr>
      <w:bookmarkStart w:id="97" w:name="_Toc105257968"/>
      <w:r>
        <w:t>现状年水资源供需分析</w:t>
      </w:r>
      <w:bookmarkEnd w:id="97"/>
    </w:p>
    <w:p>
      <w:pPr>
        <w:pStyle w:val="4"/>
      </w:pPr>
      <w:r>
        <w:t>全市范围内现状保证率多年平均、P=75%、P=95%总供水量为</w:t>
      </w:r>
      <w:r>
        <w:rPr>
          <w:rFonts w:hint="eastAsia"/>
        </w:rPr>
        <w:t>5829</w:t>
      </w:r>
      <w:r>
        <w:t>万m</w:t>
      </w:r>
      <w:r>
        <w:rPr>
          <w:vertAlign w:val="superscript"/>
        </w:rPr>
        <w:t>3</w:t>
      </w:r>
      <w:r>
        <w:t>、</w:t>
      </w:r>
      <w:r>
        <w:rPr>
          <w:rFonts w:hint="eastAsia"/>
        </w:rPr>
        <w:t>5967</w:t>
      </w:r>
      <w:r>
        <w:t>万m</w:t>
      </w:r>
      <w:r>
        <w:rPr>
          <w:vertAlign w:val="superscript"/>
        </w:rPr>
        <w:t>3</w:t>
      </w:r>
      <w:r>
        <w:t>、</w:t>
      </w:r>
      <w:r>
        <w:rPr>
          <w:rFonts w:hint="eastAsia"/>
        </w:rPr>
        <w:t>5525</w:t>
      </w:r>
      <w:r>
        <w:t>万m</w:t>
      </w:r>
      <w:r>
        <w:rPr>
          <w:vertAlign w:val="superscript"/>
        </w:rPr>
        <w:t>3</w:t>
      </w:r>
      <w:r>
        <w:t>；现状保证率多年平均、P=75%、P=95%总需水量为</w:t>
      </w:r>
      <w:r>
        <w:rPr>
          <w:rFonts w:hint="eastAsia"/>
        </w:rPr>
        <w:t>6056</w:t>
      </w:r>
      <w:r>
        <w:t>万m</w:t>
      </w:r>
      <w:r>
        <w:rPr>
          <w:vertAlign w:val="superscript"/>
        </w:rPr>
        <w:t>3</w:t>
      </w:r>
      <w:r>
        <w:t>、</w:t>
      </w:r>
      <w:r>
        <w:rPr>
          <w:rFonts w:hint="eastAsia"/>
        </w:rPr>
        <w:t>6233</w:t>
      </w:r>
      <w:r>
        <w:t>万m</w:t>
      </w:r>
      <w:r>
        <w:rPr>
          <w:vertAlign w:val="superscript"/>
        </w:rPr>
        <w:t>3</w:t>
      </w:r>
      <w:r>
        <w:t>、</w:t>
      </w:r>
      <w:r>
        <w:rPr>
          <w:rFonts w:hint="eastAsia"/>
        </w:rPr>
        <w:t>7010</w:t>
      </w:r>
      <w:r>
        <w:t>万m</w:t>
      </w:r>
      <w:r>
        <w:rPr>
          <w:vertAlign w:val="superscript"/>
        </w:rPr>
        <w:t>3</w:t>
      </w:r>
      <w:r>
        <w:t>；缺水量分别为</w:t>
      </w:r>
      <w:r>
        <w:rPr>
          <w:rFonts w:hint="eastAsia"/>
        </w:rPr>
        <w:t>227</w:t>
      </w:r>
      <w:r>
        <w:t>万m</w:t>
      </w:r>
      <w:r>
        <w:rPr>
          <w:vertAlign w:val="superscript"/>
        </w:rPr>
        <w:t>3</w:t>
      </w:r>
      <w:r>
        <w:t>、</w:t>
      </w:r>
      <w:r>
        <w:rPr>
          <w:rFonts w:hint="eastAsia"/>
        </w:rPr>
        <w:t>266</w:t>
      </w:r>
      <w:r>
        <w:t>万m</w:t>
      </w:r>
      <w:r>
        <w:rPr>
          <w:vertAlign w:val="superscript"/>
        </w:rPr>
        <w:t>3</w:t>
      </w:r>
      <w:r>
        <w:t>、</w:t>
      </w:r>
      <w:r>
        <w:rPr>
          <w:rFonts w:hint="eastAsia"/>
        </w:rPr>
        <w:t>1484</w:t>
      </w:r>
      <w:r>
        <w:t>m</w:t>
      </w:r>
      <w:r>
        <w:rPr>
          <w:vertAlign w:val="superscript"/>
        </w:rPr>
        <w:t>3</w:t>
      </w:r>
      <w:r>
        <w:t>。现状年，多年平均、规划区P=75%频率下</w:t>
      </w:r>
      <w:r>
        <w:rPr>
          <w:rFonts w:hint="eastAsia"/>
        </w:rPr>
        <w:t>缺水率为3.7%、4.3%，</w:t>
      </w:r>
      <w:r>
        <w:t>水资源供需基本平衡</w:t>
      </w:r>
      <w:r>
        <w:rPr>
          <w:rFonts w:hint="eastAsia"/>
        </w:rPr>
        <w:t>；</w:t>
      </w:r>
      <w:r>
        <w:t>P=95%频率</w:t>
      </w:r>
      <w:r>
        <w:rPr>
          <w:rFonts w:hint="eastAsia"/>
        </w:rPr>
        <w:t>下缺水率为21.2%，</w:t>
      </w:r>
      <w:r>
        <w:t>缺水主要为农业灌溉。</w:t>
      </w:r>
    </w:p>
    <w:p>
      <w:pPr>
        <w:pStyle w:val="4"/>
      </w:pPr>
      <w:r>
        <w:t>抚仙湖片区现状保证率多年平均、P=75%、P=95%总供水量为</w:t>
      </w:r>
      <w:r>
        <w:rPr>
          <w:rFonts w:hint="eastAsia"/>
        </w:rPr>
        <w:t>4838</w:t>
      </w:r>
      <w:r>
        <w:t>万m</w:t>
      </w:r>
      <w:r>
        <w:rPr>
          <w:vertAlign w:val="superscript"/>
        </w:rPr>
        <w:t>3</w:t>
      </w:r>
      <w:r>
        <w:t>、</w:t>
      </w:r>
      <w:r>
        <w:rPr>
          <w:rFonts w:hint="eastAsia"/>
        </w:rPr>
        <w:t>4929</w:t>
      </w:r>
      <w:r>
        <w:t>万m</w:t>
      </w:r>
      <w:r>
        <w:rPr>
          <w:vertAlign w:val="superscript"/>
        </w:rPr>
        <w:t>3</w:t>
      </w:r>
      <w:r>
        <w:t>、</w:t>
      </w:r>
      <w:r>
        <w:rPr>
          <w:rFonts w:hint="eastAsia"/>
        </w:rPr>
        <w:t>4543</w:t>
      </w:r>
      <w:r>
        <w:t>万m</w:t>
      </w:r>
      <w:r>
        <w:rPr>
          <w:vertAlign w:val="superscript"/>
        </w:rPr>
        <w:t>3</w:t>
      </w:r>
      <w:r>
        <w:t>；现状保证率多年平均、P=75%、P=95%总需水量为</w:t>
      </w:r>
      <w:r>
        <w:rPr>
          <w:rFonts w:hint="eastAsia"/>
        </w:rPr>
        <w:t>5028</w:t>
      </w:r>
      <w:r>
        <w:t>万m</w:t>
      </w:r>
      <w:r>
        <w:rPr>
          <w:vertAlign w:val="superscript"/>
        </w:rPr>
        <w:t>3</w:t>
      </w:r>
      <w:r>
        <w:t>、</w:t>
      </w:r>
      <w:r>
        <w:rPr>
          <w:rFonts w:hint="eastAsia"/>
        </w:rPr>
        <w:t>5189</w:t>
      </w:r>
      <w:r>
        <w:t>万m</w:t>
      </w:r>
      <w:r>
        <w:rPr>
          <w:vertAlign w:val="superscript"/>
        </w:rPr>
        <w:t>3</w:t>
      </w:r>
      <w:r>
        <w:t>、</w:t>
      </w:r>
      <w:r>
        <w:rPr>
          <w:rFonts w:hint="eastAsia"/>
        </w:rPr>
        <w:t>5893</w:t>
      </w:r>
      <w:r>
        <w:t>万m</w:t>
      </w:r>
      <w:r>
        <w:rPr>
          <w:vertAlign w:val="superscript"/>
        </w:rPr>
        <w:t>3</w:t>
      </w:r>
      <w:r>
        <w:t>；缺水量的分别为</w:t>
      </w:r>
      <w:r>
        <w:rPr>
          <w:rFonts w:hint="eastAsia"/>
        </w:rPr>
        <w:t>190</w:t>
      </w:r>
      <w:r>
        <w:t>万m</w:t>
      </w:r>
      <w:r>
        <w:rPr>
          <w:vertAlign w:val="superscript"/>
        </w:rPr>
        <w:t>3</w:t>
      </w:r>
      <w:r>
        <w:t>、</w:t>
      </w:r>
      <w:r>
        <w:rPr>
          <w:rFonts w:hint="eastAsia"/>
        </w:rPr>
        <w:t>260</w:t>
      </w:r>
      <w:r>
        <w:t>万m</w:t>
      </w:r>
      <w:r>
        <w:rPr>
          <w:vertAlign w:val="superscript"/>
        </w:rPr>
        <w:t>3</w:t>
      </w:r>
      <w:r>
        <w:t>、</w:t>
      </w:r>
      <w:r>
        <w:rPr>
          <w:rFonts w:hint="eastAsia"/>
        </w:rPr>
        <w:t>1350</w:t>
      </w:r>
      <w:r>
        <w:t>万m</w:t>
      </w:r>
      <w:r>
        <w:rPr>
          <w:vertAlign w:val="superscript"/>
        </w:rPr>
        <w:t>3</w:t>
      </w:r>
      <w:r>
        <w:t>。抚仙湖片区缺水主要是农业</w:t>
      </w:r>
      <w:r>
        <w:rPr>
          <w:rFonts w:hint="eastAsia"/>
        </w:rPr>
        <w:t>，</w:t>
      </w:r>
      <w:r>
        <w:t>多年平均、P=75%、P=95%</w:t>
      </w:r>
      <w:r>
        <w:rPr>
          <w:rFonts w:hint="eastAsia"/>
        </w:rPr>
        <w:t>缺水率分别为3.9%、5.3%、22.9%</w:t>
      </w:r>
      <w:r>
        <w:t>。</w:t>
      </w:r>
    </w:p>
    <w:p>
      <w:pPr>
        <w:pStyle w:val="4"/>
      </w:pPr>
      <w:r>
        <w:t>南盘江片区现状保证率多年平均、P=75%、P=95%总供水量为</w:t>
      </w:r>
      <w:r>
        <w:rPr>
          <w:rFonts w:hint="eastAsia"/>
        </w:rPr>
        <w:t>962</w:t>
      </w:r>
      <w:r>
        <w:t>、</w:t>
      </w:r>
      <w:r>
        <w:rPr>
          <w:rFonts w:hint="eastAsia"/>
        </w:rPr>
        <w:t>1009</w:t>
      </w:r>
      <w:r>
        <w:t>万m</w:t>
      </w:r>
      <w:r>
        <w:rPr>
          <w:vertAlign w:val="superscript"/>
        </w:rPr>
        <w:t>3</w:t>
      </w:r>
      <w:r>
        <w:t>、</w:t>
      </w:r>
      <w:r>
        <w:rPr>
          <w:rFonts w:hint="eastAsia"/>
        </w:rPr>
        <w:t>953</w:t>
      </w:r>
      <w:r>
        <w:t>万m</w:t>
      </w:r>
      <w:r>
        <w:rPr>
          <w:vertAlign w:val="superscript"/>
        </w:rPr>
        <w:t>3</w:t>
      </w:r>
      <w:r>
        <w:t>；现状保证率多年平均、P=75%、P=95%总需水量为</w:t>
      </w:r>
      <w:r>
        <w:rPr>
          <w:rFonts w:hint="eastAsia"/>
        </w:rPr>
        <w:t>999</w:t>
      </w:r>
      <w:r>
        <w:t>万m</w:t>
      </w:r>
      <w:r>
        <w:rPr>
          <w:vertAlign w:val="superscript"/>
        </w:rPr>
        <w:t>3</w:t>
      </w:r>
      <w:r>
        <w:t>、</w:t>
      </w:r>
      <w:r>
        <w:rPr>
          <w:rFonts w:hint="eastAsia"/>
        </w:rPr>
        <w:t>1015</w:t>
      </w:r>
      <w:r>
        <w:t>万m</w:t>
      </w:r>
      <w:r>
        <w:rPr>
          <w:vertAlign w:val="superscript"/>
        </w:rPr>
        <w:t>3</w:t>
      </w:r>
      <w:r>
        <w:t>、10</w:t>
      </w:r>
      <w:r>
        <w:rPr>
          <w:rFonts w:hint="eastAsia"/>
        </w:rPr>
        <w:t>87</w:t>
      </w:r>
      <w:r>
        <w:t>万m</w:t>
      </w:r>
      <w:r>
        <w:rPr>
          <w:vertAlign w:val="superscript"/>
        </w:rPr>
        <w:t>3</w:t>
      </w:r>
      <w:r>
        <w:t>；缺水量的分别为</w:t>
      </w:r>
      <w:r>
        <w:rPr>
          <w:rFonts w:hint="eastAsia"/>
        </w:rPr>
        <w:t>37</w:t>
      </w:r>
      <w:r>
        <w:t>万m</w:t>
      </w:r>
      <w:r>
        <w:rPr>
          <w:vertAlign w:val="superscript"/>
        </w:rPr>
        <w:t>3</w:t>
      </w:r>
      <w:r>
        <w:t>、</w:t>
      </w:r>
      <w:r>
        <w:rPr>
          <w:rFonts w:hint="eastAsia"/>
        </w:rPr>
        <w:t>6</w:t>
      </w:r>
      <w:r>
        <w:t>万m</w:t>
      </w:r>
      <w:r>
        <w:rPr>
          <w:vertAlign w:val="superscript"/>
        </w:rPr>
        <w:t>3</w:t>
      </w:r>
      <w:r>
        <w:t>、</w:t>
      </w:r>
      <w:r>
        <w:rPr>
          <w:rFonts w:hint="eastAsia"/>
        </w:rPr>
        <w:t>134</w:t>
      </w:r>
      <w:r>
        <w:t>万m</w:t>
      </w:r>
      <w:r>
        <w:rPr>
          <w:vertAlign w:val="superscript"/>
        </w:rPr>
        <w:t>3</w:t>
      </w:r>
      <w:r>
        <w:t>。南盘江片区缺水主要为农业</w:t>
      </w:r>
      <w:r>
        <w:rPr>
          <w:rFonts w:hint="eastAsia"/>
        </w:rPr>
        <w:t>，</w:t>
      </w:r>
      <w:r>
        <w:t>多年平均、P=75%、P=95%</w:t>
      </w:r>
      <w:r>
        <w:rPr>
          <w:rFonts w:hint="eastAsia"/>
        </w:rPr>
        <w:t>缺水率分别为3.7%、0.5%、12.3%</w:t>
      </w:r>
      <w:r>
        <w:t>。</w:t>
      </w:r>
    </w:p>
    <w:p>
      <w:pPr>
        <w:pStyle w:val="4"/>
      </w:pPr>
      <w:r>
        <w:t>提古片区现状保证率多年平均、P=75%、P=95%总供水量都为30万m</w:t>
      </w:r>
      <w:r>
        <w:rPr>
          <w:vertAlign w:val="superscript"/>
        </w:rPr>
        <w:t>3</w:t>
      </w:r>
      <w:r>
        <w:t>，总需水量为30万m</w:t>
      </w:r>
      <w:r>
        <w:rPr>
          <w:vertAlign w:val="superscript"/>
        </w:rPr>
        <w:t>3</w:t>
      </w:r>
      <w:r>
        <w:t>，供需平衡。规划区供需平衡见下表。</w:t>
      </w:r>
    </w:p>
    <w:p>
      <w:pPr>
        <w:pStyle w:val="4"/>
      </w:pPr>
    </w:p>
    <w:p>
      <w:pPr>
        <w:pStyle w:val="4"/>
        <w:sectPr>
          <w:pgSz w:w="11906" w:h="16838"/>
          <w:pgMar w:top="1440" w:right="1418" w:bottom="1440" w:left="1418" w:header="851" w:footer="851" w:gutter="0"/>
          <w:cols w:space="425" w:num="1"/>
          <w:docGrid w:type="linesAndChars" w:linePitch="312" w:charSpace="0"/>
        </w:sectPr>
      </w:pPr>
    </w:p>
    <w:p>
      <w:pPr>
        <w:pStyle w:val="17"/>
        <w:ind w:firstLine="576"/>
        <w:rPr>
          <w:b/>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表_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规划区现状年供需平衡分析表    单位：万m</w:t>
      </w:r>
      <w:r>
        <w:rPr>
          <w:color w:val="000000" w:themeColor="text1"/>
          <w:vertAlign w:val="superscript"/>
          <w14:textFill>
            <w14:solidFill>
              <w14:schemeClr w14:val="tx1"/>
            </w14:solidFill>
          </w14:textFill>
        </w:rPr>
        <w:t>3</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34"/>
        <w:gridCol w:w="1196"/>
        <w:gridCol w:w="720"/>
        <w:gridCol w:w="720"/>
        <w:gridCol w:w="720"/>
        <w:gridCol w:w="720"/>
        <w:gridCol w:w="726"/>
        <w:gridCol w:w="720"/>
        <w:gridCol w:w="720"/>
        <w:gridCol w:w="720"/>
        <w:gridCol w:w="720"/>
        <w:gridCol w:w="720"/>
        <w:gridCol w:w="737"/>
        <w:gridCol w:w="720"/>
        <w:gridCol w:w="720"/>
        <w:gridCol w:w="720"/>
        <w:gridCol w:w="720"/>
        <w:gridCol w:w="7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单元</w:t>
            </w:r>
          </w:p>
        </w:tc>
        <w:tc>
          <w:tcPr>
            <w:tcW w:w="422"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频率</w:t>
            </w:r>
          </w:p>
        </w:tc>
        <w:tc>
          <w:tcPr>
            <w:tcW w:w="1271" w:type="pct"/>
            <w:gridSpan w:val="5"/>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需水量</w:t>
            </w:r>
          </w:p>
        </w:tc>
        <w:tc>
          <w:tcPr>
            <w:tcW w:w="1530" w:type="pct"/>
            <w:gridSpan w:val="6"/>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供水量</w:t>
            </w:r>
          </w:p>
        </w:tc>
        <w:tc>
          <w:tcPr>
            <w:tcW w:w="1272" w:type="pct"/>
            <w:gridSpan w:val="5"/>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缺水量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vMerge w:val="continue"/>
            <w:vAlign w:val="center"/>
          </w:tcPr>
          <w:p>
            <w:pPr>
              <w:pStyle w:val="85"/>
              <w:rPr>
                <w:rFonts w:cs="Times New Roman"/>
                <w:color w:val="000000" w:themeColor="text1"/>
                <w14:textFill>
                  <w14:solidFill>
                    <w14:schemeClr w14:val="tx1"/>
                  </w14:solidFill>
                </w14:textFill>
              </w:rPr>
            </w:pP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城镇</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农村</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农业</w:t>
            </w:r>
          </w:p>
        </w:tc>
        <w:tc>
          <w:tcPr>
            <w:tcW w:w="256"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蓄水</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引水</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提水</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机井</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中水</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回用</w:t>
            </w:r>
          </w:p>
        </w:tc>
        <w:tc>
          <w:tcPr>
            <w:tcW w:w="259"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城镇</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农村</w:t>
            </w:r>
          </w:p>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w:t>
            </w:r>
          </w:p>
        </w:tc>
        <w:tc>
          <w:tcPr>
            <w:tcW w:w="254"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农业</w:t>
            </w:r>
          </w:p>
        </w:tc>
        <w:tc>
          <w:tcPr>
            <w:tcW w:w="255"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895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296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3837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5028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2605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772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630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410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421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4838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140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190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895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296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3998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5189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2706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700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734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410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379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4929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51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209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260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895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296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4702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5893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2249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686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838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410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360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4543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78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1272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1350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南盘江片区</w:t>
            </w: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65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387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999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453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48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365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95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962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63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37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65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403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1015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487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365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101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1009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8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21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65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476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1087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438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52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365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97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953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112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134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提古片区</w:t>
            </w: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254" w:type="pct"/>
            <w:shd w:val="clear" w:color="auto" w:fill="auto"/>
            <w:noWrap/>
          </w:tcPr>
          <w:p>
            <w:pPr>
              <w:pStyle w:val="85"/>
              <w:rPr>
                <w:rFonts w:cs="Times New Roman"/>
                <w:color w:val="000000" w:themeColor="text1"/>
                <w14:textFill>
                  <w14:solidFill>
                    <w14:schemeClr w14:val="tx1"/>
                  </w14:solidFill>
                </w14:textFill>
              </w:rPr>
            </w:pP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26 </w:t>
            </w:r>
          </w:p>
        </w:tc>
        <w:tc>
          <w:tcPr>
            <w:tcW w:w="254" w:type="pct"/>
            <w:shd w:val="clear" w:color="auto" w:fill="auto"/>
            <w:noWrap/>
          </w:tcPr>
          <w:p>
            <w:pPr>
              <w:pStyle w:val="85"/>
              <w:rPr>
                <w:rFonts w:cs="Times New Roman"/>
                <w:color w:val="000000" w:themeColor="text1"/>
                <w14:textFill>
                  <w14:solidFill>
                    <w14:schemeClr w14:val="tx1"/>
                  </w14:solidFill>
                </w14:textFill>
              </w:rPr>
            </w:pP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27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254" w:type="pct"/>
            <w:shd w:val="clear" w:color="auto" w:fill="auto"/>
            <w:noWrap/>
          </w:tcPr>
          <w:p>
            <w:pPr>
              <w:pStyle w:val="85"/>
              <w:rPr>
                <w:rFonts w:cs="Times New Roman"/>
                <w:color w:val="000000" w:themeColor="text1"/>
                <w14:textFill>
                  <w14:solidFill>
                    <w14:schemeClr w14:val="tx1"/>
                  </w14:solidFill>
                </w14:textFill>
              </w:rPr>
            </w:pP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26 </w:t>
            </w:r>
          </w:p>
        </w:tc>
        <w:tc>
          <w:tcPr>
            <w:tcW w:w="254" w:type="pct"/>
            <w:shd w:val="clear" w:color="auto" w:fill="auto"/>
            <w:noWrap/>
          </w:tcPr>
          <w:p>
            <w:pPr>
              <w:pStyle w:val="85"/>
              <w:rPr>
                <w:rFonts w:cs="Times New Roman"/>
                <w:color w:val="000000" w:themeColor="text1"/>
                <w14:textFill>
                  <w14:solidFill>
                    <w14:schemeClr w14:val="tx1"/>
                  </w14:solidFill>
                </w14:textFill>
              </w:rPr>
            </w:pP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27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254" w:type="pct"/>
            <w:shd w:val="clear" w:color="auto" w:fill="auto"/>
            <w:noWrap/>
          </w:tcPr>
          <w:p>
            <w:pPr>
              <w:pStyle w:val="85"/>
              <w:rPr>
                <w:rFonts w:cs="Times New Roman"/>
                <w:color w:val="000000" w:themeColor="text1"/>
                <w14:textFill>
                  <w14:solidFill>
                    <w14:schemeClr w14:val="tx1"/>
                  </w14:solidFill>
                </w14:textFill>
              </w:rPr>
            </w:pP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26 </w:t>
            </w:r>
          </w:p>
        </w:tc>
        <w:tc>
          <w:tcPr>
            <w:tcW w:w="254" w:type="pct"/>
            <w:shd w:val="clear" w:color="auto" w:fill="auto"/>
            <w:noWrap/>
          </w:tcPr>
          <w:p>
            <w:pPr>
              <w:pStyle w:val="85"/>
              <w:rPr>
                <w:rFonts w:cs="Times New Roman"/>
                <w:color w:val="000000" w:themeColor="text1"/>
                <w14:textFill>
                  <w14:solidFill>
                    <w14:schemeClr w14:val="tx1"/>
                  </w14:solidFill>
                </w14:textFill>
              </w:rPr>
            </w:pP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27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30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restar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多年平均</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911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366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556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4224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6056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3085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823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995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505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422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5829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60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203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227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P=75%</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911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366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556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4401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6233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3219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758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1099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511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380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5967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59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230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266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06" w:type="pct"/>
            <w:vMerge w:val="continue"/>
            <w:vAlign w:val="center"/>
          </w:tcPr>
          <w:p>
            <w:pPr>
              <w:pStyle w:val="85"/>
              <w:rPr>
                <w:rFonts w:cs="Times New Roman"/>
                <w:color w:val="000000" w:themeColor="text1"/>
                <w14:textFill>
                  <w14:solidFill>
                    <w14:schemeClr w14:val="tx1"/>
                  </w14:solidFill>
                </w14:textFill>
              </w:rPr>
            </w:pPr>
          </w:p>
        </w:tc>
        <w:tc>
          <w:tcPr>
            <w:tcW w:w="422" w:type="pct"/>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P=95%</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911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366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556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5177 </w:t>
            </w:r>
          </w:p>
        </w:tc>
        <w:tc>
          <w:tcPr>
            <w:tcW w:w="256" w:type="pct"/>
            <w:shd w:val="clear" w:color="auto" w:fill="auto"/>
            <w:noWrap/>
          </w:tcPr>
          <w:p>
            <w:pPr>
              <w:pStyle w:val="85"/>
              <w:rPr>
                <w:rFonts w:cs="Times New Roman"/>
                <w:color w:val="000000" w:themeColor="text1"/>
                <w14:textFill>
                  <w14:solidFill>
                    <w14:schemeClr w14:val="tx1"/>
                  </w14:solidFill>
                </w14:textFill>
              </w:rPr>
            </w:pPr>
            <w:r>
              <w:t xml:space="preserve">7010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2714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741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1203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507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361 </w:t>
            </w:r>
          </w:p>
        </w:tc>
        <w:tc>
          <w:tcPr>
            <w:tcW w:w="259" w:type="pct"/>
            <w:shd w:val="clear" w:color="auto" w:fill="auto"/>
            <w:noWrap/>
          </w:tcPr>
          <w:p>
            <w:pPr>
              <w:pStyle w:val="85"/>
              <w:rPr>
                <w:rFonts w:cs="Times New Roman"/>
                <w:color w:val="000000" w:themeColor="text1"/>
                <w14:textFill>
                  <w14:solidFill>
                    <w14:schemeClr w14:val="tx1"/>
                  </w14:solidFill>
                </w14:textFill>
              </w:rPr>
            </w:pPr>
            <w:r>
              <w:t xml:space="preserve">5525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93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0 </w:t>
            </w:r>
          </w:p>
        </w:tc>
        <w:tc>
          <w:tcPr>
            <w:tcW w:w="254" w:type="pct"/>
            <w:shd w:val="clear" w:color="auto" w:fill="auto"/>
            <w:noWrap/>
          </w:tcPr>
          <w:p>
            <w:pPr>
              <w:pStyle w:val="85"/>
              <w:rPr>
                <w:rFonts w:cs="Times New Roman"/>
                <w:color w:val="000000" w:themeColor="text1"/>
                <w14:textFill>
                  <w14:solidFill>
                    <w14:schemeClr w14:val="tx1"/>
                  </w14:solidFill>
                </w14:textFill>
              </w:rPr>
            </w:pPr>
            <w:r>
              <w:t xml:space="preserve">1384 </w:t>
            </w:r>
          </w:p>
        </w:tc>
        <w:tc>
          <w:tcPr>
            <w:tcW w:w="255" w:type="pct"/>
            <w:shd w:val="clear" w:color="auto" w:fill="auto"/>
            <w:noWrap/>
          </w:tcPr>
          <w:p>
            <w:pPr>
              <w:pStyle w:val="85"/>
              <w:rPr>
                <w:rFonts w:cs="Times New Roman"/>
                <w:color w:val="000000" w:themeColor="text1"/>
                <w14:textFill>
                  <w14:solidFill>
                    <w14:schemeClr w14:val="tx1"/>
                  </w14:solidFill>
                </w14:textFill>
              </w:rPr>
            </w:pPr>
            <w:r>
              <w:t xml:space="preserve">1484 </w:t>
            </w:r>
          </w:p>
        </w:tc>
      </w:tr>
    </w:tbl>
    <w:p>
      <w:pPr>
        <w:pStyle w:val="4"/>
        <w:sectPr>
          <w:pgSz w:w="16838" w:h="11906" w:orient="landscape"/>
          <w:pgMar w:top="1418" w:right="1440" w:bottom="1418" w:left="1440" w:header="851" w:footer="851" w:gutter="0"/>
          <w:cols w:space="425" w:num="1"/>
          <w:docGrid w:type="linesAndChars" w:linePitch="326" w:charSpace="0"/>
        </w:sectPr>
      </w:pPr>
    </w:p>
    <w:p>
      <w:pPr>
        <w:pStyle w:val="6"/>
      </w:pPr>
      <w:bookmarkStart w:id="98" w:name="_Toc105257969"/>
      <w:r>
        <w:t>水资源配置利用方案</w:t>
      </w:r>
      <w:bookmarkEnd w:id="98"/>
    </w:p>
    <w:p>
      <w:pPr>
        <w:pStyle w:val="7"/>
      </w:pPr>
      <w:bookmarkStart w:id="99" w:name="_Toc105257970"/>
      <w:r>
        <w:t>抚仙湖片区</w:t>
      </w:r>
      <w:bookmarkEnd w:id="99"/>
    </w:p>
    <w:p>
      <w:pPr>
        <w:pStyle w:val="4"/>
      </w:pPr>
      <w:r>
        <w:t>抚仙湖片区水资源配置以保护抚仙湖为首要任务，重点是节水减排和外流域调水置换本区域清洁水入湖，</w:t>
      </w:r>
      <w:r>
        <w:rPr>
          <w:rFonts w:hint="eastAsia"/>
        </w:rPr>
        <w:t>规划水平年，取用水户原则上不再从抚仙湖内直接取水，</w:t>
      </w:r>
      <w:r>
        <w:t>水资源配置措施中多为外流域调水和中水回用工程。同时，水资源配置方案中均要考虑城市再生水利用、农业退水综合利用、城乡统筹供水等措施。</w:t>
      </w:r>
    </w:p>
    <w:p>
      <w:pPr>
        <w:pStyle w:val="4"/>
      </w:pPr>
      <w:r>
        <w:t>（1）城镇生活</w:t>
      </w:r>
    </w:p>
    <w:p>
      <w:pPr>
        <w:pStyle w:val="4"/>
      </w:pPr>
      <w:r>
        <w:t>现状年城镇生活供水主要有两种，一种为水厂供水，即由澄江市第二水厂、澄江市第二水厂扩建工程、抚仙湖东岸自来水厂供水，另一种是集镇供水和自行供水。至规划年，城镇生活供水全部由水厂供水，来源为滇中引水，即由澄江市第二水厂、澄江市第二水厂扩建工程、抚仙湖东岸自来水厂、路居自来水厂（滇中引水）进行供水。城镇生活中的生态环境用水充分利用污水处理厂处理的中水。</w:t>
      </w:r>
    </w:p>
    <w:p>
      <w:pPr>
        <w:pStyle w:val="4"/>
      </w:pPr>
      <w:r>
        <w:t>（2）农村生活用水</w:t>
      </w:r>
    </w:p>
    <w:p>
      <w:pPr>
        <w:pStyle w:val="4"/>
      </w:pPr>
      <w:r>
        <w:t>现状年农村生活供水主要有两种，一种为水厂供水，即由澄江市第二水厂扩建工程、抚仙湖东岸自来水厂供水，另一种是集镇供水和自行供水。至规划年，水厂覆盖范围内农村生活供水全部由水厂供水，即由澄江市第二水厂、澄江市第二水厂扩建工程、抚仙湖东岸自来水厂、甸垛自来水厂（甸垛龙潭调水工程）、路居自来水厂（大龙潭调水工程）进行供水，水厂难以覆盖的范围保持原自行供水方式不变。</w:t>
      </w:r>
    </w:p>
    <w:p>
      <w:pPr>
        <w:pStyle w:val="4"/>
      </w:pPr>
      <w:r>
        <w:t>（3）农业用水</w:t>
      </w:r>
    </w:p>
    <w:p>
      <w:pPr>
        <w:pStyle w:val="4"/>
      </w:pPr>
      <w:r>
        <w:t>现状水平年，该片区北部农田灌溉供水工程主要为梁王河、东大河等水库、坝塘，北岸调蓄带供水一部分，南岸片区主要为上坝龙潭、席草田水库和抚仙湖提水。规划水平年，区域北部加大调蓄带及污水处理厂的回用水量，减少梁王河、东大河等水库供水量，水库多余水量作为抚仙湖的生态水量；南部区域全部取缔抚仙湖提水工程，先用污水处理厂尾水，不足时大龙潭调水工程、水库补充。</w:t>
      </w:r>
    </w:p>
    <w:p>
      <w:pPr>
        <w:pStyle w:val="4"/>
      </w:pPr>
      <w:r>
        <w:rPr>
          <w:rFonts w:hint="eastAsia"/>
        </w:rPr>
        <w:t>（4）生态用水</w:t>
      </w:r>
    </w:p>
    <w:p>
      <w:pPr>
        <w:pStyle w:val="4"/>
        <w:rPr>
          <w:rFonts w:hint="eastAsia"/>
        </w:rPr>
      </w:pPr>
      <w:r>
        <w:rPr>
          <w:rFonts w:hint="eastAsia"/>
        </w:rPr>
        <w:t>现状水平年，为了保障生产生活用水需求，现状水利工程未考虑生态补水抚仙湖；到规划水平年，流域内西龙潭、上坝龙潭以及东大河水库、西大河水库、山冲河水库等供水范围被滇中引水工程代替，多余水量作为生态补水下泄至抚仙湖。</w:t>
      </w:r>
    </w:p>
    <w:p>
      <w:pPr>
        <w:pStyle w:val="7"/>
      </w:pPr>
      <w:bookmarkStart w:id="100" w:name="_Toc105257971"/>
      <w:r>
        <w:t>南盘江片区</w:t>
      </w:r>
      <w:bookmarkEnd w:id="100"/>
    </w:p>
    <w:p>
      <w:pPr>
        <w:pStyle w:val="4"/>
      </w:pPr>
      <w:r>
        <w:t>（1）城镇生活用水</w:t>
      </w:r>
    </w:p>
    <w:p>
      <w:pPr>
        <w:pStyle w:val="4"/>
      </w:pPr>
      <w:r>
        <w:t>现状水平年，城镇生活供水主要为集镇供水和自行供水。至规划年，城镇生活供水全部由甸垛自来水厂（甸垛龙潭调水工程）进行供水。</w:t>
      </w:r>
    </w:p>
    <w:p>
      <w:pPr>
        <w:pStyle w:val="4"/>
      </w:pPr>
      <w:r>
        <w:t>（2）农村生活用水</w:t>
      </w:r>
    </w:p>
    <w:p>
      <w:pPr>
        <w:pStyle w:val="4"/>
      </w:pPr>
      <w:r>
        <w:t>现状水平年，农村生活供水主要为集镇供水和自行供水。至规划年，甸垛自来水厂（甸垛龙潭调水工程）覆盖区域内，农村生活供水由甸垛自来水厂（甸垛龙潭调水工程）进行供水，水厂覆盖范围外的区域保持原自行供水方式不变。</w:t>
      </w:r>
    </w:p>
    <w:p>
      <w:pPr>
        <w:pStyle w:val="4"/>
      </w:pPr>
      <w:r>
        <w:t>（3）农田灌溉用水</w:t>
      </w:r>
    </w:p>
    <w:p>
      <w:pPr>
        <w:pStyle w:val="4"/>
      </w:pPr>
      <w:r>
        <w:t>现状水平年，该片区农田灌溉主要水源为鸡脖子等水库、坝塘；规划水平年，农田灌溉与现状保持一致。</w:t>
      </w:r>
    </w:p>
    <w:p>
      <w:pPr>
        <w:pStyle w:val="4"/>
      </w:pPr>
      <w:r>
        <w:t>（4）工业用水</w:t>
      </w:r>
    </w:p>
    <w:p>
      <w:pPr>
        <w:pStyle w:val="4"/>
      </w:pPr>
      <w:r>
        <w:t>现状水平年，南盘江片区工业用水主要分两部分，九村工业园区供水主要有东溪哨供水有限公司（抚仙湖取水）、抚仙湖东岸自来水厂、干海子小坝塘水源、黑土地水源点、路溪勺水库、地下井等水多水源，至规划年，东溪哨工业园区供水水源变为滇中引水，新规划的牛场工业园区水源为鸡脖子水库和冷水龙潭。</w:t>
      </w:r>
    </w:p>
    <w:p>
      <w:pPr>
        <w:pStyle w:val="7"/>
      </w:pPr>
      <w:r>
        <w:t>提古片区</w:t>
      </w:r>
    </w:p>
    <w:p>
      <w:pPr>
        <w:pStyle w:val="4"/>
      </w:pPr>
      <w:r>
        <w:t>（1）农村生活用水</w:t>
      </w:r>
    </w:p>
    <w:p>
      <w:pPr>
        <w:pStyle w:val="4"/>
      </w:pPr>
      <w:r>
        <w:t>现状水平年农村生活供水为澄江市第二水厂扩建工程进行供水；至规划年，供水方式保持现状不变，水源变为滇中引水。</w:t>
      </w:r>
    </w:p>
    <w:p>
      <w:pPr>
        <w:pStyle w:val="4"/>
      </w:pPr>
      <w:r>
        <w:t>（2）工业用水</w:t>
      </w:r>
    </w:p>
    <w:p>
      <w:pPr>
        <w:pStyle w:val="4"/>
      </w:pPr>
      <w:r>
        <w:t>现状水平年工业用水为澄江市第二水厂扩建工程进行供水，至规划年，工业用水供水方式保持现状不变，水源变为滇中引水。</w:t>
      </w:r>
    </w:p>
    <w:p>
      <w:pPr>
        <w:pStyle w:val="6"/>
      </w:pPr>
      <w:bookmarkStart w:id="101" w:name="_Toc105257973"/>
      <w:r>
        <w:t>规划年水资源供需分析</w:t>
      </w:r>
      <w:bookmarkEnd w:id="101"/>
    </w:p>
    <w:p>
      <w:pPr>
        <w:pStyle w:val="4"/>
      </w:pPr>
      <w:r>
        <w:t>全市范围内规划水平年保证率多年平均、P=75%、P=95%总供水量为</w:t>
      </w:r>
      <w:r>
        <w:rPr>
          <w:rFonts w:hint="eastAsia"/>
        </w:rPr>
        <w:t>8481</w:t>
      </w:r>
      <w:r>
        <w:t>万m</w:t>
      </w:r>
      <w:r>
        <w:rPr>
          <w:vertAlign w:val="superscript"/>
        </w:rPr>
        <w:t>3</w:t>
      </w:r>
      <w:r>
        <w:t>、</w:t>
      </w:r>
      <w:r>
        <w:rPr>
          <w:rFonts w:hint="eastAsia"/>
        </w:rPr>
        <w:t>8602</w:t>
      </w:r>
      <w:r>
        <w:t>万m</w:t>
      </w:r>
      <w:r>
        <w:rPr>
          <w:vertAlign w:val="superscript"/>
        </w:rPr>
        <w:t>3</w:t>
      </w:r>
      <w:r>
        <w:t>、</w:t>
      </w:r>
      <w:r>
        <w:rPr>
          <w:rFonts w:hint="eastAsia"/>
        </w:rPr>
        <w:t>8604</w:t>
      </w:r>
      <w:r>
        <w:t>万m</w:t>
      </w:r>
      <w:r>
        <w:rPr>
          <w:vertAlign w:val="superscript"/>
        </w:rPr>
        <w:t>3</w:t>
      </w:r>
      <w:r>
        <w:t>；总需水量为</w:t>
      </w:r>
      <w:r>
        <w:rPr>
          <w:rFonts w:hint="eastAsia"/>
        </w:rPr>
        <w:t>8516</w:t>
      </w:r>
      <w:r>
        <w:t>万m</w:t>
      </w:r>
      <w:r>
        <w:rPr>
          <w:vertAlign w:val="superscript"/>
        </w:rPr>
        <w:t>3</w:t>
      </w:r>
      <w:r>
        <w:t>、</w:t>
      </w:r>
      <w:r>
        <w:rPr>
          <w:rFonts w:hint="eastAsia"/>
        </w:rPr>
        <w:t>8667</w:t>
      </w:r>
      <w:r>
        <w:t>万m</w:t>
      </w:r>
      <w:r>
        <w:rPr>
          <w:vertAlign w:val="superscript"/>
        </w:rPr>
        <w:t>3</w:t>
      </w:r>
      <w:r>
        <w:t>、</w:t>
      </w:r>
      <w:r>
        <w:rPr>
          <w:rFonts w:hint="eastAsia"/>
        </w:rPr>
        <w:t>9296</w:t>
      </w:r>
      <w:r>
        <w:t>万m</w:t>
      </w:r>
      <w:r>
        <w:rPr>
          <w:vertAlign w:val="superscript"/>
        </w:rPr>
        <w:t>3</w:t>
      </w:r>
      <w:r>
        <w:t>；缺水量的分别为</w:t>
      </w:r>
      <w:r>
        <w:rPr>
          <w:rFonts w:hint="eastAsia"/>
        </w:rPr>
        <w:t>35</w:t>
      </w:r>
      <w:r>
        <w:t>万m</w:t>
      </w:r>
      <w:r>
        <w:rPr>
          <w:vertAlign w:val="superscript"/>
        </w:rPr>
        <w:t>3</w:t>
      </w:r>
      <w:r>
        <w:t>、</w:t>
      </w:r>
      <w:r>
        <w:rPr>
          <w:rFonts w:hint="eastAsia"/>
        </w:rPr>
        <w:t>65</w:t>
      </w:r>
      <w:r>
        <w:t>万m</w:t>
      </w:r>
      <w:r>
        <w:rPr>
          <w:vertAlign w:val="superscript"/>
        </w:rPr>
        <w:t>3</w:t>
      </w:r>
      <w:r>
        <w:t>、</w:t>
      </w:r>
      <w:r>
        <w:rPr>
          <w:rFonts w:hint="eastAsia"/>
        </w:rPr>
        <w:t>692</w:t>
      </w:r>
      <w:r>
        <w:t>万m</w:t>
      </w:r>
      <w:r>
        <w:rPr>
          <w:vertAlign w:val="superscript"/>
        </w:rPr>
        <w:t>3</w:t>
      </w:r>
      <w:r>
        <w:t>。规划年，规划区多年平均、P=75%频率下水资源供需基本平衡。</w:t>
      </w:r>
    </w:p>
    <w:p>
      <w:pPr>
        <w:pStyle w:val="4"/>
      </w:pPr>
      <w:r>
        <w:t>抚仙湖片区规划水平年保证率多年平均、P=75%、P=95%总供水量为</w:t>
      </w:r>
      <w:r>
        <w:rPr>
          <w:rFonts w:hint="eastAsia"/>
        </w:rPr>
        <w:t>6675</w:t>
      </w:r>
      <w:r>
        <w:t>万m</w:t>
      </w:r>
      <w:r>
        <w:rPr>
          <w:vertAlign w:val="superscript"/>
        </w:rPr>
        <w:t>3</w:t>
      </w:r>
      <w:r>
        <w:t>、</w:t>
      </w:r>
      <w:r>
        <w:rPr>
          <w:rFonts w:hint="eastAsia"/>
        </w:rPr>
        <w:t>6789</w:t>
      </w:r>
      <w:r>
        <w:t>万m</w:t>
      </w:r>
      <w:r>
        <w:rPr>
          <w:vertAlign w:val="superscript"/>
        </w:rPr>
        <w:t>3</w:t>
      </w:r>
      <w:r>
        <w:t>、</w:t>
      </w:r>
      <w:r>
        <w:rPr>
          <w:rFonts w:hint="eastAsia"/>
        </w:rPr>
        <w:t>6896</w:t>
      </w:r>
      <w:r>
        <w:t>万m</w:t>
      </w:r>
      <w:r>
        <w:rPr>
          <w:vertAlign w:val="superscript"/>
        </w:rPr>
        <w:t>3</w:t>
      </w:r>
      <w:r>
        <w:t>；总需水量为</w:t>
      </w:r>
      <w:r>
        <w:rPr>
          <w:rFonts w:hint="eastAsia"/>
        </w:rPr>
        <w:t>6683</w:t>
      </w:r>
      <w:r>
        <w:t>万m</w:t>
      </w:r>
      <w:r>
        <w:rPr>
          <w:vertAlign w:val="superscript"/>
        </w:rPr>
        <w:t>3</w:t>
      </w:r>
      <w:r>
        <w:t>、</w:t>
      </w:r>
      <w:r>
        <w:rPr>
          <w:rFonts w:hint="eastAsia"/>
        </w:rPr>
        <w:t>6789</w:t>
      </w:r>
      <w:r>
        <w:t>万m</w:t>
      </w:r>
      <w:r>
        <w:rPr>
          <w:vertAlign w:val="superscript"/>
        </w:rPr>
        <w:t>3</w:t>
      </w:r>
      <w:r>
        <w:t>、</w:t>
      </w:r>
      <w:r>
        <w:rPr>
          <w:rFonts w:hint="eastAsia"/>
        </w:rPr>
        <w:t>7226</w:t>
      </w:r>
      <w:r>
        <w:t>万m</w:t>
      </w:r>
      <w:r>
        <w:rPr>
          <w:vertAlign w:val="superscript"/>
        </w:rPr>
        <w:t>3</w:t>
      </w:r>
      <w:r>
        <w:t>；缺水量的分别为</w:t>
      </w:r>
      <w:r>
        <w:rPr>
          <w:rFonts w:hint="eastAsia"/>
        </w:rPr>
        <w:t>8</w:t>
      </w:r>
      <w:r>
        <w:t>万m</w:t>
      </w:r>
      <w:r>
        <w:rPr>
          <w:vertAlign w:val="superscript"/>
        </w:rPr>
        <w:t>3</w:t>
      </w:r>
      <w:r>
        <w:t>、0万m</w:t>
      </w:r>
      <w:r>
        <w:rPr>
          <w:vertAlign w:val="superscript"/>
        </w:rPr>
        <w:t>3</w:t>
      </w:r>
      <w:r>
        <w:t>、</w:t>
      </w:r>
      <w:r>
        <w:rPr>
          <w:rFonts w:hint="eastAsia"/>
        </w:rPr>
        <w:t>330</w:t>
      </w:r>
      <w:r>
        <w:t>万m</w:t>
      </w:r>
      <w:r>
        <w:rPr>
          <w:vertAlign w:val="superscript"/>
        </w:rPr>
        <w:t>3</w:t>
      </w:r>
      <w:r>
        <w:t>。抚仙湖片区多年平均、P=75%频率下供需基本平衡。</w:t>
      </w:r>
    </w:p>
    <w:p>
      <w:pPr>
        <w:pStyle w:val="4"/>
      </w:pPr>
      <w:r>
        <w:t>南盘江片区规划水平年保证率多年平均、P=75%、P=95%总供水量为</w:t>
      </w:r>
      <w:r>
        <w:rPr>
          <w:rFonts w:hint="eastAsia"/>
        </w:rPr>
        <w:t>1774</w:t>
      </w:r>
      <w:r>
        <w:t>万m</w:t>
      </w:r>
      <w:r>
        <w:rPr>
          <w:vertAlign w:val="superscript"/>
        </w:rPr>
        <w:t>3</w:t>
      </w:r>
      <w:r>
        <w:t>、</w:t>
      </w:r>
      <w:r>
        <w:rPr>
          <w:rFonts w:hint="eastAsia"/>
        </w:rPr>
        <w:t>1761</w:t>
      </w:r>
      <w:r>
        <w:t>万m</w:t>
      </w:r>
      <w:r>
        <w:rPr>
          <w:vertAlign w:val="superscript"/>
        </w:rPr>
        <w:t>3</w:t>
      </w:r>
      <w:r>
        <w:t>、</w:t>
      </w:r>
      <w:r>
        <w:rPr>
          <w:rFonts w:hint="eastAsia"/>
        </w:rPr>
        <w:t>1656</w:t>
      </w:r>
      <w:r>
        <w:t>万m</w:t>
      </w:r>
      <w:r>
        <w:rPr>
          <w:vertAlign w:val="superscript"/>
        </w:rPr>
        <w:t>3</w:t>
      </w:r>
      <w:r>
        <w:t>；总需水量为</w:t>
      </w:r>
      <w:r>
        <w:rPr>
          <w:rFonts w:hint="eastAsia"/>
        </w:rPr>
        <w:t>1781</w:t>
      </w:r>
      <w:r>
        <w:t>万m</w:t>
      </w:r>
      <w:r>
        <w:rPr>
          <w:vertAlign w:val="superscript"/>
        </w:rPr>
        <w:t>3</w:t>
      </w:r>
      <w:r>
        <w:t>、</w:t>
      </w:r>
      <w:r>
        <w:rPr>
          <w:rFonts w:hint="eastAsia"/>
        </w:rPr>
        <w:t>1826</w:t>
      </w:r>
      <w:r>
        <w:t>万m</w:t>
      </w:r>
      <w:r>
        <w:rPr>
          <w:vertAlign w:val="superscript"/>
        </w:rPr>
        <w:t>3</w:t>
      </w:r>
      <w:r>
        <w:t>、</w:t>
      </w:r>
      <w:r>
        <w:rPr>
          <w:rFonts w:hint="eastAsia"/>
        </w:rPr>
        <w:t>2018</w:t>
      </w:r>
      <w:r>
        <w:t>万m</w:t>
      </w:r>
      <w:r>
        <w:rPr>
          <w:vertAlign w:val="superscript"/>
        </w:rPr>
        <w:t>3</w:t>
      </w:r>
      <w:r>
        <w:t>；缺水量的分别为</w:t>
      </w:r>
      <w:r>
        <w:rPr>
          <w:rFonts w:hint="eastAsia"/>
        </w:rPr>
        <w:t>7</w:t>
      </w:r>
      <w:r>
        <w:t>万m</w:t>
      </w:r>
      <w:r>
        <w:rPr>
          <w:vertAlign w:val="superscript"/>
        </w:rPr>
        <w:t>3</w:t>
      </w:r>
      <w:r>
        <w:t>、</w:t>
      </w:r>
      <w:r>
        <w:rPr>
          <w:rFonts w:hint="eastAsia"/>
        </w:rPr>
        <w:t>65</w:t>
      </w:r>
      <w:r>
        <w:t>万m</w:t>
      </w:r>
      <w:r>
        <w:rPr>
          <w:vertAlign w:val="superscript"/>
        </w:rPr>
        <w:t>3</w:t>
      </w:r>
      <w:r>
        <w:t>、</w:t>
      </w:r>
      <w:r>
        <w:rPr>
          <w:rFonts w:hint="eastAsia"/>
        </w:rPr>
        <w:t>362</w:t>
      </w:r>
      <w:r>
        <w:t>万m</w:t>
      </w:r>
      <w:r>
        <w:rPr>
          <w:vertAlign w:val="superscript"/>
        </w:rPr>
        <w:t>3</w:t>
      </w:r>
      <w:r>
        <w:t>。南盘江片区供需基本平衡。</w:t>
      </w:r>
    </w:p>
    <w:p>
      <w:pPr>
        <w:pStyle w:val="4"/>
      </w:pPr>
      <w:r>
        <w:t>提古片区规划水平年保证率多年平均、P=75%、P=95%总供水量都为52万m</w:t>
      </w:r>
      <w:r>
        <w:rPr>
          <w:vertAlign w:val="superscript"/>
        </w:rPr>
        <w:t>3</w:t>
      </w:r>
      <w:r>
        <w:t>，总需水量为52万m</w:t>
      </w:r>
      <w:r>
        <w:rPr>
          <w:vertAlign w:val="superscript"/>
        </w:rPr>
        <w:t>3</w:t>
      </w:r>
      <w:r>
        <w:t>，供需平衡。规划区供需平衡见下表。</w:t>
      </w:r>
    </w:p>
    <w:p>
      <w:pPr>
        <w:pStyle w:val="4"/>
      </w:pPr>
    </w:p>
    <w:p>
      <w:pPr>
        <w:pStyle w:val="4"/>
      </w:pPr>
    </w:p>
    <w:p>
      <w:pPr>
        <w:pStyle w:val="4"/>
        <w:sectPr>
          <w:pgSz w:w="11906" w:h="16838"/>
          <w:pgMar w:top="1440" w:right="1418" w:bottom="1440" w:left="1418" w:header="851" w:footer="851" w:gutter="0"/>
          <w:cols w:space="425" w:num="1"/>
          <w:docGrid w:type="linesAndChars" w:linePitch="312" w:charSpace="0"/>
        </w:sectPr>
      </w:pPr>
    </w:p>
    <w:p>
      <w:pPr>
        <w:pStyle w:val="17"/>
        <w:ind w:firstLine="576"/>
        <w:rPr>
          <w:b/>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表_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规划区规划水平年供需分析表    单位：万m</w:t>
      </w:r>
      <w:r>
        <w:rPr>
          <w:color w:val="000000" w:themeColor="text1"/>
          <w:vertAlign w:val="superscript"/>
          <w14:textFill>
            <w14:solidFill>
              <w14:schemeClr w14:val="tx1"/>
            </w14:solidFill>
          </w14:textFill>
        </w:rPr>
        <w:t>3</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8"/>
        <w:gridCol w:w="1138"/>
        <w:gridCol w:w="1314"/>
        <w:gridCol w:w="1314"/>
        <w:gridCol w:w="683"/>
        <w:gridCol w:w="705"/>
        <w:gridCol w:w="1297"/>
        <w:gridCol w:w="708"/>
        <w:gridCol w:w="887"/>
        <w:gridCol w:w="845"/>
        <w:gridCol w:w="845"/>
        <w:gridCol w:w="890"/>
        <w:gridCol w:w="1325"/>
        <w:gridCol w:w="887"/>
        <w:gridCol w:w="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481" w:type="pct"/>
            <w:vMerge w:val="restart"/>
            <w:shd w:val="clear" w:color="auto" w:fill="auto"/>
            <w:noWrap/>
            <w:vAlign w:val="center"/>
          </w:tcPr>
          <w:p>
            <w:pPr>
              <w:pStyle w:val="85"/>
            </w:pPr>
            <w:r>
              <w:rPr>
                <w:rFonts w:hint="eastAsia"/>
              </w:rPr>
              <w:t>单元</w:t>
            </w:r>
          </w:p>
        </w:tc>
        <w:tc>
          <w:tcPr>
            <w:tcW w:w="400" w:type="pct"/>
            <w:vMerge w:val="restart"/>
            <w:shd w:val="clear" w:color="auto" w:fill="auto"/>
            <w:noWrap/>
            <w:vAlign w:val="center"/>
          </w:tcPr>
          <w:p>
            <w:pPr>
              <w:pStyle w:val="85"/>
              <w:rPr>
                <w:rFonts w:hint="eastAsia"/>
              </w:rPr>
            </w:pPr>
            <w:r>
              <w:rPr>
                <w:rFonts w:hint="eastAsia"/>
              </w:rPr>
              <w:t>频率</w:t>
            </w:r>
          </w:p>
        </w:tc>
        <w:tc>
          <w:tcPr>
            <w:tcW w:w="2117" w:type="pct"/>
            <w:gridSpan w:val="6"/>
            <w:shd w:val="clear" w:color="auto" w:fill="auto"/>
            <w:noWrap/>
            <w:vAlign w:val="center"/>
          </w:tcPr>
          <w:p>
            <w:pPr>
              <w:pStyle w:val="85"/>
              <w:rPr>
                <w:rFonts w:hint="eastAsia"/>
              </w:rPr>
            </w:pPr>
            <w:r>
              <w:rPr>
                <w:rFonts w:hint="eastAsia"/>
              </w:rPr>
              <w:t>需水量</w:t>
            </w:r>
          </w:p>
        </w:tc>
        <w:tc>
          <w:tcPr>
            <w:tcW w:w="2001" w:type="pct"/>
            <w:gridSpan w:val="7"/>
            <w:shd w:val="clear" w:color="auto" w:fill="auto"/>
            <w:noWrap/>
            <w:vAlign w:val="center"/>
          </w:tcPr>
          <w:p>
            <w:pPr>
              <w:pStyle w:val="85"/>
              <w:rPr>
                <w:rFonts w:hint="eastAsia"/>
              </w:rPr>
            </w:pPr>
            <w:r>
              <w:rPr>
                <w:rFonts w:hint="eastAsia"/>
              </w:rPr>
              <w:t>供水量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vMerge w:val="continue"/>
            <w:vAlign w:val="center"/>
          </w:tcPr>
          <w:p>
            <w:pPr>
              <w:pStyle w:val="85"/>
            </w:pPr>
          </w:p>
        </w:tc>
        <w:tc>
          <w:tcPr>
            <w:tcW w:w="462" w:type="pct"/>
            <w:shd w:val="clear" w:color="auto" w:fill="auto"/>
            <w:noWrap/>
            <w:vAlign w:val="center"/>
          </w:tcPr>
          <w:p>
            <w:pPr>
              <w:pStyle w:val="85"/>
              <w:rPr>
                <w:rFonts w:hint="eastAsia"/>
              </w:rPr>
            </w:pPr>
            <w:r>
              <w:rPr>
                <w:rFonts w:hint="eastAsia"/>
              </w:rPr>
              <w:t>城镇生活</w:t>
            </w:r>
          </w:p>
        </w:tc>
        <w:tc>
          <w:tcPr>
            <w:tcW w:w="462" w:type="pct"/>
            <w:shd w:val="clear" w:color="auto" w:fill="auto"/>
            <w:noWrap/>
            <w:vAlign w:val="center"/>
          </w:tcPr>
          <w:p>
            <w:pPr>
              <w:pStyle w:val="85"/>
              <w:rPr>
                <w:rFonts w:hint="eastAsia"/>
              </w:rPr>
            </w:pPr>
            <w:r>
              <w:rPr>
                <w:rFonts w:hint="eastAsia"/>
              </w:rPr>
              <w:t>农村生活</w:t>
            </w:r>
          </w:p>
        </w:tc>
        <w:tc>
          <w:tcPr>
            <w:tcW w:w="240" w:type="pct"/>
            <w:shd w:val="clear" w:color="auto" w:fill="auto"/>
            <w:noWrap/>
            <w:vAlign w:val="center"/>
          </w:tcPr>
          <w:p>
            <w:pPr>
              <w:pStyle w:val="85"/>
              <w:rPr>
                <w:rFonts w:hint="eastAsia"/>
              </w:rPr>
            </w:pPr>
            <w:r>
              <w:rPr>
                <w:rFonts w:hint="eastAsia"/>
              </w:rPr>
              <w:t>工业</w:t>
            </w:r>
          </w:p>
        </w:tc>
        <w:tc>
          <w:tcPr>
            <w:tcW w:w="248" w:type="pct"/>
            <w:shd w:val="clear" w:color="auto" w:fill="auto"/>
            <w:noWrap/>
            <w:vAlign w:val="center"/>
          </w:tcPr>
          <w:p>
            <w:pPr>
              <w:pStyle w:val="85"/>
              <w:rPr>
                <w:rFonts w:hint="eastAsia"/>
              </w:rPr>
            </w:pPr>
            <w:r>
              <w:rPr>
                <w:rFonts w:hint="eastAsia"/>
              </w:rPr>
              <w:t>农业</w:t>
            </w:r>
          </w:p>
        </w:tc>
        <w:tc>
          <w:tcPr>
            <w:tcW w:w="456" w:type="pct"/>
            <w:shd w:val="clear" w:color="auto" w:fill="auto"/>
            <w:noWrap/>
            <w:vAlign w:val="center"/>
          </w:tcPr>
          <w:p>
            <w:pPr>
              <w:pStyle w:val="85"/>
              <w:rPr>
                <w:rFonts w:hint="eastAsia"/>
              </w:rPr>
            </w:pPr>
            <w:r>
              <w:rPr>
                <w:rFonts w:hint="eastAsia"/>
              </w:rPr>
              <w:t>生态需水</w:t>
            </w:r>
          </w:p>
        </w:tc>
        <w:tc>
          <w:tcPr>
            <w:tcW w:w="249" w:type="pct"/>
            <w:shd w:val="clear" w:color="auto" w:fill="auto"/>
            <w:noWrap/>
            <w:vAlign w:val="center"/>
          </w:tcPr>
          <w:p>
            <w:pPr>
              <w:pStyle w:val="85"/>
              <w:rPr>
                <w:rFonts w:hint="eastAsia"/>
              </w:rPr>
            </w:pPr>
            <w:r>
              <w:rPr>
                <w:rFonts w:hint="eastAsia"/>
              </w:rPr>
              <w:t>合计</w:t>
            </w:r>
          </w:p>
        </w:tc>
        <w:tc>
          <w:tcPr>
            <w:tcW w:w="312" w:type="pct"/>
            <w:shd w:val="clear" w:color="auto" w:fill="auto"/>
            <w:noWrap/>
            <w:vAlign w:val="center"/>
          </w:tcPr>
          <w:p>
            <w:pPr>
              <w:pStyle w:val="85"/>
              <w:rPr>
                <w:rFonts w:hint="eastAsia"/>
              </w:rPr>
            </w:pPr>
            <w:r>
              <w:rPr>
                <w:rFonts w:hint="eastAsia"/>
              </w:rPr>
              <w:t>蓄水</w:t>
            </w:r>
          </w:p>
        </w:tc>
        <w:tc>
          <w:tcPr>
            <w:tcW w:w="297" w:type="pct"/>
            <w:shd w:val="clear" w:color="auto" w:fill="auto"/>
            <w:noWrap/>
            <w:vAlign w:val="center"/>
          </w:tcPr>
          <w:p>
            <w:pPr>
              <w:pStyle w:val="85"/>
              <w:rPr>
                <w:rFonts w:hint="eastAsia"/>
              </w:rPr>
            </w:pPr>
            <w:r>
              <w:rPr>
                <w:rFonts w:hint="eastAsia"/>
              </w:rPr>
              <w:t>引水</w:t>
            </w:r>
          </w:p>
        </w:tc>
        <w:tc>
          <w:tcPr>
            <w:tcW w:w="297" w:type="pct"/>
            <w:shd w:val="clear" w:color="auto" w:fill="auto"/>
            <w:noWrap/>
            <w:vAlign w:val="center"/>
          </w:tcPr>
          <w:p>
            <w:pPr>
              <w:pStyle w:val="85"/>
              <w:rPr>
                <w:rFonts w:hint="eastAsia"/>
              </w:rPr>
            </w:pPr>
            <w:r>
              <w:rPr>
                <w:rFonts w:hint="eastAsia"/>
              </w:rPr>
              <w:t>提水</w:t>
            </w:r>
          </w:p>
        </w:tc>
        <w:tc>
          <w:tcPr>
            <w:tcW w:w="313" w:type="pct"/>
            <w:shd w:val="clear" w:color="auto" w:fill="auto"/>
            <w:noWrap/>
            <w:vAlign w:val="center"/>
          </w:tcPr>
          <w:p>
            <w:pPr>
              <w:pStyle w:val="85"/>
              <w:rPr>
                <w:rFonts w:hint="eastAsia"/>
              </w:rPr>
            </w:pPr>
            <w:r>
              <w:rPr>
                <w:rFonts w:hint="eastAsia"/>
              </w:rPr>
              <w:t>调水</w:t>
            </w:r>
          </w:p>
        </w:tc>
        <w:tc>
          <w:tcPr>
            <w:tcW w:w="466" w:type="pct"/>
            <w:shd w:val="clear" w:color="auto" w:fill="auto"/>
            <w:noWrap/>
            <w:vAlign w:val="center"/>
          </w:tcPr>
          <w:p>
            <w:pPr>
              <w:pStyle w:val="85"/>
              <w:rPr>
                <w:rFonts w:hint="eastAsia"/>
              </w:rPr>
            </w:pPr>
            <w:r>
              <w:rPr>
                <w:rFonts w:hint="eastAsia"/>
              </w:rPr>
              <w:t>中水回用</w:t>
            </w:r>
          </w:p>
        </w:tc>
        <w:tc>
          <w:tcPr>
            <w:tcW w:w="312" w:type="pct"/>
            <w:shd w:val="clear" w:color="auto" w:fill="auto"/>
            <w:noWrap/>
            <w:vAlign w:val="center"/>
          </w:tcPr>
          <w:p>
            <w:pPr>
              <w:pStyle w:val="85"/>
              <w:rPr>
                <w:rFonts w:hint="eastAsia"/>
              </w:rPr>
            </w:pPr>
            <w:r>
              <w:rPr>
                <w:rFonts w:hint="eastAsia"/>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restart"/>
            <w:shd w:val="clear" w:color="auto" w:fill="auto"/>
            <w:noWrap/>
            <w:vAlign w:val="center"/>
          </w:tcPr>
          <w:p>
            <w:pPr>
              <w:pStyle w:val="85"/>
              <w:rPr>
                <w:rFonts w:hint="eastAsia"/>
              </w:rPr>
            </w:pPr>
            <w:r>
              <w:rPr>
                <w:rFonts w:hint="eastAsia"/>
              </w:rPr>
              <w:t>抚仙湖片区</w:t>
            </w:r>
          </w:p>
        </w:tc>
        <w:tc>
          <w:tcPr>
            <w:tcW w:w="400" w:type="pct"/>
            <w:shd w:val="clear" w:color="auto" w:fill="auto"/>
            <w:noWrap/>
            <w:vAlign w:val="center"/>
          </w:tcPr>
          <w:p>
            <w:pPr>
              <w:pStyle w:val="85"/>
              <w:rPr>
                <w:rFonts w:hint="eastAsia"/>
              </w:rPr>
            </w:pPr>
            <w:r>
              <w:rPr>
                <w:rFonts w:hint="eastAsia"/>
              </w:rPr>
              <w:t>多年平均</w:t>
            </w:r>
          </w:p>
        </w:tc>
        <w:tc>
          <w:tcPr>
            <w:tcW w:w="462" w:type="pct"/>
            <w:shd w:val="clear" w:color="auto" w:fill="auto"/>
            <w:noWrap/>
            <w:vAlign w:val="center"/>
          </w:tcPr>
          <w:p>
            <w:pPr>
              <w:pStyle w:val="85"/>
              <w:rPr>
                <w:rFonts w:hint="eastAsia"/>
              </w:rPr>
            </w:pPr>
            <w:r>
              <w:rPr>
                <w:rFonts w:hint="eastAsia"/>
              </w:rPr>
              <w:t xml:space="preserve">1514 </w:t>
            </w:r>
          </w:p>
        </w:tc>
        <w:tc>
          <w:tcPr>
            <w:tcW w:w="462" w:type="pct"/>
            <w:shd w:val="clear" w:color="auto" w:fill="auto"/>
            <w:noWrap/>
            <w:vAlign w:val="center"/>
          </w:tcPr>
          <w:p>
            <w:pPr>
              <w:pStyle w:val="85"/>
              <w:rPr>
                <w:rFonts w:hint="eastAsia"/>
              </w:rPr>
            </w:pPr>
            <w:r>
              <w:rPr>
                <w:rFonts w:hint="eastAsia"/>
              </w:rPr>
              <w:t xml:space="preserve">203 </w:t>
            </w:r>
          </w:p>
        </w:tc>
        <w:tc>
          <w:tcPr>
            <w:tcW w:w="240" w:type="pct"/>
            <w:shd w:val="clear" w:color="auto" w:fill="auto"/>
            <w:noWrap/>
            <w:vAlign w:val="center"/>
          </w:tcPr>
          <w:p>
            <w:pPr>
              <w:pStyle w:val="85"/>
              <w:rPr>
                <w:rFonts w:hint="eastAsia"/>
              </w:rPr>
            </w:pPr>
            <w:r>
              <w:rPr>
                <w:rFonts w:hint="eastAsia"/>
              </w:rPr>
              <w:t xml:space="preserve">0 </w:t>
            </w:r>
          </w:p>
        </w:tc>
        <w:tc>
          <w:tcPr>
            <w:tcW w:w="248" w:type="pct"/>
            <w:shd w:val="clear" w:color="auto" w:fill="auto"/>
            <w:noWrap/>
            <w:vAlign w:val="center"/>
          </w:tcPr>
          <w:p>
            <w:pPr>
              <w:pStyle w:val="85"/>
              <w:rPr>
                <w:rFonts w:hint="eastAsia"/>
              </w:rPr>
            </w:pPr>
            <w:r>
              <w:rPr>
                <w:rFonts w:hint="eastAsia"/>
              </w:rPr>
              <w:t xml:space="preserve">2516 </w:t>
            </w:r>
          </w:p>
        </w:tc>
        <w:tc>
          <w:tcPr>
            <w:tcW w:w="456" w:type="pct"/>
            <w:shd w:val="clear" w:color="auto" w:fill="auto"/>
            <w:noWrap/>
            <w:vAlign w:val="center"/>
          </w:tcPr>
          <w:p>
            <w:pPr>
              <w:pStyle w:val="85"/>
              <w:rPr>
                <w:rFonts w:hint="eastAsia"/>
              </w:rPr>
            </w:pPr>
            <w:r>
              <w:rPr>
                <w:rFonts w:hint="eastAsia"/>
              </w:rPr>
              <w:t xml:space="preserve">2450 </w:t>
            </w:r>
          </w:p>
        </w:tc>
        <w:tc>
          <w:tcPr>
            <w:tcW w:w="249" w:type="pct"/>
            <w:shd w:val="clear" w:color="auto" w:fill="auto"/>
            <w:noWrap/>
            <w:vAlign w:val="center"/>
          </w:tcPr>
          <w:p>
            <w:pPr>
              <w:pStyle w:val="85"/>
              <w:rPr>
                <w:rFonts w:hint="eastAsia"/>
              </w:rPr>
            </w:pPr>
            <w:r>
              <w:rPr>
                <w:rFonts w:hint="eastAsia"/>
              </w:rPr>
              <w:t xml:space="preserve">6683 </w:t>
            </w:r>
          </w:p>
        </w:tc>
        <w:tc>
          <w:tcPr>
            <w:tcW w:w="312" w:type="pct"/>
            <w:shd w:val="clear" w:color="auto" w:fill="auto"/>
            <w:noWrap/>
            <w:vAlign w:val="center"/>
          </w:tcPr>
          <w:p>
            <w:pPr>
              <w:pStyle w:val="85"/>
              <w:rPr>
                <w:rFonts w:hint="eastAsia"/>
              </w:rPr>
            </w:pPr>
            <w:r>
              <w:rPr>
                <w:rFonts w:hint="eastAsia"/>
              </w:rPr>
              <w:t xml:space="preserve">2520 </w:t>
            </w:r>
          </w:p>
        </w:tc>
        <w:tc>
          <w:tcPr>
            <w:tcW w:w="297" w:type="pct"/>
            <w:shd w:val="clear" w:color="auto" w:fill="auto"/>
            <w:noWrap/>
            <w:vAlign w:val="center"/>
          </w:tcPr>
          <w:p>
            <w:pPr>
              <w:pStyle w:val="85"/>
              <w:rPr>
                <w:rFonts w:hint="eastAsia"/>
              </w:rPr>
            </w:pPr>
            <w:r>
              <w:rPr>
                <w:rFonts w:hint="eastAsia"/>
              </w:rPr>
              <w:t xml:space="preserve">390 </w:t>
            </w:r>
          </w:p>
        </w:tc>
        <w:tc>
          <w:tcPr>
            <w:tcW w:w="297" w:type="pct"/>
            <w:shd w:val="clear" w:color="auto" w:fill="auto"/>
            <w:noWrap/>
            <w:vAlign w:val="center"/>
          </w:tcPr>
          <w:p>
            <w:pPr>
              <w:pStyle w:val="85"/>
              <w:rPr>
                <w:rFonts w:hint="eastAsia"/>
              </w:rPr>
            </w:pPr>
            <w:r>
              <w:rPr>
                <w:rFonts w:hint="eastAsia"/>
              </w:rPr>
              <w:t xml:space="preserve">0 </w:t>
            </w:r>
          </w:p>
        </w:tc>
        <w:tc>
          <w:tcPr>
            <w:tcW w:w="313" w:type="pct"/>
            <w:shd w:val="clear" w:color="auto" w:fill="auto"/>
            <w:noWrap/>
            <w:vAlign w:val="center"/>
          </w:tcPr>
          <w:p>
            <w:pPr>
              <w:pStyle w:val="85"/>
              <w:rPr>
                <w:rFonts w:hint="eastAsia"/>
              </w:rPr>
            </w:pPr>
            <w:r>
              <w:rPr>
                <w:rFonts w:hint="eastAsia"/>
              </w:rPr>
              <w:t xml:space="preserve">3130 </w:t>
            </w:r>
          </w:p>
        </w:tc>
        <w:tc>
          <w:tcPr>
            <w:tcW w:w="466" w:type="pct"/>
            <w:shd w:val="clear" w:color="auto" w:fill="auto"/>
            <w:noWrap/>
            <w:vAlign w:val="center"/>
          </w:tcPr>
          <w:p>
            <w:pPr>
              <w:pStyle w:val="85"/>
              <w:rPr>
                <w:rFonts w:hint="eastAsia"/>
              </w:rPr>
            </w:pPr>
            <w:r>
              <w:rPr>
                <w:rFonts w:hint="eastAsia"/>
              </w:rPr>
              <w:t xml:space="preserve">635 </w:t>
            </w:r>
          </w:p>
        </w:tc>
        <w:tc>
          <w:tcPr>
            <w:tcW w:w="312" w:type="pct"/>
            <w:shd w:val="clear" w:color="auto" w:fill="auto"/>
            <w:noWrap/>
            <w:vAlign w:val="center"/>
          </w:tcPr>
          <w:p>
            <w:pPr>
              <w:pStyle w:val="85"/>
              <w:rPr>
                <w:rFonts w:hint="eastAsia"/>
              </w:rPr>
            </w:pPr>
            <w:r>
              <w:rPr>
                <w:rFonts w:hint="eastAsia"/>
              </w:rPr>
              <w:t xml:space="preserve">6675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shd w:val="clear" w:color="auto" w:fill="auto"/>
            <w:noWrap/>
            <w:vAlign w:val="center"/>
          </w:tcPr>
          <w:p>
            <w:pPr>
              <w:pStyle w:val="85"/>
              <w:rPr>
                <w:rFonts w:hint="eastAsia"/>
              </w:rPr>
            </w:pPr>
            <w:r>
              <w:rPr>
                <w:rFonts w:hint="eastAsia"/>
              </w:rPr>
              <w:t>P=75%</w:t>
            </w:r>
          </w:p>
        </w:tc>
        <w:tc>
          <w:tcPr>
            <w:tcW w:w="462" w:type="pct"/>
            <w:shd w:val="clear" w:color="auto" w:fill="auto"/>
            <w:noWrap/>
            <w:vAlign w:val="center"/>
          </w:tcPr>
          <w:p>
            <w:pPr>
              <w:pStyle w:val="85"/>
              <w:rPr>
                <w:rFonts w:hint="eastAsia"/>
              </w:rPr>
            </w:pPr>
            <w:r>
              <w:rPr>
                <w:rFonts w:hint="eastAsia"/>
              </w:rPr>
              <w:t xml:space="preserve">1514 </w:t>
            </w:r>
          </w:p>
        </w:tc>
        <w:tc>
          <w:tcPr>
            <w:tcW w:w="462" w:type="pct"/>
            <w:shd w:val="clear" w:color="auto" w:fill="auto"/>
            <w:noWrap/>
            <w:vAlign w:val="center"/>
          </w:tcPr>
          <w:p>
            <w:pPr>
              <w:pStyle w:val="85"/>
              <w:rPr>
                <w:rFonts w:hint="eastAsia"/>
              </w:rPr>
            </w:pPr>
            <w:r>
              <w:rPr>
                <w:rFonts w:hint="eastAsia"/>
              </w:rPr>
              <w:t xml:space="preserve">203 </w:t>
            </w:r>
          </w:p>
        </w:tc>
        <w:tc>
          <w:tcPr>
            <w:tcW w:w="240" w:type="pct"/>
            <w:shd w:val="clear" w:color="auto" w:fill="auto"/>
            <w:noWrap/>
            <w:vAlign w:val="center"/>
          </w:tcPr>
          <w:p>
            <w:pPr>
              <w:pStyle w:val="85"/>
              <w:rPr>
                <w:rFonts w:hint="eastAsia"/>
              </w:rPr>
            </w:pPr>
            <w:r>
              <w:rPr>
                <w:rFonts w:hint="eastAsia"/>
              </w:rPr>
              <w:t xml:space="preserve">0 </w:t>
            </w:r>
          </w:p>
        </w:tc>
        <w:tc>
          <w:tcPr>
            <w:tcW w:w="248" w:type="pct"/>
            <w:shd w:val="clear" w:color="auto" w:fill="auto"/>
            <w:noWrap/>
            <w:vAlign w:val="center"/>
          </w:tcPr>
          <w:p>
            <w:pPr>
              <w:pStyle w:val="85"/>
              <w:rPr>
                <w:rFonts w:hint="eastAsia"/>
              </w:rPr>
            </w:pPr>
            <w:r>
              <w:rPr>
                <w:rFonts w:hint="eastAsia"/>
              </w:rPr>
              <w:t xml:space="preserve">2622 </w:t>
            </w:r>
          </w:p>
        </w:tc>
        <w:tc>
          <w:tcPr>
            <w:tcW w:w="456" w:type="pct"/>
            <w:shd w:val="clear" w:color="auto" w:fill="auto"/>
            <w:noWrap/>
            <w:vAlign w:val="center"/>
          </w:tcPr>
          <w:p>
            <w:pPr>
              <w:pStyle w:val="85"/>
              <w:rPr>
                <w:rFonts w:hint="eastAsia"/>
              </w:rPr>
            </w:pPr>
            <w:r>
              <w:rPr>
                <w:rFonts w:hint="eastAsia"/>
              </w:rPr>
              <w:t xml:space="preserve">2450 </w:t>
            </w:r>
          </w:p>
        </w:tc>
        <w:tc>
          <w:tcPr>
            <w:tcW w:w="249" w:type="pct"/>
            <w:shd w:val="clear" w:color="auto" w:fill="auto"/>
            <w:noWrap/>
            <w:vAlign w:val="center"/>
          </w:tcPr>
          <w:p>
            <w:pPr>
              <w:pStyle w:val="85"/>
              <w:rPr>
                <w:rFonts w:hint="eastAsia"/>
              </w:rPr>
            </w:pPr>
            <w:r>
              <w:rPr>
                <w:rFonts w:hint="eastAsia"/>
              </w:rPr>
              <w:t xml:space="preserve">6789 </w:t>
            </w:r>
          </w:p>
        </w:tc>
        <w:tc>
          <w:tcPr>
            <w:tcW w:w="312" w:type="pct"/>
            <w:shd w:val="clear" w:color="auto" w:fill="auto"/>
            <w:noWrap/>
            <w:vAlign w:val="center"/>
          </w:tcPr>
          <w:p>
            <w:pPr>
              <w:pStyle w:val="85"/>
              <w:rPr>
                <w:rFonts w:hint="eastAsia"/>
              </w:rPr>
            </w:pPr>
            <w:r>
              <w:rPr>
                <w:rFonts w:hint="eastAsia"/>
              </w:rPr>
              <w:t xml:space="preserve">2529 </w:t>
            </w:r>
          </w:p>
        </w:tc>
        <w:tc>
          <w:tcPr>
            <w:tcW w:w="297" w:type="pct"/>
            <w:shd w:val="clear" w:color="auto" w:fill="auto"/>
            <w:noWrap/>
            <w:vAlign w:val="center"/>
          </w:tcPr>
          <w:p>
            <w:pPr>
              <w:pStyle w:val="85"/>
              <w:rPr>
                <w:rFonts w:hint="eastAsia"/>
              </w:rPr>
            </w:pPr>
            <w:r>
              <w:rPr>
                <w:rFonts w:hint="eastAsia"/>
              </w:rPr>
              <w:t xml:space="preserve">390 </w:t>
            </w:r>
          </w:p>
        </w:tc>
        <w:tc>
          <w:tcPr>
            <w:tcW w:w="297" w:type="pct"/>
            <w:shd w:val="clear" w:color="auto" w:fill="auto"/>
            <w:noWrap/>
            <w:vAlign w:val="center"/>
          </w:tcPr>
          <w:p>
            <w:pPr>
              <w:pStyle w:val="85"/>
              <w:rPr>
                <w:rFonts w:hint="eastAsia"/>
              </w:rPr>
            </w:pPr>
            <w:r>
              <w:rPr>
                <w:rFonts w:hint="eastAsia"/>
              </w:rPr>
              <w:t xml:space="preserve">0 </w:t>
            </w:r>
          </w:p>
        </w:tc>
        <w:tc>
          <w:tcPr>
            <w:tcW w:w="313" w:type="pct"/>
            <w:shd w:val="clear" w:color="auto" w:fill="auto"/>
            <w:noWrap/>
            <w:vAlign w:val="center"/>
          </w:tcPr>
          <w:p>
            <w:pPr>
              <w:pStyle w:val="85"/>
              <w:rPr>
                <w:rFonts w:hint="eastAsia"/>
              </w:rPr>
            </w:pPr>
            <w:r>
              <w:rPr>
                <w:rFonts w:hint="eastAsia"/>
              </w:rPr>
              <w:t xml:space="preserve">3130 </w:t>
            </w:r>
          </w:p>
        </w:tc>
        <w:tc>
          <w:tcPr>
            <w:tcW w:w="466" w:type="pct"/>
            <w:shd w:val="clear" w:color="auto" w:fill="auto"/>
            <w:noWrap/>
            <w:vAlign w:val="center"/>
          </w:tcPr>
          <w:p>
            <w:pPr>
              <w:pStyle w:val="85"/>
              <w:rPr>
                <w:rFonts w:hint="eastAsia"/>
              </w:rPr>
            </w:pPr>
            <w:r>
              <w:rPr>
                <w:rFonts w:hint="eastAsia"/>
              </w:rPr>
              <w:t xml:space="preserve">740 </w:t>
            </w:r>
          </w:p>
        </w:tc>
        <w:tc>
          <w:tcPr>
            <w:tcW w:w="312" w:type="pct"/>
            <w:shd w:val="clear" w:color="auto" w:fill="auto"/>
            <w:noWrap/>
            <w:vAlign w:val="center"/>
          </w:tcPr>
          <w:p>
            <w:pPr>
              <w:pStyle w:val="85"/>
              <w:rPr>
                <w:rFonts w:hint="eastAsia"/>
              </w:rPr>
            </w:pPr>
            <w:r>
              <w:rPr>
                <w:rFonts w:hint="eastAsia"/>
              </w:rPr>
              <w:t xml:space="preserve">6789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shd w:val="clear" w:color="auto" w:fill="auto"/>
            <w:noWrap/>
            <w:vAlign w:val="center"/>
          </w:tcPr>
          <w:p>
            <w:pPr>
              <w:pStyle w:val="85"/>
              <w:rPr>
                <w:rFonts w:hint="eastAsia"/>
              </w:rPr>
            </w:pPr>
            <w:r>
              <w:rPr>
                <w:rFonts w:hint="eastAsia"/>
              </w:rPr>
              <w:t>P=95%</w:t>
            </w:r>
          </w:p>
        </w:tc>
        <w:tc>
          <w:tcPr>
            <w:tcW w:w="462" w:type="pct"/>
            <w:shd w:val="clear" w:color="auto" w:fill="auto"/>
            <w:noWrap/>
            <w:vAlign w:val="center"/>
          </w:tcPr>
          <w:p>
            <w:pPr>
              <w:pStyle w:val="85"/>
              <w:rPr>
                <w:rFonts w:hint="eastAsia"/>
              </w:rPr>
            </w:pPr>
            <w:r>
              <w:rPr>
                <w:rFonts w:hint="eastAsia"/>
              </w:rPr>
              <w:t xml:space="preserve">1514 </w:t>
            </w:r>
          </w:p>
        </w:tc>
        <w:tc>
          <w:tcPr>
            <w:tcW w:w="462" w:type="pct"/>
            <w:shd w:val="clear" w:color="auto" w:fill="auto"/>
            <w:noWrap/>
            <w:vAlign w:val="center"/>
          </w:tcPr>
          <w:p>
            <w:pPr>
              <w:pStyle w:val="85"/>
              <w:rPr>
                <w:rFonts w:hint="eastAsia"/>
              </w:rPr>
            </w:pPr>
            <w:r>
              <w:rPr>
                <w:rFonts w:hint="eastAsia"/>
              </w:rPr>
              <w:t xml:space="preserve">203 </w:t>
            </w:r>
          </w:p>
        </w:tc>
        <w:tc>
          <w:tcPr>
            <w:tcW w:w="240" w:type="pct"/>
            <w:shd w:val="clear" w:color="auto" w:fill="auto"/>
            <w:noWrap/>
            <w:vAlign w:val="center"/>
          </w:tcPr>
          <w:p>
            <w:pPr>
              <w:pStyle w:val="85"/>
              <w:rPr>
                <w:rFonts w:hint="eastAsia"/>
              </w:rPr>
            </w:pPr>
            <w:r>
              <w:rPr>
                <w:rFonts w:hint="eastAsia"/>
              </w:rPr>
              <w:t xml:space="preserve">0 </w:t>
            </w:r>
          </w:p>
        </w:tc>
        <w:tc>
          <w:tcPr>
            <w:tcW w:w="248" w:type="pct"/>
            <w:shd w:val="clear" w:color="auto" w:fill="auto"/>
            <w:noWrap/>
            <w:vAlign w:val="center"/>
          </w:tcPr>
          <w:p>
            <w:pPr>
              <w:pStyle w:val="85"/>
              <w:rPr>
                <w:rFonts w:hint="eastAsia"/>
              </w:rPr>
            </w:pPr>
            <w:r>
              <w:rPr>
                <w:rFonts w:hint="eastAsia"/>
              </w:rPr>
              <w:t xml:space="preserve">3059 </w:t>
            </w:r>
          </w:p>
        </w:tc>
        <w:tc>
          <w:tcPr>
            <w:tcW w:w="456" w:type="pct"/>
            <w:shd w:val="clear" w:color="auto" w:fill="auto"/>
            <w:noWrap/>
            <w:vAlign w:val="center"/>
          </w:tcPr>
          <w:p>
            <w:pPr>
              <w:pStyle w:val="85"/>
              <w:rPr>
                <w:rFonts w:hint="eastAsia"/>
              </w:rPr>
            </w:pPr>
            <w:r>
              <w:rPr>
                <w:rFonts w:hint="eastAsia"/>
              </w:rPr>
              <w:t xml:space="preserve">2450 </w:t>
            </w:r>
          </w:p>
        </w:tc>
        <w:tc>
          <w:tcPr>
            <w:tcW w:w="249" w:type="pct"/>
            <w:shd w:val="clear" w:color="auto" w:fill="auto"/>
            <w:noWrap/>
            <w:vAlign w:val="center"/>
          </w:tcPr>
          <w:p>
            <w:pPr>
              <w:pStyle w:val="85"/>
              <w:rPr>
                <w:rFonts w:hint="eastAsia"/>
              </w:rPr>
            </w:pPr>
            <w:r>
              <w:rPr>
                <w:rFonts w:hint="eastAsia"/>
              </w:rPr>
              <w:t xml:space="preserve">7226 </w:t>
            </w:r>
          </w:p>
        </w:tc>
        <w:tc>
          <w:tcPr>
            <w:tcW w:w="312" w:type="pct"/>
            <w:shd w:val="clear" w:color="auto" w:fill="auto"/>
            <w:noWrap/>
            <w:vAlign w:val="center"/>
          </w:tcPr>
          <w:p>
            <w:pPr>
              <w:pStyle w:val="85"/>
              <w:rPr>
                <w:rFonts w:hint="eastAsia"/>
              </w:rPr>
            </w:pPr>
            <w:r>
              <w:rPr>
                <w:rFonts w:hint="eastAsia"/>
              </w:rPr>
              <w:t xml:space="preserve">2398 </w:t>
            </w:r>
          </w:p>
        </w:tc>
        <w:tc>
          <w:tcPr>
            <w:tcW w:w="297" w:type="pct"/>
            <w:shd w:val="clear" w:color="auto" w:fill="auto"/>
            <w:noWrap/>
            <w:vAlign w:val="center"/>
          </w:tcPr>
          <w:p>
            <w:pPr>
              <w:pStyle w:val="85"/>
              <w:rPr>
                <w:rFonts w:hint="eastAsia"/>
              </w:rPr>
            </w:pPr>
            <w:r>
              <w:rPr>
                <w:rFonts w:hint="eastAsia"/>
              </w:rPr>
              <w:t xml:space="preserve">660 </w:t>
            </w:r>
          </w:p>
        </w:tc>
        <w:tc>
          <w:tcPr>
            <w:tcW w:w="297" w:type="pct"/>
            <w:shd w:val="clear" w:color="auto" w:fill="auto"/>
            <w:noWrap/>
            <w:vAlign w:val="center"/>
          </w:tcPr>
          <w:p>
            <w:pPr>
              <w:pStyle w:val="85"/>
              <w:rPr>
                <w:rFonts w:hint="eastAsia"/>
              </w:rPr>
            </w:pPr>
            <w:r>
              <w:rPr>
                <w:rFonts w:hint="eastAsia"/>
              </w:rPr>
              <w:t xml:space="preserve">0 </w:t>
            </w:r>
          </w:p>
        </w:tc>
        <w:tc>
          <w:tcPr>
            <w:tcW w:w="313" w:type="pct"/>
            <w:shd w:val="clear" w:color="auto" w:fill="auto"/>
            <w:noWrap/>
            <w:vAlign w:val="center"/>
          </w:tcPr>
          <w:p>
            <w:pPr>
              <w:pStyle w:val="85"/>
              <w:rPr>
                <w:rFonts w:hint="eastAsia"/>
              </w:rPr>
            </w:pPr>
            <w:r>
              <w:rPr>
                <w:rFonts w:hint="eastAsia"/>
              </w:rPr>
              <w:t xml:space="preserve">3130 </w:t>
            </w:r>
          </w:p>
        </w:tc>
        <w:tc>
          <w:tcPr>
            <w:tcW w:w="466" w:type="pct"/>
            <w:shd w:val="clear" w:color="auto" w:fill="auto"/>
            <w:noWrap/>
            <w:vAlign w:val="center"/>
          </w:tcPr>
          <w:p>
            <w:pPr>
              <w:pStyle w:val="85"/>
              <w:rPr>
                <w:rFonts w:hint="eastAsia"/>
              </w:rPr>
            </w:pPr>
            <w:r>
              <w:rPr>
                <w:rFonts w:hint="eastAsia"/>
              </w:rPr>
              <w:t xml:space="preserve">708 </w:t>
            </w:r>
          </w:p>
        </w:tc>
        <w:tc>
          <w:tcPr>
            <w:tcW w:w="312" w:type="pct"/>
            <w:shd w:val="clear" w:color="auto" w:fill="auto"/>
            <w:noWrap/>
            <w:vAlign w:val="center"/>
          </w:tcPr>
          <w:p>
            <w:pPr>
              <w:pStyle w:val="85"/>
              <w:rPr>
                <w:rFonts w:hint="eastAsia"/>
              </w:rPr>
            </w:pPr>
            <w:r>
              <w:rPr>
                <w:rFonts w:hint="eastAsia"/>
              </w:rPr>
              <w:t xml:space="preserve">6896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restart"/>
            <w:shd w:val="clear" w:color="auto" w:fill="auto"/>
            <w:noWrap/>
            <w:vAlign w:val="center"/>
          </w:tcPr>
          <w:p>
            <w:pPr>
              <w:pStyle w:val="85"/>
              <w:rPr>
                <w:rFonts w:hint="eastAsia"/>
              </w:rPr>
            </w:pPr>
            <w:r>
              <w:rPr>
                <w:rFonts w:hint="eastAsia"/>
              </w:rPr>
              <w:t>南盘江片区</w:t>
            </w:r>
          </w:p>
        </w:tc>
        <w:tc>
          <w:tcPr>
            <w:tcW w:w="400" w:type="pct"/>
            <w:shd w:val="clear" w:color="auto" w:fill="auto"/>
            <w:noWrap/>
            <w:vAlign w:val="center"/>
          </w:tcPr>
          <w:p>
            <w:pPr>
              <w:pStyle w:val="85"/>
              <w:rPr>
                <w:rFonts w:hint="eastAsia"/>
              </w:rPr>
            </w:pPr>
            <w:r>
              <w:rPr>
                <w:rFonts w:hint="eastAsia"/>
              </w:rPr>
              <w:t>多年平均</w:t>
            </w:r>
          </w:p>
        </w:tc>
        <w:tc>
          <w:tcPr>
            <w:tcW w:w="462" w:type="pct"/>
            <w:shd w:val="clear" w:color="auto" w:fill="auto"/>
            <w:noWrap/>
            <w:vAlign w:val="center"/>
          </w:tcPr>
          <w:p>
            <w:pPr>
              <w:pStyle w:val="85"/>
              <w:rPr>
                <w:rFonts w:hint="eastAsia"/>
              </w:rPr>
            </w:pPr>
            <w:r>
              <w:rPr>
                <w:rFonts w:hint="eastAsia"/>
              </w:rPr>
              <w:t xml:space="preserve">24 </w:t>
            </w:r>
          </w:p>
        </w:tc>
        <w:tc>
          <w:tcPr>
            <w:tcW w:w="462" w:type="pct"/>
            <w:shd w:val="clear" w:color="auto" w:fill="auto"/>
            <w:noWrap/>
            <w:vAlign w:val="center"/>
          </w:tcPr>
          <w:p>
            <w:pPr>
              <w:pStyle w:val="85"/>
              <w:rPr>
                <w:rFonts w:hint="eastAsia"/>
              </w:rPr>
            </w:pPr>
            <w:r>
              <w:rPr>
                <w:rFonts w:hint="eastAsia"/>
              </w:rPr>
              <w:t xml:space="preserve">58 </w:t>
            </w:r>
          </w:p>
        </w:tc>
        <w:tc>
          <w:tcPr>
            <w:tcW w:w="240" w:type="pct"/>
            <w:shd w:val="clear" w:color="auto" w:fill="auto"/>
            <w:noWrap/>
            <w:vAlign w:val="center"/>
          </w:tcPr>
          <w:p>
            <w:pPr>
              <w:pStyle w:val="85"/>
              <w:rPr>
                <w:rFonts w:hint="eastAsia"/>
              </w:rPr>
            </w:pPr>
            <w:r>
              <w:rPr>
                <w:rFonts w:hint="eastAsia"/>
              </w:rPr>
              <w:t xml:space="preserve">612 </w:t>
            </w:r>
          </w:p>
        </w:tc>
        <w:tc>
          <w:tcPr>
            <w:tcW w:w="248" w:type="pct"/>
            <w:shd w:val="clear" w:color="auto" w:fill="auto"/>
            <w:noWrap/>
            <w:vAlign w:val="center"/>
          </w:tcPr>
          <w:p>
            <w:pPr>
              <w:pStyle w:val="85"/>
              <w:rPr>
                <w:rFonts w:hint="eastAsia"/>
              </w:rPr>
            </w:pPr>
            <w:r>
              <w:rPr>
                <w:rFonts w:hint="eastAsia"/>
              </w:rPr>
              <w:t xml:space="preserve">1086 </w:t>
            </w:r>
          </w:p>
        </w:tc>
        <w:tc>
          <w:tcPr>
            <w:tcW w:w="456" w:type="pct"/>
            <w:shd w:val="clear" w:color="auto" w:fill="auto"/>
            <w:noWrap/>
            <w:vAlign w:val="center"/>
          </w:tcPr>
          <w:p>
            <w:pPr>
              <w:pStyle w:val="85"/>
              <w:rPr>
                <w:rFonts w:hint="eastAsia"/>
              </w:rPr>
            </w:pPr>
            <w:r>
              <w:rPr>
                <w:rFonts w:hint="eastAsia"/>
              </w:rPr>
              <w:t>　</w:t>
            </w:r>
          </w:p>
        </w:tc>
        <w:tc>
          <w:tcPr>
            <w:tcW w:w="249" w:type="pct"/>
            <w:shd w:val="clear" w:color="auto" w:fill="auto"/>
            <w:noWrap/>
            <w:vAlign w:val="center"/>
          </w:tcPr>
          <w:p>
            <w:pPr>
              <w:pStyle w:val="85"/>
              <w:rPr>
                <w:rFonts w:hint="eastAsia"/>
              </w:rPr>
            </w:pPr>
            <w:r>
              <w:rPr>
                <w:rFonts w:hint="eastAsia"/>
              </w:rPr>
              <w:t xml:space="preserve">1781 </w:t>
            </w:r>
          </w:p>
        </w:tc>
        <w:tc>
          <w:tcPr>
            <w:tcW w:w="312" w:type="pct"/>
            <w:shd w:val="clear" w:color="auto" w:fill="auto"/>
            <w:noWrap/>
            <w:vAlign w:val="center"/>
          </w:tcPr>
          <w:p>
            <w:pPr>
              <w:pStyle w:val="85"/>
              <w:rPr>
                <w:rFonts w:hint="eastAsia"/>
              </w:rPr>
            </w:pPr>
            <w:r>
              <w:rPr>
                <w:rFonts w:hint="eastAsia"/>
              </w:rPr>
              <w:t xml:space="preserve">408 </w:t>
            </w:r>
          </w:p>
        </w:tc>
        <w:tc>
          <w:tcPr>
            <w:tcW w:w="297" w:type="pct"/>
            <w:shd w:val="clear" w:color="auto" w:fill="auto"/>
            <w:noWrap/>
            <w:vAlign w:val="center"/>
          </w:tcPr>
          <w:p>
            <w:pPr>
              <w:pStyle w:val="85"/>
              <w:rPr>
                <w:rFonts w:hint="eastAsia"/>
              </w:rPr>
            </w:pPr>
            <w:r>
              <w:rPr>
                <w:rFonts w:hint="eastAsia"/>
              </w:rPr>
              <w:t xml:space="preserve">65 </w:t>
            </w:r>
          </w:p>
        </w:tc>
        <w:tc>
          <w:tcPr>
            <w:tcW w:w="297" w:type="pct"/>
            <w:shd w:val="clear" w:color="auto" w:fill="auto"/>
            <w:noWrap/>
            <w:vAlign w:val="center"/>
          </w:tcPr>
          <w:p>
            <w:pPr>
              <w:pStyle w:val="85"/>
              <w:rPr>
                <w:rFonts w:hint="eastAsia"/>
              </w:rPr>
            </w:pPr>
            <w:r>
              <w:rPr>
                <w:rFonts w:hint="eastAsia"/>
              </w:rPr>
              <w:t xml:space="preserve">443 </w:t>
            </w:r>
          </w:p>
        </w:tc>
        <w:tc>
          <w:tcPr>
            <w:tcW w:w="313" w:type="pct"/>
            <w:shd w:val="clear" w:color="auto" w:fill="auto"/>
            <w:noWrap/>
            <w:vAlign w:val="center"/>
          </w:tcPr>
          <w:p>
            <w:pPr>
              <w:pStyle w:val="85"/>
              <w:rPr>
                <w:rFonts w:hint="eastAsia"/>
              </w:rPr>
            </w:pPr>
            <w:r>
              <w:rPr>
                <w:rFonts w:hint="eastAsia"/>
              </w:rPr>
              <w:t xml:space="preserve">482 </w:t>
            </w:r>
          </w:p>
        </w:tc>
        <w:tc>
          <w:tcPr>
            <w:tcW w:w="466" w:type="pct"/>
            <w:shd w:val="clear" w:color="auto" w:fill="auto"/>
            <w:noWrap/>
            <w:vAlign w:val="center"/>
          </w:tcPr>
          <w:p>
            <w:pPr>
              <w:pStyle w:val="85"/>
              <w:rPr>
                <w:rFonts w:hint="eastAsia"/>
              </w:rPr>
            </w:pPr>
            <w:r>
              <w:rPr>
                <w:rFonts w:hint="eastAsia"/>
              </w:rPr>
              <w:t xml:space="preserve">356 </w:t>
            </w:r>
          </w:p>
        </w:tc>
        <w:tc>
          <w:tcPr>
            <w:tcW w:w="312" w:type="pct"/>
            <w:shd w:val="clear" w:color="auto" w:fill="auto"/>
            <w:noWrap/>
            <w:vAlign w:val="center"/>
          </w:tcPr>
          <w:p>
            <w:pPr>
              <w:pStyle w:val="85"/>
              <w:rPr>
                <w:rFonts w:hint="eastAsia"/>
              </w:rPr>
            </w:pPr>
            <w:r>
              <w:rPr>
                <w:rFonts w:hint="eastAsia"/>
              </w:rPr>
              <w:t xml:space="preserve">1754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shd w:val="clear" w:color="auto" w:fill="auto"/>
            <w:noWrap/>
            <w:vAlign w:val="center"/>
          </w:tcPr>
          <w:p>
            <w:pPr>
              <w:pStyle w:val="85"/>
              <w:rPr>
                <w:rFonts w:hint="eastAsia"/>
              </w:rPr>
            </w:pPr>
            <w:r>
              <w:rPr>
                <w:rFonts w:hint="eastAsia"/>
              </w:rPr>
              <w:t>P=75%</w:t>
            </w:r>
          </w:p>
        </w:tc>
        <w:tc>
          <w:tcPr>
            <w:tcW w:w="462" w:type="pct"/>
            <w:shd w:val="clear" w:color="auto" w:fill="auto"/>
            <w:noWrap/>
            <w:vAlign w:val="center"/>
          </w:tcPr>
          <w:p>
            <w:pPr>
              <w:pStyle w:val="85"/>
              <w:rPr>
                <w:rFonts w:hint="eastAsia"/>
              </w:rPr>
            </w:pPr>
            <w:r>
              <w:rPr>
                <w:rFonts w:hint="eastAsia"/>
              </w:rPr>
              <w:t xml:space="preserve">24 </w:t>
            </w:r>
          </w:p>
        </w:tc>
        <w:tc>
          <w:tcPr>
            <w:tcW w:w="462" w:type="pct"/>
            <w:shd w:val="clear" w:color="auto" w:fill="auto"/>
            <w:noWrap/>
            <w:vAlign w:val="center"/>
          </w:tcPr>
          <w:p>
            <w:pPr>
              <w:pStyle w:val="85"/>
              <w:rPr>
                <w:rFonts w:hint="eastAsia"/>
              </w:rPr>
            </w:pPr>
            <w:r>
              <w:rPr>
                <w:rFonts w:hint="eastAsia"/>
              </w:rPr>
              <w:t xml:space="preserve">58 </w:t>
            </w:r>
          </w:p>
        </w:tc>
        <w:tc>
          <w:tcPr>
            <w:tcW w:w="240" w:type="pct"/>
            <w:shd w:val="clear" w:color="auto" w:fill="auto"/>
            <w:noWrap/>
            <w:vAlign w:val="center"/>
          </w:tcPr>
          <w:p>
            <w:pPr>
              <w:pStyle w:val="85"/>
              <w:rPr>
                <w:rFonts w:hint="eastAsia"/>
              </w:rPr>
            </w:pPr>
            <w:r>
              <w:rPr>
                <w:rFonts w:hint="eastAsia"/>
              </w:rPr>
              <w:t xml:space="preserve">612 </w:t>
            </w:r>
          </w:p>
        </w:tc>
        <w:tc>
          <w:tcPr>
            <w:tcW w:w="248" w:type="pct"/>
            <w:shd w:val="clear" w:color="auto" w:fill="auto"/>
            <w:noWrap/>
            <w:vAlign w:val="center"/>
          </w:tcPr>
          <w:p>
            <w:pPr>
              <w:pStyle w:val="85"/>
              <w:rPr>
                <w:rFonts w:hint="eastAsia"/>
              </w:rPr>
            </w:pPr>
            <w:r>
              <w:rPr>
                <w:rFonts w:hint="eastAsia"/>
              </w:rPr>
              <w:t xml:space="preserve">1132 </w:t>
            </w:r>
          </w:p>
        </w:tc>
        <w:tc>
          <w:tcPr>
            <w:tcW w:w="456" w:type="pct"/>
            <w:shd w:val="clear" w:color="auto" w:fill="auto"/>
            <w:noWrap/>
            <w:vAlign w:val="center"/>
          </w:tcPr>
          <w:p>
            <w:pPr>
              <w:pStyle w:val="85"/>
              <w:rPr>
                <w:rFonts w:hint="eastAsia"/>
              </w:rPr>
            </w:pPr>
            <w:r>
              <w:rPr>
                <w:rFonts w:hint="eastAsia"/>
              </w:rPr>
              <w:t>　</w:t>
            </w:r>
          </w:p>
        </w:tc>
        <w:tc>
          <w:tcPr>
            <w:tcW w:w="249" w:type="pct"/>
            <w:shd w:val="clear" w:color="auto" w:fill="auto"/>
            <w:noWrap/>
            <w:vAlign w:val="center"/>
          </w:tcPr>
          <w:p>
            <w:pPr>
              <w:pStyle w:val="85"/>
              <w:rPr>
                <w:rFonts w:hint="eastAsia"/>
              </w:rPr>
            </w:pPr>
            <w:r>
              <w:rPr>
                <w:rFonts w:hint="eastAsia"/>
              </w:rPr>
              <w:t xml:space="preserve">1826 </w:t>
            </w:r>
          </w:p>
        </w:tc>
        <w:tc>
          <w:tcPr>
            <w:tcW w:w="312" w:type="pct"/>
            <w:shd w:val="clear" w:color="auto" w:fill="auto"/>
            <w:noWrap/>
            <w:vAlign w:val="center"/>
          </w:tcPr>
          <w:p>
            <w:pPr>
              <w:pStyle w:val="85"/>
              <w:rPr>
                <w:rFonts w:hint="eastAsia"/>
              </w:rPr>
            </w:pPr>
            <w:r>
              <w:rPr>
                <w:rFonts w:hint="eastAsia"/>
              </w:rPr>
              <w:t xml:space="preserve">453 </w:t>
            </w:r>
          </w:p>
        </w:tc>
        <w:tc>
          <w:tcPr>
            <w:tcW w:w="297" w:type="pct"/>
            <w:shd w:val="clear" w:color="auto" w:fill="auto"/>
            <w:noWrap/>
            <w:vAlign w:val="center"/>
          </w:tcPr>
          <w:p>
            <w:pPr>
              <w:pStyle w:val="85"/>
              <w:rPr>
                <w:rFonts w:hint="eastAsia"/>
              </w:rPr>
            </w:pPr>
            <w:r>
              <w:rPr>
                <w:rFonts w:hint="eastAsia"/>
              </w:rPr>
              <w:t xml:space="preserve">78 </w:t>
            </w:r>
          </w:p>
        </w:tc>
        <w:tc>
          <w:tcPr>
            <w:tcW w:w="297" w:type="pct"/>
            <w:shd w:val="clear" w:color="auto" w:fill="auto"/>
            <w:noWrap/>
            <w:vAlign w:val="center"/>
          </w:tcPr>
          <w:p>
            <w:pPr>
              <w:pStyle w:val="85"/>
              <w:rPr>
                <w:rFonts w:hint="eastAsia"/>
              </w:rPr>
            </w:pPr>
            <w:r>
              <w:rPr>
                <w:rFonts w:hint="eastAsia"/>
              </w:rPr>
              <w:t xml:space="preserve">350 </w:t>
            </w:r>
          </w:p>
        </w:tc>
        <w:tc>
          <w:tcPr>
            <w:tcW w:w="313" w:type="pct"/>
            <w:shd w:val="clear" w:color="auto" w:fill="auto"/>
            <w:noWrap/>
            <w:vAlign w:val="center"/>
          </w:tcPr>
          <w:p>
            <w:pPr>
              <w:pStyle w:val="85"/>
              <w:rPr>
                <w:rFonts w:hint="eastAsia"/>
              </w:rPr>
            </w:pPr>
            <w:r>
              <w:rPr>
                <w:rFonts w:hint="eastAsia"/>
              </w:rPr>
              <w:t xml:space="preserve">482 </w:t>
            </w:r>
          </w:p>
        </w:tc>
        <w:tc>
          <w:tcPr>
            <w:tcW w:w="466" w:type="pct"/>
            <w:shd w:val="clear" w:color="auto" w:fill="auto"/>
            <w:noWrap/>
            <w:vAlign w:val="center"/>
          </w:tcPr>
          <w:p>
            <w:pPr>
              <w:pStyle w:val="85"/>
              <w:rPr>
                <w:rFonts w:hint="eastAsia"/>
              </w:rPr>
            </w:pPr>
            <w:r>
              <w:rPr>
                <w:rFonts w:hint="eastAsia"/>
              </w:rPr>
              <w:t xml:space="preserve">398 </w:t>
            </w:r>
          </w:p>
        </w:tc>
        <w:tc>
          <w:tcPr>
            <w:tcW w:w="312" w:type="pct"/>
            <w:shd w:val="clear" w:color="auto" w:fill="auto"/>
            <w:noWrap/>
            <w:vAlign w:val="center"/>
          </w:tcPr>
          <w:p>
            <w:pPr>
              <w:pStyle w:val="85"/>
              <w:rPr>
                <w:rFonts w:hint="eastAsia"/>
              </w:rPr>
            </w:pPr>
            <w:r>
              <w:rPr>
                <w:rFonts w:hint="eastAsia"/>
              </w:rPr>
              <w:t xml:space="preserve">1761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shd w:val="clear" w:color="auto" w:fill="auto"/>
            <w:noWrap/>
            <w:vAlign w:val="center"/>
          </w:tcPr>
          <w:p>
            <w:pPr>
              <w:pStyle w:val="85"/>
              <w:rPr>
                <w:rFonts w:hint="eastAsia"/>
              </w:rPr>
            </w:pPr>
            <w:r>
              <w:rPr>
                <w:rFonts w:hint="eastAsia"/>
              </w:rPr>
              <w:t>P=95%</w:t>
            </w:r>
          </w:p>
        </w:tc>
        <w:tc>
          <w:tcPr>
            <w:tcW w:w="462" w:type="pct"/>
            <w:shd w:val="clear" w:color="auto" w:fill="auto"/>
            <w:noWrap/>
            <w:vAlign w:val="center"/>
          </w:tcPr>
          <w:p>
            <w:pPr>
              <w:pStyle w:val="85"/>
              <w:rPr>
                <w:rFonts w:hint="eastAsia"/>
              </w:rPr>
            </w:pPr>
            <w:r>
              <w:rPr>
                <w:rFonts w:hint="eastAsia"/>
              </w:rPr>
              <w:t xml:space="preserve">24 </w:t>
            </w:r>
          </w:p>
        </w:tc>
        <w:tc>
          <w:tcPr>
            <w:tcW w:w="462" w:type="pct"/>
            <w:shd w:val="clear" w:color="auto" w:fill="auto"/>
            <w:noWrap/>
            <w:vAlign w:val="center"/>
          </w:tcPr>
          <w:p>
            <w:pPr>
              <w:pStyle w:val="85"/>
              <w:rPr>
                <w:rFonts w:hint="eastAsia"/>
              </w:rPr>
            </w:pPr>
            <w:r>
              <w:rPr>
                <w:rFonts w:hint="eastAsia"/>
              </w:rPr>
              <w:t xml:space="preserve">58 </w:t>
            </w:r>
          </w:p>
        </w:tc>
        <w:tc>
          <w:tcPr>
            <w:tcW w:w="240" w:type="pct"/>
            <w:shd w:val="clear" w:color="auto" w:fill="auto"/>
            <w:noWrap/>
            <w:vAlign w:val="center"/>
          </w:tcPr>
          <w:p>
            <w:pPr>
              <w:pStyle w:val="85"/>
              <w:rPr>
                <w:rFonts w:hint="eastAsia"/>
              </w:rPr>
            </w:pPr>
            <w:r>
              <w:rPr>
                <w:rFonts w:hint="eastAsia"/>
              </w:rPr>
              <w:t xml:space="preserve">612 </w:t>
            </w:r>
          </w:p>
        </w:tc>
        <w:tc>
          <w:tcPr>
            <w:tcW w:w="248" w:type="pct"/>
            <w:shd w:val="clear" w:color="auto" w:fill="auto"/>
            <w:noWrap/>
            <w:vAlign w:val="center"/>
          </w:tcPr>
          <w:p>
            <w:pPr>
              <w:pStyle w:val="85"/>
              <w:rPr>
                <w:rFonts w:hint="eastAsia"/>
              </w:rPr>
            </w:pPr>
            <w:r>
              <w:rPr>
                <w:rFonts w:hint="eastAsia"/>
              </w:rPr>
              <w:t xml:space="preserve">1323 </w:t>
            </w:r>
          </w:p>
        </w:tc>
        <w:tc>
          <w:tcPr>
            <w:tcW w:w="456" w:type="pct"/>
            <w:shd w:val="clear" w:color="auto" w:fill="auto"/>
            <w:noWrap/>
            <w:vAlign w:val="center"/>
          </w:tcPr>
          <w:p>
            <w:pPr>
              <w:pStyle w:val="85"/>
              <w:rPr>
                <w:rFonts w:hint="eastAsia"/>
              </w:rPr>
            </w:pPr>
            <w:r>
              <w:rPr>
                <w:rFonts w:hint="eastAsia"/>
              </w:rPr>
              <w:t>　</w:t>
            </w:r>
          </w:p>
        </w:tc>
        <w:tc>
          <w:tcPr>
            <w:tcW w:w="249" w:type="pct"/>
            <w:shd w:val="clear" w:color="auto" w:fill="auto"/>
            <w:noWrap/>
            <w:vAlign w:val="center"/>
          </w:tcPr>
          <w:p>
            <w:pPr>
              <w:pStyle w:val="85"/>
              <w:rPr>
                <w:rFonts w:hint="eastAsia"/>
              </w:rPr>
            </w:pPr>
            <w:r>
              <w:rPr>
                <w:rFonts w:hint="eastAsia"/>
              </w:rPr>
              <w:t xml:space="preserve">2018 </w:t>
            </w:r>
          </w:p>
        </w:tc>
        <w:tc>
          <w:tcPr>
            <w:tcW w:w="312" w:type="pct"/>
            <w:shd w:val="clear" w:color="auto" w:fill="auto"/>
            <w:noWrap/>
            <w:vAlign w:val="center"/>
          </w:tcPr>
          <w:p>
            <w:pPr>
              <w:pStyle w:val="85"/>
              <w:rPr>
                <w:rFonts w:hint="eastAsia"/>
              </w:rPr>
            </w:pPr>
            <w:r>
              <w:rPr>
                <w:rFonts w:hint="eastAsia"/>
              </w:rPr>
              <w:t xml:space="preserve">443 </w:t>
            </w:r>
          </w:p>
        </w:tc>
        <w:tc>
          <w:tcPr>
            <w:tcW w:w="297" w:type="pct"/>
            <w:shd w:val="clear" w:color="auto" w:fill="auto"/>
            <w:noWrap/>
            <w:vAlign w:val="center"/>
          </w:tcPr>
          <w:p>
            <w:pPr>
              <w:pStyle w:val="85"/>
              <w:rPr>
                <w:rFonts w:hint="eastAsia"/>
              </w:rPr>
            </w:pPr>
            <w:r>
              <w:rPr>
                <w:rFonts w:hint="eastAsia"/>
              </w:rPr>
              <w:t xml:space="preserve">58 </w:t>
            </w:r>
          </w:p>
        </w:tc>
        <w:tc>
          <w:tcPr>
            <w:tcW w:w="297" w:type="pct"/>
            <w:shd w:val="clear" w:color="auto" w:fill="auto"/>
            <w:noWrap/>
            <w:vAlign w:val="center"/>
          </w:tcPr>
          <w:p>
            <w:pPr>
              <w:pStyle w:val="85"/>
              <w:rPr>
                <w:rFonts w:hint="eastAsia"/>
              </w:rPr>
            </w:pPr>
            <w:r>
              <w:rPr>
                <w:rFonts w:hint="eastAsia"/>
              </w:rPr>
              <w:t xml:space="preserve">345 </w:t>
            </w:r>
          </w:p>
        </w:tc>
        <w:tc>
          <w:tcPr>
            <w:tcW w:w="313" w:type="pct"/>
            <w:shd w:val="clear" w:color="auto" w:fill="auto"/>
            <w:noWrap/>
            <w:vAlign w:val="center"/>
          </w:tcPr>
          <w:p>
            <w:pPr>
              <w:pStyle w:val="85"/>
              <w:rPr>
                <w:rFonts w:hint="eastAsia"/>
              </w:rPr>
            </w:pPr>
            <w:r>
              <w:rPr>
                <w:rFonts w:hint="eastAsia"/>
              </w:rPr>
              <w:t xml:space="preserve">482 </w:t>
            </w:r>
          </w:p>
        </w:tc>
        <w:tc>
          <w:tcPr>
            <w:tcW w:w="466" w:type="pct"/>
            <w:shd w:val="clear" w:color="auto" w:fill="auto"/>
            <w:noWrap/>
            <w:vAlign w:val="center"/>
          </w:tcPr>
          <w:p>
            <w:pPr>
              <w:pStyle w:val="85"/>
              <w:rPr>
                <w:rFonts w:hint="eastAsia"/>
              </w:rPr>
            </w:pPr>
            <w:r>
              <w:rPr>
                <w:rFonts w:hint="eastAsia"/>
              </w:rPr>
              <w:t xml:space="preserve">328 </w:t>
            </w:r>
          </w:p>
        </w:tc>
        <w:tc>
          <w:tcPr>
            <w:tcW w:w="312" w:type="pct"/>
            <w:shd w:val="clear" w:color="auto" w:fill="auto"/>
            <w:noWrap/>
            <w:vAlign w:val="center"/>
          </w:tcPr>
          <w:p>
            <w:pPr>
              <w:pStyle w:val="85"/>
              <w:rPr>
                <w:rFonts w:hint="eastAsia"/>
              </w:rPr>
            </w:pPr>
            <w:r>
              <w:rPr>
                <w:rFonts w:hint="eastAsia"/>
              </w:rPr>
              <w:t xml:space="preserve">1656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restart"/>
            <w:shd w:val="clear" w:color="auto" w:fill="auto"/>
            <w:noWrap/>
            <w:vAlign w:val="center"/>
          </w:tcPr>
          <w:p>
            <w:pPr>
              <w:pStyle w:val="85"/>
              <w:rPr>
                <w:rFonts w:hint="eastAsia"/>
              </w:rPr>
            </w:pPr>
            <w:r>
              <w:rPr>
                <w:rFonts w:hint="eastAsia"/>
              </w:rPr>
              <w:t>滇池片区</w:t>
            </w:r>
          </w:p>
        </w:tc>
        <w:tc>
          <w:tcPr>
            <w:tcW w:w="400" w:type="pct"/>
            <w:shd w:val="clear" w:color="auto" w:fill="auto"/>
            <w:noWrap/>
            <w:vAlign w:val="center"/>
          </w:tcPr>
          <w:p>
            <w:pPr>
              <w:pStyle w:val="85"/>
              <w:rPr>
                <w:rFonts w:hint="eastAsia"/>
              </w:rPr>
            </w:pPr>
            <w:r>
              <w:rPr>
                <w:rFonts w:hint="eastAsia"/>
              </w:rPr>
              <w:t>多年平均</w:t>
            </w:r>
          </w:p>
        </w:tc>
        <w:tc>
          <w:tcPr>
            <w:tcW w:w="462" w:type="pct"/>
            <w:shd w:val="clear" w:color="auto" w:fill="auto"/>
            <w:noWrap/>
            <w:vAlign w:val="center"/>
          </w:tcPr>
          <w:p>
            <w:pPr>
              <w:pStyle w:val="85"/>
              <w:rPr>
                <w:rFonts w:hint="eastAsia"/>
              </w:rPr>
            </w:pPr>
            <w:r>
              <w:rPr>
                <w:rFonts w:hint="eastAsia"/>
              </w:rPr>
              <w:t xml:space="preserve">0 </w:t>
            </w:r>
          </w:p>
        </w:tc>
        <w:tc>
          <w:tcPr>
            <w:tcW w:w="462" w:type="pct"/>
            <w:shd w:val="clear" w:color="auto" w:fill="auto"/>
            <w:noWrap/>
            <w:vAlign w:val="center"/>
          </w:tcPr>
          <w:p>
            <w:pPr>
              <w:pStyle w:val="85"/>
              <w:rPr>
                <w:rFonts w:hint="eastAsia"/>
              </w:rPr>
            </w:pPr>
            <w:r>
              <w:rPr>
                <w:rFonts w:hint="eastAsia"/>
              </w:rPr>
              <w:t xml:space="preserve">5 </w:t>
            </w:r>
          </w:p>
        </w:tc>
        <w:tc>
          <w:tcPr>
            <w:tcW w:w="240" w:type="pct"/>
            <w:shd w:val="clear" w:color="auto" w:fill="auto"/>
            <w:noWrap/>
            <w:vAlign w:val="center"/>
          </w:tcPr>
          <w:p>
            <w:pPr>
              <w:pStyle w:val="85"/>
              <w:rPr>
                <w:rFonts w:hint="eastAsia"/>
              </w:rPr>
            </w:pPr>
            <w:r>
              <w:rPr>
                <w:rFonts w:hint="eastAsia"/>
              </w:rPr>
              <w:t xml:space="preserve">46 </w:t>
            </w:r>
          </w:p>
        </w:tc>
        <w:tc>
          <w:tcPr>
            <w:tcW w:w="248" w:type="pct"/>
            <w:shd w:val="clear" w:color="auto" w:fill="auto"/>
            <w:noWrap/>
            <w:vAlign w:val="center"/>
          </w:tcPr>
          <w:p>
            <w:pPr>
              <w:pStyle w:val="85"/>
              <w:rPr>
                <w:rFonts w:hint="eastAsia"/>
              </w:rPr>
            </w:pPr>
            <w:r>
              <w:rPr>
                <w:rFonts w:hint="eastAsia"/>
              </w:rPr>
              <w:t xml:space="preserve">0 </w:t>
            </w:r>
          </w:p>
        </w:tc>
        <w:tc>
          <w:tcPr>
            <w:tcW w:w="456" w:type="pct"/>
            <w:shd w:val="clear" w:color="auto" w:fill="auto"/>
            <w:noWrap/>
            <w:vAlign w:val="center"/>
          </w:tcPr>
          <w:p>
            <w:pPr>
              <w:pStyle w:val="85"/>
              <w:rPr>
                <w:rFonts w:hint="eastAsia"/>
              </w:rPr>
            </w:pPr>
            <w:r>
              <w:rPr>
                <w:rFonts w:hint="eastAsia"/>
              </w:rPr>
              <w:t>　</w:t>
            </w:r>
          </w:p>
        </w:tc>
        <w:tc>
          <w:tcPr>
            <w:tcW w:w="249" w:type="pct"/>
            <w:shd w:val="clear" w:color="auto" w:fill="auto"/>
            <w:noWrap/>
            <w:vAlign w:val="center"/>
          </w:tcPr>
          <w:p>
            <w:pPr>
              <w:pStyle w:val="85"/>
              <w:rPr>
                <w:rFonts w:hint="eastAsia"/>
              </w:rPr>
            </w:pPr>
            <w:r>
              <w:rPr>
                <w:rFonts w:hint="eastAsia"/>
              </w:rPr>
              <w:t xml:space="preserve">52 </w:t>
            </w:r>
          </w:p>
        </w:tc>
        <w:tc>
          <w:tcPr>
            <w:tcW w:w="312" w:type="pct"/>
            <w:shd w:val="clear" w:color="auto" w:fill="auto"/>
            <w:noWrap/>
            <w:vAlign w:val="center"/>
          </w:tcPr>
          <w:p>
            <w:pPr>
              <w:pStyle w:val="85"/>
              <w:rPr>
                <w:rFonts w:hint="eastAsia"/>
              </w:rPr>
            </w:pPr>
            <w:r>
              <w:rPr>
                <w:rFonts w:hint="eastAsia"/>
              </w:rPr>
              <w:t xml:space="preserve">0 </w:t>
            </w:r>
          </w:p>
        </w:tc>
        <w:tc>
          <w:tcPr>
            <w:tcW w:w="297" w:type="pct"/>
            <w:shd w:val="clear" w:color="auto" w:fill="auto"/>
            <w:noWrap/>
            <w:vAlign w:val="center"/>
          </w:tcPr>
          <w:p>
            <w:pPr>
              <w:pStyle w:val="85"/>
              <w:rPr>
                <w:rFonts w:hint="eastAsia"/>
              </w:rPr>
            </w:pPr>
            <w:r>
              <w:rPr>
                <w:rFonts w:hint="eastAsia"/>
              </w:rPr>
              <w:t xml:space="preserve">0 </w:t>
            </w:r>
          </w:p>
        </w:tc>
        <w:tc>
          <w:tcPr>
            <w:tcW w:w="297" w:type="pct"/>
            <w:shd w:val="clear" w:color="auto" w:fill="auto"/>
            <w:noWrap/>
            <w:vAlign w:val="center"/>
          </w:tcPr>
          <w:p>
            <w:pPr>
              <w:pStyle w:val="85"/>
              <w:rPr>
                <w:rFonts w:hint="eastAsia"/>
              </w:rPr>
            </w:pPr>
            <w:r>
              <w:rPr>
                <w:rFonts w:hint="eastAsia"/>
              </w:rPr>
              <w:t xml:space="preserve">0 </w:t>
            </w:r>
          </w:p>
        </w:tc>
        <w:tc>
          <w:tcPr>
            <w:tcW w:w="313" w:type="pct"/>
            <w:shd w:val="clear" w:color="auto" w:fill="auto"/>
            <w:noWrap/>
            <w:vAlign w:val="center"/>
          </w:tcPr>
          <w:p>
            <w:pPr>
              <w:pStyle w:val="85"/>
              <w:rPr>
                <w:rFonts w:hint="eastAsia"/>
              </w:rPr>
            </w:pPr>
            <w:r>
              <w:rPr>
                <w:rFonts w:hint="eastAsia"/>
              </w:rPr>
              <w:t xml:space="preserve">52 </w:t>
            </w:r>
          </w:p>
        </w:tc>
        <w:tc>
          <w:tcPr>
            <w:tcW w:w="466" w:type="pct"/>
            <w:shd w:val="clear" w:color="auto" w:fill="auto"/>
            <w:noWrap/>
            <w:vAlign w:val="center"/>
          </w:tcPr>
          <w:p>
            <w:pPr>
              <w:pStyle w:val="85"/>
              <w:rPr>
                <w:rFonts w:hint="eastAsia"/>
              </w:rPr>
            </w:pPr>
            <w:r>
              <w:rPr>
                <w:rFonts w:hint="eastAsia"/>
              </w:rPr>
              <w:t xml:space="preserve">0 </w:t>
            </w:r>
          </w:p>
        </w:tc>
        <w:tc>
          <w:tcPr>
            <w:tcW w:w="312" w:type="pct"/>
            <w:shd w:val="clear" w:color="auto" w:fill="auto"/>
            <w:noWrap/>
            <w:vAlign w:val="center"/>
          </w:tcPr>
          <w:p>
            <w:pPr>
              <w:pStyle w:val="85"/>
              <w:rPr>
                <w:rFonts w:hint="eastAsia"/>
              </w:rPr>
            </w:pPr>
            <w:r>
              <w:rPr>
                <w:rFonts w:hint="eastAsia"/>
              </w:rPr>
              <w:t xml:space="preserve">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shd w:val="clear" w:color="auto" w:fill="auto"/>
            <w:noWrap/>
            <w:vAlign w:val="center"/>
          </w:tcPr>
          <w:p>
            <w:pPr>
              <w:pStyle w:val="85"/>
              <w:rPr>
                <w:rFonts w:hint="eastAsia"/>
              </w:rPr>
            </w:pPr>
            <w:r>
              <w:rPr>
                <w:rFonts w:hint="eastAsia"/>
              </w:rPr>
              <w:t>P=75%</w:t>
            </w:r>
          </w:p>
        </w:tc>
        <w:tc>
          <w:tcPr>
            <w:tcW w:w="462" w:type="pct"/>
            <w:shd w:val="clear" w:color="auto" w:fill="auto"/>
            <w:noWrap/>
            <w:vAlign w:val="center"/>
          </w:tcPr>
          <w:p>
            <w:pPr>
              <w:pStyle w:val="85"/>
              <w:rPr>
                <w:rFonts w:hint="eastAsia"/>
              </w:rPr>
            </w:pPr>
            <w:r>
              <w:rPr>
                <w:rFonts w:hint="eastAsia"/>
              </w:rPr>
              <w:t xml:space="preserve">0 </w:t>
            </w:r>
          </w:p>
        </w:tc>
        <w:tc>
          <w:tcPr>
            <w:tcW w:w="462" w:type="pct"/>
            <w:shd w:val="clear" w:color="auto" w:fill="auto"/>
            <w:noWrap/>
            <w:vAlign w:val="center"/>
          </w:tcPr>
          <w:p>
            <w:pPr>
              <w:pStyle w:val="85"/>
              <w:rPr>
                <w:rFonts w:hint="eastAsia"/>
              </w:rPr>
            </w:pPr>
            <w:r>
              <w:rPr>
                <w:rFonts w:hint="eastAsia"/>
              </w:rPr>
              <w:t xml:space="preserve">5 </w:t>
            </w:r>
          </w:p>
        </w:tc>
        <w:tc>
          <w:tcPr>
            <w:tcW w:w="240" w:type="pct"/>
            <w:shd w:val="clear" w:color="auto" w:fill="auto"/>
            <w:noWrap/>
            <w:vAlign w:val="center"/>
          </w:tcPr>
          <w:p>
            <w:pPr>
              <w:pStyle w:val="85"/>
              <w:rPr>
                <w:rFonts w:hint="eastAsia"/>
              </w:rPr>
            </w:pPr>
            <w:r>
              <w:rPr>
                <w:rFonts w:hint="eastAsia"/>
              </w:rPr>
              <w:t xml:space="preserve">46 </w:t>
            </w:r>
          </w:p>
        </w:tc>
        <w:tc>
          <w:tcPr>
            <w:tcW w:w="248" w:type="pct"/>
            <w:shd w:val="clear" w:color="auto" w:fill="auto"/>
            <w:noWrap/>
            <w:vAlign w:val="center"/>
          </w:tcPr>
          <w:p>
            <w:pPr>
              <w:pStyle w:val="85"/>
              <w:rPr>
                <w:rFonts w:hint="eastAsia"/>
              </w:rPr>
            </w:pPr>
            <w:r>
              <w:rPr>
                <w:rFonts w:hint="eastAsia"/>
              </w:rPr>
              <w:t xml:space="preserve">0 </w:t>
            </w:r>
          </w:p>
        </w:tc>
        <w:tc>
          <w:tcPr>
            <w:tcW w:w="456" w:type="pct"/>
            <w:shd w:val="clear" w:color="auto" w:fill="auto"/>
            <w:noWrap/>
            <w:vAlign w:val="center"/>
          </w:tcPr>
          <w:p>
            <w:pPr>
              <w:pStyle w:val="85"/>
              <w:rPr>
                <w:rFonts w:hint="eastAsia"/>
              </w:rPr>
            </w:pPr>
            <w:r>
              <w:rPr>
                <w:rFonts w:hint="eastAsia"/>
              </w:rPr>
              <w:t>　</w:t>
            </w:r>
          </w:p>
        </w:tc>
        <w:tc>
          <w:tcPr>
            <w:tcW w:w="249" w:type="pct"/>
            <w:shd w:val="clear" w:color="auto" w:fill="auto"/>
            <w:noWrap/>
            <w:vAlign w:val="center"/>
          </w:tcPr>
          <w:p>
            <w:pPr>
              <w:pStyle w:val="85"/>
              <w:rPr>
                <w:rFonts w:hint="eastAsia"/>
              </w:rPr>
            </w:pPr>
            <w:r>
              <w:rPr>
                <w:rFonts w:hint="eastAsia"/>
              </w:rPr>
              <w:t xml:space="preserve">52 </w:t>
            </w:r>
          </w:p>
        </w:tc>
        <w:tc>
          <w:tcPr>
            <w:tcW w:w="312" w:type="pct"/>
            <w:shd w:val="clear" w:color="auto" w:fill="auto"/>
            <w:noWrap/>
            <w:vAlign w:val="center"/>
          </w:tcPr>
          <w:p>
            <w:pPr>
              <w:pStyle w:val="85"/>
              <w:rPr>
                <w:rFonts w:hint="eastAsia"/>
              </w:rPr>
            </w:pPr>
            <w:r>
              <w:rPr>
                <w:rFonts w:hint="eastAsia"/>
              </w:rPr>
              <w:t xml:space="preserve">0 </w:t>
            </w:r>
          </w:p>
        </w:tc>
        <w:tc>
          <w:tcPr>
            <w:tcW w:w="297" w:type="pct"/>
            <w:shd w:val="clear" w:color="auto" w:fill="auto"/>
            <w:noWrap/>
            <w:vAlign w:val="center"/>
          </w:tcPr>
          <w:p>
            <w:pPr>
              <w:pStyle w:val="85"/>
              <w:rPr>
                <w:rFonts w:hint="eastAsia"/>
              </w:rPr>
            </w:pPr>
            <w:r>
              <w:rPr>
                <w:rFonts w:hint="eastAsia"/>
              </w:rPr>
              <w:t xml:space="preserve">0 </w:t>
            </w:r>
          </w:p>
        </w:tc>
        <w:tc>
          <w:tcPr>
            <w:tcW w:w="297" w:type="pct"/>
            <w:shd w:val="clear" w:color="auto" w:fill="auto"/>
            <w:noWrap/>
            <w:vAlign w:val="center"/>
          </w:tcPr>
          <w:p>
            <w:pPr>
              <w:pStyle w:val="85"/>
              <w:rPr>
                <w:rFonts w:hint="eastAsia"/>
              </w:rPr>
            </w:pPr>
            <w:r>
              <w:rPr>
                <w:rFonts w:hint="eastAsia"/>
              </w:rPr>
              <w:t xml:space="preserve">0 </w:t>
            </w:r>
          </w:p>
        </w:tc>
        <w:tc>
          <w:tcPr>
            <w:tcW w:w="313" w:type="pct"/>
            <w:shd w:val="clear" w:color="auto" w:fill="auto"/>
            <w:noWrap/>
            <w:vAlign w:val="center"/>
          </w:tcPr>
          <w:p>
            <w:pPr>
              <w:pStyle w:val="85"/>
              <w:rPr>
                <w:rFonts w:hint="eastAsia"/>
              </w:rPr>
            </w:pPr>
            <w:r>
              <w:rPr>
                <w:rFonts w:hint="eastAsia"/>
              </w:rPr>
              <w:t xml:space="preserve">52 </w:t>
            </w:r>
          </w:p>
        </w:tc>
        <w:tc>
          <w:tcPr>
            <w:tcW w:w="466" w:type="pct"/>
            <w:shd w:val="clear" w:color="auto" w:fill="auto"/>
            <w:noWrap/>
            <w:vAlign w:val="center"/>
          </w:tcPr>
          <w:p>
            <w:pPr>
              <w:pStyle w:val="85"/>
              <w:rPr>
                <w:rFonts w:hint="eastAsia"/>
              </w:rPr>
            </w:pPr>
            <w:r>
              <w:rPr>
                <w:rFonts w:hint="eastAsia"/>
              </w:rPr>
              <w:t xml:space="preserve">0 </w:t>
            </w:r>
          </w:p>
        </w:tc>
        <w:tc>
          <w:tcPr>
            <w:tcW w:w="312" w:type="pct"/>
            <w:shd w:val="clear" w:color="auto" w:fill="auto"/>
            <w:noWrap/>
            <w:vAlign w:val="center"/>
          </w:tcPr>
          <w:p>
            <w:pPr>
              <w:pStyle w:val="85"/>
              <w:rPr>
                <w:rFonts w:hint="eastAsia"/>
              </w:rPr>
            </w:pPr>
            <w:r>
              <w:rPr>
                <w:rFonts w:hint="eastAsia"/>
              </w:rPr>
              <w:t xml:space="preserve">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shd w:val="clear" w:color="auto" w:fill="auto"/>
            <w:noWrap/>
            <w:vAlign w:val="center"/>
          </w:tcPr>
          <w:p>
            <w:pPr>
              <w:pStyle w:val="85"/>
              <w:rPr>
                <w:rFonts w:hint="eastAsia"/>
              </w:rPr>
            </w:pPr>
            <w:r>
              <w:rPr>
                <w:rFonts w:hint="eastAsia"/>
              </w:rPr>
              <w:t>P=95%</w:t>
            </w:r>
          </w:p>
        </w:tc>
        <w:tc>
          <w:tcPr>
            <w:tcW w:w="462" w:type="pct"/>
            <w:shd w:val="clear" w:color="auto" w:fill="auto"/>
            <w:noWrap/>
            <w:vAlign w:val="center"/>
          </w:tcPr>
          <w:p>
            <w:pPr>
              <w:pStyle w:val="85"/>
              <w:rPr>
                <w:rFonts w:hint="eastAsia"/>
              </w:rPr>
            </w:pPr>
            <w:r>
              <w:rPr>
                <w:rFonts w:hint="eastAsia"/>
              </w:rPr>
              <w:t xml:space="preserve">0 </w:t>
            </w:r>
          </w:p>
        </w:tc>
        <w:tc>
          <w:tcPr>
            <w:tcW w:w="462" w:type="pct"/>
            <w:shd w:val="clear" w:color="auto" w:fill="auto"/>
            <w:noWrap/>
            <w:vAlign w:val="center"/>
          </w:tcPr>
          <w:p>
            <w:pPr>
              <w:pStyle w:val="85"/>
              <w:rPr>
                <w:rFonts w:hint="eastAsia"/>
              </w:rPr>
            </w:pPr>
            <w:r>
              <w:rPr>
                <w:rFonts w:hint="eastAsia"/>
              </w:rPr>
              <w:t xml:space="preserve">5 </w:t>
            </w:r>
          </w:p>
        </w:tc>
        <w:tc>
          <w:tcPr>
            <w:tcW w:w="240" w:type="pct"/>
            <w:shd w:val="clear" w:color="auto" w:fill="auto"/>
            <w:noWrap/>
            <w:vAlign w:val="center"/>
          </w:tcPr>
          <w:p>
            <w:pPr>
              <w:pStyle w:val="85"/>
              <w:rPr>
                <w:rFonts w:hint="eastAsia"/>
              </w:rPr>
            </w:pPr>
            <w:r>
              <w:rPr>
                <w:rFonts w:hint="eastAsia"/>
              </w:rPr>
              <w:t xml:space="preserve">46 </w:t>
            </w:r>
          </w:p>
        </w:tc>
        <w:tc>
          <w:tcPr>
            <w:tcW w:w="248" w:type="pct"/>
            <w:shd w:val="clear" w:color="auto" w:fill="auto"/>
            <w:noWrap/>
            <w:vAlign w:val="center"/>
          </w:tcPr>
          <w:p>
            <w:pPr>
              <w:pStyle w:val="85"/>
              <w:rPr>
                <w:rFonts w:hint="eastAsia"/>
              </w:rPr>
            </w:pPr>
            <w:r>
              <w:rPr>
                <w:rFonts w:hint="eastAsia"/>
              </w:rPr>
              <w:t xml:space="preserve">0 </w:t>
            </w:r>
          </w:p>
        </w:tc>
        <w:tc>
          <w:tcPr>
            <w:tcW w:w="456" w:type="pct"/>
            <w:shd w:val="clear" w:color="auto" w:fill="auto"/>
            <w:noWrap/>
            <w:vAlign w:val="center"/>
          </w:tcPr>
          <w:p>
            <w:pPr>
              <w:pStyle w:val="85"/>
              <w:rPr>
                <w:rFonts w:hint="eastAsia"/>
              </w:rPr>
            </w:pPr>
            <w:r>
              <w:rPr>
                <w:rFonts w:hint="eastAsia"/>
              </w:rPr>
              <w:t>　</w:t>
            </w:r>
          </w:p>
        </w:tc>
        <w:tc>
          <w:tcPr>
            <w:tcW w:w="249" w:type="pct"/>
            <w:shd w:val="clear" w:color="auto" w:fill="auto"/>
            <w:noWrap/>
            <w:vAlign w:val="center"/>
          </w:tcPr>
          <w:p>
            <w:pPr>
              <w:pStyle w:val="85"/>
              <w:rPr>
                <w:rFonts w:hint="eastAsia"/>
              </w:rPr>
            </w:pPr>
            <w:r>
              <w:rPr>
                <w:rFonts w:hint="eastAsia"/>
              </w:rPr>
              <w:t xml:space="preserve">52 </w:t>
            </w:r>
          </w:p>
        </w:tc>
        <w:tc>
          <w:tcPr>
            <w:tcW w:w="312" w:type="pct"/>
            <w:shd w:val="clear" w:color="auto" w:fill="auto"/>
            <w:noWrap/>
            <w:vAlign w:val="center"/>
          </w:tcPr>
          <w:p>
            <w:pPr>
              <w:pStyle w:val="85"/>
              <w:rPr>
                <w:rFonts w:hint="eastAsia"/>
              </w:rPr>
            </w:pPr>
            <w:r>
              <w:rPr>
                <w:rFonts w:hint="eastAsia"/>
              </w:rPr>
              <w:t xml:space="preserve">0 </w:t>
            </w:r>
          </w:p>
        </w:tc>
        <w:tc>
          <w:tcPr>
            <w:tcW w:w="297" w:type="pct"/>
            <w:shd w:val="clear" w:color="auto" w:fill="auto"/>
            <w:noWrap/>
            <w:vAlign w:val="center"/>
          </w:tcPr>
          <w:p>
            <w:pPr>
              <w:pStyle w:val="85"/>
              <w:rPr>
                <w:rFonts w:hint="eastAsia"/>
              </w:rPr>
            </w:pPr>
            <w:r>
              <w:rPr>
                <w:rFonts w:hint="eastAsia"/>
              </w:rPr>
              <w:t xml:space="preserve">0 </w:t>
            </w:r>
          </w:p>
        </w:tc>
        <w:tc>
          <w:tcPr>
            <w:tcW w:w="297" w:type="pct"/>
            <w:shd w:val="clear" w:color="auto" w:fill="auto"/>
            <w:noWrap/>
            <w:vAlign w:val="center"/>
          </w:tcPr>
          <w:p>
            <w:pPr>
              <w:pStyle w:val="85"/>
              <w:rPr>
                <w:rFonts w:hint="eastAsia"/>
              </w:rPr>
            </w:pPr>
            <w:r>
              <w:rPr>
                <w:rFonts w:hint="eastAsia"/>
              </w:rPr>
              <w:t xml:space="preserve">0 </w:t>
            </w:r>
          </w:p>
        </w:tc>
        <w:tc>
          <w:tcPr>
            <w:tcW w:w="313" w:type="pct"/>
            <w:shd w:val="clear" w:color="auto" w:fill="auto"/>
            <w:noWrap/>
            <w:vAlign w:val="center"/>
          </w:tcPr>
          <w:p>
            <w:pPr>
              <w:pStyle w:val="85"/>
              <w:rPr>
                <w:rFonts w:hint="eastAsia"/>
              </w:rPr>
            </w:pPr>
            <w:r>
              <w:rPr>
                <w:rFonts w:hint="eastAsia"/>
              </w:rPr>
              <w:t xml:space="preserve">52 </w:t>
            </w:r>
          </w:p>
        </w:tc>
        <w:tc>
          <w:tcPr>
            <w:tcW w:w="466" w:type="pct"/>
            <w:shd w:val="clear" w:color="auto" w:fill="auto"/>
            <w:noWrap/>
            <w:vAlign w:val="center"/>
          </w:tcPr>
          <w:p>
            <w:pPr>
              <w:pStyle w:val="85"/>
              <w:rPr>
                <w:rFonts w:hint="eastAsia"/>
              </w:rPr>
            </w:pPr>
            <w:r>
              <w:rPr>
                <w:rFonts w:hint="eastAsia"/>
              </w:rPr>
              <w:t xml:space="preserve">0 </w:t>
            </w:r>
          </w:p>
        </w:tc>
        <w:tc>
          <w:tcPr>
            <w:tcW w:w="312" w:type="pct"/>
            <w:shd w:val="clear" w:color="auto" w:fill="auto"/>
            <w:noWrap/>
            <w:vAlign w:val="center"/>
          </w:tcPr>
          <w:p>
            <w:pPr>
              <w:pStyle w:val="85"/>
              <w:rPr>
                <w:rFonts w:hint="eastAsia"/>
              </w:rPr>
            </w:pPr>
            <w:r>
              <w:rPr>
                <w:rFonts w:hint="eastAsia"/>
              </w:rPr>
              <w:t xml:space="preserve">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restart"/>
            <w:shd w:val="clear" w:color="auto" w:fill="auto"/>
            <w:noWrap/>
            <w:vAlign w:val="center"/>
          </w:tcPr>
          <w:p>
            <w:pPr>
              <w:pStyle w:val="85"/>
              <w:rPr>
                <w:rFonts w:hint="eastAsia"/>
              </w:rPr>
            </w:pPr>
            <w:r>
              <w:rPr>
                <w:rFonts w:hint="eastAsia"/>
              </w:rPr>
              <w:t>合计</w:t>
            </w:r>
          </w:p>
        </w:tc>
        <w:tc>
          <w:tcPr>
            <w:tcW w:w="400" w:type="pct"/>
            <w:shd w:val="clear" w:color="auto" w:fill="auto"/>
            <w:noWrap/>
            <w:vAlign w:val="center"/>
          </w:tcPr>
          <w:p>
            <w:pPr>
              <w:pStyle w:val="85"/>
              <w:rPr>
                <w:rFonts w:hint="eastAsia"/>
              </w:rPr>
            </w:pPr>
            <w:r>
              <w:rPr>
                <w:rFonts w:hint="eastAsia"/>
              </w:rPr>
              <w:t>多年平均</w:t>
            </w:r>
          </w:p>
        </w:tc>
        <w:tc>
          <w:tcPr>
            <w:tcW w:w="462" w:type="pct"/>
            <w:shd w:val="clear" w:color="auto" w:fill="auto"/>
            <w:noWrap/>
            <w:vAlign w:val="center"/>
          </w:tcPr>
          <w:p>
            <w:pPr>
              <w:pStyle w:val="85"/>
              <w:rPr>
                <w:rFonts w:hint="eastAsia"/>
              </w:rPr>
            </w:pPr>
            <w:r>
              <w:rPr>
                <w:rFonts w:hint="eastAsia"/>
              </w:rPr>
              <w:t xml:space="preserve">1539 </w:t>
            </w:r>
          </w:p>
        </w:tc>
        <w:tc>
          <w:tcPr>
            <w:tcW w:w="462" w:type="pct"/>
            <w:shd w:val="clear" w:color="auto" w:fill="auto"/>
            <w:noWrap/>
            <w:vAlign w:val="center"/>
          </w:tcPr>
          <w:p>
            <w:pPr>
              <w:pStyle w:val="85"/>
              <w:rPr>
                <w:rFonts w:hint="eastAsia"/>
              </w:rPr>
            </w:pPr>
            <w:r>
              <w:rPr>
                <w:rFonts w:hint="eastAsia"/>
              </w:rPr>
              <w:t xml:space="preserve">267 </w:t>
            </w:r>
          </w:p>
        </w:tc>
        <w:tc>
          <w:tcPr>
            <w:tcW w:w="240" w:type="pct"/>
            <w:shd w:val="clear" w:color="auto" w:fill="auto"/>
            <w:noWrap/>
            <w:vAlign w:val="center"/>
          </w:tcPr>
          <w:p>
            <w:pPr>
              <w:pStyle w:val="85"/>
              <w:rPr>
                <w:rFonts w:hint="eastAsia"/>
              </w:rPr>
            </w:pPr>
            <w:r>
              <w:rPr>
                <w:rFonts w:hint="eastAsia"/>
              </w:rPr>
              <w:t xml:space="preserve">659 </w:t>
            </w:r>
          </w:p>
        </w:tc>
        <w:tc>
          <w:tcPr>
            <w:tcW w:w="248" w:type="pct"/>
            <w:shd w:val="clear" w:color="auto" w:fill="auto"/>
            <w:noWrap/>
            <w:vAlign w:val="center"/>
          </w:tcPr>
          <w:p>
            <w:pPr>
              <w:pStyle w:val="85"/>
              <w:rPr>
                <w:rFonts w:hint="eastAsia"/>
              </w:rPr>
            </w:pPr>
            <w:r>
              <w:rPr>
                <w:rFonts w:hint="eastAsia"/>
              </w:rPr>
              <w:t xml:space="preserve">3602 </w:t>
            </w:r>
          </w:p>
        </w:tc>
        <w:tc>
          <w:tcPr>
            <w:tcW w:w="456" w:type="pct"/>
            <w:shd w:val="clear" w:color="auto" w:fill="auto"/>
            <w:noWrap/>
            <w:vAlign w:val="center"/>
          </w:tcPr>
          <w:p>
            <w:pPr>
              <w:pStyle w:val="85"/>
              <w:rPr>
                <w:rFonts w:hint="eastAsia"/>
              </w:rPr>
            </w:pPr>
            <w:r>
              <w:rPr>
                <w:rFonts w:hint="eastAsia"/>
              </w:rPr>
              <w:t xml:space="preserve">2450 </w:t>
            </w:r>
          </w:p>
        </w:tc>
        <w:tc>
          <w:tcPr>
            <w:tcW w:w="249" w:type="pct"/>
            <w:shd w:val="clear" w:color="auto" w:fill="auto"/>
            <w:noWrap/>
            <w:vAlign w:val="center"/>
          </w:tcPr>
          <w:p>
            <w:pPr>
              <w:pStyle w:val="85"/>
              <w:rPr>
                <w:rFonts w:hint="eastAsia"/>
              </w:rPr>
            </w:pPr>
            <w:r>
              <w:rPr>
                <w:rFonts w:hint="eastAsia"/>
              </w:rPr>
              <w:t xml:space="preserve">8516 </w:t>
            </w:r>
          </w:p>
        </w:tc>
        <w:tc>
          <w:tcPr>
            <w:tcW w:w="312" w:type="pct"/>
            <w:shd w:val="clear" w:color="auto" w:fill="auto"/>
            <w:noWrap/>
            <w:vAlign w:val="center"/>
          </w:tcPr>
          <w:p>
            <w:pPr>
              <w:pStyle w:val="85"/>
              <w:rPr>
                <w:rFonts w:hint="eastAsia"/>
              </w:rPr>
            </w:pPr>
            <w:r>
              <w:rPr>
                <w:rFonts w:hint="eastAsia"/>
              </w:rPr>
              <w:t xml:space="preserve">2928 </w:t>
            </w:r>
          </w:p>
        </w:tc>
        <w:tc>
          <w:tcPr>
            <w:tcW w:w="297" w:type="pct"/>
            <w:shd w:val="clear" w:color="auto" w:fill="auto"/>
            <w:noWrap/>
            <w:vAlign w:val="center"/>
          </w:tcPr>
          <w:p>
            <w:pPr>
              <w:pStyle w:val="85"/>
              <w:rPr>
                <w:rFonts w:hint="eastAsia"/>
              </w:rPr>
            </w:pPr>
            <w:r>
              <w:rPr>
                <w:rFonts w:hint="eastAsia"/>
              </w:rPr>
              <w:t xml:space="preserve">455 </w:t>
            </w:r>
          </w:p>
        </w:tc>
        <w:tc>
          <w:tcPr>
            <w:tcW w:w="297" w:type="pct"/>
            <w:shd w:val="clear" w:color="auto" w:fill="auto"/>
            <w:noWrap/>
            <w:vAlign w:val="center"/>
          </w:tcPr>
          <w:p>
            <w:pPr>
              <w:pStyle w:val="85"/>
              <w:rPr>
                <w:rFonts w:hint="eastAsia"/>
              </w:rPr>
            </w:pPr>
            <w:r>
              <w:rPr>
                <w:rFonts w:hint="eastAsia"/>
              </w:rPr>
              <w:t xml:space="preserve">443 </w:t>
            </w:r>
          </w:p>
        </w:tc>
        <w:tc>
          <w:tcPr>
            <w:tcW w:w="313" w:type="pct"/>
            <w:shd w:val="clear" w:color="auto" w:fill="auto"/>
            <w:noWrap/>
            <w:vAlign w:val="center"/>
          </w:tcPr>
          <w:p>
            <w:pPr>
              <w:pStyle w:val="85"/>
              <w:rPr>
                <w:rFonts w:hint="eastAsia"/>
              </w:rPr>
            </w:pPr>
            <w:r>
              <w:rPr>
                <w:rFonts w:hint="eastAsia"/>
              </w:rPr>
              <w:t xml:space="preserve">3664 </w:t>
            </w:r>
          </w:p>
        </w:tc>
        <w:tc>
          <w:tcPr>
            <w:tcW w:w="466" w:type="pct"/>
            <w:shd w:val="clear" w:color="auto" w:fill="auto"/>
            <w:noWrap/>
            <w:vAlign w:val="center"/>
          </w:tcPr>
          <w:p>
            <w:pPr>
              <w:pStyle w:val="85"/>
              <w:rPr>
                <w:rFonts w:hint="eastAsia"/>
              </w:rPr>
            </w:pPr>
            <w:r>
              <w:rPr>
                <w:rFonts w:hint="eastAsia"/>
              </w:rPr>
              <w:t xml:space="preserve">991 </w:t>
            </w:r>
          </w:p>
        </w:tc>
        <w:tc>
          <w:tcPr>
            <w:tcW w:w="312" w:type="pct"/>
            <w:shd w:val="clear" w:color="auto" w:fill="auto"/>
            <w:noWrap/>
            <w:vAlign w:val="center"/>
          </w:tcPr>
          <w:p>
            <w:pPr>
              <w:pStyle w:val="85"/>
              <w:rPr>
                <w:rFonts w:hint="eastAsia"/>
              </w:rPr>
            </w:pPr>
            <w:r>
              <w:rPr>
                <w:rFonts w:hint="eastAsia"/>
              </w:rPr>
              <w:t xml:space="preserve">8481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shd w:val="clear" w:color="auto" w:fill="auto"/>
            <w:noWrap/>
            <w:vAlign w:val="center"/>
          </w:tcPr>
          <w:p>
            <w:pPr>
              <w:pStyle w:val="85"/>
              <w:rPr>
                <w:rFonts w:hint="eastAsia"/>
              </w:rPr>
            </w:pPr>
            <w:r>
              <w:rPr>
                <w:rFonts w:hint="eastAsia"/>
              </w:rPr>
              <w:t>P=75%</w:t>
            </w:r>
          </w:p>
        </w:tc>
        <w:tc>
          <w:tcPr>
            <w:tcW w:w="462" w:type="pct"/>
            <w:shd w:val="clear" w:color="auto" w:fill="auto"/>
            <w:noWrap/>
            <w:vAlign w:val="center"/>
          </w:tcPr>
          <w:p>
            <w:pPr>
              <w:pStyle w:val="85"/>
              <w:rPr>
                <w:rFonts w:hint="eastAsia"/>
              </w:rPr>
            </w:pPr>
            <w:r>
              <w:rPr>
                <w:rFonts w:hint="eastAsia"/>
              </w:rPr>
              <w:t xml:space="preserve">1539 </w:t>
            </w:r>
          </w:p>
        </w:tc>
        <w:tc>
          <w:tcPr>
            <w:tcW w:w="462" w:type="pct"/>
            <w:shd w:val="clear" w:color="auto" w:fill="auto"/>
            <w:noWrap/>
            <w:vAlign w:val="center"/>
          </w:tcPr>
          <w:p>
            <w:pPr>
              <w:pStyle w:val="85"/>
              <w:rPr>
                <w:rFonts w:hint="eastAsia"/>
              </w:rPr>
            </w:pPr>
            <w:r>
              <w:rPr>
                <w:rFonts w:hint="eastAsia"/>
              </w:rPr>
              <w:t xml:space="preserve">267 </w:t>
            </w:r>
          </w:p>
        </w:tc>
        <w:tc>
          <w:tcPr>
            <w:tcW w:w="240" w:type="pct"/>
            <w:shd w:val="clear" w:color="auto" w:fill="auto"/>
            <w:noWrap/>
            <w:vAlign w:val="center"/>
          </w:tcPr>
          <w:p>
            <w:pPr>
              <w:pStyle w:val="85"/>
              <w:rPr>
                <w:rFonts w:hint="eastAsia"/>
              </w:rPr>
            </w:pPr>
            <w:r>
              <w:rPr>
                <w:rFonts w:hint="eastAsia"/>
              </w:rPr>
              <w:t xml:space="preserve">659 </w:t>
            </w:r>
          </w:p>
        </w:tc>
        <w:tc>
          <w:tcPr>
            <w:tcW w:w="248" w:type="pct"/>
            <w:shd w:val="clear" w:color="auto" w:fill="auto"/>
            <w:noWrap/>
            <w:vAlign w:val="center"/>
          </w:tcPr>
          <w:p>
            <w:pPr>
              <w:pStyle w:val="85"/>
              <w:rPr>
                <w:rFonts w:hint="eastAsia"/>
              </w:rPr>
            </w:pPr>
            <w:r>
              <w:rPr>
                <w:rFonts w:hint="eastAsia"/>
              </w:rPr>
              <w:t xml:space="preserve">3753 </w:t>
            </w:r>
          </w:p>
        </w:tc>
        <w:tc>
          <w:tcPr>
            <w:tcW w:w="456" w:type="pct"/>
            <w:shd w:val="clear" w:color="auto" w:fill="auto"/>
            <w:noWrap/>
            <w:vAlign w:val="center"/>
          </w:tcPr>
          <w:p>
            <w:pPr>
              <w:pStyle w:val="85"/>
              <w:rPr>
                <w:rFonts w:hint="eastAsia"/>
              </w:rPr>
            </w:pPr>
            <w:r>
              <w:rPr>
                <w:rFonts w:hint="eastAsia"/>
              </w:rPr>
              <w:t xml:space="preserve">2450 </w:t>
            </w:r>
          </w:p>
        </w:tc>
        <w:tc>
          <w:tcPr>
            <w:tcW w:w="249" w:type="pct"/>
            <w:shd w:val="clear" w:color="auto" w:fill="auto"/>
            <w:noWrap/>
            <w:vAlign w:val="center"/>
          </w:tcPr>
          <w:p>
            <w:pPr>
              <w:pStyle w:val="85"/>
              <w:rPr>
                <w:rFonts w:hint="eastAsia"/>
              </w:rPr>
            </w:pPr>
            <w:r>
              <w:rPr>
                <w:rFonts w:hint="eastAsia"/>
              </w:rPr>
              <w:t xml:space="preserve">8667 </w:t>
            </w:r>
          </w:p>
        </w:tc>
        <w:tc>
          <w:tcPr>
            <w:tcW w:w="312" w:type="pct"/>
            <w:shd w:val="clear" w:color="auto" w:fill="auto"/>
            <w:noWrap/>
            <w:vAlign w:val="center"/>
          </w:tcPr>
          <w:p>
            <w:pPr>
              <w:pStyle w:val="85"/>
              <w:rPr>
                <w:rFonts w:hint="eastAsia"/>
              </w:rPr>
            </w:pPr>
            <w:r>
              <w:rPr>
                <w:rFonts w:hint="eastAsia"/>
              </w:rPr>
              <w:t xml:space="preserve">2982 </w:t>
            </w:r>
          </w:p>
        </w:tc>
        <w:tc>
          <w:tcPr>
            <w:tcW w:w="297" w:type="pct"/>
            <w:shd w:val="clear" w:color="auto" w:fill="auto"/>
            <w:noWrap/>
            <w:vAlign w:val="center"/>
          </w:tcPr>
          <w:p>
            <w:pPr>
              <w:pStyle w:val="85"/>
              <w:rPr>
                <w:rFonts w:hint="eastAsia"/>
              </w:rPr>
            </w:pPr>
            <w:r>
              <w:rPr>
                <w:rFonts w:hint="eastAsia"/>
              </w:rPr>
              <w:t xml:space="preserve">468 </w:t>
            </w:r>
          </w:p>
        </w:tc>
        <w:tc>
          <w:tcPr>
            <w:tcW w:w="297" w:type="pct"/>
            <w:shd w:val="clear" w:color="auto" w:fill="auto"/>
            <w:noWrap/>
            <w:vAlign w:val="center"/>
          </w:tcPr>
          <w:p>
            <w:pPr>
              <w:pStyle w:val="85"/>
              <w:rPr>
                <w:rFonts w:hint="eastAsia"/>
              </w:rPr>
            </w:pPr>
            <w:r>
              <w:rPr>
                <w:rFonts w:hint="eastAsia"/>
              </w:rPr>
              <w:t xml:space="preserve">350 </w:t>
            </w:r>
          </w:p>
        </w:tc>
        <w:tc>
          <w:tcPr>
            <w:tcW w:w="313" w:type="pct"/>
            <w:shd w:val="clear" w:color="auto" w:fill="auto"/>
            <w:noWrap/>
            <w:vAlign w:val="center"/>
          </w:tcPr>
          <w:p>
            <w:pPr>
              <w:pStyle w:val="85"/>
              <w:rPr>
                <w:rFonts w:hint="eastAsia"/>
              </w:rPr>
            </w:pPr>
            <w:r>
              <w:rPr>
                <w:rFonts w:hint="eastAsia"/>
              </w:rPr>
              <w:t xml:space="preserve">3664 </w:t>
            </w:r>
          </w:p>
        </w:tc>
        <w:tc>
          <w:tcPr>
            <w:tcW w:w="466" w:type="pct"/>
            <w:shd w:val="clear" w:color="auto" w:fill="auto"/>
            <w:noWrap/>
            <w:vAlign w:val="center"/>
          </w:tcPr>
          <w:p>
            <w:pPr>
              <w:pStyle w:val="85"/>
              <w:rPr>
                <w:rFonts w:hint="eastAsia"/>
              </w:rPr>
            </w:pPr>
            <w:r>
              <w:rPr>
                <w:rFonts w:hint="eastAsia"/>
              </w:rPr>
              <w:t xml:space="preserve">1138 </w:t>
            </w:r>
          </w:p>
        </w:tc>
        <w:tc>
          <w:tcPr>
            <w:tcW w:w="312" w:type="pct"/>
            <w:shd w:val="clear" w:color="auto" w:fill="auto"/>
            <w:noWrap/>
            <w:vAlign w:val="center"/>
          </w:tcPr>
          <w:p>
            <w:pPr>
              <w:pStyle w:val="85"/>
              <w:rPr>
                <w:rFonts w:hint="eastAsia"/>
              </w:rPr>
            </w:pPr>
            <w:r>
              <w:rPr>
                <w:rFonts w:hint="eastAsia"/>
              </w:rPr>
              <w:t xml:space="preserve">8602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pct"/>
          <w:trHeight w:val="276" w:hRule="atLeast"/>
          <w:jc w:val="center"/>
        </w:trPr>
        <w:tc>
          <w:tcPr>
            <w:tcW w:w="481" w:type="pct"/>
            <w:vMerge w:val="continue"/>
            <w:vAlign w:val="center"/>
          </w:tcPr>
          <w:p>
            <w:pPr>
              <w:pStyle w:val="85"/>
            </w:pPr>
          </w:p>
        </w:tc>
        <w:tc>
          <w:tcPr>
            <w:tcW w:w="400" w:type="pct"/>
            <w:shd w:val="clear" w:color="auto" w:fill="auto"/>
            <w:noWrap/>
            <w:vAlign w:val="center"/>
          </w:tcPr>
          <w:p>
            <w:pPr>
              <w:pStyle w:val="85"/>
              <w:rPr>
                <w:rFonts w:hint="eastAsia"/>
              </w:rPr>
            </w:pPr>
            <w:r>
              <w:rPr>
                <w:rFonts w:hint="eastAsia"/>
              </w:rPr>
              <w:t>P=95%</w:t>
            </w:r>
          </w:p>
        </w:tc>
        <w:tc>
          <w:tcPr>
            <w:tcW w:w="462" w:type="pct"/>
            <w:shd w:val="clear" w:color="auto" w:fill="auto"/>
            <w:noWrap/>
            <w:vAlign w:val="center"/>
          </w:tcPr>
          <w:p>
            <w:pPr>
              <w:pStyle w:val="85"/>
              <w:rPr>
                <w:rFonts w:hint="eastAsia"/>
              </w:rPr>
            </w:pPr>
            <w:r>
              <w:rPr>
                <w:rFonts w:hint="eastAsia"/>
              </w:rPr>
              <w:t xml:space="preserve">1539 </w:t>
            </w:r>
          </w:p>
        </w:tc>
        <w:tc>
          <w:tcPr>
            <w:tcW w:w="462" w:type="pct"/>
            <w:shd w:val="clear" w:color="auto" w:fill="auto"/>
            <w:noWrap/>
            <w:vAlign w:val="center"/>
          </w:tcPr>
          <w:p>
            <w:pPr>
              <w:pStyle w:val="85"/>
              <w:rPr>
                <w:rFonts w:hint="eastAsia"/>
              </w:rPr>
            </w:pPr>
            <w:r>
              <w:rPr>
                <w:rFonts w:hint="eastAsia"/>
              </w:rPr>
              <w:t xml:space="preserve">267 </w:t>
            </w:r>
          </w:p>
        </w:tc>
        <w:tc>
          <w:tcPr>
            <w:tcW w:w="240" w:type="pct"/>
            <w:shd w:val="clear" w:color="auto" w:fill="auto"/>
            <w:noWrap/>
            <w:vAlign w:val="center"/>
          </w:tcPr>
          <w:p>
            <w:pPr>
              <w:pStyle w:val="85"/>
              <w:rPr>
                <w:rFonts w:hint="eastAsia"/>
              </w:rPr>
            </w:pPr>
            <w:r>
              <w:rPr>
                <w:rFonts w:hint="eastAsia"/>
              </w:rPr>
              <w:t xml:space="preserve">659 </w:t>
            </w:r>
          </w:p>
        </w:tc>
        <w:tc>
          <w:tcPr>
            <w:tcW w:w="248" w:type="pct"/>
            <w:shd w:val="clear" w:color="auto" w:fill="auto"/>
            <w:noWrap/>
            <w:vAlign w:val="center"/>
          </w:tcPr>
          <w:p>
            <w:pPr>
              <w:pStyle w:val="85"/>
              <w:rPr>
                <w:rFonts w:hint="eastAsia"/>
              </w:rPr>
            </w:pPr>
            <w:r>
              <w:rPr>
                <w:rFonts w:hint="eastAsia"/>
              </w:rPr>
              <w:t xml:space="preserve">4382 </w:t>
            </w:r>
          </w:p>
        </w:tc>
        <w:tc>
          <w:tcPr>
            <w:tcW w:w="456" w:type="pct"/>
            <w:shd w:val="clear" w:color="auto" w:fill="auto"/>
            <w:noWrap/>
            <w:vAlign w:val="center"/>
          </w:tcPr>
          <w:p>
            <w:pPr>
              <w:pStyle w:val="85"/>
              <w:rPr>
                <w:rFonts w:hint="eastAsia"/>
              </w:rPr>
            </w:pPr>
            <w:r>
              <w:rPr>
                <w:rFonts w:hint="eastAsia"/>
              </w:rPr>
              <w:t xml:space="preserve">2450 </w:t>
            </w:r>
          </w:p>
        </w:tc>
        <w:tc>
          <w:tcPr>
            <w:tcW w:w="249" w:type="pct"/>
            <w:shd w:val="clear" w:color="auto" w:fill="auto"/>
            <w:noWrap/>
            <w:vAlign w:val="center"/>
          </w:tcPr>
          <w:p>
            <w:pPr>
              <w:pStyle w:val="85"/>
              <w:rPr>
                <w:rFonts w:hint="eastAsia"/>
              </w:rPr>
            </w:pPr>
            <w:r>
              <w:rPr>
                <w:rFonts w:hint="eastAsia"/>
              </w:rPr>
              <w:t xml:space="preserve">9296 </w:t>
            </w:r>
          </w:p>
        </w:tc>
        <w:tc>
          <w:tcPr>
            <w:tcW w:w="312" w:type="pct"/>
            <w:shd w:val="clear" w:color="auto" w:fill="auto"/>
            <w:noWrap/>
            <w:vAlign w:val="center"/>
          </w:tcPr>
          <w:p>
            <w:pPr>
              <w:pStyle w:val="85"/>
              <w:rPr>
                <w:rFonts w:hint="eastAsia"/>
              </w:rPr>
            </w:pPr>
            <w:r>
              <w:rPr>
                <w:rFonts w:hint="eastAsia"/>
              </w:rPr>
              <w:t xml:space="preserve">2841 </w:t>
            </w:r>
          </w:p>
        </w:tc>
        <w:tc>
          <w:tcPr>
            <w:tcW w:w="297" w:type="pct"/>
            <w:shd w:val="clear" w:color="auto" w:fill="auto"/>
            <w:noWrap/>
            <w:vAlign w:val="center"/>
          </w:tcPr>
          <w:p>
            <w:pPr>
              <w:pStyle w:val="85"/>
              <w:rPr>
                <w:rFonts w:hint="eastAsia"/>
              </w:rPr>
            </w:pPr>
            <w:r>
              <w:rPr>
                <w:rFonts w:hint="eastAsia"/>
              </w:rPr>
              <w:t xml:space="preserve">718 </w:t>
            </w:r>
          </w:p>
        </w:tc>
        <w:tc>
          <w:tcPr>
            <w:tcW w:w="297" w:type="pct"/>
            <w:shd w:val="clear" w:color="auto" w:fill="auto"/>
            <w:noWrap/>
            <w:vAlign w:val="center"/>
          </w:tcPr>
          <w:p>
            <w:pPr>
              <w:pStyle w:val="85"/>
              <w:rPr>
                <w:rFonts w:hint="eastAsia"/>
              </w:rPr>
            </w:pPr>
            <w:r>
              <w:rPr>
                <w:rFonts w:hint="eastAsia"/>
              </w:rPr>
              <w:t xml:space="preserve">345 </w:t>
            </w:r>
          </w:p>
        </w:tc>
        <w:tc>
          <w:tcPr>
            <w:tcW w:w="313" w:type="pct"/>
            <w:shd w:val="clear" w:color="auto" w:fill="auto"/>
            <w:noWrap/>
            <w:vAlign w:val="center"/>
          </w:tcPr>
          <w:p>
            <w:pPr>
              <w:pStyle w:val="85"/>
              <w:rPr>
                <w:rFonts w:hint="eastAsia"/>
              </w:rPr>
            </w:pPr>
            <w:r>
              <w:rPr>
                <w:rFonts w:hint="eastAsia"/>
              </w:rPr>
              <w:t xml:space="preserve">3664 </w:t>
            </w:r>
          </w:p>
        </w:tc>
        <w:tc>
          <w:tcPr>
            <w:tcW w:w="466" w:type="pct"/>
            <w:shd w:val="clear" w:color="auto" w:fill="auto"/>
            <w:noWrap/>
            <w:vAlign w:val="center"/>
          </w:tcPr>
          <w:p>
            <w:pPr>
              <w:pStyle w:val="85"/>
              <w:rPr>
                <w:rFonts w:hint="eastAsia"/>
              </w:rPr>
            </w:pPr>
            <w:r>
              <w:rPr>
                <w:rFonts w:hint="eastAsia"/>
              </w:rPr>
              <w:t xml:space="preserve">1036 </w:t>
            </w:r>
          </w:p>
        </w:tc>
        <w:tc>
          <w:tcPr>
            <w:tcW w:w="312" w:type="pct"/>
            <w:shd w:val="clear" w:color="auto" w:fill="auto"/>
            <w:noWrap/>
            <w:vAlign w:val="center"/>
          </w:tcPr>
          <w:p>
            <w:pPr>
              <w:pStyle w:val="85"/>
              <w:rPr>
                <w:rFonts w:hint="eastAsia"/>
              </w:rPr>
            </w:pPr>
            <w:r>
              <w:rPr>
                <w:rFonts w:hint="eastAsia"/>
              </w:rPr>
              <w:t xml:space="preserve">8604 </w:t>
            </w:r>
          </w:p>
        </w:tc>
      </w:tr>
    </w:tbl>
    <w:p>
      <w:pPr>
        <w:pStyle w:val="4"/>
      </w:pPr>
    </w:p>
    <w:p>
      <w:pPr>
        <w:pStyle w:val="4"/>
      </w:pPr>
    </w:p>
    <w:p>
      <w:pPr>
        <w:pStyle w:val="4"/>
      </w:pPr>
    </w:p>
    <w:p>
      <w:pPr>
        <w:pStyle w:val="4"/>
      </w:pPr>
    </w:p>
    <w:p>
      <w:pPr>
        <w:pStyle w:val="17"/>
        <w:ind w:firstLine="576"/>
        <w:rPr>
          <w:color w:val="000000" w:themeColor="text1"/>
          <w14:textFill>
            <w14:solidFill>
              <w14:schemeClr w14:val="tx1"/>
            </w14:solidFill>
          </w14:textFill>
        </w:rPr>
      </w:pPr>
    </w:p>
    <w:p>
      <w:pPr>
        <w:pStyle w:val="17"/>
        <w:ind w:firstLine="576"/>
        <w:rPr>
          <w:b/>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规划区规划水平年</w:t>
      </w:r>
      <w:r>
        <w:rPr>
          <w:rFonts w:hint="eastAsia"/>
          <w:color w:val="000000" w:themeColor="text1"/>
          <w14:textFill>
            <w14:solidFill>
              <w14:schemeClr w14:val="tx1"/>
            </w14:solidFill>
          </w14:textFill>
        </w:rPr>
        <w:t>缺水</w:t>
      </w:r>
      <w:r>
        <w:rPr>
          <w:color w:val="000000" w:themeColor="text1"/>
          <w14:textFill>
            <w14:solidFill>
              <w14:schemeClr w14:val="tx1"/>
            </w14:solidFill>
          </w14:textFill>
        </w:rPr>
        <w:t>分析表    单位：万m</w:t>
      </w:r>
      <w:r>
        <w:rPr>
          <w:color w:val="000000" w:themeColor="text1"/>
          <w:vertAlign w:val="superscript"/>
          <w14:textFill>
            <w14:solidFill>
              <w14:schemeClr w14:val="tx1"/>
            </w14:solidFill>
          </w14:textFill>
        </w:rPr>
        <w:t>3</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59"/>
        <w:gridCol w:w="2374"/>
        <w:gridCol w:w="1507"/>
        <w:gridCol w:w="1504"/>
        <w:gridCol w:w="1590"/>
        <w:gridCol w:w="1590"/>
        <w:gridCol w:w="1590"/>
        <w:gridCol w:w="16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restart"/>
            <w:shd w:val="clear" w:color="auto" w:fill="auto"/>
            <w:noWrap/>
            <w:vAlign w:val="center"/>
          </w:tcPr>
          <w:p>
            <w:pPr>
              <w:pStyle w:val="85"/>
            </w:pPr>
            <w:r>
              <w:rPr>
                <w:rFonts w:hint="eastAsia"/>
              </w:rPr>
              <w:t>单元</w:t>
            </w:r>
          </w:p>
        </w:tc>
        <w:tc>
          <w:tcPr>
            <w:tcW w:w="835" w:type="pct"/>
            <w:vMerge w:val="restart"/>
            <w:shd w:val="clear" w:color="auto" w:fill="auto"/>
            <w:noWrap/>
            <w:vAlign w:val="center"/>
          </w:tcPr>
          <w:p>
            <w:pPr>
              <w:pStyle w:val="85"/>
              <w:rPr>
                <w:rFonts w:hint="eastAsia"/>
              </w:rPr>
            </w:pPr>
            <w:r>
              <w:rPr>
                <w:rFonts w:hint="eastAsia"/>
              </w:rPr>
              <w:t>频率</w:t>
            </w:r>
          </w:p>
        </w:tc>
        <w:tc>
          <w:tcPr>
            <w:tcW w:w="3300" w:type="pct"/>
            <w:gridSpan w:val="6"/>
            <w:shd w:val="clear" w:color="auto" w:fill="auto"/>
            <w:noWrap/>
            <w:vAlign w:val="center"/>
          </w:tcPr>
          <w:p>
            <w:pPr>
              <w:pStyle w:val="85"/>
              <w:rPr>
                <w:rFonts w:hint="eastAsia"/>
              </w:rPr>
            </w:pPr>
            <w:r>
              <w:rPr>
                <w:rFonts w:hint="eastAsia"/>
              </w:rPr>
              <w:t>缺水量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vMerge w:val="continue"/>
            <w:vAlign w:val="center"/>
          </w:tcPr>
          <w:p>
            <w:pPr>
              <w:pStyle w:val="85"/>
            </w:pPr>
          </w:p>
        </w:tc>
        <w:tc>
          <w:tcPr>
            <w:tcW w:w="530" w:type="pct"/>
            <w:shd w:val="clear" w:color="auto" w:fill="auto"/>
            <w:noWrap/>
            <w:vAlign w:val="center"/>
          </w:tcPr>
          <w:p>
            <w:pPr>
              <w:pStyle w:val="85"/>
              <w:rPr>
                <w:rFonts w:hint="eastAsia"/>
              </w:rPr>
            </w:pPr>
            <w:r>
              <w:rPr>
                <w:rFonts w:hint="eastAsia"/>
              </w:rPr>
              <w:t>城镇生活</w:t>
            </w:r>
          </w:p>
        </w:tc>
        <w:tc>
          <w:tcPr>
            <w:tcW w:w="529" w:type="pct"/>
            <w:shd w:val="clear" w:color="auto" w:fill="auto"/>
            <w:noWrap/>
            <w:vAlign w:val="center"/>
          </w:tcPr>
          <w:p>
            <w:pPr>
              <w:pStyle w:val="85"/>
              <w:rPr>
                <w:rFonts w:hint="eastAsia"/>
              </w:rPr>
            </w:pPr>
            <w:r>
              <w:rPr>
                <w:rFonts w:hint="eastAsia"/>
              </w:rPr>
              <w:t>农村生活</w:t>
            </w:r>
          </w:p>
        </w:tc>
        <w:tc>
          <w:tcPr>
            <w:tcW w:w="559" w:type="pct"/>
            <w:shd w:val="clear" w:color="auto" w:fill="auto"/>
            <w:noWrap/>
            <w:vAlign w:val="center"/>
          </w:tcPr>
          <w:p>
            <w:pPr>
              <w:pStyle w:val="85"/>
              <w:rPr>
                <w:rFonts w:hint="eastAsia"/>
              </w:rPr>
            </w:pPr>
            <w:r>
              <w:rPr>
                <w:rFonts w:hint="eastAsia"/>
              </w:rPr>
              <w:t>工业</w:t>
            </w:r>
          </w:p>
        </w:tc>
        <w:tc>
          <w:tcPr>
            <w:tcW w:w="559" w:type="pct"/>
            <w:shd w:val="clear" w:color="auto" w:fill="auto"/>
            <w:noWrap/>
            <w:vAlign w:val="center"/>
          </w:tcPr>
          <w:p>
            <w:pPr>
              <w:pStyle w:val="85"/>
              <w:rPr>
                <w:rFonts w:hint="eastAsia"/>
              </w:rPr>
            </w:pPr>
            <w:r>
              <w:rPr>
                <w:rFonts w:hint="eastAsia"/>
              </w:rPr>
              <w:t>农业</w:t>
            </w:r>
          </w:p>
        </w:tc>
        <w:tc>
          <w:tcPr>
            <w:tcW w:w="559" w:type="pct"/>
            <w:shd w:val="clear" w:color="auto" w:fill="auto"/>
            <w:noWrap/>
            <w:vAlign w:val="center"/>
          </w:tcPr>
          <w:p>
            <w:pPr>
              <w:pStyle w:val="85"/>
              <w:rPr>
                <w:rFonts w:hint="eastAsia"/>
              </w:rPr>
            </w:pPr>
            <w:r>
              <w:rPr>
                <w:rFonts w:hint="eastAsia"/>
              </w:rPr>
              <w:t>生态</w:t>
            </w:r>
          </w:p>
        </w:tc>
        <w:tc>
          <w:tcPr>
            <w:tcW w:w="564" w:type="pct"/>
            <w:shd w:val="clear" w:color="auto" w:fill="auto"/>
            <w:noWrap/>
            <w:vAlign w:val="center"/>
          </w:tcPr>
          <w:p>
            <w:pPr>
              <w:pStyle w:val="85"/>
              <w:rPr>
                <w:rFonts w:hint="eastAsia"/>
              </w:rPr>
            </w:pPr>
            <w:r>
              <w:rPr>
                <w:rFonts w:hint="eastAsia"/>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restart"/>
            <w:shd w:val="clear" w:color="auto" w:fill="auto"/>
            <w:noWrap/>
            <w:vAlign w:val="center"/>
          </w:tcPr>
          <w:p>
            <w:pPr>
              <w:pStyle w:val="85"/>
              <w:rPr>
                <w:rFonts w:hint="eastAsia"/>
              </w:rPr>
            </w:pPr>
            <w:r>
              <w:rPr>
                <w:rFonts w:hint="eastAsia"/>
              </w:rPr>
              <w:t>抚仙湖片区</w:t>
            </w:r>
          </w:p>
        </w:tc>
        <w:tc>
          <w:tcPr>
            <w:tcW w:w="835" w:type="pct"/>
            <w:shd w:val="clear" w:color="auto" w:fill="auto"/>
            <w:noWrap/>
            <w:vAlign w:val="center"/>
          </w:tcPr>
          <w:p>
            <w:pPr>
              <w:pStyle w:val="85"/>
              <w:rPr>
                <w:rFonts w:hint="eastAsia"/>
              </w:rPr>
            </w:pPr>
            <w:r>
              <w:rPr>
                <w:rFonts w:hint="eastAsia"/>
              </w:rPr>
              <w:t>多年平均</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1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4 </w:t>
            </w:r>
          </w:p>
        </w:tc>
        <w:tc>
          <w:tcPr>
            <w:tcW w:w="559" w:type="pct"/>
            <w:shd w:val="clear" w:color="auto" w:fill="auto"/>
            <w:noWrap/>
            <w:vAlign w:val="center"/>
          </w:tcPr>
          <w:p>
            <w:pPr>
              <w:pStyle w:val="85"/>
              <w:rPr>
                <w:rFonts w:hint="eastAsia"/>
              </w:rPr>
            </w:pPr>
            <w:r>
              <w:rPr>
                <w:rFonts w:hint="eastAsia"/>
              </w:rPr>
              <w:t xml:space="preserve">3 </w:t>
            </w:r>
          </w:p>
        </w:tc>
        <w:tc>
          <w:tcPr>
            <w:tcW w:w="564" w:type="pct"/>
            <w:shd w:val="clear" w:color="auto" w:fill="auto"/>
            <w:noWrap/>
            <w:vAlign w:val="center"/>
          </w:tcPr>
          <w:p>
            <w:pPr>
              <w:pStyle w:val="85"/>
              <w:rPr>
                <w:rFonts w:hint="eastAsia"/>
              </w:rPr>
            </w:pPr>
            <w:r>
              <w:rPr>
                <w:rFonts w:hint="eastAsia"/>
              </w:rPr>
              <w:t xml:space="preserve">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shd w:val="clear" w:color="auto" w:fill="auto"/>
            <w:noWrap/>
            <w:vAlign w:val="center"/>
          </w:tcPr>
          <w:p>
            <w:pPr>
              <w:pStyle w:val="85"/>
              <w:rPr>
                <w:rFonts w:hint="eastAsia"/>
              </w:rPr>
            </w:pPr>
            <w:r>
              <w:rPr>
                <w:rFonts w:hint="eastAsia"/>
              </w:rPr>
              <w:t>P=75%</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64" w:type="pct"/>
            <w:shd w:val="clear" w:color="auto" w:fill="auto"/>
            <w:noWrap/>
            <w:vAlign w:val="center"/>
          </w:tcPr>
          <w:p>
            <w:pPr>
              <w:pStyle w:val="85"/>
              <w:rPr>
                <w:rFonts w:hint="eastAsia"/>
              </w:rPr>
            </w:pPr>
            <w:r>
              <w:rPr>
                <w:rFonts w:hint="eastAsia"/>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shd w:val="clear" w:color="auto" w:fill="auto"/>
            <w:noWrap/>
            <w:vAlign w:val="center"/>
          </w:tcPr>
          <w:p>
            <w:pPr>
              <w:pStyle w:val="85"/>
              <w:rPr>
                <w:rFonts w:hint="eastAsia"/>
              </w:rPr>
            </w:pPr>
            <w:r>
              <w:rPr>
                <w:rFonts w:hint="eastAsia"/>
              </w:rPr>
              <w:t>P=95%</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1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20 </w:t>
            </w:r>
          </w:p>
        </w:tc>
        <w:tc>
          <w:tcPr>
            <w:tcW w:w="559" w:type="pct"/>
            <w:shd w:val="clear" w:color="auto" w:fill="auto"/>
            <w:noWrap/>
            <w:vAlign w:val="center"/>
          </w:tcPr>
          <w:p>
            <w:pPr>
              <w:pStyle w:val="85"/>
              <w:rPr>
                <w:rFonts w:hint="eastAsia"/>
              </w:rPr>
            </w:pPr>
            <w:r>
              <w:rPr>
                <w:rFonts w:hint="eastAsia"/>
              </w:rPr>
              <w:t xml:space="preserve">309 </w:t>
            </w:r>
          </w:p>
        </w:tc>
        <w:tc>
          <w:tcPr>
            <w:tcW w:w="564" w:type="pct"/>
            <w:shd w:val="clear" w:color="auto" w:fill="auto"/>
            <w:noWrap/>
            <w:vAlign w:val="center"/>
          </w:tcPr>
          <w:p>
            <w:pPr>
              <w:pStyle w:val="85"/>
              <w:rPr>
                <w:rFonts w:hint="eastAsia"/>
              </w:rPr>
            </w:pPr>
            <w:r>
              <w:rPr>
                <w:rFonts w:hint="eastAsia"/>
              </w:rPr>
              <w:t xml:space="preserve">330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restart"/>
            <w:shd w:val="clear" w:color="auto" w:fill="auto"/>
            <w:noWrap/>
            <w:vAlign w:val="center"/>
          </w:tcPr>
          <w:p>
            <w:pPr>
              <w:pStyle w:val="85"/>
              <w:rPr>
                <w:rFonts w:hint="eastAsia"/>
              </w:rPr>
            </w:pPr>
            <w:r>
              <w:rPr>
                <w:rFonts w:hint="eastAsia"/>
              </w:rPr>
              <w:t>南盘江片区</w:t>
            </w:r>
          </w:p>
        </w:tc>
        <w:tc>
          <w:tcPr>
            <w:tcW w:w="835" w:type="pct"/>
            <w:shd w:val="clear" w:color="auto" w:fill="auto"/>
            <w:noWrap/>
            <w:vAlign w:val="center"/>
          </w:tcPr>
          <w:p>
            <w:pPr>
              <w:pStyle w:val="85"/>
              <w:rPr>
                <w:rFonts w:hint="eastAsia"/>
              </w:rPr>
            </w:pPr>
            <w:r>
              <w:rPr>
                <w:rFonts w:hint="eastAsia"/>
              </w:rPr>
              <w:t>多年平均</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20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7 </w:t>
            </w:r>
          </w:p>
        </w:tc>
        <w:tc>
          <w:tcPr>
            <w:tcW w:w="559" w:type="pct"/>
            <w:shd w:val="clear" w:color="auto" w:fill="auto"/>
            <w:noWrap/>
            <w:vAlign w:val="center"/>
          </w:tcPr>
          <w:p>
            <w:pPr>
              <w:pStyle w:val="85"/>
              <w:rPr>
                <w:rFonts w:hint="eastAsia"/>
              </w:rPr>
            </w:pPr>
            <w:r>
              <w:rPr>
                <w:rFonts w:hint="eastAsia"/>
              </w:rPr>
              <w:t xml:space="preserve">0 </w:t>
            </w:r>
          </w:p>
        </w:tc>
        <w:tc>
          <w:tcPr>
            <w:tcW w:w="564" w:type="pct"/>
            <w:shd w:val="clear" w:color="auto" w:fill="auto"/>
            <w:noWrap/>
            <w:vAlign w:val="center"/>
          </w:tcPr>
          <w:p>
            <w:pPr>
              <w:pStyle w:val="85"/>
              <w:rPr>
                <w:rFonts w:hint="eastAsia"/>
              </w:rPr>
            </w:pPr>
            <w:r>
              <w:rPr>
                <w:rFonts w:hint="eastAsia"/>
              </w:rPr>
              <w:t xml:space="preserve">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shd w:val="clear" w:color="auto" w:fill="auto"/>
            <w:noWrap/>
            <w:vAlign w:val="center"/>
          </w:tcPr>
          <w:p>
            <w:pPr>
              <w:pStyle w:val="85"/>
              <w:rPr>
                <w:rFonts w:hint="eastAsia"/>
              </w:rPr>
            </w:pPr>
            <w:r>
              <w:rPr>
                <w:rFonts w:hint="eastAsia"/>
              </w:rPr>
              <w:t>P=75%</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65 </w:t>
            </w:r>
          </w:p>
        </w:tc>
        <w:tc>
          <w:tcPr>
            <w:tcW w:w="559" w:type="pct"/>
            <w:shd w:val="clear" w:color="auto" w:fill="auto"/>
            <w:noWrap/>
            <w:vAlign w:val="center"/>
          </w:tcPr>
          <w:p>
            <w:pPr>
              <w:pStyle w:val="85"/>
              <w:rPr>
                <w:rFonts w:hint="eastAsia"/>
              </w:rPr>
            </w:pPr>
            <w:r>
              <w:rPr>
                <w:rFonts w:hint="eastAsia"/>
              </w:rPr>
              <w:t xml:space="preserve">0 </w:t>
            </w:r>
          </w:p>
        </w:tc>
        <w:tc>
          <w:tcPr>
            <w:tcW w:w="564" w:type="pct"/>
            <w:shd w:val="clear" w:color="auto" w:fill="auto"/>
            <w:noWrap/>
            <w:vAlign w:val="center"/>
          </w:tcPr>
          <w:p>
            <w:pPr>
              <w:pStyle w:val="85"/>
              <w:rPr>
                <w:rFonts w:hint="eastAsia"/>
              </w:rPr>
            </w:pPr>
            <w:r>
              <w:rPr>
                <w:rFonts w:hint="eastAsia"/>
              </w:rPr>
              <w:t xml:space="preserve">65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shd w:val="clear" w:color="auto" w:fill="auto"/>
            <w:noWrap/>
            <w:vAlign w:val="center"/>
          </w:tcPr>
          <w:p>
            <w:pPr>
              <w:pStyle w:val="85"/>
              <w:rPr>
                <w:rFonts w:hint="eastAsia"/>
              </w:rPr>
            </w:pPr>
            <w:r>
              <w:rPr>
                <w:rFonts w:hint="eastAsia"/>
              </w:rPr>
              <w:t>P=95%</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35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327 </w:t>
            </w:r>
          </w:p>
        </w:tc>
        <w:tc>
          <w:tcPr>
            <w:tcW w:w="559" w:type="pct"/>
            <w:shd w:val="clear" w:color="auto" w:fill="auto"/>
            <w:noWrap/>
            <w:vAlign w:val="center"/>
          </w:tcPr>
          <w:p>
            <w:pPr>
              <w:pStyle w:val="85"/>
              <w:rPr>
                <w:rFonts w:hint="eastAsia"/>
              </w:rPr>
            </w:pPr>
            <w:r>
              <w:rPr>
                <w:rFonts w:hint="eastAsia"/>
              </w:rPr>
              <w:t xml:space="preserve">0 </w:t>
            </w:r>
          </w:p>
        </w:tc>
        <w:tc>
          <w:tcPr>
            <w:tcW w:w="564" w:type="pct"/>
            <w:shd w:val="clear" w:color="auto" w:fill="auto"/>
            <w:noWrap/>
            <w:vAlign w:val="center"/>
          </w:tcPr>
          <w:p>
            <w:pPr>
              <w:pStyle w:val="85"/>
              <w:rPr>
                <w:rFonts w:hint="eastAsia"/>
              </w:rPr>
            </w:pPr>
            <w:r>
              <w:rPr>
                <w:rFonts w:hint="eastAsia"/>
              </w:rPr>
              <w:t xml:space="preserve">362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restart"/>
            <w:shd w:val="clear" w:color="auto" w:fill="auto"/>
            <w:noWrap/>
            <w:vAlign w:val="center"/>
          </w:tcPr>
          <w:p>
            <w:pPr>
              <w:pStyle w:val="85"/>
              <w:rPr>
                <w:rFonts w:hint="eastAsia"/>
              </w:rPr>
            </w:pPr>
            <w:r>
              <w:rPr>
                <w:rFonts w:hint="eastAsia"/>
              </w:rPr>
              <w:t>滇池片区</w:t>
            </w:r>
          </w:p>
        </w:tc>
        <w:tc>
          <w:tcPr>
            <w:tcW w:w="835" w:type="pct"/>
            <w:shd w:val="clear" w:color="auto" w:fill="auto"/>
            <w:noWrap/>
            <w:vAlign w:val="center"/>
          </w:tcPr>
          <w:p>
            <w:pPr>
              <w:pStyle w:val="85"/>
              <w:rPr>
                <w:rFonts w:hint="eastAsia"/>
              </w:rPr>
            </w:pPr>
            <w:r>
              <w:rPr>
                <w:rFonts w:hint="eastAsia"/>
              </w:rPr>
              <w:t>多年平均</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64" w:type="pct"/>
            <w:shd w:val="clear" w:color="auto" w:fill="auto"/>
            <w:noWrap/>
            <w:vAlign w:val="center"/>
          </w:tcPr>
          <w:p>
            <w:pPr>
              <w:pStyle w:val="85"/>
              <w:rPr>
                <w:rFonts w:hint="eastAsia"/>
              </w:rPr>
            </w:pPr>
            <w:r>
              <w:rPr>
                <w:rFonts w:hint="eastAsia"/>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shd w:val="clear" w:color="auto" w:fill="auto"/>
            <w:noWrap/>
            <w:vAlign w:val="center"/>
          </w:tcPr>
          <w:p>
            <w:pPr>
              <w:pStyle w:val="85"/>
              <w:rPr>
                <w:rFonts w:hint="eastAsia"/>
              </w:rPr>
            </w:pPr>
            <w:r>
              <w:rPr>
                <w:rFonts w:hint="eastAsia"/>
              </w:rPr>
              <w:t>P=75%</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64" w:type="pct"/>
            <w:shd w:val="clear" w:color="auto" w:fill="auto"/>
            <w:noWrap/>
            <w:vAlign w:val="center"/>
          </w:tcPr>
          <w:p>
            <w:pPr>
              <w:pStyle w:val="85"/>
              <w:rPr>
                <w:rFonts w:hint="eastAsia"/>
              </w:rPr>
            </w:pPr>
            <w:r>
              <w:rPr>
                <w:rFonts w:hint="eastAsia"/>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shd w:val="clear" w:color="auto" w:fill="auto"/>
            <w:noWrap/>
            <w:vAlign w:val="center"/>
          </w:tcPr>
          <w:p>
            <w:pPr>
              <w:pStyle w:val="85"/>
              <w:rPr>
                <w:rFonts w:hint="eastAsia"/>
              </w:rPr>
            </w:pPr>
            <w:r>
              <w:rPr>
                <w:rFonts w:hint="eastAsia"/>
              </w:rPr>
              <w:t>P=95%</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64" w:type="pct"/>
            <w:shd w:val="clear" w:color="auto" w:fill="auto"/>
            <w:noWrap/>
            <w:vAlign w:val="center"/>
          </w:tcPr>
          <w:p>
            <w:pPr>
              <w:pStyle w:val="85"/>
              <w:rPr>
                <w:rFonts w:hint="eastAsia"/>
              </w:rPr>
            </w:pPr>
            <w:r>
              <w:rPr>
                <w:rFonts w:hint="eastAsia"/>
              </w:rPr>
              <w:t xml:space="preserve">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restart"/>
            <w:shd w:val="clear" w:color="auto" w:fill="auto"/>
            <w:noWrap/>
            <w:vAlign w:val="center"/>
          </w:tcPr>
          <w:p>
            <w:pPr>
              <w:pStyle w:val="85"/>
              <w:rPr>
                <w:rFonts w:hint="eastAsia"/>
              </w:rPr>
            </w:pPr>
            <w:r>
              <w:rPr>
                <w:rFonts w:hint="eastAsia"/>
              </w:rPr>
              <w:t>合计</w:t>
            </w:r>
          </w:p>
        </w:tc>
        <w:tc>
          <w:tcPr>
            <w:tcW w:w="835" w:type="pct"/>
            <w:shd w:val="clear" w:color="auto" w:fill="auto"/>
            <w:noWrap/>
            <w:vAlign w:val="center"/>
          </w:tcPr>
          <w:p>
            <w:pPr>
              <w:pStyle w:val="85"/>
              <w:rPr>
                <w:rFonts w:hint="eastAsia"/>
              </w:rPr>
            </w:pPr>
            <w:r>
              <w:rPr>
                <w:rFonts w:hint="eastAsia"/>
              </w:rPr>
              <w:t>多年平均</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21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11 </w:t>
            </w:r>
          </w:p>
        </w:tc>
        <w:tc>
          <w:tcPr>
            <w:tcW w:w="559" w:type="pct"/>
            <w:shd w:val="clear" w:color="auto" w:fill="auto"/>
            <w:noWrap/>
            <w:vAlign w:val="center"/>
          </w:tcPr>
          <w:p>
            <w:pPr>
              <w:pStyle w:val="85"/>
              <w:rPr>
                <w:rFonts w:hint="eastAsia"/>
              </w:rPr>
            </w:pPr>
            <w:r>
              <w:rPr>
                <w:rFonts w:hint="eastAsia"/>
              </w:rPr>
              <w:t xml:space="preserve">3 </w:t>
            </w:r>
          </w:p>
        </w:tc>
        <w:tc>
          <w:tcPr>
            <w:tcW w:w="564" w:type="pct"/>
            <w:shd w:val="clear" w:color="auto" w:fill="auto"/>
            <w:noWrap/>
            <w:vAlign w:val="center"/>
          </w:tcPr>
          <w:p>
            <w:pPr>
              <w:pStyle w:val="85"/>
              <w:rPr>
                <w:rFonts w:hint="eastAsia"/>
              </w:rPr>
            </w:pPr>
            <w:r>
              <w:rPr>
                <w:rFonts w:hint="eastAsia"/>
              </w:rPr>
              <w:t xml:space="preserve">35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shd w:val="clear" w:color="auto" w:fill="auto"/>
            <w:noWrap/>
            <w:vAlign w:val="center"/>
          </w:tcPr>
          <w:p>
            <w:pPr>
              <w:pStyle w:val="85"/>
              <w:rPr>
                <w:rFonts w:hint="eastAsia"/>
              </w:rPr>
            </w:pPr>
            <w:r>
              <w:rPr>
                <w:rFonts w:hint="eastAsia"/>
              </w:rPr>
              <w:t>P=75%</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65 </w:t>
            </w:r>
          </w:p>
        </w:tc>
        <w:tc>
          <w:tcPr>
            <w:tcW w:w="559" w:type="pct"/>
            <w:shd w:val="clear" w:color="auto" w:fill="auto"/>
            <w:noWrap/>
            <w:vAlign w:val="center"/>
          </w:tcPr>
          <w:p>
            <w:pPr>
              <w:pStyle w:val="85"/>
              <w:rPr>
                <w:rFonts w:hint="eastAsia"/>
              </w:rPr>
            </w:pPr>
            <w:r>
              <w:rPr>
                <w:rFonts w:hint="eastAsia"/>
              </w:rPr>
              <w:t xml:space="preserve">0 </w:t>
            </w:r>
          </w:p>
        </w:tc>
        <w:tc>
          <w:tcPr>
            <w:tcW w:w="564" w:type="pct"/>
            <w:shd w:val="clear" w:color="auto" w:fill="auto"/>
            <w:noWrap/>
            <w:vAlign w:val="center"/>
          </w:tcPr>
          <w:p>
            <w:pPr>
              <w:pStyle w:val="85"/>
              <w:rPr>
                <w:rFonts w:hint="eastAsia"/>
              </w:rPr>
            </w:pPr>
            <w:r>
              <w:rPr>
                <w:rFonts w:hint="eastAsia"/>
              </w:rPr>
              <w:t xml:space="preserve">65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865" w:type="pct"/>
            <w:vMerge w:val="continue"/>
            <w:vAlign w:val="center"/>
          </w:tcPr>
          <w:p>
            <w:pPr>
              <w:pStyle w:val="85"/>
            </w:pPr>
          </w:p>
        </w:tc>
        <w:tc>
          <w:tcPr>
            <w:tcW w:w="835" w:type="pct"/>
            <w:shd w:val="clear" w:color="auto" w:fill="auto"/>
            <w:noWrap/>
            <w:vAlign w:val="center"/>
          </w:tcPr>
          <w:p>
            <w:pPr>
              <w:pStyle w:val="85"/>
              <w:rPr>
                <w:rFonts w:hint="eastAsia"/>
              </w:rPr>
            </w:pPr>
            <w:r>
              <w:rPr>
                <w:rFonts w:hint="eastAsia"/>
              </w:rPr>
              <w:t>P=95%</w:t>
            </w:r>
          </w:p>
        </w:tc>
        <w:tc>
          <w:tcPr>
            <w:tcW w:w="530" w:type="pct"/>
            <w:shd w:val="clear" w:color="auto" w:fill="auto"/>
            <w:noWrap/>
            <w:vAlign w:val="center"/>
          </w:tcPr>
          <w:p>
            <w:pPr>
              <w:pStyle w:val="85"/>
              <w:rPr>
                <w:rFonts w:hint="eastAsia"/>
              </w:rPr>
            </w:pPr>
            <w:r>
              <w:rPr>
                <w:rFonts w:hint="eastAsia"/>
              </w:rPr>
              <w:t xml:space="preserve">0 </w:t>
            </w:r>
          </w:p>
        </w:tc>
        <w:tc>
          <w:tcPr>
            <w:tcW w:w="529" w:type="pct"/>
            <w:shd w:val="clear" w:color="auto" w:fill="auto"/>
            <w:noWrap/>
            <w:vAlign w:val="center"/>
          </w:tcPr>
          <w:p>
            <w:pPr>
              <w:pStyle w:val="85"/>
              <w:rPr>
                <w:rFonts w:hint="eastAsia"/>
              </w:rPr>
            </w:pPr>
            <w:r>
              <w:rPr>
                <w:rFonts w:hint="eastAsia"/>
              </w:rPr>
              <w:t xml:space="preserve">36 </w:t>
            </w:r>
          </w:p>
        </w:tc>
        <w:tc>
          <w:tcPr>
            <w:tcW w:w="559" w:type="pct"/>
            <w:shd w:val="clear" w:color="auto" w:fill="auto"/>
            <w:noWrap/>
            <w:vAlign w:val="center"/>
          </w:tcPr>
          <w:p>
            <w:pPr>
              <w:pStyle w:val="85"/>
              <w:rPr>
                <w:rFonts w:hint="eastAsia"/>
              </w:rPr>
            </w:pPr>
            <w:r>
              <w:rPr>
                <w:rFonts w:hint="eastAsia"/>
              </w:rPr>
              <w:t xml:space="preserve">0 </w:t>
            </w:r>
          </w:p>
        </w:tc>
        <w:tc>
          <w:tcPr>
            <w:tcW w:w="559" w:type="pct"/>
            <w:shd w:val="clear" w:color="auto" w:fill="auto"/>
            <w:noWrap/>
            <w:vAlign w:val="center"/>
          </w:tcPr>
          <w:p>
            <w:pPr>
              <w:pStyle w:val="85"/>
              <w:rPr>
                <w:rFonts w:hint="eastAsia"/>
              </w:rPr>
            </w:pPr>
            <w:r>
              <w:rPr>
                <w:rFonts w:hint="eastAsia"/>
              </w:rPr>
              <w:t xml:space="preserve">347 </w:t>
            </w:r>
          </w:p>
        </w:tc>
        <w:tc>
          <w:tcPr>
            <w:tcW w:w="559" w:type="pct"/>
            <w:shd w:val="clear" w:color="auto" w:fill="auto"/>
            <w:noWrap/>
            <w:vAlign w:val="center"/>
          </w:tcPr>
          <w:p>
            <w:pPr>
              <w:pStyle w:val="85"/>
              <w:rPr>
                <w:rFonts w:hint="eastAsia"/>
              </w:rPr>
            </w:pPr>
            <w:r>
              <w:rPr>
                <w:rFonts w:hint="eastAsia"/>
              </w:rPr>
              <w:t xml:space="preserve">309 </w:t>
            </w:r>
          </w:p>
        </w:tc>
        <w:tc>
          <w:tcPr>
            <w:tcW w:w="564" w:type="pct"/>
            <w:shd w:val="clear" w:color="auto" w:fill="auto"/>
            <w:noWrap/>
            <w:vAlign w:val="center"/>
          </w:tcPr>
          <w:p>
            <w:pPr>
              <w:pStyle w:val="85"/>
              <w:rPr>
                <w:rFonts w:hint="eastAsia"/>
              </w:rPr>
            </w:pPr>
            <w:r>
              <w:rPr>
                <w:rFonts w:hint="eastAsia"/>
              </w:rPr>
              <w:t xml:space="preserve">692 </w:t>
            </w:r>
          </w:p>
        </w:tc>
      </w:tr>
    </w:tbl>
    <w:p>
      <w:pPr>
        <w:pStyle w:val="4"/>
        <w:rPr>
          <w:rFonts w:hint="eastAsia"/>
        </w:rPr>
        <w:sectPr>
          <w:type w:val="continuous"/>
          <w:pgSz w:w="16838" w:h="11906" w:orient="landscape"/>
          <w:pgMar w:top="1440" w:right="1418" w:bottom="1440" w:left="1418" w:header="851" w:footer="851" w:gutter="0"/>
          <w:cols w:space="425" w:num="1"/>
          <w:docGrid w:type="linesAndChars" w:linePitch="312" w:charSpace="0"/>
        </w:sectPr>
      </w:pPr>
    </w:p>
    <w:p>
      <w:pPr>
        <w:pStyle w:val="5"/>
      </w:pPr>
      <w:bookmarkStart w:id="102" w:name="_Toc184023332"/>
      <w:r>
        <w:t>节水评价</w:t>
      </w:r>
      <w:bookmarkEnd w:id="102"/>
    </w:p>
    <w:p>
      <w:pPr>
        <w:pStyle w:val="4"/>
      </w:pPr>
      <w:r>
        <w:t>“节水优先”是</w:t>
      </w:r>
      <w:r>
        <w:rPr>
          <w:rFonts w:hint="eastAsia"/>
          <w:lang w:eastAsia="zh-CN"/>
        </w:rPr>
        <w:t>习近平新时代</w:t>
      </w:r>
      <w:bookmarkStart w:id="158" w:name="_GoBack"/>
      <w:bookmarkEnd w:id="158"/>
      <w:r>
        <w:t>提出的十六字治水方针的首要内容，是习近平新时代中国特色社会主义思想在治水兴水领域的重要体现。切实落实国家节水行动抓好各项节水工作，严格用水总量和计划用水管理，把节水真正成为水资源开发、利用、保护、配置、调度的前提条件，推动用水方式向节约集约转变，大力提升水资源开发利用质量和效益。</w:t>
      </w:r>
    </w:p>
    <w:p>
      <w:pPr>
        <w:pStyle w:val="6"/>
      </w:pPr>
      <w:r>
        <w:t>评价范围</w:t>
      </w:r>
    </w:p>
    <w:p>
      <w:pPr>
        <w:pStyle w:val="4"/>
      </w:pPr>
      <w:r>
        <w:t>本次节水评价范围为澄江市澄江市全市范围（不含阳宗镇，含托管区）。</w:t>
      </w:r>
    </w:p>
    <w:p>
      <w:pPr>
        <w:pStyle w:val="6"/>
      </w:pPr>
      <w:r>
        <w:t>现状供用水水平评价及节水潜力分析</w:t>
      </w:r>
    </w:p>
    <w:p>
      <w:pPr>
        <w:pStyle w:val="7"/>
      </w:pPr>
      <w:r>
        <w:t>现状供水水平评价</w:t>
      </w:r>
    </w:p>
    <w:p>
      <w:pPr>
        <w:pStyle w:val="4"/>
      </w:pPr>
      <w:r>
        <w:t>规划区范围内</w:t>
      </w:r>
      <w:r>
        <w:rPr>
          <w:rFonts w:hint="eastAsia"/>
        </w:rPr>
        <w:t>现状年各类供水工程实际供水量5715万m³，其中蓄水工程供水3051万m³，引水工程供水822万m³，提水工程供水938万m³，机电井工程供水492万m³，中水回用工程供水412万m³，分别占比53%、14%、16%、9%、7%，规划区现状年实际供水以蓄水工程为主。</w:t>
      </w:r>
    </w:p>
    <w:p>
      <w:pPr>
        <w:pStyle w:val="7"/>
      </w:pPr>
      <w:r>
        <w:t>现状用水水平分析</w:t>
      </w:r>
    </w:p>
    <w:p>
      <w:pPr>
        <w:pStyle w:val="4"/>
      </w:pPr>
      <w:r>
        <w:rPr>
          <w:rFonts w:hint="eastAsia"/>
        </w:rPr>
        <w:t>2022年，全市实际用水量5715万m³，其中，城镇生活用水907万m³、农村生活用水355万m³、工业用水495万m³、农灌用水3958万m³，分别占比16%、6%、9%、59%，规划区现状年实际用水主要以农灌为主</w:t>
      </w:r>
      <w:r>
        <w:t>。</w:t>
      </w:r>
    </w:p>
    <w:p>
      <w:pPr>
        <w:pStyle w:val="4"/>
      </w:pPr>
      <w:r>
        <w:rPr>
          <w:rFonts w:hint="eastAsia"/>
        </w:rPr>
        <w:t>在现状供用水量调查分析和现状社会经济发展指标分析的基础上，对规划区现状用水水平进行分析评价。现状用水水平指标主要包括：单位GDP用水量、人均综合用水指标、农业用水指标、工业用水指标和生活用水指标。具体见下表。</w:t>
      </w:r>
    </w:p>
    <w:p>
      <w:pPr>
        <w:pStyle w:val="4"/>
        <w:rPr>
          <w:highlight w:val="yellow"/>
        </w:rPr>
      </w:pPr>
    </w:p>
    <w:p>
      <w:pPr>
        <w:pStyle w:val="17"/>
        <w:ind w:firstLine="576"/>
        <w:rPr>
          <w:color w:val="000000" w:themeColor="text1"/>
          <w:highlight w:val="yellow"/>
          <w14:textFill>
            <w14:solidFill>
              <w14:schemeClr w14:val="tx1"/>
            </w14:solidFill>
          </w14:textFill>
        </w:rPr>
      </w:pPr>
    </w:p>
    <w:p>
      <w:pPr>
        <w:pStyle w:val="17"/>
        <w:ind w:firstLine="57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w:instrText>
      </w:r>
      <w:r>
        <w:rPr>
          <w:rFonts w:hint="eastAsia"/>
          <w:color w:val="000000" w:themeColor="text1"/>
          <w14:textFill>
            <w14:solidFill>
              <w14:schemeClr w14:val="tx1"/>
            </w14:solidFill>
          </w14:textFill>
        </w:rPr>
        <w:instrText xml:space="preserve">表</w:instrText>
      </w:r>
      <w:r>
        <w:rPr>
          <w:color w:val="000000" w:themeColor="text1"/>
          <w14:textFill>
            <w14:solidFill>
              <w14:schemeClr w14:val="tx1"/>
            </w14:solidFill>
          </w14:textFill>
        </w:rPr>
        <w:instrText xml:space="preserve">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现状用水水平指标</w:t>
      </w:r>
    </w:p>
    <w:tbl>
      <w:tblPr>
        <w:tblStyle w:val="51"/>
        <w:tblW w:w="97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960"/>
        <w:gridCol w:w="1026"/>
        <w:gridCol w:w="1134"/>
        <w:gridCol w:w="1275"/>
        <w:gridCol w:w="1134"/>
        <w:gridCol w:w="851"/>
        <w:gridCol w:w="1140"/>
        <w:gridCol w:w="9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0" w:hRule="atLeast"/>
          <w:jc w:val="center"/>
        </w:trPr>
        <w:tc>
          <w:tcPr>
            <w:tcW w:w="1260"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片区名称</w:t>
            </w:r>
          </w:p>
        </w:tc>
        <w:tc>
          <w:tcPr>
            <w:tcW w:w="960"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人均用水量(m³/人)</w:t>
            </w:r>
          </w:p>
        </w:tc>
        <w:tc>
          <w:tcPr>
            <w:tcW w:w="1026"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万元GDP用水量（m³/万元）</w:t>
            </w:r>
          </w:p>
        </w:tc>
        <w:tc>
          <w:tcPr>
            <w:tcW w:w="1134"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农田灌溉用水定额(m³/亩)</w:t>
            </w:r>
          </w:p>
        </w:tc>
        <w:tc>
          <w:tcPr>
            <w:tcW w:w="1275"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城镇生活综合用水定额(L/人.d)</w:t>
            </w:r>
          </w:p>
        </w:tc>
        <w:tc>
          <w:tcPr>
            <w:tcW w:w="1134"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工业增加值用水定额（m³/万元）</w:t>
            </w:r>
          </w:p>
        </w:tc>
        <w:tc>
          <w:tcPr>
            <w:tcW w:w="851"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农村居民用水定额(L/人.d)</w:t>
            </w:r>
          </w:p>
        </w:tc>
        <w:tc>
          <w:tcPr>
            <w:tcW w:w="1140"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农田灌溉水有效利用系数</w:t>
            </w:r>
            <w:r>
              <w:rPr>
                <w:rFonts w:hint="eastAsia" w:cs="Times New Roman"/>
                <w:color w:val="000000" w:themeColor="text1"/>
                <w14:textFill>
                  <w14:solidFill>
                    <w14:schemeClr w14:val="tx1"/>
                  </w14:solidFill>
                </w14:textFill>
              </w:rPr>
              <w:t>（高效/常规）</w:t>
            </w:r>
          </w:p>
        </w:tc>
        <w:tc>
          <w:tcPr>
            <w:tcW w:w="960"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城镇供水管网损失率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260"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抚仙湖片区</w:t>
            </w:r>
          </w:p>
        </w:tc>
        <w:tc>
          <w:tcPr>
            <w:tcW w:w="960" w:type="dxa"/>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149</w:t>
            </w:r>
          </w:p>
        </w:tc>
        <w:tc>
          <w:tcPr>
            <w:tcW w:w="1026" w:type="dxa"/>
            <w:shd w:val="clear" w:color="auto" w:fill="auto"/>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16</w:t>
            </w:r>
          </w:p>
        </w:tc>
        <w:tc>
          <w:tcPr>
            <w:tcW w:w="1134" w:type="dxa"/>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426</w:t>
            </w:r>
          </w:p>
        </w:tc>
        <w:tc>
          <w:tcPr>
            <w:tcW w:w="1275" w:type="dxa"/>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208</w:t>
            </w:r>
          </w:p>
        </w:tc>
        <w:tc>
          <w:tcPr>
            <w:tcW w:w="1134" w:type="dxa"/>
            <w:shd w:val="clear" w:color="auto" w:fill="auto"/>
            <w:noWrap/>
            <w:vAlign w:val="center"/>
          </w:tcPr>
          <w:p>
            <w:pPr>
              <w:pStyle w:val="85"/>
              <w:rPr>
                <w:rFonts w:cs="Times New Roman"/>
                <w:color w:val="000000" w:themeColor="text1"/>
                <w14:textFill>
                  <w14:solidFill>
                    <w14:schemeClr w14:val="tx1"/>
                  </w14:solidFill>
                </w14:textFill>
              </w:rPr>
            </w:pPr>
          </w:p>
        </w:tc>
        <w:tc>
          <w:tcPr>
            <w:tcW w:w="851" w:type="dxa"/>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101</w:t>
            </w:r>
          </w:p>
        </w:tc>
        <w:tc>
          <w:tcPr>
            <w:tcW w:w="1140" w:type="dxa"/>
            <w:shd w:val="clear" w:color="auto" w:fill="auto"/>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0.75/0.51</w:t>
            </w:r>
          </w:p>
        </w:tc>
        <w:tc>
          <w:tcPr>
            <w:tcW w:w="960" w:type="dxa"/>
            <w:shd w:val="clear" w:color="auto" w:fill="auto"/>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25</w:t>
            </w:r>
            <w:r>
              <w:rPr>
                <w:rFonts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260"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规划区</w:t>
            </w:r>
          </w:p>
        </w:tc>
        <w:tc>
          <w:tcPr>
            <w:tcW w:w="960" w:type="dxa"/>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179</w:t>
            </w:r>
            <w:r>
              <w:rPr>
                <w:rFonts w:cs="Times New Roman"/>
                <w:color w:val="000000" w:themeColor="text1"/>
                <w14:textFill>
                  <w14:solidFill>
                    <w14:schemeClr w14:val="tx1"/>
                  </w14:solidFill>
                </w14:textFill>
              </w:rPr>
              <w:t xml:space="preserve"> </w:t>
            </w:r>
          </w:p>
        </w:tc>
        <w:tc>
          <w:tcPr>
            <w:tcW w:w="1026" w:type="dxa"/>
            <w:shd w:val="clear" w:color="auto" w:fill="auto"/>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20</w:t>
            </w:r>
            <w:r>
              <w:rPr>
                <w:rFonts w:cs="Times New Roman"/>
                <w:color w:val="000000" w:themeColor="text1"/>
                <w14:textFill>
                  <w14:solidFill>
                    <w14:schemeClr w14:val="tx1"/>
                  </w14:solidFill>
                </w14:textFill>
              </w:rPr>
              <w:t xml:space="preserve"> </w:t>
            </w:r>
          </w:p>
        </w:tc>
        <w:tc>
          <w:tcPr>
            <w:tcW w:w="1134" w:type="dxa"/>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413</w:t>
            </w:r>
          </w:p>
        </w:tc>
        <w:tc>
          <w:tcPr>
            <w:tcW w:w="1275"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212 </w:t>
            </w:r>
          </w:p>
        </w:tc>
        <w:tc>
          <w:tcPr>
            <w:tcW w:w="1134" w:type="dxa"/>
            <w:shd w:val="clear" w:color="auto" w:fill="auto"/>
            <w:noWrap/>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29</w:t>
            </w:r>
          </w:p>
        </w:tc>
        <w:tc>
          <w:tcPr>
            <w:tcW w:w="851"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91</w:t>
            </w:r>
          </w:p>
        </w:tc>
        <w:tc>
          <w:tcPr>
            <w:tcW w:w="1140" w:type="dxa"/>
            <w:shd w:val="clear" w:color="auto" w:fill="auto"/>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0.75/0.51</w:t>
            </w:r>
          </w:p>
        </w:tc>
        <w:tc>
          <w:tcPr>
            <w:tcW w:w="960" w:type="dxa"/>
            <w:shd w:val="clear" w:color="auto" w:fill="auto"/>
            <w:vAlign w:val="center"/>
          </w:tcPr>
          <w:p>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25</w:t>
            </w:r>
            <w:r>
              <w:rPr>
                <w:rFonts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260"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云南省</w:t>
            </w:r>
          </w:p>
        </w:tc>
        <w:tc>
          <w:tcPr>
            <w:tcW w:w="960"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161</w:t>
            </w:r>
          </w:p>
        </w:tc>
        <w:tc>
          <w:tcPr>
            <w:tcW w:w="1026"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56</w:t>
            </w:r>
          </w:p>
        </w:tc>
        <w:tc>
          <w:tcPr>
            <w:tcW w:w="1134"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336</w:t>
            </w:r>
          </w:p>
        </w:tc>
        <w:tc>
          <w:tcPr>
            <w:tcW w:w="1275"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114</w:t>
            </w:r>
          </w:p>
        </w:tc>
        <w:tc>
          <w:tcPr>
            <w:tcW w:w="1134"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851" w:type="dxa"/>
            <w:shd w:val="clear" w:color="auto" w:fill="auto"/>
            <w:noWrap/>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59</w:t>
            </w:r>
          </w:p>
        </w:tc>
        <w:tc>
          <w:tcPr>
            <w:tcW w:w="1140" w:type="dxa"/>
            <w:shd w:val="clear" w:color="auto" w:fill="auto"/>
            <w:noWrap/>
            <w:vAlign w:val="bottom"/>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0.52 </w:t>
            </w:r>
          </w:p>
        </w:tc>
        <w:tc>
          <w:tcPr>
            <w:tcW w:w="960" w:type="dxa"/>
            <w:shd w:val="clear" w:color="auto" w:fill="auto"/>
            <w:vAlign w:val="center"/>
          </w:tcPr>
          <w:p>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bl>
    <w:p>
      <w:pPr>
        <w:pStyle w:val="4"/>
      </w:pPr>
      <w:r>
        <w:rPr>
          <w:rFonts w:hint="eastAsia"/>
        </w:rPr>
        <w:t>从表中可以看出，抚仙湖片区的人均用水量均低于全省平均水平，主要是抚仙湖片区农业用水比较少；抚仙湖片区和规划区万元GDP用水量定额低于全省平均水平，这主要是由于规划区制造、高新等低耗水工业、高产值工业为主。农田灌溉用水定额高于全省平均水平和农田灌溉水有效利用系数高于全省水平，主要是因为规划区内蓝莓种植面积占比大。城镇生活综合用水定额和农村居民用水定额均高于全省水平，一是由于抚仙湖片区年接待旅游人口较多，城市公共用水相对较大，二是片区内人口主要集中在北岸坝区，居民生活水平较全省平均水平高。</w:t>
      </w:r>
    </w:p>
    <w:p>
      <w:pPr>
        <w:pStyle w:val="7"/>
      </w:pPr>
      <w:r>
        <w:t>现状节水存在的主要问题</w:t>
      </w:r>
    </w:p>
    <w:p>
      <w:pPr>
        <w:pStyle w:val="4"/>
      </w:pPr>
      <w:r>
        <w:t>通过前述现状供用水量以及用水水平分析，可以得出规划区现状供用水效率评价如下：</w:t>
      </w:r>
    </w:p>
    <w:p>
      <w:pPr>
        <w:pStyle w:val="4"/>
      </w:pPr>
      <w:r>
        <w:t>（1）规划区内现状居民生活用水定额稍高于全省及省内同类生活用水水平，主要原因是澄江市旅游城市，大量的旅游人口用水抬高生活用水定额。</w:t>
      </w:r>
    </w:p>
    <w:p>
      <w:pPr>
        <w:pStyle w:val="4"/>
      </w:pPr>
      <w:r>
        <w:t>（2）由于供水区处于发展阶段，生活供水管网建设要兼顾新建与改造，虽然管网漏损仍呈逐年下降趋势，但与国家及云南省要求达到10%以下仍有一定差距。</w:t>
      </w:r>
    </w:p>
    <w:p>
      <w:pPr>
        <w:pStyle w:val="4"/>
      </w:pPr>
      <w:r>
        <w:t>（3）规划区设施建设落后，规划区管理水平较低，高效节水面积有待提高，农业总体用水水平相对较低。</w:t>
      </w:r>
    </w:p>
    <w:p>
      <w:pPr>
        <w:pStyle w:val="4"/>
      </w:pPr>
      <w:r>
        <w:t>总的来说，规划区现状生活用水水平有待提高；工业用水量占比不大，节水潜力有限；农村生活管网漏损逐年下降，但投入力度仍不够大，需加大改造力度；农业灌溉用水量大，现状用水水平不高，农业灌溉高效节水有待加大投入。</w:t>
      </w:r>
    </w:p>
    <w:p>
      <w:pPr>
        <w:pStyle w:val="6"/>
      </w:pPr>
      <w:r>
        <w:t>现状供用水节水潜力</w:t>
      </w:r>
    </w:p>
    <w:p>
      <w:pPr>
        <w:pStyle w:val="4"/>
      </w:pPr>
      <w:r>
        <w:t>现状存量节水量体现了规划区现状条件下的节水潜力。存量节水量=生活存量节水量+工业存量节水量+农业存量节水量。规划水平年管网漏损降低至9%，农田灌溉常规农田灌溉水有效利用系数提高至0.65，工业重复利用率提高至90%，规划区节水潜力较大。</w:t>
      </w:r>
    </w:p>
    <w:p>
      <w:pPr>
        <w:pStyle w:val="6"/>
      </w:pPr>
      <w:r>
        <w:t>节水目标与指标</w:t>
      </w:r>
    </w:p>
    <w:p>
      <w:pPr>
        <w:pStyle w:val="7"/>
      </w:pPr>
      <w:bookmarkStart w:id="103" w:name="_Toc5007761"/>
      <w:r>
        <w:t>节水目标</w:t>
      </w:r>
      <w:bookmarkEnd w:id="103"/>
    </w:p>
    <w:p>
      <w:pPr>
        <w:pStyle w:val="4"/>
      </w:pPr>
      <w:r>
        <w:t>为合理评价本规划节水评价范围2035年的节水情况，按照云南省“三条红线”的要求，结合澄江市自身情况，对规划区提出以下节水目标：</w:t>
      </w:r>
    </w:p>
    <w:p>
      <w:pPr>
        <w:pStyle w:val="4"/>
      </w:pPr>
      <w:r>
        <w:t>——总量目标。根据《云南省水利厅关于水资源管理“三条红线”控制指标分解确定工作情况及成果的报告》，澄江市20</w:t>
      </w:r>
      <w:r>
        <w:rPr>
          <w:rFonts w:hint="eastAsia"/>
        </w:rPr>
        <w:t>2</w:t>
      </w:r>
      <w:r>
        <w:t>5年总用水总量不超过</w:t>
      </w:r>
      <w:r>
        <w:rPr>
          <w:rFonts w:hint="eastAsia"/>
        </w:rPr>
        <w:t>8700万</w:t>
      </w:r>
      <w:r>
        <w:t>m³。</w:t>
      </w:r>
    </w:p>
    <w:p>
      <w:pPr>
        <w:pStyle w:val="4"/>
      </w:pPr>
      <w:r>
        <w:t>——基础设施建设。有利于节水的城镇基础设施进一步完善，农村生活管网漏损率降低到10%以下。</w:t>
      </w:r>
    </w:p>
    <w:p>
      <w:pPr>
        <w:pStyle w:val="4"/>
      </w:pPr>
      <w:r>
        <w:t>——灌溉节水目标。灌溉定额应符《云南省用水定额》（经云水发〔2019〕122号发布），常规农田灌溉水有效利用系数2035年应达到0.65以上，高效节水灌溉达到0.8以上。</w:t>
      </w:r>
    </w:p>
    <w:p>
      <w:pPr>
        <w:pStyle w:val="4"/>
      </w:pPr>
      <w:r>
        <w:t>——体制目标：水资源管理制度进一步完善，节水约束与考核机制逐步优化，水权水价水市场改革取得重要进展。</w:t>
      </w:r>
    </w:p>
    <w:p>
      <w:pPr>
        <w:pStyle w:val="7"/>
      </w:pPr>
      <w:bookmarkStart w:id="104" w:name="_Toc5007762"/>
      <w:r>
        <w:t>节水指标</w:t>
      </w:r>
      <w:bookmarkEnd w:id="104"/>
    </w:p>
    <w:p>
      <w:pPr>
        <w:pStyle w:val="4"/>
      </w:pPr>
      <w:r>
        <w:t>（1）总量控制指标</w:t>
      </w:r>
    </w:p>
    <w:p>
      <w:pPr>
        <w:pStyle w:val="4"/>
      </w:pPr>
      <w:r>
        <w:t>根据《国务院办公厅关于印发实施最严格水资源管理制度考核办法的通知》（国办发〔2013〕2号），结合云南省实际及《云南省人民政府关于实行最严格水资源管理制度的意见》（云政办函〔2012〕126号），云南省人民政府办公厅制定了《云南省人民政府办公厅关于印发云南省实行最严格水资源管理制度考核办法的通知》（云政办函〔2013〕132号）。规划区所属澄江市的“三条红线”控制指标情况如下：</w:t>
      </w:r>
    </w:p>
    <w:p>
      <w:pPr>
        <w:pStyle w:val="4"/>
      </w:pPr>
      <w:r>
        <w:t>澄江市2025年用水总量控制指标为0.87亿m</w:t>
      </w:r>
      <w:r>
        <w:rPr>
          <w:vertAlign w:val="superscript"/>
        </w:rPr>
        <w:t>3</w:t>
      </w:r>
      <w:r>
        <w:t>。</w:t>
      </w:r>
    </w:p>
    <w:p>
      <w:pPr>
        <w:pStyle w:val="4"/>
      </w:pPr>
      <w:r>
        <w:t>通过分析规划区内</w:t>
      </w:r>
      <w:r>
        <w:rPr>
          <w:rFonts w:hint="eastAsia"/>
        </w:rPr>
        <w:t>多年平均用水总量0.85</w:t>
      </w:r>
      <w:r>
        <w:t>亿m</w:t>
      </w:r>
      <w:r>
        <w:rPr>
          <w:vertAlign w:val="superscript"/>
        </w:rPr>
        <w:t>3</w:t>
      </w:r>
      <w:r>
        <w:rPr>
          <w:rFonts w:hint="eastAsia"/>
        </w:rPr>
        <w:t>未超过控制指标。</w:t>
      </w:r>
      <w:r>
        <w:t>农业灌溉、农村用水户现状实际用水定额、设计水平年用水定额，与《云南省用水定额》（经云水发〔2019〕122号发布）用水效率红线是符合的。规划区用水以农业用水为主，现状农业用水占总用水量的</w:t>
      </w:r>
      <w:r>
        <w:rPr>
          <w:rFonts w:hint="eastAsia"/>
        </w:rPr>
        <w:t>69</w:t>
      </w:r>
      <w:r>
        <w:t>%。随着节水型社会建设不断推进，规划区农业农田灌溉水有效利用系数提高，2035年将从现状0.5</w:t>
      </w:r>
      <w:r>
        <w:rPr>
          <w:rFonts w:hint="eastAsia"/>
        </w:rPr>
        <w:t>1</w:t>
      </w:r>
      <w:r>
        <w:t>提高至0.65。至规划水平年规划区的用水总量不超过用水总量控制指标。</w:t>
      </w:r>
    </w:p>
    <w:p>
      <w:pPr>
        <w:pStyle w:val="4"/>
      </w:pPr>
      <w:r>
        <w:t>（1）用水分项控制指标</w:t>
      </w:r>
    </w:p>
    <w:p>
      <w:pPr>
        <w:pStyle w:val="4"/>
      </w:pPr>
      <w:r>
        <w:t>1</w:t>
      </w:r>
      <w:r>
        <w:rPr>
          <w:rFonts w:hint="eastAsia"/>
        </w:rPr>
        <w:t>）</w:t>
      </w:r>
      <w:r>
        <w:t>生活用水指标</w:t>
      </w:r>
    </w:p>
    <w:p>
      <w:pPr>
        <w:pStyle w:val="4"/>
      </w:pPr>
      <w:r>
        <w:t>根据规划区用水现状及《云南省用水定额》（经云水发〔2019〕122号发布），现状年农村居民生活用水定额为70L/人·d，居民用水采取提高用水定额方式，由安全饮水定额提高至2035年90L/人·d；大牲畜用水定额由50L/人·d提高至60L/头·d，小牲畜由6L/人·d提高至8L/头·d。</w:t>
      </w:r>
    </w:p>
    <w:p>
      <w:pPr>
        <w:pStyle w:val="4"/>
      </w:pPr>
      <w:r>
        <w:t>通过与《云南省用水定额》（经云水发〔2019〕122号发布）用水量指标对比，现状年农村居民和大牲畜生活用水定额为标准定额的低值，至2035年提高到中高值，小牲畜2035年用水指标有所提升但符合标准定额，因此生活用水指标是合理的。</w:t>
      </w:r>
    </w:p>
    <w:p>
      <w:pPr>
        <w:pStyle w:val="4"/>
      </w:pPr>
      <w:r>
        <w:t>2</w:t>
      </w:r>
      <w:r>
        <w:rPr>
          <w:rFonts w:hint="eastAsia"/>
        </w:rPr>
        <w:t>）</w:t>
      </w:r>
      <w:r>
        <w:t>输配水损耗指标</w:t>
      </w:r>
    </w:p>
    <w:p>
      <w:pPr>
        <w:pStyle w:val="4"/>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t>管网漏损：现状年、规划</w:t>
      </w:r>
      <w:r>
        <w:rPr>
          <w:rFonts w:hint="eastAsia"/>
        </w:rPr>
        <w:t>水平年</w:t>
      </w:r>
      <w:r>
        <w:t>评价范围内管网漏损率取25%、9%。</w:t>
      </w:r>
    </w:p>
    <w:p>
      <w:pPr>
        <w:pStyle w:val="4"/>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农田灌溉水有效利用系数：2035年规划区常规农田灌溉水有效利用系数取0.65、高效节水农田灌溉水有效利用系数取0.8。</w:t>
      </w:r>
    </w:p>
    <w:p>
      <w:pPr>
        <w:pStyle w:val="6"/>
      </w:pPr>
      <w:r>
        <w:t>节水符合性分析</w:t>
      </w:r>
    </w:p>
    <w:p>
      <w:pPr>
        <w:pStyle w:val="4"/>
      </w:pPr>
      <w:r>
        <w:t>（1）需水预测成果符合性分析</w:t>
      </w:r>
    </w:p>
    <w:p>
      <w:pPr>
        <w:pStyle w:val="4"/>
      </w:pPr>
      <w:r>
        <w:t>按照城镇生活、农村生活、工业和农业4种类型对灌区需水预测成果进行汇总。现状年多年平均、保证率P=75%、保证率P=95%的总需水量分别为</w:t>
      </w:r>
      <w:r>
        <w:rPr>
          <w:rFonts w:hint="eastAsia"/>
        </w:rPr>
        <w:t>6056</w:t>
      </w:r>
      <w:r>
        <w:t>万m³、</w:t>
      </w:r>
      <w:r>
        <w:rPr>
          <w:rFonts w:hint="eastAsia"/>
        </w:rPr>
        <w:t>6233</w:t>
      </w:r>
      <w:r>
        <w:t>万m³、</w:t>
      </w:r>
      <w:r>
        <w:rPr>
          <w:rFonts w:hint="eastAsia"/>
        </w:rPr>
        <w:t>7010</w:t>
      </w:r>
      <w:r>
        <w:t>万m³。预测到规划水平年，多年平均、保证率P=75%、保证率P=95%的总需水量分别为</w:t>
      </w:r>
      <w:r>
        <w:rPr>
          <w:rFonts w:hint="eastAsia"/>
        </w:rPr>
        <w:t>8516</w:t>
      </w:r>
      <w:r>
        <w:t>万m³、</w:t>
      </w:r>
      <w:r>
        <w:rPr>
          <w:rFonts w:hint="eastAsia"/>
        </w:rPr>
        <w:t>8667</w:t>
      </w:r>
      <w:r>
        <w:t>万m³、</w:t>
      </w:r>
      <w:r>
        <w:rPr>
          <w:rFonts w:hint="eastAsia"/>
        </w:rPr>
        <w:t>9296</w:t>
      </w:r>
      <w:r>
        <w:t>万m³。</w:t>
      </w:r>
    </w:p>
    <w:p>
      <w:pPr>
        <w:pStyle w:val="4"/>
      </w:pPr>
      <w:r>
        <w:t>现状年，规划区多年平均总需水量中城镇生活、农村生活、工业</w:t>
      </w:r>
      <w:r>
        <w:rPr>
          <w:rFonts w:hint="eastAsia"/>
        </w:rPr>
        <w:t>、</w:t>
      </w:r>
      <w:r>
        <w:t>农业</w:t>
      </w:r>
      <w:r>
        <w:rPr>
          <w:rFonts w:hint="eastAsia"/>
        </w:rPr>
        <w:t>、生态</w:t>
      </w:r>
      <w:r>
        <w:t>需水的比例分别是：</w:t>
      </w:r>
      <w:r>
        <w:rPr>
          <w:rFonts w:hint="eastAsia"/>
        </w:rPr>
        <w:t>15</w:t>
      </w:r>
      <w:r>
        <w:t>%、</w:t>
      </w:r>
      <w:r>
        <w:rPr>
          <w:rFonts w:hint="eastAsia"/>
        </w:rPr>
        <w:t>6</w:t>
      </w:r>
      <w:r>
        <w:t>%、</w:t>
      </w:r>
      <w:r>
        <w:rPr>
          <w:rFonts w:hint="eastAsia"/>
        </w:rPr>
        <w:t>9</w:t>
      </w:r>
      <w:r>
        <w:t>%、</w:t>
      </w:r>
      <w:r>
        <w:rPr>
          <w:rFonts w:hint="eastAsia"/>
        </w:rPr>
        <w:t>71</w:t>
      </w:r>
      <w:r>
        <w:t>%</w:t>
      </w:r>
      <w:r>
        <w:rPr>
          <w:rFonts w:hint="eastAsia"/>
        </w:rPr>
        <w:t>、0%</w:t>
      </w:r>
      <w:r>
        <w:t>，到2035年比例分别是：</w:t>
      </w:r>
      <w:r>
        <w:rPr>
          <w:rFonts w:hint="eastAsia"/>
        </w:rPr>
        <w:t>18</w:t>
      </w:r>
      <w:r>
        <w:t>%、</w:t>
      </w:r>
      <w:r>
        <w:rPr>
          <w:rFonts w:hint="eastAsia"/>
        </w:rPr>
        <w:t>3</w:t>
      </w:r>
      <w:r>
        <w:t>%、</w:t>
      </w:r>
      <w:r>
        <w:rPr>
          <w:rFonts w:hint="eastAsia"/>
        </w:rPr>
        <w:t>8</w:t>
      </w:r>
      <w:r>
        <w:t>%、</w:t>
      </w:r>
      <w:r>
        <w:rPr>
          <w:rFonts w:hint="eastAsia"/>
        </w:rPr>
        <w:t>42</w:t>
      </w:r>
      <w:r>
        <w:t>%</w:t>
      </w:r>
      <w:r>
        <w:rPr>
          <w:rFonts w:hint="eastAsia"/>
        </w:rPr>
        <w:t>/29%</w:t>
      </w:r>
      <w:r>
        <w:t>。从各水平年需水结构可以看出，城镇需水比重随着旅游人口的增加展呈逐渐增加的趋势，而农村需水比重随着工业园区发展、农转非人口的增加呈现出逐渐减小的趋势，工业需水占比随着节水措施增加呈现减小趋势，农业灌溉需水比例随着</w:t>
      </w:r>
      <w:r>
        <w:rPr>
          <w:rFonts w:hint="eastAsia"/>
        </w:rPr>
        <w:t>节水水平提高</w:t>
      </w:r>
      <w:r>
        <w:t>出现逐渐</w:t>
      </w:r>
      <w:r>
        <w:rPr>
          <w:rFonts w:hint="eastAsia"/>
        </w:rPr>
        <w:t>较少</w:t>
      </w:r>
      <w:r>
        <w:t>的趋势</w:t>
      </w:r>
      <w:r>
        <w:rPr>
          <w:rFonts w:hint="eastAsia"/>
        </w:rPr>
        <w:t>，生态需水大幅提升</w:t>
      </w:r>
      <w:r>
        <w:t>，需水量变化趋势基本符合经济社会发展的规律。</w:t>
      </w:r>
    </w:p>
    <w:p>
      <w:pPr>
        <w:pStyle w:val="4"/>
      </w:pPr>
      <w:r>
        <w:t>（2）供水预测成果符合性分析</w:t>
      </w:r>
    </w:p>
    <w:p>
      <w:pPr>
        <w:pStyle w:val="4"/>
      </w:pPr>
      <w:r>
        <w:t>评价范围内当地水资源挖潜节水考虑了以下几个方面：</w:t>
      </w:r>
    </w:p>
    <w:p>
      <w:pPr>
        <w:pStyle w:val="4"/>
      </w:pPr>
      <w:r>
        <w:t>现状供水工程为解决缺水问题，大多挤占农灌用水以及河湖生态环境用水，工程设计时考虑将挤占用水“还水于湖、还水于河”。</w:t>
      </w:r>
    </w:p>
    <w:p>
      <w:pPr>
        <w:pStyle w:val="4"/>
      </w:pPr>
      <w:r>
        <w:t>强化水资源的统一管理，实行开发、利用、治理、配置、节约、保护相统一的原则，做到城乡一体化供水的要求，城乡供水统一规划、统一管理，实行城乡供水同网同质，提高农村人畜饮水的用水水平和保证程度。</w:t>
      </w:r>
    </w:p>
    <w:p>
      <w:pPr>
        <w:pStyle w:val="4"/>
      </w:pPr>
      <w:r>
        <w:t>加大中水回用率和外流域调水，中水回用量从现状年的380万m</w:t>
      </w:r>
      <w:r>
        <w:rPr>
          <w:vertAlign w:val="superscript"/>
        </w:rPr>
        <w:t>3</w:t>
      </w:r>
      <w:r>
        <w:t>提高到规划年742万m</w:t>
      </w:r>
      <w:r>
        <w:rPr>
          <w:vertAlign w:val="superscript"/>
        </w:rPr>
        <w:t>3</w:t>
      </w:r>
      <w:r>
        <w:t>，外流域调水置换本区生产生活用水3664万m</w:t>
      </w:r>
      <w:r>
        <w:rPr>
          <w:vertAlign w:val="superscript"/>
        </w:rPr>
        <w:t>3</w:t>
      </w:r>
      <w:r>
        <w:t>，尽可能将本区清洁水资源入湖，增加抚仙湖生态水量。</w:t>
      </w:r>
    </w:p>
    <w:p>
      <w:pPr>
        <w:pStyle w:val="4"/>
      </w:pPr>
      <w:r>
        <w:t>（3）资源配置方案符合性分析</w:t>
      </w:r>
    </w:p>
    <w:p>
      <w:pPr>
        <w:pStyle w:val="4"/>
      </w:pPr>
      <w:r>
        <w:t>通过建设中水回用工程、外流域调水工程，逐步提高中水、外流域水的占比，取缔抚仙湖提水和抚仙湖流域地下水的使用，加大抚仙湖清洁入湖水量。本规划的水资源配置方案符合云南省关于“水资源节约和提高水循环利用率”的和抚仙湖保护的相关政策，水资源配置方案基本合理。</w:t>
      </w:r>
    </w:p>
    <w:p>
      <w:pPr>
        <w:pStyle w:val="6"/>
      </w:pPr>
      <w:r>
        <w:t>节水保障措施</w:t>
      </w:r>
    </w:p>
    <w:p>
      <w:pPr>
        <w:pStyle w:val="4"/>
      </w:pPr>
      <w:r>
        <w:t>（1）切实落实</w:t>
      </w:r>
      <w:r>
        <w:rPr>
          <w:rFonts w:hint="eastAsia"/>
        </w:rPr>
        <w:t>水资源刚性约束制度</w:t>
      </w:r>
      <w:r>
        <w:t>等制度，推进节水型社会建设。</w:t>
      </w:r>
    </w:p>
    <w:p>
      <w:pPr>
        <w:pStyle w:val="4"/>
      </w:pPr>
      <w:r>
        <w:rPr>
          <w:rFonts w:hint="eastAsia"/>
        </w:rPr>
        <w:t>2019年4月，国家发展改革委、水利部联合印发《国家节水行动方案》，提出要强化水资源指标刚性约束，并将其作为国家节水行动的总体要求之一。2019年9月，习近平总书记在黄河流域生态保护和高质量发展座谈会上提出，“要坚持以水定城、以水定地、以水定人、以水定产，把水资源作为最大的刚性约束。”这意味着将水资源作为确定地区发展规模的首要考虑因素，进一步明确了水资源刚性约束的要求。规划区进一步</w:t>
      </w:r>
      <w:r>
        <w:t>优化水资源配置和功能管控，严格落实用水总量、用水效率及水资源消耗双控的各项措施，全面推进节水型社会建设，确保用水总量达到有效管控，用水效率持续提高。</w:t>
      </w:r>
    </w:p>
    <w:p>
      <w:pPr>
        <w:pStyle w:val="4"/>
      </w:pPr>
      <w:r>
        <w:t>（2）全面建立较为完善的水价管理机制，促进规划区水资源的高效利用</w:t>
      </w:r>
    </w:p>
    <w:p>
      <w:pPr>
        <w:pStyle w:val="4"/>
      </w:pPr>
      <w:r>
        <w:t>全面推行初始水权分配机制。按照最严格水资源管理制度要求，实行用水总量控制下的初始水权分配和用水定额管理机制，农业初始水权以水权证方式确权到户，用水严格按照“以供定需、总量控制、定额管理”和“用水有保障、用水不浪费”的原则，将水权水量按照耕地面积分配到用水户并向用水户核发用水权证。同时，制定水权交易管理办法，鼓励农户之间进行水权有偿转让交易，促进水资源效益最大化合理利用。</w:t>
      </w:r>
    </w:p>
    <w:p>
      <w:pPr>
        <w:pStyle w:val="4"/>
      </w:pPr>
      <w:r>
        <w:t>建立科学合理的水价形成机制。以水价为“杠杆”撬动节水，按照“补偿成本、合理收益、优质优价、公平负担”的原则合理确定供水价格，全面推行终端水价制度，根据城镇生活、农村生活、工业和农村，实行差别化水价。通过水价改革，达到工程运行成本水价，有条件的逐步实现微利润目标。</w:t>
      </w:r>
    </w:p>
    <w:p>
      <w:pPr>
        <w:pStyle w:val="4"/>
      </w:pPr>
      <w:r>
        <w:t>（3）加大节水宣传</w:t>
      </w:r>
    </w:p>
    <w:p>
      <w:pPr>
        <w:pStyle w:val="4"/>
      </w:pPr>
      <w:r>
        <w:t>广泛开展节水宣传。利用电视、广播、报纸等新闻媒体以及各种渠道，多形式、全方位地开展节水宣传；积极宣传有关水资源的基本知识，普及节水常识和日常节水实用技术，培养牢固的节约用水和合理用水观念；充分利用各种公共教育资源和新闻媒体，广泛发挥民间组织与志愿者作用，鼓励和引导公众自觉参与爱水、节水、护水行动，倡导有利于节约用水的生产和生活方式。</w:t>
      </w:r>
    </w:p>
    <w:p>
      <w:pPr>
        <w:pStyle w:val="5"/>
      </w:pPr>
      <w:bookmarkStart w:id="105" w:name="_Toc184023333"/>
      <w:r>
        <w:t>水资源利用规划主要工程</w:t>
      </w:r>
      <w:bookmarkEnd w:id="105"/>
    </w:p>
    <w:p>
      <w:pPr>
        <w:pStyle w:val="4"/>
      </w:pPr>
      <w:r>
        <w:t>为满足水资源配置方案，需规划新建高效节水和水资源配置工程，具体如下。</w:t>
      </w:r>
    </w:p>
    <w:p>
      <w:pPr>
        <w:pStyle w:val="6"/>
      </w:pPr>
      <w:r>
        <w:t>节水</w:t>
      </w:r>
      <w:r>
        <w:rPr>
          <w:rFonts w:hint="eastAsia"/>
        </w:rPr>
        <w:t>灌溉</w:t>
      </w:r>
    </w:p>
    <w:p>
      <w:pPr>
        <w:pStyle w:val="4"/>
      </w:pPr>
      <w:r>
        <w:t>到规划年，全市常规灌溉农田灌溉水有效利用系数达到0.65，需对现在灌区进行节水改造。规划新建东大河中型灌区及梁王河中型续建配套与节水改造工程、澄江市海新灌区建设工程、澄江市新建东溪哨小型灌区工程、澄江市新建抚仙湖西岸小型灌区工程、澄江市七江小型灌区续建配套与节水改造工程等5个工程。新增灌溉面积2.27万亩，改善灌溉面积4.91万亩。</w:t>
      </w:r>
    </w:p>
    <w:p>
      <w:pPr>
        <w:pStyle w:val="6"/>
      </w:pPr>
      <w:r>
        <w:t>水资源配置</w:t>
      </w:r>
    </w:p>
    <w:p>
      <w:pPr>
        <w:pStyle w:val="4"/>
      </w:pPr>
      <w:r>
        <w:t>到规划年，为满足全市用水需求，需新建滇中引水二期配套工程澄江干线项目、抚仙湖水资源生态保护甸垛龙潭调水管网延伸扩建工程、抚仙湖东南西岸配水管网工程、澄江市抚仙湖流域农业水资源循环利用工程一期、澄江市抚仙湖流域农业水资源循环利用（二期）工程、澄江市海口松元片区抗旱应急水利工程、澄江市北片区城乡供水一体化项目、澄江市产业园区基础设施配套工程、七江大沟修复工程、</w:t>
      </w:r>
      <w:r>
        <w:rPr>
          <w:rFonts w:hint="eastAsia"/>
        </w:rPr>
        <w:t>澄江市水库清淤工程、抚仙湖流域小（二）型水库扩建工程、</w:t>
      </w:r>
      <w:r>
        <w:t>澄江市三百亩村委会农业用水及森林防火抗旱应急工程等12项。重点骨干工程概况如下：</w:t>
      </w:r>
    </w:p>
    <w:p>
      <w:pPr>
        <w:pStyle w:val="4"/>
      </w:pPr>
      <w:r>
        <w:t>（1）滇中引水二期配套工程澄江干线项目</w:t>
      </w:r>
    </w:p>
    <w:p>
      <w:pPr>
        <w:pStyle w:val="4"/>
      </w:pPr>
      <w:r>
        <w:t>工程建设任务为：置换抚仙湖流域生产生活用水，增加抚仙湖入湖清洁生态水量，为抚仙湖保护治理提供水资源条件。</w:t>
      </w:r>
    </w:p>
    <w:p>
      <w:pPr>
        <w:pStyle w:val="4"/>
      </w:pPr>
      <w:r>
        <w:t>工程从滇中引水二期配套工程呈昆隧洞14号施工支洞与主洞交叉位置向东南布设6.4km长输水隧洞，隧洞在小官庄村附近出洞后，向东布置约16.7km长输水管道分别向西大河水库、澄江市二水厂、澄江市东岸水厂供水。渠首设计输水流量为11万m³/日，隧洞采用城门洞型无压隧洞，净断面2.5×3.0（宽×高），输水管径D=1.5m、1.2m、1.0m，设计年供水量4064万m</w:t>
      </w:r>
      <w:r>
        <w:rPr>
          <w:vertAlign w:val="superscript"/>
        </w:rPr>
        <w:t>3</w:t>
      </w:r>
      <w:r>
        <w:t>，其中置换花椒树提水站供水400万m</w:t>
      </w:r>
      <w:r>
        <w:rPr>
          <w:vertAlign w:val="superscript"/>
        </w:rPr>
        <w:t>3</w:t>
      </w:r>
      <w:r>
        <w:t>，向抚仙湖流域直接供水3664万m</w:t>
      </w:r>
      <w:r>
        <w:rPr>
          <w:vertAlign w:val="superscript"/>
        </w:rPr>
        <w:t>3</w:t>
      </w:r>
      <w:r>
        <w:t>。</w:t>
      </w:r>
    </w:p>
    <w:p>
      <w:pPr>
        <w:pStyle w:val="4"/>
      </w:pPr>
      <w:r>
        <w:t>（2）澄江市抚仙湖流域农业水资源循环利用（二期）工程</w:t>
      </w:r>
    </w:p>
    <w:p>
      <w:pPr>
        <w:pStyle w:val="4"/>
      </w:pPr>
      <w:r>
        <w:t>工程的主要任务是通过新建提水泵站、管道和调蓄池，将抚仙湖调蓄带截留的初期雨水、农田灌溉退水、污水处理厂中水提至抚仙湖东部山地灌区替代抚仙湖取水灌溉，缓解湖岸山区农田因抚仙湖禁止取水灌溉而导致的农业灌溉缺水问题。当来水量供大于求时，调蓄带再生水和污水处理厂中水可通过输水管道输送至抚仙湖径流区外，以降低农业面源低污染水和中水直接入湖量，从而保护抚仙湖Ⅰ类水质，同时解决抚仙湖东部山地灌区农业灌溉资源性缺水问题。</w:t>
      </w:r>
    </w:p>
    <w:p>
      <w:pPr>
        <w:pStyle w:val="4"/>
      </w:pPr>
      <w:r>
        <w:t>工程建设内容分为南岸片区和北岸片区。南岸片区新建主管2条，合计长4.07km，新建干管1条，长1.25km，新增高效节水燃灯寺灌片，面积0.15万亩，改善灌溉面积0.616万亩（旱改水灌片0.17万亩、燃灯寺水库灌片0.15万亩、下坝村以下灌片即原高效节水南岸路居镇片区0.296万亩）。北岸片区新建输水主管4条，合计长10.7km；输水干管15条，合计长8.34km；提水干管3条，合计长6.06km；中水回用管2条，合计长1.4km，新建泵站3座，合计装机712kW，改建泵站1座，装机220kW。完善高效节水减排耕地面积4332亩，中水灌溉面积3850亩，调蓄带蓄水灌溉1.15万亩。</w:t>
      </w:r>
    </w:p>
    <w:p>
      <w:pPr>
        <w:pStyle w:val="4"/>
      </w:pPr>
      <w:r>
        <w:t>（3）澄江市北片区城乡供水一体化项目</w:t>
      </w:r>
    </w:p>
    <w:p>
      <w:pPr>
        <w:pStyle w:val="4"/>
      </w:pPr>
      <w:r>
        <w:t>工程主要任务完成东至大湾、西至立昌以北片区的供水主管网及城镇管网改造扩建，完善水厂供水系统，实现抚仙湖北岸坝区供水一体化。具体建设内容为：在抚仙湖北片区新、改建DN150-DN600给水主管。</w:t>
      </w:r>
    </w:p>
    <w:p>
      <w:pPr>
        <w:pStyle w:val="3"/>
        <w:ind w:left="656" w:hanging="656"/>
        <w:rPr>
          <w:rFonts w:ascii="Times New Roman" w:hAnsi="Times New Roman"/>
          <w:color w:val="000000" w:themeColor="text1"/>
          <w14:textFill>
            <w14:solidFill>
              <w14:schemeClr w14:val="tx1"/>
            </w14:solidFill>
          </w14:textFill>
        </w:rPr>
      </w:pPr>
      <w:bookmarkStart w:id="106" w:name="_Toc184023334"/>
      <w:r>
        <w:rPr>
          <w:rFonts w:ascii="Times New Roman" w:hAnsi="Times New Roman"/>
          <w:color w:val="000000" w:themeColor="text1"/>
          <w14:textFill>
            <w14:solidFill>
              <w14:schemeClr w14:val="tx1"/>
            </w14:solidFill>
          </w14:textFill>
        </w:rPr>
        <w:t>水生态环境保护规划</w:t>
      </w:r>
      <w:bookmarkEnd w:id="106"/>
    </w:p>
    <w:p>
      <w:pPr>
        <w:pStyle w:val="5"/>
      </w:pPr>
      <w:bookmarkStart w:id="107" w:name="_Toc184023335"/>
      <w:bookmarkStart w:id="108" w:name="_Toc6863"/>
      <w:r>
        <w:t>水环境治理</w:t>
      </w:r>
      <w:bookmarkEnd w:id="107"/>
    </w:p>
    <w:p>
      <w:pPr>
        <w:pStyle w:val="6"/>
      </w:pPr>
      <w:bookmarkStart w:id="109" w:name="_Hlk160205983"/>
      <w:r>
        <w:rPr>
          <w:rFonts w:hint="eastAsia"/>
        </w:rPr>
        <w:t>治理目标</w:t>
      </w:r>
    </w:p>
    <w:p>
      <w:pPr>
        <w:pStyle w:val="4"/>
      </w:pPr>
      <w:r>
        <w:rPr>
          <w:rFonts w:hint="eastAsia"/>
        </w:rPr>
        <w:t>按照“共抓大保护，不搞大开发”的总体要求，基于“保护第一、治理为要、科学规划、绿色发展”理念，以稳定保持抚仙湖</w:t>
      </w:r>
      <w:r>
        <w:t>Ⅰ</w:t>
      </w:r>
      <w:r>
        <w:rPr>
          <w:rFonts w:hint="eastAsia"/>
        </w:rPr>
        <w:t>类水质为目标，突出问题导向，坚持“属地管理”与“分级负责”相结合的原则，注重源头防范、过程处置、末端治理，做到湖泊空间岸线管控有序、最严格水资源管理制度得到有效落实、农业面源污染得到有效控制、入湖污染负荷得到有效削减、水环境治理全面提速、水生态风险得到有效防范、依法治湖护湖得到进一步加强、“山-水-林-田-湖-草”生态系统整体得到修复，进一步增强全民保护抚仙湖意识，基本实现河畅、水清、岸绿、湖美的目标。</w:t>
      </w:r>
    </w:p>
    <w:bookmarkEnd w:id="109"/>
    <w:p>
      <w:pPr>
        <w:pStyle w:val="6"/>
      </w:pPr>
      <w:bookmarkStart w:id="110" w:name="_Hlk160206024"/>
      <w:r>
        <w:rPr>
          <w:rFonts w:hint="eastAsia"/>
        </w:rPr>
        <w:t>治理思路</w:t>
      </w:r>
    </w:p>
    <w:bookmarkEnd w:id="110"/>
    <w:p>
      <w:pPr>
        <w:pStyle w:val="4"/>
      </w:pPr>
      <w:r>
        <w:rPr>
          <w:rFonts w:hint="eastAsia"/>
        </w:rPr>
        <w:t>以“改善抚仙湖流域饮用水水源环境质量，确保主要入湖河流稳定达标”为核心。落实“不达标水源水质改善，水库增效清淤及坝塘进行除险加固、水源风险防控”三项重点任务，不断强化环境风险防范，提高应急能力，实行从水源地到水龙头全过程监管，确保群众饮水安全。以“河长制”为抓手，加强入湖河道环境综合整治，重点对水质改善不明显、不能稳定达标的入湖河流精准施治，围绕“开展系统调查、不达标原因甄别、精准达标方案编制”进行整治，从“设计”到“施工”全过程精准施治，确保主要入湖河流稳定达标。</w:t>
      </w:r>
    </w:p>
    <w:p>
      <w:pPr>
        <w:pStyle w:val="6"/>
      </w:pPr>
      <w:r>
        <w:rPr>
          <w:rFonts w:hint="eastAsia"/>
        </w:rPr>
        <w:t>重点任务</w:t>
      </w:r>
    </w:p>
    <w:p>
      <w:pPr>
        <w:pStyle w:val="7"/>
      </w:pPr>
      <w:r>
        <w:rPr>
          <w:rFonts w:hint="eastAsia"/>
        </w:rPr>
        <w:t>抚仙湖入湖河道水质提升一期工程</w:t>
      </w:r>
    </w:p>
    <w:p>
      <w:pPr>
        <w:pStyle w:val="4"/>
      </w:pPr>
      <w:r>
        <w:rPr>
          <w:rFonts w:hint="eastAsia"/>
        </w:rPr>
        <w:t>一是针对6条清水入湖河流，抚澄河、梁王河、东大河、沙亥河、尖山河、大鲫鱼河入湖水质不达标，河道淤积严重，沿河排污口众多，农田退水污染河道，生态岸坡退化，生态流量不达标等问题制定工程措施；二是针对1条无清洁水源且水质不达标的河流代村河进行治理；三是针对5条劣</w:t>
      </w:r>
      <w:r>
        <w:t>Ⅴ</w:t>
      </w:r>
      <w:r>
        <w:rPr>
          <w:rFonts w:hint="eastAsia"/>
        </w:rPr>
        <w:t>类渠道，分别为</w:t>
      </w:r>
      <w:r>
        <w:t>马房西沟</w:t>
      </w:r>
      <w:r>
        <w:rPr>
          <w:rFonts w:hint="eastAsia"/>
        </w:rPr>
        <w:t>、</w:t>
      </w:r>
      <w:r>
        <w:t>马房</w:t>
      </w:r>
      <w:r>
        <w:rPr>
          <w:rFonts w:hint="eastAsia"/>
        </w:rPr>
        <w:t>中</w:t>
      </w:r>
      <w:r>
        <w:t>沟</w:t>
      </w:r>
      <w:r>
        <w:rPr>
          <w:rFonts w:hint="eastAsia"/>
        </w:rPr>
        <w:t>、窑泥沟、锁水桥沟、大摆沟，针对排污口多、渠道淤积以及农田退水问题，制定工程措施；四是对抚仙湖生态调蓄带和21块湿地（</w:t>
      </w:r>
      <w:r>
        <w:t>沙亥河末段湿地</w:t>
      </w:r>
      <w:r>
        <w:rPr>
          <w:rFonts w:hint="eastAsia"/>
        </w:rPr>
        <w:t>、</w:t>
      </w:r>
      <w:r>
        <w:t>镇海营湿地</w:t>
      </w:r>
      <w:r>
        <w:rPr>
          <w:rFonts w:hint="eastAsia"/>
        </w:rPr>
        <w:t>、</w:t>
      </w:r>
      <w:r>
        <w:t>抚澄河末段湿地</w:t>
      </w:r>
      <w:r>
        <w:rPr>
          <w:rFonts w:hint="eastAsia"/>
        </w:rPr>
        <w:t>、</w:t>
      </w:r>
      <w:r>
        <w:t>窑泥沟湿地</w:t>
      </w:r>
      <w:r>
        <w:rPr>
          <w:rFonts w:hint="eastAsia"/>
        </w:rPr>
        <w:t>、</w:t>
      </w:r>
      <w:r>
        <w:t>洋潦营湿地</w:t>
      </w:r>
      <w:r>
        <w:rPr>
          <w:rFonts w:hint="eastAsia"/>
        </w:rPr>
        <w:t>、</w:t>
      </w:r>
      <w:r>
        <w:t>新河湿地</w:t>
      </w:r>
      <w:r>
        <w:rPr>
          <w:rFonts w:hint="eastAsia"/>
        </w:rPr>
        <w:t>、</w:t>
      </w:r>
      <w:r>
        <w:t>东大河湿地</w:t>
      </w:r>
      <w:r>
        <w:rPr>
          <w:rFonts w:hint="eastAsia"/>
        </w:rPr>
        <w:t>、</w:t>
      </w:r>
      <w:r>
        <w:t>兜底寺湿地</w:t>
      </w:r>
      <w:r>
        <w:rPr>
          <w:rFonts w:hint="eastAsia"/>
        </w:rPr>
        <w:t>、</w:t>
      </w:r>
      <w:r>
        <w:t>马房村湿地</w:t>
      </w:r>
      <w:r>
        <w:rPr>
          <w:rFonts w:hint="eastAsia"/>
        </w:rPr>
        <w:t>、</w:t>
      </w:r>
      <w:r>
        <w:t>杨村湿地</w:t>
      </w:r>
      <w:r>
        <w:rPr>
          <w:rFonts w:hint="eastAsia"/>
        </w:rPr>
        <w:t>、</w:t>
      </w:r>
      <w:r>
        <w:t>沙河</w:t>
      </w:r>
      <w:r>
        <w:rPr>
          <w:rFonts w:hint="eastAsia"/>
        </w:rPr>
        <w:t>村</w:t>
      </w:r>
      <w:r>
        <w:t>湿地</w:t>
      </w:r>
      <w:r>
        <w:rPr>
          <w:rFonts w:hint="eastAsia"/>
        </w:rPr>
        <w:t>、</w:t>
      </w:r>
      <w:r>
        <w:t>横大路湿地</w:t>
      </w:r>
      <w:r>
        <w:rPr>
          <w:rFonts w:hint="eastAsia"/>
        </w:rPr>
        <w:t>、</w:t>
      </w:r>
      <w:r>
        <w:t>代村河湿地</w:t>
      </w:r>
      <w:r>
        <w:rPr>
          <w:rFonts w:hint="eastAsia"/>
        </w:rPr>
        <w:t>、</w:t>
      </w:r>
      <w:r>
        <w:t>尖山河湿地</w:t>
      </w:r>
      <w:r>
        <w:rPr>
          <w:rFonts w:hint="eastAsia"/>
        </w:rPr>
        <w:t>、</w:t>
      </w:r>
      <w:r>
        <w:t>李官村湿地</w:t>
      </w:r>
      <w:r>
        <w:rPr>
          <w:rFonts w:hint="eastAsia"/>
        </w:rPr>
        <w:t>、</w:t>
      </w:r>
      <w:r>
        <w:t>大冲湿地</w:t>
      </w:r>
      <w:r>
        <w:rPr>
          <w:rFonts w:hint="eastAsia"/>
        </w:rPr>
        <w:t>、</w:t>
      </w:r>
      <w:r>
        <w:t>干冲湿地</w:t>
      </w:r>
      <w:r>
        <w:rPr>
          <w:rFonts w:hint="eastAsia"/>
        </w:rPr>
        <w:t>、</w:t>
      </w:r>
      <w:r>
        <w:t>2号湿地</w:t>
      </w:r>
      <w:r>
        <w:rPr>
          <w:rFonts w:hint="eastAsia"/>
        </w:rPr>
        <w:t>、</w:t>
      </w:r>
      <w:r>
        <w:t>入湖口湿地</w:t>
      </w:r>
      <w:r>
        <w:rPr>
          <w:rFonts w:hint="eastAsia"/>
        </w:rPr>
        <w:t>、</w:t>
      </w:r>
      <w:r>
        <w:t>大鲫鱼河末段湿地</w:t>
      </w:r>
      <w:r>
        <w:rPr>
          <w:rFonts w:hint="eastAsia"/>
        </w:rPr>
        <w:t>、</w:t>
      </w:r>
      <w:r>
        <w:t>张营田心沟末段湿地</w:t>
      </w:r>
      <w:r>
        <w:rPr>
          <w:rFonts w:hint="eastAsia"/>
        </w:rPr>
        <w:t>）及2座沉砂池（</w:t>
      </w:r>
      <w:r>
        <w:t>马房中沟沉砂池</w:t>
      </w:r>
      <w:r>
        <w:rPr>
          <w:rFonts w:hint="eastAsia"/>
        </w:rPr>
        <w:t>、</w:t>
      </w:r>
      <w:r>
        <w:t>锁水桥沟沉砂池</w:t>
      </w:r>
      <w:r>
        <w:rPr>
          <w:rFonts w:hint="eastAsia"/>
        </w:rPr>
        <w:t>）开展水质提升工程。</w:t>
      </w:r>
    </w:p>
    <w:p>
      <w:pPr>
        <w:pStyle w:val="7"/>
      </w:pPr>
      <w:r>
        <w:rPr>
          <w:rFonts w:hint="eastAsia"/>
        </w:rPr>
        <w:t>抚仙湖入湖河道水质提升二期工程</w:t>
      </w:r>
    </w:p>
    <w:p>
      <w:pPr>
        <w:pStyle w:val="4"/>
        <w:rPr>
          <w:bCs/>
        </w:rPr>
      </w:pPr>
      <w:r>
        <w:rPr>
          <w:bCs/>
        </w:rPr>
        <w:t>抚仙湖入湖河道水质提升二期工程对抚仙湖径流区的15条入湖河道进行治理，主要建设内容:</w:t>
      </w:r>
    </w:p>
    <w:p>
      <w:pPr>
        <w:pStyle w:val="4"/>
        <w:rPr>
          <w:bCs/>
        </w:rPr>
      </w:pPr>
      <w:r>
        <w:rPr>
          <w:bCs/>
        </w:rPr>
        <w:t>（</w:t>
      </w:r>
      <w:r>
        <w:rPr>
          <w:rFonts w:hint="eastAsia"/>
          <w:bCs/>
        </w:rPr>
        <w:t>1</w:t>
      </w:r>
      <w:r>
        <w:rPr>
          <w:bCs/>
        </w:rPr>
        <w:t>）水土流失治理工程。对路歧河、居乐河、五车河、矣马谷大河上游水土流失进行治理，增加河道径流区水源涵养能力不足，减少下游河道泥沙量，减少下游河道水质的污染负荷。工程新建谷坊7座，植被补植补种面积17.85hm</w:t>
      </w:r>
      <w:r>
        <w:rPr>
          <w:bCs/>
          <w:vertAlign w:val="superscript"/>
        </w:rPr>
        <w:t>2</w:t>
      </w:r>
      <w:r>
        <w:rPr>
          <w:bCs/>
        </w:rPr>
        <w:t>，疏幼林封禁治理面积825.05hm</w:t>
      </w:r>
      <w:r>
        <w:rPr>
          <w:bCs/>
          <w:vertAlign w:val="superscript"/>
        </w:rPr>
        <w:t>2</w:t>
      </w:r>
      <w:r>
        <w:rPr>
          <w:bCs/>
        </w:rPr>
        <w:t>。</w:t>
      </w:r>
    </w:p>
    <w:p>
      <w:pPr>
        <w:pStyle w:val="4"/>
        <w:rPr>
          <w:bCs/>
        </w:rPr>
      </w:pPr>
      <w:r>
        <w:rPr>
          <w:bCs/>
        </w:rPr>
        <w:t>（</w:t>
      </w:r>
      <w:r>
        <w:rPr>
          <w:rFonts w:hint="eastAsia"/>
          <w:bCs/>
        </w:rPr>
        <w:t>2</w:t>
      </w:r>
      <w:r>
        <w:rPr>
          <w:bCs/>
        </w:rPr>
        <w:t>）河道及湿地清淤疏浚工程。对地涧沟、龙溪沟、山冲河、干沟河、牛摩河、居乐河、五车河、矣马谷大河、矣渡河等12条河道及河道沿线的坝塘湿地进行清淤疏浚，清淤量为14247m³。</w:t>
      </w:r>
    </w:p>
    <w:p>
      <w:pPr>
        <w:pStyle w:val="4"/>
        <w:rPr>
          <w:bCs/>
        </w:rPr>
      </w:pPr>
      <w:r>
        <w:rPr>
          <w:bCs/>
        </w:rPr>
        <w:t>（</w:t>
      </w:r>
      <w:r>
        <w:rPr>
          <w:rFonts w:hint="eastAsia"/>
          <w:bCs/>
        </w:rPr>
        <w:t>3</w:t>
      </w:r>
      <w:r>
        <w:rPr>
          <w:bCs/>
        </w:rPr>
        <w:t>）湿地提升改造工程。对龙潭村湿地、上村河湿地、洋海村3#湿地、洋海村6#湿地进行进行整治，面积为30521.09㎡。水生植物收割，植物补植补种，恢复湿地的生态功能。</w:t>
      </w:r>
    </w:p>
    <w:p>
      <w:pPr>
        <w:pStyle w:val="4"/>
        <w:rPr>
          <w:bCs/>
        </w:rPr>
      </w:pPr>
      <w:r>
        <w:rPr>
          <w:bCs/>
        </w:rPr>
        <w:t>（</w:t>
      </w:r>
      <w:r>
        <w:rPr>
          <w:rFonts w:hint="eastAsia"/>
          <w:bCs/>
        </w:rPr>
        <w:t>4</w:t>
      </w:r>
      <w:r>
        <w:rPr>
          <w:bCs/>
        </w:rPr>
        <w:t>）生态堤防建设工程。新建路歧河生态河道237m，恢复河道生态功能，提高河道的自净能力。</w:t>
      </w:r>
    </w:p>
    <w:p>
      <w:pPr>
        <w:pStyle w:val="4"/>
        <w:rPr>
          <w:bCs/>
        </w:rPr>
      </w:pPr>
      <w:r>
        <w:rPr>
          <w:bCs/>
        </w:rPr>
        <w:t>（</w:t>
      </w:r>
      <w:r>
        <w:rPr>
          <w:rFonts w:hint="eastAsia"/>
          <w:bCs/>
        </w:rPr>
        <w:t>5</w:t>
      </w:r>
      <w:r>
        <w:rPr>
          <w:bCs/>
        </w:rPr>
        <w:t>）沿河排口封堵工程。采用C25混凝土对地涧沟、龙溪沟、山冲河、居乐河、矣马谷大河、矣渡河沿河生活排口进行封堵，共计封堵排口27处。</w:t>
      </w:r>
    </w:p>
    <w:p>
      <w:pPr>
        <w:pStyle w:val="4"/>
        <w:rPr>
          <w:bCs/>
        </w:rPr>
      </w:pPr>
      <w:r>
        <w:rPr>
          <w:bCs/>
        </w:rPr>
        <w:t>（</w:t>
      </w:r>
      <w:r>
        <w:rPr>
          <w:rFonts w:hint="eastAsia"/>
          <w:bCs/>
        </w:rPr>
        <w:t>6</w:t>
      </w:r>
      <w:r>
        <w:rPr>
          <w:bCs/>
        </w:rPr>
        <w:t>）河道岸坡加固工程。对地涧沟、隔河等河道破损岸坡进行修复，恢复河道的行洪能力，减少下游河道的泥沙淤积，工程修复岸线长127m。</w:t>
      </w:r>
    </w:p>
    <w:p>
      <w:pPr>
        <w:pStyle w:val="4"/>
        <w:rPr>
          <w:bCs/>
        </w:rPr>
      </w:pPr>
      <w:r>
        <w:rPr>
          <w:bCs/>
        </w:rPr>
        <w:t>（</w:t>
      </w:r>
      <w:r>
        <w:rPr>
          <w:rFonts w:hint="eastAsia"/>
          <w:bCs/>
        </w:rPr>
        <w:t>7</w:t>
      </w:r>
      <w:r>
        <w:rPr>
          <w:bCs/>
        </w:rPr>
        <w:t>）河床修复工程。修复干沟河、隔河、上村河等河道河床8644㎡，恢复河道的行洪能力。</w:t>
      </w:r>
    </w:p>
    <w:p>
      <w:pPr>
        <w:pStyle w:val="4"/>
        <w:rPr>
          <w:bCs/>
        </w:rPr>
      </w:pPr>
      <w:r>
        <w:rPr>
          <w:bCs/>
        </w:rPr>
        <w:t>（</w:t>
      </w:r>
      <w:r>
        <w:rPr>
          <w:rFonts w:hint="eastAsia"/>
          <w:bCs/>
        </w:rPr>
        <w:t>8</w:t>
      </w:r>
      <w:r>
        <w:rPr>
          <w:bCs/>
        </w:rPr>
        <w:t>）清水疏导及污水收集工程。新建老马料河溢流堰1座进行清水疏导，马料河出口新建1台设计流量为4000m³/h的泵站，通过泵站将高浓度水进行抽提调度；心窝龙潭出水渠新建5道闸门进行清水疏导；隔河移民安置点建设1座污水收集前置池，并配备1台设计流量为10m³/h抽提泵站，新建500米污水管道转输到环湖截污干管。</w:t>
      </w:r>
    </w:p>
    <w:p>
      <w:pPr>
        <w:pStyle w:val="4"/>
        <w:rPr>
          <w:bCs/>
        </w:rPr>
      </w:pPr>
      <w:r>
        <w:rPr>
          <w:bCs/>
        </w:rPr>
        <w:t>（</w:t>
      </w:r>
      <w:r>
        <w:rPr>
          <w:rFonts w:hint="eastAsia"/>
          <w:bCs/>
        </w:rPr>
        <w:t>9</w:t>
      </w:r>
      <w:r>
        <w:rPr>
          <w:bCs/>
        </w:rPr>
        <w:t>）再生水回用工程。在路歧河龙潭湿地出口建设3 座100m³调蓄池以及配套管道1890m，将湿地处理后的低污染水用于林业灌溉和森林防火。</w:t>
      </w:r>
    </w:p>
    <w:p>
      <w:pPr>
        <w:pStyle w:val="4"/>
        <w:rPr>
          <w:bCs/>
        </w:rPr>
      </w:pPr>
      <w:r>
        <w:rPr>
          <w:bCs/>
        </w:rPr>
        <w:t>（</w:t>
      </w:r>
      <w:r>
        <w:rPr>
          <w:rFonts w:hint="eastAsia"/>
          <w:bCs/>
        </w:rPr>
        <w:t>1</w:t>
      </w:r>
      <w:r>
        <w:rPr>
          <w:bCs/>
        </w:rPr>
        <w:t>0）沿河垃圾清理转运工程。对地涧沟、大清沟、龙溪沟、山冲河、干沟河、牛摩河、隔河、居乐河、矣马谷大河、矣渡河沿河垃圾进行清运，共计12t。</w:t>
      </w:r>
    </w:p>
    <w:p>
      <w:pPr>
        <w:pStyle w:val="4"/>
        <w:rPr>
          <w:bCs/>
        </w:rPr>
      </w:pPr>
      <w:r>
        <w:rPr>
          <w:bCs/>
        </w:rPr>
        <w:t>（</w:t>
      </w:r>
      <w:r>
        <w:rPr>
          <w:rFonts w:hint="eastAsia"/>
          <w:bCs/>
        </w:rPr>
        <w:t>1</w:t>
      </w:r>
      <w:r>
        <w:rPr>
          <w:bCs/>
        </w:rPr>
        <w:t>1）宣传标识牌设立工程。对地涧沟、马料河、大清沟、中龙沟、龙溪沟、山冲河、干沟河、牛摩河、隔河、居乐大河、五车河、矣马谷大河、矣渡河、上村河设立宣传标识牌，共计43块。</w:t>
      </w:r>
    </w:p>
    <w:p>
      <w:pPr>
        <w:pStyle w:val="4"/>
      </w:pPr>
      <w:r>
        <w:rPr>
          <w:bCs/>
        </w:rPr>
        <w:t>（</w:t>
      </w:r>
      <w:r>
        <w:rPr>
          <w:rFonts w:hint="eastAsia"/>
          <w:bCs/>
        </w:rPr>
        <w:t>1</w:t>
      </w:r>
      <w:r>
        <w:rPr>
          <w:bCs/>
        </w:rPr>
        <w:t>2）美丽河湖建设工程。在项目建设范围内的海口河、梁王河水库、东大河水库、路歧河、抚仙湖北岸生态调蓄带、抚澄河增设垃圾桶17个、休闲凳椅15套，新增体现人文风情、传承水文化的文化墙8米，展示文化景点的小品10个。路灯12盏、雕塑1项、标识标牌10块，提水泵站建设视频监控2个，河道清淤长度共计6.5千米，还包括补植补种等生态修复工程。</w:t>
      </w:r>
    </w:p>
    <w:p>
      <w:pPr>
        <w:pStyle w:val="7"/>
      </w:pPr>
      <w:r>
        <w:rPr>
          <w:rFonts w:hint="eastAsia"/>
        </w:rPr>
        <w:t>澄江市水库坝塘水环境综合治理工程</w:t>
      </w:r>
    </w:p>
    <w:p>
      <w:pPr>
        <w:pStyle w:val="4"/>
      </w:pPr>
      <w:r>
        <w:rPr>
          <w:rFonts w:hint="eastAsia"/>
        </w:rPr>
        <w:t>（1）小坝塘除险加固工程</w:t>
      </w:r>
    </w:p>
    <w:p>
      <w:pPr>
        <w:pStyle w:val="4"/>
      </w:pPr>
      <w:r>
        <w:rPr>
          <w:rFonts w:hint="eastAsia"/>
        </w:rPr>
        <w:t>对抚仙湖流域内48座小坝塘进行除险加固，及时消除病险小坝塘的安全隐患，使小坝塘功能得到有效发挥。</w:t>
      </w:r>
    </w:p>
    <w:p>
      <w:pPr>
        <w:pStyle w:val="4"/>
      </w:pPr>
      <w:r>
        <w:rPr>
          <w:rFonts w:hint="eastAsia"/>
        </w:rPr>
        <w:t>（2）水库增效清淤工程</w:t>
      </w:r>
    </w:p>
    <w:p>
      <w:pPr>
        <w:pStyle w:val="4"/>
      </w:pPr>
      <w:r>
        <w:rPr>
          <w:rFonts w:hint="eastAsia"/>
        </w:rPr>
        <w:t>完善22座水库的治污体系，实施周边污水管网、污水处理设施建设、水土流失防治、底泥清淤、监测系统建设工程等措施。</w:t>
      </w:r>
    </w:p>
    <w:p>
      <w:pPr>
        <w:pStyle w:val="7"/>
      </w:pPr>
      <w:r>
        <w:rPr>
          <w:rFonts w:hint="eastAsia"/>
        </w:rPr>
        <w:t>抚仙湖南岸大鲫鱼河水环境综合治理工程</w:t>
      </w:r>
    </w:p>
    <w:p>
      <w:pPr>
        <w:pStyle w:val="4"/>
      </w:pPr>
      <w:r>
        <w:rPr>
          <w:rFonts w:hint="eastAsia"/>
        </w:rPr>
        <w:t>一是新建改建污水管网DN100~DN600污水管网33.27 km（其中DN100为入户管）；二是实施河道湖库垃圾清理0.8万吨；三是实施污染底泥清理10.51万m</w:t>
      </w:r>
      <w:r>
        <w:rPr>
          <w:vertAlign w:val="superscript"/>
        </w:rPr>
        <w:t>3</w:t>
      </w:r>
      <w:r>
        <w:rPr>
          <w:rFonts w:hint="eastAsia"/>
        </w:rPr>
        <w:t>；四是实施生态沟渠工程8.0 km；五是实施生态护岸工程2.0 km；六是实施生态步道10.0km。</w:t>
      </w:r>
    </w:p>
    <w:p>
      <w:pPr>
        <w:pStyle w:val="7"/>
      </w:pPr>
      <w:r>
        <w:rPr>
          <w:rFonts w:hint="eastAsia"/>
        </w:rPr>
        <w:t>澄江市抚仙湖龙街片区水环境综合治理工程</w:t>
      </w:r>
    </w:p>
    <w:p>
      <w:pPr>
        <w:pStyle w:val="4"/>
      </w:pPr>
      <w:r>
        <w:rPr>
          <w:rFonts w:hint="eastAsia"/>
        </w:rPr>
        <w:t>主要针对尖山河流域进行综合治理修复，工程内容包括尖山河干流、支流蜈公箐河以及周边支流的治理。</w:t>
      </w:r>
    </w:p>
    <w:p>
      <w:pPr>
        <w:pStyle w:val="4"/>
      </w:pPr>
      <w:r>
        <w:rPr>
          <w:rFonts w:hint="eastAsia"/>
        </w:rPr>
        <w:t>（1）对破损、坍塌的主河道及其支流河道河段进行护岸修复共22.1km；</w:t>
      </w:r>
    </w:p>
    <w:p>
      <w:pPr>
        <w:pStyle w:val="4"/>
      </w:pPr>
      <w:r>
        <w:rPr>
          <w:rFonts w:hint="eastAsia"/>
        </w:rPr>
        <w:t>（2）对主河道以及支流11.05km河段进行污染底泥清理，清淤工程量13.115万m³；</w:t>
      </w:r>
    </w:p>
    <w:p>
      <w:pPr>
        <w:pStyle w:val="4"/>
      </w:pPr>
      <w:r>
        <w:rPr>
          <w:rFonts w:hint="eastAsia"/>
        </w:rPr>
        <w:t>（3）新建及修复管网16km及相关附属设施；</w:t>
      </w:r>
    </w:p>
    <w:p>
      <w:pPr>
        <w:pStyle w:val="4"/>
      </w:pPr>
      <w:r>
        <w:rPr>
          <w:rFonts w:hint="eastAsia"/>
        </w:rPr>
        <w:t>（4）新建生态沟渠22.1km。</w:t>
      </w:r>
    </w:p>
    <w:p>
      <w:pPr>
        <w:pStyle w:val="5"/>
      </w:pPr>
      <w:bookmarkStart w:id="111" w:name="_Toc184023336"/>
      <w:r>
        <w:t>水生态修复</w:t>
      </w:r>
      <w:bookmarkEnd w:id="111"/>
    </w:p>
    <w:p>
      <w:pPr>
        <w:pStyle w:val="6"/>
      </w:pPr>
      <w:bookmarkStart w:id="112" w:name="_Toc15612"/>
      <w:r>
        <w:t>水土保持</w:t>
      </w:r>
      <w:bookmarkEnd w:id="112"/>
    </w:p>
    <w:p>
      <w:r>
        <w:rPr>
          <w:rFonts w:hint="eastAsia"/>
        </w:rPr>
        <w:t>（1）水土流失治理必要性</w:t>
      </w:r>
    </w:p>
    <w:p>
      <w:r>
        <w:rPr>
          <w:rFonts w:hint="eastAsia"/>
        </w:rPr>
        <w:t>澄江市境内抚仙湖为云南九大高原湖泊之一，抚仙湖在生态功能上具有极其重要地位。根据调查，抚仙湖流域内生态系统脆弱，流域石漠化发育，水土流失较严重，水土流失携带大量泥沙、可溶态氮和颗粒态磷入湖，导致水体内氮、磷等污染物含量增高。因此，开展流域水土保持和生态修复，在水土流失较为严重、林草植被稀疏的区域，因地制宜采取封禁、补植补种，提升流域水源涵养功能十分必要。建设生态清洁小流域，以村庄和水域周边为重点，统筹农村生产、生活、生态要素，山水林田路村统一规划，治山、治水、治污与致富相结合，对涵养水源、复苏河湖生态、科学开展国土绿化行动、保护抚仙湖具有重要作用。</w:t>
      </w:r>
    </w:p>
    <w:p>
      <w:r>
        <w:t>（</w:t>
      </w:r>
      <w:r>
        <w:rPr>
          <w:rFonts w:hint="eastAsia"/>
        </w:rPr>
        <w:t>2</w:t>
      </w:r>
      <w:r>
        <w:t>）布局及规模</w:t>
      </w:r>
    </w:p>
    <w:p>
      <w:r>
        <w:rPr>
          <w:rFonts w:hint="eastAsia"/>
        </w:rPr>
        <w:t>根据澄江市水土流失现状，规划对澄江市面山区域、重点在抚仙湖流域开展水土流失综合治理。规划实施</w:t>
      </w:r>
      <w:bookmarkStart w:id="113" w:name="_Hlk181376658"/>
      <w:r>
        <w:rPr>
          <w:rFonts w:hint="eastAsia"/>
        </w:rPr>
        <w:t>澄江市</w:t>
      </w:r>
      <w:bookmarkEnd w:id="113"/>
      <w:r>
        <w:rPr>
          <w:rFonts w:hint="eastAsia"/>
        </w:rPr>
        <w:t>梁王河沙坝生态清洁小流域综合治理、澄江市绿美河湖、澄江市松元小流域坡耕地水土流失综合治理工程、澄江市海口河生态清洁小流域综合治理项目、澄江市九村上七非小流域综合治理项目、澄江市右所镇跨马龙潭生态清洁小流域综合治理项目等6项水土保持重点工程，主要以水土流失治理和生态清洁小流域建设为主，总投资6612万元。</w:t>
      </w:r>
    </w:p>
    <w:p>
      <w:pPr>
        <w:pStyle w:val="6"/>
      </w:pPr>
      <w:r>
        <w:t>水生态</w:t>
      </w:r>
    </w:p>
    <w:p>
      <w:pPr>
        <w:adjustRightInd w:val="0"/>
        <w:snapToGrid w:val="0"/>
      </w:pPr>
      <w:r>
        <w:rPr>
          <w:rFonts w:hint="eastAsia"/>
        </w:rPr>
        <w:t>（1）治理目标</w:t>
      </w:r>
    </w:p>
    <w:p>
      <w:pPr>
        <w:adjustRightInd w:val="0"/>
        <w:snapToGrid w:val="0"/>
      </w:pPr>
      <w:r>
        <w:rPr>
          <w:rFonts w:hint="eastAsia"/>
        </w:rPr>
        <w:t>到2</w:t>
      </w:r>
      <w:r>
        <w:t>035</w:t>
      </w:r>
      <w:r>
        <w:rPr>
          <w:rFonts w:hint="eastAsia"/>
        </w:rPr>
        <w:t>年，澄江市</w:t>
      </w:r>
      <w:r>
        <w:t>水生态空间得到有效管控，高原河湖生态环境状况进一步改善</w:t>
      </w:r>
      <w:r>
        <w:rPr>
          <w:rFonts w:hint="eastAsia"/>
        </w:rPr>
        <w:t>。</w:t>
      </w:r>
    </w:p>
    <w:p>
      <w:pPr>
        <w:adjustRightInd w:val="0"/>
        <w:snapToGrid w:val="0"/>
      </w:pPr>
      <w:r>
        <w:rPr>
          <w:rFonts w:hint="eastAsia"/>
        </w:rPr>
        <w:t>（2）治理思路</w:t>
      </w:r>
    </w:p>
    <w:p>
      <w:pPr>
        <w:adjustRightInd w:val="0"/>
        <w:snapToGrid w:val="0"/>
      </w:pPr>
      <w:r>
        <w:rPr>
          <w:rFonts w:hint="eastAsia"/>
        </w:rPr>
        <w:t>坚持预防为主、生态优先、保护优先的原则，以湖泊、河流、湿地生态系统的综合整治和自然恢复为导向，立足高原河湖重点生态功能区，全面保护湖泊、河流、湿地等生态系统，加大对河湖周边生态脆弱区的生态保护与修复力度，恢复河湖径流区林草植被，增强水源涵养及水土保持功能；加强湿地修复和水环境综合治理，突出流域管控与生态系统恢复，聚焦减少入湖污染负荷，深入实施“三治一改善”（治污水、治农业面源污染、治垃圾、改善湖泊水生态），严格控制污染物总量，改善河湖水质，逐步提升高原河湖生态系统的稳定性，恢复湖泊、河流、湿地等生态功能。</w:t>
      </w:r>
    </w:p>
    <w:p>
      <w:pPr>
        <w:adjustRightInd w:val="0"/>
        <w:snapToGrid w:val="0"/>
      </w:pPr>
      <w:r>
        <w:rPr>
          <w:rFonts w:hint="eastAsia"/>
        </w:rPr>
        <w:t>（3）水生态保护修复</w:t>
      </w:r>
    </w:p>
    <w:p>
      <w:pPr>
        <w:adjustRightInd w:val="0"/>
        <w:snapToGrid w:val="0"/>
      </w:pPr>
      <w:r>
        <w:rPr>
          <w:rFonts w:hint="eastAsia"/>
        </w:rPr>
        <w:t>1）加强湖区空间管控</w:t>
      </w:r>
    </w:p>
    <w:p>
      <w:pPr>
        <w:adjustRightInd w:val="0"/>
        <w:snapToGrid w:val="0"/>
      </w:pPr>
      <w:r>
        <w:rPr>
          <w:rFonts w:hint="eastAsia"/>
        </w:rPr>
        <w:t>强化抚仙湖流域空间管控，科学划分抚仙湖保护与利用空间，制定管控措施，构建抚仙湖流域山区—坝区—湖区生态保护格局。以湖泊面山植被治理为重点，以乡土树种、生态林木为主，乔、灌、草结合，科学开展流域绿化，提高流域森林覆盖率，提高流域水源涵养能力。按照“远湖布局、离湖发展”的要求，科学确定坝区开发边界，以资源环境承载能力评价为前提，合理确定流域人口和城镇建设规模。大力推行绿色农业，力争在沿湖流域创建云南农业绿色发展先行区，制定大水农作物负面清单，增加生态保育型和环境友好型作物面积，大力发展“农业＋观光休闲”、“农业＋健康养老”、“农业＋文化传承”等新业态。严格保护湖区岸带、主要入湖河流、湖滨生态缓冲带、主要入湖河道生态缓冲带、水源涵养区等对湖泊生态功能具有重要作用的区域。</w:t>
      </w:r>
    </w:p>
    <w:p>
      <w:pPr>
        <w:adjustRightInd w:val="0"/>
        <w:snapToGrid w:val="0"/>
      </w:pPr>
      <w:r>
        <w:t>2</w:t>
      </w:r>
      <w:r>
        <w:rPr>
          <w:rFonts w:hint="eastAsia"/>
        </w:rPr>
        <w:t>）推进抚仙湖环湖生态滨岸带建设</w:t>
      </w:r>
    </w:p>
    <w:p>
      <w:pPr>
        <w:adjustRightInd w:val="0"/>
        <w:snapToGrid w:val="0"/>
      </w:pPr>
      <w:r>
        <w:rPr>
          <w:rFonts w:hint="eastAsia"/>
        </w:rPr>
        <w:t>开展湖滨生态缓冲区建设，着力恢复和营造湖滨、河口生态湿地，形成水陆空间上有机衔接、生态结构上合理延续、污染迁移上有效缓冲的生态屏障。依托生态缓冲带，结合生态湿地建设，整合开发湖泊郊游游憩资源，丰富优化湖泊综合功能，支撑独具特色的滨湖产业区建设。湖泊周边湿地公园、自然保护区等重点区域，开展天然湿地恢复与建设。河湖入口、重点点源排放口等关键节点建设人工湿地，提升水质。改善湖滨带生境，清除遗留鱼塘的底泥污染，优化调控湖滨带水生植物群落结构，清除水葫芦、粉绿狐尾藻等外来物种，打捞过度滋生的水生植物。</w:t>
      </w:r>
    </w:p>
    <w:p>
      <w:pPr>
        <w:pStyle w:val="4"/>
      </w:pPr>
      <w:r>
        <w:t>3</w:t>
      </w:r>
      <w:r>
        <w:rPr>
          <w:rFonts w:hint="eastAsia"/>
        </w:rPr>
        <w:t>）加强水生生物保护与修复</w:t>
      </w:r>
    </w:p>
    <w:p>
      <w:pPr>
        <w:pStyle w:val="4"/>
        <w:ind w:firstLine="498"/>
      </w:pPr>
      <w:r>
        <w:rPr>
          <w:rFonts w:hint="eastAsia"/>
          <w:b/>
          <w:bCs/>
        </w:rPr>
        <w:t>水生生物保护与修复。</w:t>
      </w:r>
      <w:r>
        <w:rPr>
          <w:rFonts w:hint="eastAsia"/>
        </w:rPr>
        <w:t>开展珍稀濒危水生野生动植物保护工作，加强水生生物自然保护区和水产种质资源保护区的管理，着力保护抚仙湖抗浪鱼等水生动物的产卵场、索饵场、洄游通道等重点区域生态环境。恢复水生生物种群资源，定期监测鱼类资源和种群结构，构建水生生物资源和栖息地调查监测体系，建立遗传资源保护和利用体系，提升重要水生生物遗传资源收集保存能力，恢复土著鱼类种群数量，不断改善水生态环境。降低捕捞强度，改善渔业种群结构，防治外来物种入侵，开展生物治理，维护水生生物多样性。积极推进金鱼藻、水葱等本土水生植物的修复，通过微生态系统修复、纳污生态浮岛及人工湿地建设、曝气增氧等措施，降低湖泊水华暴发风险，提升水体自净能力，以草抑藻。建立健全河流休养生息长效机制，重点水域逐步实行禁渔期、禁渔区制度。加大流域源头生境保护，在南盘江干流等具备条件的区域开展生物多样性恢复，加强水产种质资源保护和增殖放流。建立完善水生生物关键生境信息合账，改善珍惜濒危和特有鱼类生境。</w:t>
      </w:r>
    </w:p>
    <w:p>
      <w:pPr>
        <w:pStyle w:val="4"/>
        <w:ind w:firstLine="498"/>
      </w:pPr>
      <w:r>
        <w:rPr>
          <w:rFonts w:hint="eastAsia"/>
          <w:b/>
          <w:bCs/>
        </w:rPr>
        <w:t>水生态监测评价。</w:t>
      </w:r>
      <w:r>
        <w:rPr>
          <w:rFonts w:hint="eastAsia"/>
        </w:rPr>
        <w:t>结合水利部印发的《河湖健康评价指南（试行）》，积极开展玉溪三湖的水生态监测评价工作，明确湖泊健康评价依据和健康评价指标，建立评价湖泊监测断面清单、监测断面实测数据清单、监测断面健康评价得分清单、河湖健康评价得分清单、河湖健康状态清单，系统建立湖泊健康台账。结合《水利部办公厅关于开展河湖健康评价建立河湖健康档案工作的通知》的要求，全面开展湖泊健康评价、建立湖泊健康档案，科学、动态掌握湖泊健康状况，为管理、保护、治理湖泊提供有力支撑。</w:t>
      </w:r>
    </w:p>
    <w:p>
      <w:pPr>
        <w:pStyle w:val="4"/>
      </w:pPr>
      <w:r>
        <w:rPr>
          <w:rFonts w:hint="eastAsia"/>
        </w:rPr>
        <w:t>（4）重点工程</w:t>
      </w:r>
    </w:p>
    <w:p>
      <w:pPr>
        <w:widowControl/>
        <w:spacing w:before="156" w:beforeLines="50" w:after="156" w:afterLines="50" w:line="360" w:lineRule="auto"/>
        <w:jc w:val="left"/>
        <w:rPr>
          <w:bCs/>
          <w:szCs w:val="24"/>
        </w:rPr>
      </w:pPr>
      <w:r>
        <w:rPr>
          <w:rFonts w:eastAsia="宋体"/>
          <w:bCs/>
          <w:szCs w:val="24"/>
        </w:rPr>
        <w:t>初步筛选水生态修复类工程</w:t>
      </w:r>
      <w:r>
        <w:rPr>
          <w:rFonts w:hint="eastAsia" w:eastAsia="宋体"/>
          <w:bCs/>
          <w:szCs w:val="24"/>
        </w:rPr>
        <w:t>共3</w:t>
      </w:r>
      <w:r>
        <w:rPr>
          <w:rFonts w:eastAsia="宋体"/>
          <w:bCs/>
          <w:szCs w:val="24"/>
        </w:rPr>
        <w:t>项，估算投资为32132万元。工程包括</w:t>
      </w:r>
      <w:r>
        <w:rPr>
          <w:rFonts w:hint="eastAsia" w:eastAsia="宋体"/>
          <w:bCs/>
          <w:szCs w:val="24"/>
        </w:rPr>
        <w:t>澄江市尖山河河侧湿地整治及临湖村落修复生态产品价值实现工程、抚仙湖北侧区域湿地保护和提升工程和幸福河湖工程</w:t>
      </w:r>
      <w:r>
        <w:rPr>
          <w:rFonts w:eastAsia="宋体"/>
          <w:bCs/>
          <w:szCs w:val="24"/>
        </w:rPr>
        <w:t>。</w:t>
      </w:r>
    </w:p>
    <w:p>
      <w:pPr>
        <w:pStyle w:val="4"/>
      </w:pPr>
      <w:r>
        <w:rPr>
          <w:rFonts w:hint="eastAsia"/>
        </w:rPr>
        <w:t>1）澄江市尖山河河侧湿地整治及临湖村落修复生态产品价值实现工程</w:t>
      </w:r>
    </w:p>
    <w:p>
      <w:pPr>
        <w:pStyle w:val="4"/>
      </w:pPr>
      <w:r>
        <w:rPr>
          <w:rFonts w:hint="eastAsia"/>
        </w:rPr>
        <w:t>工程主要内容为整治修复河侧湿地4处，其中，干冲新村湿地38.91亩、李头村湿地28.10亩、李官村湿地5.23亩、大冲村湿地9.63亩，共计81.86亩；2、临湖村落退地还绿工程：修复抚仙湖西岸14个自然村落，重点保护修复面积586.46亩（390971.65m</w:t>
      </w:r>
      <w:r>
        <w:rPr>
          <w:rFonts w:hint="eastAsia"/>
          <w:vertAlign w:val="superscript"/>
        </w:rPr>
        <w:t>2</w:t>
      </w:r>
      <w:r>
        <w:rPr>
          <w:rFonts w:hint="eastAsia"/>
        </w:rPr>
        <w:t>）。</w:t>
      </w:r>
    </w:p>
    <w:p>
      <w:pPr>
        <w:pStyle w:val="4"/>
      </w:pPr>
      <w:r>
        <w:rPr>
          <w:rFonts w:hint="eastAsia"/>
        </w:rPr>
        <w:t>2）抚仙湖北侧区域湿地保护和提升工程</w:t>
      </w:r>
    </w:p>
    <w:p>
      <w:pPr>
        <w:pStyle w:val="4"/>
      </w:pPr>
      <w:r>
        <w:rPr>
          <w:rFonts w:hint="eastAsia"/>
        </w:rPr>
        <w:t>工程主要内容为45亩调蓄带修复治理，调蓄带清淤、植物收割、水生植物补种及水生动物群落构建；调蓄带南北两侧湿地的生态提升，总面积3063.7亩，包含污泥清理110000m</w:t>
      </w:r>
      <w:r>
        <w:rPr>
          <w:rFonts w:hint="eastAsia"/>
          <w:vertAlign w:val="superscript"/>
        </w:rPr>
        <w:t>2</w:t>
      </w:r>
      <w:r>
        <w:rPr>
          <w:rFonts w:hint="eastAsia"/>
        </w:rPr>
        <w:t>，基底改良230000m</w:t>
      </w:r>
      <w:r>
        <w:rPr>
          <w:rFonts w:hint="eastAsia"/>
          <w:vertAlign w:val="superscript"/>
        </w:rPr>
        <w:t>2</w:t>
      </w:r>
      <w:r>
        <w:rPr>
          <w:rFonts w:hint="eastAsia"/>
        </w:rPr>
        <w:t>，植物收割110000m</w:t>
      </w:r>
      <w:r>
        <w:rPr>
          <w:rFonts w:hint="eastAsia"/>
          <w:vertAlign w:val="superscript"/>
        </w:rPr>
        <w:t>2</w:t>
      </w:r>
      <w:r>
        <w:rPr>
          <w:rFonts w:hint="eastAsia"/>
        </w:rPr>
        <w:t>，水生植物种植110000m</w:t>
      </w:r>
      <w:r>
        <w:rPr>
          <w:rFonts w:hint="eastAsia"/>
          <w:vertAlign w:val="superscript"/>
        </w:rPr>
        <w:t>2</w:t>
      </w:r>
      <w:r>
        <w:rPr>
          <w:rFonts w:hint="eastAsia"/>
        </w:rPr>
        <w:t>，水生动物群落构建110000m</w:t>
      </w:r>
      <w:r>
        <w:rPr>
          <w:rFonts w:hint="eastAsia"/>
          <w:vertAlign w:val="superscript"/>
        </w:rPr>
        <w:t>2</w:t>
      </w:r>
      <w:r>
        <w:rPr>
          <w:rFonts w:hint="eastAsia"/>
        </w:rPr>
        <w:t>，以及生态维护1166000m</w:t>
      </w:r>
      <w:r>
        <w:rPr>
          <w:rFonts w:hint="eastAsia"/>
          <w:vertAlign w:val="superscript"/>
        </w:rPr>
        <w:t>2</w:t>
      </w:r>
      <w:r>
        <w:rPr>
          <w:rFonts w:hint="eastAsia"/>
        </w:rPr>
        <w:t>。</w:t>
      </w:r>
    </w:p>
    <w:p>
      <w:pPr>
        <w:pStyle w:val="4"/>
      </w:pPr>
      <w:r>
        <w:rPr>
          <w:rFonts w:hint="eastAsia"/>
        </w:rPr>
        <w:t>3）幸福河湖项目</w:t>
      </w:r>
    </w:p>
    <w:p>
      <w:pPr>
        <w:pStyle w:val="4"/>
      </w:pPr>
      <w:r>
        <w:rPr>
          <w:rFonts w:hint="eastAsia"/>
        </w:rPr>
        <w:t>工程主要内容为二水厂扩建工程与东岸水厂出水管连通工程、牛市河水库扩容改造工程、入湖河道闸门智能化改造、抚仙湖信息化监管与智能决策平台研发及应用、长效管护机制构建、抚仙湖“两线”界定项目(“两线”落地标识项目)、幸福河湖综合提升阵地建设、抚仙湖生态产品价值实现试点工程、东西海边村乡村振兴示范项目。</w:t>
      </w:r>
    </w:p>
    <w:p>
      <w:pPr>
        <w:pStyle w:val="3"/>
        <w:ind w:left="656" w:hanging="656"/>
        <w:rPr>
          <w:rFonts w:ascii="Times New Roman" w:hAnsi="Times New Roman"/>
          <w:color w:val="000000" w:themeColor="text1"/>
          <w14:textFill>
            <w14:solidFill>
              <w14:schemeClr w14:val="tx1"/>
            </w14:solidFill>
          </w14:textFill>
        </w:rPr>
      </w:pPr>
      <w:bookmarkStart w:id="114" w:name="_Toc184023337"/>
      <w:r>
        <w:rPr>
          <w:rFonts w:ascii="Times New Roman" w:hAnsi="Times New Roman"/>
          <w:color w:val="000000" w:themeColor="text1"/>
          <w14:textFill>
            <w14:solidFill>
              <w14:schemeClr w14:val="tx1"/>
            </w14:solidFill>
          </w14:textFill>
        </w:rPr>
        <w:t>水资源管理</w:t>
      </w:r>
      <w:bookmarkEnd w:id="114"/>
    </w:p>
    <w:p>
      <w:pPr>
        <w:pStyle w:val="5"/>
      </w:pPr>
      <w:bookmarkStart w:id="115" w:name="_Toc184023338"/>
      <w:r>
        <w:rPr>
          <w:rFonts w:hint="eastAsia"/>
        </w:rPr>
        <w:t>强化水资源约束</w:t>
      </w:r>
      <w:bookmarkEnd w:id="115"/>
    </w:p>
    <w:p>
      <w:pPr>
        <w:pStyle w:val="4"/>
      </w:pPr>
      <w:r>
        <w:rPr>
          <w:rFonts w:hint="eastAsia"/>
        </w:rPr>
        <w:t>坚持“以水定城、以水定地、以水定人、以水定产”，严格执行最严格水资源管理制度，把水资源作为最大的刚性约束。将用水总量和强度双控目标分解到年度，依托澄江市水预算管理试点，探索将用水总量控制指标分解落实到工业、农业大户等用水户，抓好双控目标执行落实。</w:t>
      </w:r>
    </w:p>
    <w:p>
      <w:pPr>
        <w:pStyle w:val="4"/>
      </w:pPr>
      <w:r>
        <w:rPr>
          <w:rFonts w:hint="eastAsia"/>
        </w:rPr>
        <w:t>1）用水总量控制。加强水资源开发利用控制红线管理，严格实行用水总量控制，包括严格规划管理和水资源论证，严格控制流域和区域取用水总量，严格实施取水许可，严格水资源有偿使用，严格地下水管理和保护，强化水资源统一调度。</w:t>
      </w:r>
    </w:p>
    <w:p>
      <w:pPr>
        <w:pStyle w:val="4"/>
      </w:pPr>
      <w:r>
        <w:rPr>
          <w:rFonts w:hint="eastAsia"/>
        </w:rPr>
        <w:t>2）用水效率控制制度。加强用水效率控制红线管理，全面推进节水型社会建设，包括全面加强节约用水管理，把节约用水贯穿于经济社会发展和群众生产生活全过程，强化用水定额管理，加快推进节水技术改造。</w:t>
      </w:r>
    </w:p>
    <w:p>
      <w:pPr>
        <w:pStyle w:val="4"/>
      </w:pPr>
      <w:r>
        <w:rPr>
          <w:rFonts w:hint="eastAsia"/>
        </w:rPr>
        <w:t>3）水资源管理责任和考核制度。将水资源开发利用、节约和保护的主要指标纳入地方经济社会发展综合评价体系，县级以上人民政府主要负责人对本行政区域水资源管理和保护工作负总责。</w:t>
      </w:r>
    </w:p>
    <w:p>
      <w:pPr>
        <w:pStyle w:val="4"/>
      </w:pPr>
      <w:r>
        <w:rPr>
          <w:rFonts w:hint="eastAsia"/>
        </w:rPr>
        <w:t>规划节水型社会建设项目，建设内容为建成节水型小区4个，节水型机关事业单位15个。节水型学校建设、加强节水器具和节水产品的推广普及，安装农业用水计量设施1200处，工业用水计量设施20处，农村生活用水计量设施2710处。总投资960万元。</w:t>
      </w:r>
    </w:p>
    <w:p>
      <w:pPr>
        <w:pStyle w:val="5"/>
      </w:pPr>
      <w:bookmarkStart w:id="116" w:name="_Toc184023339"/>
      <w:r>
        <w:rPr>
          <w:rFonts w:hint="eastAsia"/>
        </w:rPr>
        <w:t>加快智慧管理平台和基础监测设施建设</w:t>
      </w:r>
      <w:bookmarkEnd w:id="116"/>
    </w:p>
    <w:p>
      <w:pPr>
        <w:pStyle w:val="4"/>
      </w:pPr>
      <w:r>
        <w:rPr>
          <w:rFonts w:hint="eastAsia"/>
        </w:rPr>
        <w:t>以“智能感知、智能管理、智能决策、智能控制”为主的思路，实现“水质目标管理，全流域水资源、水环境、水生态综合调度，智能化管理”的目标，推进智慧湖泊综合管理信息平台建设。开展健康水循环智慧管理、抚仙湖流域取水在线计量设施建设等工程建设。建设智慧水务监管平台、水资源综合利用信息化和农业大数据平台、智慧水务监管平台，实现污水管网监管、污水水量监测、水质监测、污水处理厂处理水量监管等。形成全方位全覆盖的天、水、地立体监测和预警体系，全面提升决策管理能力，总投资2570万元。</w:t>
      </w:r>
    </w:p>
    <w:p>
      <w:pPr>
        <w:pStyle w:val="4"/>
      </w:pPr>
      <w:r>
        <w:rPr>
          <w:rFonts w:hint="eastAsia"/>
        </w:rPr>
        <w:t>规划山洪灾害防治非工程措施，主要建设内容为补充完善监测系统，更换自动雨量站老化或损毁供电设备20个，自动水位站更换老化损毁遥测终端、监测设备、供电设备各10套，视频监测站升级提升传输网络50个；补充完善预警系统，补充手摇警报器1500套；完善群测群防体系，加强宣传，建立警示牌5个，宣传栏5个，发放宣传雨披1250把，发放宣传围裙1250条，完成村级预案250个，完成培训380人次，完成演练5次，每年进行一次。为防洪抗旱调度决策和指挥抢险救灾提供有力保障，总投资125万元。</w:t>
      </w:r>
    </w:p>
    <w:p>
      <w:pPr>
        <w:pStyle w:val="5"/>
      </w:pPr>
      <w:bookmarkStart w:id="117" w:name="_Toc184023340"/>
      <w:r>
        <w:rPr>
          <w:rFonts w:hint="eastAsia"/>
        </w:rPr>
        <w:t>深入推进河（湖）长制工作</w:t>
      </w:r>
      <w:bookmarkEnd w:id="117"/>
    </w:p>
    <w:p>
      <w:pPr>
        <w:pStyle w:val="4"/>
      </w:pPr>
      <w:r>
        <w:rPr>
          <w:rFonts w:hint="eastAsia"/>
        </w:rPr>
        <w:t>进一步加强河（湖）长制工作，明确各级河（湖）长、总督察、副总督察、河（湖）长联系部门、河长办的主要职责，并细化工作任务。进一步压实河（湖）长职责，建立各部门协调联动机制。</w:t>
      </w:r>
    </w:p>
    <w:p>
      <w:pPr>
        <w:pStyle w:val="4"/>
      </w:pPr>
      <w:r>
        <w:rPr>
          <w:rFonts w:hint="eastAsia"/>
        </w:rPr>
        <w:t>为实现对河长制基础信息、动态信息的有效管理，支持河湖长履职尽责，为全面科学推行河湖长制提供管理决策支撑。规划河长制信息管理平台建设工程，建立能承载高速、高并发、海量、空间、智能、开放协议的设备接入物联网云平台，投资800万元。</w:t>
      </w:r>
    </w:p>
    <w:p>
      <w:pPr>
        <w:pStyle w:val="4"/>
      </w:pPr>
      <w:r>
        <w:rPr>
          <w:rFonts w:hint="eastAsia"/>
        </w:rPr>
        <w:t>规划河湖确权划界界桩埋设工程，对澄江市主要河流、水库等水利工程确权划界及界桩埋设，投资100万元。</w:t>
      </w:r>
    </w:p>
    <w:p>
      <w:pPr>
        <w:pStyle w:val="4"/>
      </w:pPr>
      <w:r>
        <w:rPr>
          <w:rFonts w:hint="eastAsia"/>
        </w:rPr>
        <w:t>规划已建工程项目运行管护，建设内容为对抚仙湖流域内湿地、生态河道、调蓄带的运行管护。调蓄带及中水回用管护人员工资、泵站运行费用（电费、维修）。投资5000万元。</w:t>
      </w:r>
    </w:p>
    <w:p>
      <w:pPr>
        <w:pStyle w:val="5"/>
      </w:pPr>
      <w:bookmarkStart w:id="118" w:name="_Toc184023341"/>
      <w:r>
        <w:rPr>
          <w:rFonts w:hint="eastAsia"/>
        </w:rPr>
        <w:t>加快治湖基础科学研究</w:t>
      </w:r>
      <w:bookmarkEnd w:id="118"/>
    </w:p>
    <w:p>
      <w:pPr>
        <w:pStyle w:val="4"/>
      </w:pPr>
      <w:r>
        <w:rPr>
          <w:rFonts w:hint="eastAsia"/>
        </w:rPr>
        <w:t>结合抚仙湖保护实际和地方政府工作需求，按照科学研判、科学治理、科学保护的要求，引进科技技术创新团队，为抚仙湖保护治理提供科技和人才保障。抚仙湖在九湖生态文明建设工作中占有重要位置，为解决目前生态环境突出问题，一是积极推进“抚仙湖北岸典型作物种植下降雨径流面源污染输出研究”，拟建抚仙湖北岸水文、气象、水质“三位一体”系统在线监测站点，从基础数据监测积累出发，为全面推动农业面源污染防治工作，有效削减流域农业面源污染负荷，明确降雨驱动下面源污染物的输出规律，尤其是暴雨过程导致的面源污染空间分布特征，有助于深入理解面源污染的水文驱动机制，对面源污染科学防治提供重要的理论支撑；二是开展“抚仙湖流域不同种植模式下非常规水利用的影响研究”，为探明非常规水资源灌溉利用可行性提供科学实践支撑，推动再生水在九湖流域的资源化利用，以实现节水减排促进高原湖泊保护治理；三是推进“外流域补水改善抚仙湖水环境关键技术及应用示范研究”，主要实施内容为基于甸垛龙潭、大龙潭调水工程的水源条件，结合现有的水资源配置格局，深入研究甸垛龙潭、大龙潭水资源优化配置方案，分析预测不同补水情景下抚仙湖水质改善效果，科学确定直补入湖水量及其过程，研究打造上村河及路居西大河清水入湖通道的可行性，并开展工程应用示范，该科研项目对于探索外流域补水改善抚仙湖水环境可行性具有重要作用，特别对保障湖泊枯水期最低水位提供路径支撑。规划总投资2000万元。</w:t>
      </w:r>
    </w:p>
    <w:p>
      <w:pPr>
        <w:pStyle w:val="5"/>
      </w:pPr>
      <w:bookmarkStart w:id="119" w:name="_Toc184023342"/>
      <w:r>
        <w:rPr>
          <w:rFonts w:hint="eastAsia"/>
        </w:rPr>
        <w:t>监督管理体制与机制建设</w:t>
      </w:r>
      <w:bookmarkEnd w:id="119"/>
    </w:p>
    <w:p>
      <w:pPr>
        <w:pStyle w:val="4"/>
      </w:pPr>
      <w:r>
        <w:rPr>
          <w:rFonts w:hint="eastAsia"/>
        </w:rPr>
        <w:t>（1）完善水资源保护与水污染防治协调机制</w:t>
      </w:r>
    </w:p>
    <w:p>
      <w:pPr>
        <w:pStyle w:val="4"/>
      </w:pPr>
      <w:r>
        <w:rPr>
          <w:rFonts w:hint="eastAsia"/>
        </w:rPr>
        <w:t>理顺澄江涉及的流域水系内已有的水资源保护管理制度，在此基础上，按照查缺补漏的原则，逐步补足完善澄江的水资源保护管理制度。鉴于当前“多龙管水、多龙治水”的管理模式，与生态环境、国土、住建等部门行业主管部门在行政职能和管理范围上进行互补，构建部门间联防联控、水资源保护管理的多部门合作机制。</w:t>
      </w:r>
    </w:p>
    <w:p>
      <w:pPr>
        <w:pStyle w:val="4"/>
      </w:pPr>
      <w:r>
        <w:rPr>
          <w:rFonts w:hint="eastAsia"/>
        </w:rPr>
        <w:t>建立流域产业发展布局与规划、基础设施、污染源、水文水质、环境监测、执法监管、研究评估等信息共享制度，以便政府和各行业主管部门能及时把握流域经济社会发展和水环境变化趋势，做好科学决策；完善突发事件的应急通报和协同处置机制，及时将有关信息通报有关主管部门，以便当地政府采取措施确保饮用水安全，维护社会稳定。</w:t>
      </w:r>
    </w:p>
    <w:p>
      <w:pPr>
        <w:pStyle w:val="4"/>
      </w:pPr>
      <w:r>
        <w:rPr>
          <w:rFonts w:hint="eastAsia"/>
        </w:rPr>
        <w:t>（2）完善水资源保护执法监督机制</w:t>
      </w:r>
    </w:p>
    <w:p>
      <w:pPr>
        <w:pStyle w:val="4"/>
      </w:pPr>
      <w:r>
        <w:rPr>
          <w:rFonts w:hint="eastAsia"/>
        </w:rPr>
        <w:t>加强执法队伍建设。理顺执法机构内部管理关系，解决执法队伍编制问题；加强对执法人员的培训，建立业务培训制度。推行执法责任制度，加强执法的外部监督，落实执行过错责任追究制；建立执法巡查制度，落实巡查责任制，明确巡查责任人；完善评议考核制度和水政监察员行为规范制度，促进文明执法。建立水行政执法的日常联动机制，在协调和互动中推进水行政执法工作，建立执法事权明晰、运行协调、职责明确的跨区域联合执法机制。</w:t>
      </w:r>
    </w:p>
    <w:p>
      <w:pPr>
        <w:pStyle w:val="5"/>
      </w:pPr>
      <w:bookmarkStart w:id="120" w:name="_Toc184023343"/>
      <w:r>
        <w:rPr>
          <w:rFonts w:hint="eastAsia"/>
        </w:rPr>
        <w:t>建立健全水生态补偿和激励约束机制</w:t>
      </w:r>
      <w:bookmarkEnd w:id="120"/>
    </w:p>
    <w:p>
      <w:pPr>
        <w:pStyle w:val="4"/>
      </w:pPr>
      <w:r>
        <w:rPr>
          <w:rFonts w:hint="eastAsia"/>
        </w:rPr>
        <w:t>（1）建立健全与水相关的水生态补偿制度</w:t>
      </w:r>
    </w:p>
    <w:p>
      <w:pPr>
        <w:pStyle w:val="4"/>
      </w:pPr>
      <w:r>
        <w:rPr>
          <w:rFonts w:hint="eastAsia"/>
        </w:rPr>
        <w:t>根据澄江市生态环境问题的特征和生态安全的需要，建立生态补偿的机制应遵循以生态系统服务功能为保护生态者受益、受益者补偿、政府主导、全社会参与、权利与责任对等等原则。</w:t>
      </w:r>
    </w:p>
    <w:p>
      <w:pPr>
        <w:pStyle w:val="4"/>
      </w:pPr>
      <w:r>
        <w:rPr>
          <w:rFonts w:hint="eastAsia"/>
        </w:rPr>
        <w:t>按照生态保护者受益的原则，对产生外部经济效应生态系统服务功能提供者，给予相应的直接经济补偿，使生态保护不再是政府的强制性行为和社会的公益事业，而成为投资和收益相对称的经济行为，能将生态保护成果转化为经济效益，鼓励人们更好地保护生态环境。</w:t>
      </w:r>
    </w:p>
    <w:p>
      <w:pPr>
        <w:pStyle w:val="4"/>
      </w:pPr>
      <w:r>
        <w:rPr>
          <w:rFonts w:hint="eastAsia"/>
        </w:rPr>
        <w:t>按照受益者补偿的原则，享受产品和服务的个人和社会应该向该产品和服务的提供者付费。由于生态保护的成果——生态系统服务功能是公共物品，受益者可以是居民、企业、社会团体和个人等。由于生态保护的成果受益者通常是一定地域范围内的居民，因此，政府有责任代表全民建立和实施生态补偿制度。</w:t>
      </w:r>
    </w:p>
    <w:p>
      <w:pPr>
        <w:pStyle w:val="4"/>
      </w:pPr>
      <w:r>
        <w:rPr>
          <w:rFonts w:hint="eastAsia"/>
        </w:rPr>
        <w:t>根据不同地域生态服务功能对县城和乡镇生态安全的重要性，建立分城镇和乡镇的生态功能保护区，明确生态补偿的地域范围。为生态补偿的实施提供科学基础和依据。可以通过财政转移支付、建立生态补偿基金和重大生态保护计划实施生态补偿。颁布生态补偿管理办法，规范生态补偿基金的使用，使生态补偿能落实到实施生态保护的主体和受生态保护影响的居民，使之能有效地促进生态保护工作。</w:t>
      </w:r>
    </w:p>
    <w:p>
      <w:pPr>
        <w:pStyle w:val="4"/>
      </w:pPr>
      <w:r>
        <w:rPr>
          <w:rFonts w:hint="eastAsia"/>
        </w:rPr>
        <w:t>（2）建立完善水资源保护投入和奖惩机制</w:t>
      </w:r>
    </w:p>
    <w:p>
      <w:pPr>
        <w:pStyle w:val="4"/>
      </w:pPr>
      <w:r>
        <w:rPr>
          <w:rFonts w:hint="eastAsia"/>
        </w:rPr>
        <w:t>澄江市人民政府要拓宽投资渠道，将水资源节约、保护和管理作为公共财政的优先支出领域，加快实施一批水源地安全保障、入河排污口整治、水生态修复、地下水保护、水资源监测等水资源保护重大工程。完善基于绩效的财政资金使用模式，中央财政资金采取以奖代补、以奖代投、先建后补、先建后投等方式，加强对重点生态功能区、重要生态保护区和重要水源地的支持力度。完善节水减排财税政策，合理调整水资源费标准和水价，提高排污费征收标准，激励和约束企业节水减排。在其资源税（费）中包括对水资源和生态环境的保护与补偿费用，专项用于河湖生态系统及地下水的保护和修复治理。</w:t>
      </w:r>
    </w:p>
    <w:p>
      <w:pPr>
        <w:pStyle w:val="3"/>
        <w:ind w:left="656" w:hanging="656"/>
        <w:rPr>
          <w:rFonts w:ascii="Times New Roman" w:hAnsi="Times New Roman"/>
          <w:color w:val="000000" w:themeColor="text1"/>
          <w14:textFill>
            <w14:solidFill>
              <w14:schemeClr w14:val="tx1"/>
            </w14:solidFill>
          </w14:textFill>
        </w:rPr>
      </w:pPr>
      <w:bookmarkStart w:id="121" w:name="_Toc184023344"/>
      <w:r>
        <w:rPr>
          <w:rFonts w:ascii="Times New Roman" w:hAnsi="Times New Roman"/>
          <w:color w:val="000000" w:themeColor="text1"/>
          <w14:textFill>
            <w14:solidFill>
              <w14:schemeClr w14:val="tx1"/>
            </w14:solidFill>
          </w14:textFill>
        </w:rPr>
        <w:t>投资匡算与资金筹措</w:t>
      </w:r>
      <w:bookmarkEnd w:id="108"/>
      <w:bookmarkEnd w:id="121"/>
    </w:p>
    <w:p>
      <w:pPr>
        <w:pStyle w:val="5"/>
      </w:pPr>
      <w:bookmarkStart w:id="122" w:name="_Toc184023345"/>
      <w:r>
        <w:rPr>
          <w:rFonts w:hint="eastAsia"/>
        </w:rPr>
        <w:t>投资匡算</w:t>
      </w:r>
      <w:bookmarkEnd w:id="122"/>
    </w:p>
    <w:p>
      <w:pPr>
        <w:pStyle w:val="4"/>
      </w:pPr>
      <w:r>
        <w:rPr>
          <w:rFonts w:hint="eastAsia"/>
        </w:rPr>
        <w:t>本次规划为综合性规划，由水利部门牵头，涉及水利、住建、环保等多行业，为保障项目实施，本次只列入水利行业项目，其他行业涉及抚仙湖保护项目由各行业列入相关规划。本次共规划项目42件项目，总投资26.99亿元。其中，节水灌溉类项目5件，总投资3.97亿元，占比14.71%；水资源配置类项目12件，总投资12.45亿元，占比46.11%；水源地保护类项目3件，总投资0.58亿元，占比2.15%；水环境治理类项目5件，总投资4.97亿元，占比18.40%；水土保持类项目6件，总投资0.66亿元，占比2.45%；水生态修复类项目3件，总投资3.21亿元，占比11.90%；水资源管理类项目8件，总投资1.16亿元，占比4.28%。具体详见下表。</w:t>
      </w:r>
    </w:p>
    <w:p>
      <w:pPr>
        <w:pStyle w:val="4"/>
      </w:pPr>
      <w:r>
        <w:rPr>
          <w:rFonts w:hint="eastAsia"/>
        </w:rPr>
        <w:t>从片区开看，抚仙湖流域规划29件项目，总投资24.21亿元，占比90.56</w:t>
      </w:r>
      <w:r>
        <w:t>%</w:t>
      </w:r>
      <w:r>
        <w:rPr>
          <w:rFonts w:hint="eastAsia"/>
        </w:rPr>
        <w:t>；南盘江流域规划项目6件，总投资2.08亿元，占比7.76</w:t>
      </w:r>
      <w:r>
        <w:t>%</w:t>
      </w:r>
      <w:r>
        <w:rPr>
          <w:rFonts w:hint="eastAsia"/>
        </w:rPr>
        <w:t>；分布在整个规划区类项目5件，总投资</w:t>
      </w:r>
      <w:r>
        <w:t>0.</w:t>
      </w:r>
      <w:r>
        <w:rPr>
          <w:rFonts w:hint="eastAsia"/>
        </w:rPr>
        <w:t>45亿元，占比1.68</w:t>
      </w:r>
      <w:r>
        <w:t>%</w:t>
      </w:r>
      <w:r>
        <w:rPr>
          <w:rFonts w:hint="eastAsia"/>
        </w:rPr>
        <w:t>。</w:t>
      </w:r>
    </w:p>
    <w:p>
      <w:pPr>
        <w:pStyle w:val="4"/>
      </w:pPr>
    </w:p>
    <w:p>
      <w:pPr>
        <w:pStyle w:val="4"/>
      </w:pPr>
    </w:p>
    <w:p>
      <w:pPr>
        <w:pStyle w:val="4"/>
      </w:pPr>
    </w:p>
    <w:p>
      <w:pPr>
        <w:pStyle w:val="4"/>
        <w:sectPr>
          <w:pgSz w:w="11906" w:h="16838"/>
          <w:pgMar w:top="1440" w:right="1418" w:bottom="1440" w:left="1418" w:header="851" w:footer="851" w:gutter="0"/>
          <w:cols w:space="425" w:num="1"/>
          <w:docGrid w:type="linesAndChars" w:linePitch="312" w:charSpace="0"/>
        </w:sectPr>
      </w:pPr>
    </w:p>
    <w:p>
      <w:pPr>
        <w:pStyle w:val="17"/>
        <w:ind w:firstLine="576"/>
        <w:rPr>
          <w:b/>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表_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澄江市保护利用规划项目投资匡算表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44"/>
        <w:gridCol w:w="1545"/>
        <w:gridCol w:w="777"/>
        <w:gridCol w:w="1545"/>
        <w:gridCol w:w="1545"/>
        <w:gridCol w:w="1548"/>
        <w:gridCol w:w="1032"/>
        <w:gridCol w:w="1545"/>
        <w:gridCol w:w="1545"/>
        <w:gridCol w:w="15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restart"/>
            <w:shd w:val="clear" w:color="auto" w:fill="auto"/>
            <w:noWrap/>
            <w:vAlign w:val="center"/>
          </w:tcPr>
          <w:p>
            <w:pPr>
              <w:pStyle w:val="85"/>
            </w:pPr>
            <w:r>
              <w:rPr>
                <w:rFonts w:hint="eastAsia"/>
              </w:rPr>
              <w:t>项目分类</w:t>
            </w:r>
          </w:p>
        </w:tc>
        <w:tc>
          <w:tcPr>
            <w:tcW w:w="545" w:type="pct"/>
            <w:vMerge w:val="restart"/>
            <w:shd w:val="clear" w:color="auto" w:fill="auto"/>
            <w:noWrap/>
            <w:vAlign w:val="center"/>
          </w:tcPr>
          <w:p>
            <w:pPr>
              <w:pStyle w:val="85"/>
            </w:pPr>
            <w:r>
              <w:rPr>
                <w:rFonts w:hint="eastAsia"/>
              </w:rPr>
              <w:t>项目类型</w:t>
            </w:r>
          </w:p>
        </w:tc>
        <w:tc>
          <w:tcPr>
            <w:tcW w:w="1910" w:type="pct"/>
            <w:gridSpan w:val="4"/>
            <w:shd w:val="clear" w:color="auto" w:fill="auto"/>
            <w:noWrap/>
            <w:vAlign w:val="center"/>
          </w:tcPr>
          <w:p>
            <w:pPr>
              <w:pStyle w:val="85"/>
            </w:pPr>
            <w:r>
              <w:rPr>
                <w:rFonts w:hint="eastAsia"/>
              </w:rPr>
              <w:t>数量（件）</w:t>
            </w:r>
          </w:p>
        </w:tc>
        <w:tc>
          <w:tcPr>
            <w:tcW w:w="2000" w:type="pct"/>
            <w:gridSpan w:val="4"/>
            <w:shd w:val="clear" w:color="auto" w:fill="auto"/>
            <w:noWrap/>
            <w:vAlign w:val="center"/>
          </w:tcPr>
          <w:p>
            <w:pPr>
              <w:pStyle w:val="85"/>
            </w:pPr>
            <w:r>
              <w:rPr>
                <w:rFonts w:hint="eastAsia"/>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continue"/>
            <w:vAlign w:val="center"/>
          </w:tcPr>
          <w:p>
            <w:pPr>
              <w:pStyle w:val="85"/>
            </w:pPr>
          </w:p>
        </w:tc>
        <w:tc>
          <w:tcPr>
            <w:tcW w:w="545" w:type="pct"/>
            <w:vMerge w:val="continue"/>
            <w:vAlign w:val="center"/>
          </w:tcPr>
          <w:p>
            <w:pPr>
              <w:pStyle w:val="85"/>
            </w:pPr>
          </w:p>
        </w:tc>
        <w:tc>
          <w:tcPr>
            <w:tcW w:w="274" w:type="pct"/>
            <w:shd w:val="clear" w:color="auto" w:fill="auto"/>
            <w:noWrap/>
            <w:vAlign w:val="center"/>
          </w:tcPr>
          <w:p>
            <w:pPr>
              <w:pStyle w:val="85"/>
            </w:pPr>
            <w:r>
              <w:rPr>
                <w:rFonts w:hint="eastAsia"/>
              </w:rPr>
              <w:t>小计</w:t>
            </w:r>
          </w:p>
        </w:tc>
        <w:tc>
          <w:tcPr>
            <w:tcW w:w="545" w:type="pct"/>
            <w:shd w:val="clear" w:color="auto" w:fill="auto"/>
            <w:noWrap/>
            <w:vAlign w:val="center"/>
          </w:tcPr>
          <w:p>
            <w:pPr>
              <w:pStyle w:val="85"/>
            </w:pPr>
            <w:r>
              <w:rPr>
                <w:rFonts w:hint="eastAsia"/>
              </w:rPr>
              <w:t>全部规划区</w:t>
            </w:r>
          </w:p>
        </w:tc>
        <w:tc>
          <w:tcPr>
            <w:tcW w:w="545" w:type="pct"/>
            <w:shd w:val="clear" w:color="auto" w:fill="auto"/>
            <w:noWrap/>
            <w:vAlign w:val="center"/>
          </w:tcPr>
          <w:p>
            <w:pPr>
              <w:pStyle w:val="85"/>
            </w:pPr>
            <w:r>
              <w:rPr>
                <w:rFonts w:hint="eastAsia"/>
              </w:rPr>
              <w:t>抚仙湖流域</w:t>
            </w:r>
          </w:p>
        </w:tc>
        <w:tc>
          <w:tcPr>
            <w:tcW w:w="546" w:type="pct"/>
            <w:shd w:val="clear" w:color="auto" w:fill="auto"/>
            <w:noWrap/>
            <w:vAlign w:val="center"/>
          </w:tcPr>
          <w:p>
            <w:pPr>
              <w:pStyle w:val="85"/>
            </w:pPr>
            <w:r>
              <w:rPr>
                <w:rFonts w:hint="eastAsia"/>
              </w:rPr>
              <w:t>南盘江流域</w:t>
            </w:r>
          </w:p>
        </w:tc>
        <w:tc>
          <w:tcPr>
            <w:tcW w:w="364" w:type="pct"/>
            <w:shd w:val="clear" w:color="auto" w:fill="auto"/>
            <w:noWrap/>
            <w:vAlign w:val="center"/>
          </w:tcPr>
          <w:p>
            <w:pPr>
              <w:pStyle w:val="85"/>
            </w:pPr>
            <w:r>
              <w:rPr>
                <w:rFonts w:hint="eastAsia"/>
              </w:rPr>
              <w:t>小计</w:t>
            </w:r>
          </w:p>
        </w:tc>
        <w:tc>
          <w:tcPr>
            <w:tcW w:w="545" w:type="pct"/>
            <w:shd w:val="clear" w:color="auto" w:fill="auto"/>
            <w:noWrap/>
            <w:vAlign w:val="center"/>
          </w:tcPr>
          <w:p>
            <w:pPr>
              <w:pStyle w:val="85"/>
            </w:pPr>
            <w:r>
              <w:rPr>
                <w:rFonts w:hint="eastAsia"/>
              </w:rPr>
              <w:t>全部规划区</w:t>
            </w:r>
          </w:p>
        </w:tc>
        <w:tc>
          <w:tcPr>
            <w:tcW w:w="545" w:type="pct"/>
            <w:shd w:val="clear" w:color="auto" w:fill="auto"/>
            <w:noWrap/>
            <w:vAlign w:val="center"/>
          </w:tcPr>
          <w:p>
            <w:pPr>
              <w:pStyle w:val="85"/>
            </w:pPr>
            <w:r>
              <w:rPr>
                <w:rFonts w:hint="eastAsia"/>
              </w:rPr>
              <w:t>抚仙湖流域</w:t>
            </w:r>
          </w:p>
        </w:tc>
        <w:tc>
          <w:tcPr>
            <w:tcW w:w="546" w:type="pct"/>
            <w:shd w:val="clear" w:color="auto" w:fill="auto"/>
            <w:noWrap/>
            <w:vAlign w:val="center"/>
          </w:tcPr>
          <w:p>
            <w:pPr>
              <w:pStyle w:val="85"/>
            </w:pPr>
            <w:r>
              <w:rPr>
                <w:rFonts w:hint="eastAsia"/>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restart"/>
            <w:shd w:val="clear" w:color="auto" w:fill="auto"/>
            <w:noWrap/>
            <w:vAlign w:val="center"/>
          </w:tcPr>
          <w:p>
            <w:pPr>
              <w:pStyle w:val="85"/>
            </w:pPr>
            <w:r>
              <w:rPr>
                <w:rFonts w:hint="eastAsia"/>
              </w:rPr>
              <w:t>水资源利用</w:t>
            </w:r>
          </w:p>
        </w:tc>
        <w:tc>
          <w:tcPr>
            <w:tcW w:w="545" w:type="pct"/>
            <w:shd w:val="clear" w:color="auto" w:fill="auto"/>
            <w:vAlign w:val="center"/>
          </w:tcPr>
          <w:p>
            <w:pPr>
              <w:pStyle w:val="85"/>
            </w:pPr>
            <w:r>
              <w:rPr>
                <w:rFonts w:hint="eastAsia"/>
              </w:rPr>
              <w:t>节水灌溉</w:t>
            </w:r>
          </w:p>
        </w:tc>
        <w:tc>
          <w:tcPr>
            <w:tcW w:w="274" w:type="pct"/>
            <w:shd w:val="clear" w:color="auto" w:fill="auto"/>
            <w:noWrap/>
            <w:vAlign w:val="center"/>
          </w:tcPr>
          <w:p>
            <w:pPr>
              <w:pStyle w:val="85"/>
            </w:pPr>
            <w:r>
              <w:rPr>
                <w:rFonts w:hint="eastAsia"/>
              </w:rPr>
              <w:t>5</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3</w:t>
            </w:r>
          </w:p>
        </w:tc>
        <w:tc>
          <w:tcPr>
            <w:tcW w:w="546" w:type="pct"/>
            <w:shd w:val="clear" w:color="auto" w:fill="auto"/>
            <w:noWrap/>
            <w:vAlign w:val="center"/>
          </w:tcPr>
          <w:p>
            <w:pPr>
              <w:pStyle w:val="85"/>
            </w:pPr>
            <w:r>
              <w:rPr>
                <w:rFonts w:hint="eastAsia"/>
              </w:rPr>
              <w:t>2</w:t>
            </w:r>
          </w:p>
        </w:tc>
        <w:tc>
          <w:tcPr>
            <w:tcW w:w="364" w:type="pct"/>
            <w:shd w:val="clear" w:color="auto" w:fill="auto"/>
            <w:noWrap/>
            <w:vAlign w:val="center"/>
          </w:tcPr>
          <w:p>
            <w:pPr>
              <w:pStyle w:val="85"/>
            </w:pPr>
            <w:r>
              <w:rPr>
                <w:rFonts w:hint="eastAsia"/>
              </w:rPr>
              <w:t xml:space="preserve">39700 </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 xml:space="preserve">32900 </w:t>
            </w:r>
          </w:p>
        </w:tc>
        <w:tc>
          <w:tcPr>
            <w:tcW w:w="546" w:type="pct"/>
            <w:shd w:val="clear" w:color="auto" w:fill="auto"/>
            <w:noWrap/>
            <w:vAlign w:val="center"/>
          </w:tcPr>
          <w:p>
            <w:pPr>
              <w:pStyle w:val="85"/>
            </w:pPr>
            <w:r>
              <w:rPr>
                <w:rFonts w:hint="eastAsia"/>
              </w:rPr>
              <w:t xml:space="preserve">6800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8" w:hRule="atLeast"/>
          <w:jc w:val="center"/>
        </w:trPr>
        <w:tc>
          <w:tcPr>
            <w:tcW w:w="545" w:type="pct"/>
            <w:vMerge w:val="continue"/>
            <w:vAlign w:val="center"/>
          </w:tcPr>
          <w:p>
            <w:pPr>
              <w:pStyle w:val="85"/>
            </w:pPr>
          </w:p>
        </w:tc>
        <w:tc>
          <w:tcPr>
            <w:tcW w:w="545" w:type="pct"/>
            <w:shd w:val="clear" w:color="auto" w:fill="auto"/>
            <w:vAlign w:val="center"/>
          </w:tcPr>
          <w:p>
            <w:pPr>
              <w:pStyle w:val="85"/>
            </w:pPr>
            <w:r>
              <w:rPr>
                <w:rFonts w:hint="eastAsia"/>
              </w:rPr>
              <w:t>水资源配置</w:t>
            </w:r>
          </w:p>
        </w:tc>
        <w:tc>
          <w:tcPr>
            <w:tcW w:w="274" w:type="pct"/>
            <w:shd w:val="clear" w:color="auto" w:fill="auto"/>
            <w:noWrap/>
            <w:vAlign w:val="center"/>
          </w:tcPr>
          <w:p>
            <w:pPr>
              <w:pStyle w:val="85"/>
            </w:pPr>
            <w:r>
              <w:rPr>
                <w:rFonts w:hint="eastAsia"/>
              </w:rPr>
              <w:t>12</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10</w:t>
            </w:r>
          </w:p>
        </w:tc>
        <w:tc>
          <w:tcPr>
            <w:tcW w:w="546" w:type="pct"/>
            <w:shd w:val="clear" w:color="auto" w:fill="auto"/>
            <w:noWrap/>
            <w:vAlign w:val="center"/>
          </w:tcPr>
          <w:p>
            <w:pPr>
              <w:pStyle w:val="85"/>
            </w:pPr>
            <w:r>
              <w:rPr>
                <w:rFonts w:hint="eastAsia"/>
              </w:rPr>
              <w:t>2</w:t>
            </w:r>
          </w:p>
        </w:tc>
        <w:tc>
          <w:tcPr>
            <w:tcW w:w="364" w:type="pct"/>
            <w:shd w:val="clear" w:color="auto" w:fill="auto"/>
            <w:noWrap/>
            <w:vAlign w:val="center"/>
          </w:tcPr>
          <w:p>
            <w:pPr>
              <w:pStyle w:val="85"/>
            </w:pPr>
            <w:r>
              <w:rPr>
                <w:rFonts w:hint="eastAsia"/>
              </w:rPr>
              <w:t xml:space="preserve">124470 </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 xml:space="preserve">111970 </w:t>
            </w:r>
          </w:p>
        </w:tc>
        <w:tc>
          <w:tcPr>
            <w:tcW w:w="546" w:type="pct"/>
            <w:shd w:val="clear" w:color="auto" w:fill="auto"/>
            <w:noWrap/>
            <w:vAlign w:val="center"/>
          </w:tcPr>
          <w:p>
            <w:pPr>
              <w:pStyle w:val="85"/>
            </w:pPr>
            <w:r>
              <w:rPr>
                <w:rFonts w:hint="eastAsia"/>
              </w:rPr>
              <w:t xml:space="preserve">12500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continue"/>
            <w:vAlign w:val="center"/>
          </w:tcPr>
          <w:p>
            <w:pPr>
              <w:pStyle w:val="85"/>
            </w:pPr>
          </w:p>
        </w:tc>
        <w:tc>
          <w:tcPr>
            <w:tcW w:w="545" w:type="pct"/>
            <w:shd w:val="clear" w:color="auto" w:fill="auto"/>
            <w:vAlign w:val="center"/>
          </w:tcPr>
          <w:p>
            <w:pPr>
              <w:pStyle w:val="85"/>
            </w:pPr>
            <w:r>
              <w:rPr>
                <w:rFonts w:hint="eastAsia"/>
              </w:rPr>
              <w:t>小计</w:t>
            </w:r>
          </w:p>
        </w:tc>
        <w:tc>
          <w:tcPr>
            <w:tcW w:w="274" w:type="pct"/>
            <w:shd w:val="clear" w:color="auto" w:fill="auto"/>
            <w:noWrap/>
            <w:vAlign w:val="center"/>
          </w:tcPr>
          <w:p>
            <w:pPr>
              <w:pStyle w:val="85"/>
            </w:pPr>
            <w:r>
              <w:rPr>
                <w:rFonts w:hint="eastAsia"/>
              </w:rPr>
              <w:t>17</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13</w:t>
            </w:r>
          </w:p>
        </w:tc>
        <w:tc>
          <w:tcPr>
            <w:tcW w:w="546" w:type="pct"/>
            <w:shd w:val="clear" w:color="auto" w:fill="auto"/>
            <w:noWrap/>
            <w:vAlign w:val="center"/>
          </w:tcPr>
          <w:p>
            <w:pPr>
              <w:pStyle w:val="85"/>
            </w:pPr>
            <w:r>
              <w:rPr>
                <w:rFonts w:hint="eastAsia"/>
              </w:rPr>
              <w:t>4</w:t>
            </w:r>
          </w:p>
        </w:tc>
        <w:tc>
          <w:tcPr>
            <w:tcW w:w="364" w:type="pct"/>
            <w:shd w:val="clear" w:color="auto" w:fill="auto"/>
            <w:noWrap/>
            <w:vAlign w:val="center"/>
          </w:tcPr>
          <w:p>
            <w:pPr>
              <w:pStyle w:val="85"/>
            </w:pPr>
            <w:r>
              <w:rPr>
                <w:rFonts w:hint="eastAsia"/>
              </w:rPr>
              <w:t xml:space="preserve">164170 </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 xml:space="preserve">144870 </w:t>
            </w:r>
          </w:p>
        </w:tc>
        <w:tc>
          <w:tcPr>
            <w:tcW w:w="546" w:type="pct"/>
            <w:shd w:val="clear" w:color="auto" w:fill="auto"/>
            <w:noWrap/>
            <w:vAlign w:val="center"/>
          </w:tcPr>
          <w:p>
            <w:pPr>
              <w:pStyle w:val="85"/>
            </w:pPr>
            <w:r>
              <w:rPr>
                <w:rFonts w:hint="eastAsia"/>
              </w:rPr>
              <w:t xml:space="preserve">19300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restart"/>
            <w:shd w:val="clear" w:color="auto" w:fill="auto"/>
            <w:noWrap/>
            <w:vAlign w:val="center"/>
          </w:tcPr>
          <w:p>
            <w:pPr>
              <w:pStyle w:val="85"/>
            </w:pPr>
            <w:r>
              <w:rPr>
                <w:rFonts w:hint="eastAsia"/>
              </w:rPr>
              <w:t>水资源保护</w:t>
            </w:r>
          </w:p>
        </w:tc>
        <w:tc>
          <w:tcPr>
            <w:tcW w:w="545" w:type="pct"/>
            <w:shd w:val="clear" w:color="auto" w:fill="auto"/>
            <w:vAlign w:val="center"/>
          </w:tcPr>
          <w:p>
            <w:pPr>
              <w:pStyle w:val="85"/>
            </w:pPr>
            <w:r>
              <w:rPr>
                <w:rFonts w:hint="eastAsia"/>
              </w:rPr>
              <w:t>水源地保护</w:t>
            </w:r>
          </w:p>
        </w:tc>
        <w:tc>
          <w:tcPr>
            <w:tcW w:w="274" w:type="pct"/>
            <w:shd w:val="clear" w:color="auto" w:fill="auto"/>
            <w:noWrap/>
            <w:vAlign w:val="center"/>
          </w:tcPr>
          <w:p>
            <w:pPr>
              <w:pStyle w:val="85"/>
            </w:pPr>
            <w:r>
              <w:rPr>
                <w:rFonts w:hint="eastAsia"/>
              </w:rPr>
              <w:t>3</w:t>
            </w:r>
          </w:p>
        </w:tc>
        <w:tc>
          <w:tcPr>
            <w:tcW w:w="545" w:type="pct"/>
            <w:shd w:val="clear" w:color="auto" w:fill="auto"/>
            <w:noWrap/>
            <w:vAlign w:val="center"/>
          </w:tcPr>
          <w:p>
            <w:pPr>
              <w:pStyle w:val="85"/>
            </w:pPr>
          </w:p>
        </w:tc>
        <w:tc>
          <w:tcPr>
            <w:tcW w:w="545" w:type="pct"/>
            <w:shd w:val="clear" w:color="auto" w:fill="auto"/>
            <w:noWrap/>
            <w:vAlign w:val="center"/>
          </w:tcPr>
          <w:p>
            <w:pPr>
              <w:pStyle w:val="85"/>
            </w:pPr>
            <w:r>
              <w:rPr>
                <w:rFonts w:hint="eastAsia"/>
              </w:rPr>
              <w:t>2</w:t>
            </w:r>
          </w:p>
        </w:tc>
        <w:tc>
          <w:tcPr>
            <w:tcW w:w="546" w:type="pct"/>
            <w:shd w:val="clear" w:color="auto" w:fill="auto"/>
            <w:noWrap/>
            <w:vAlign w:val="center"/>
          </w:tcPr>
          <w:p>
            <w:pPr>
              <w:pStyle w:val="85"/>
            </w:pPr>
            <w:r>
              <w:rPr>
                <w:rFonts w:hint="eastAsia"/>
              </w:rPr>
              <w:t>1</w:t>
            </w:r>
          </w:p>
        </w:tc>
        <w:tc>
          <w:tcPr>
            <w:tcW w:w="364" w:type="pct"/>
            <w:shd w:val="clear" w:color="auto" w:fill="auto"/>
            <w:noWrap/>
            <w:vAlign w:val="center"/>
          </w:tcPr>
          <w:p>
            <w:pPr>
              <w:pStyle w:val="85"/>
            </w:pPr>
            <w:r>
              <w:rPr>
                <w:rFonts w:hint="eastAsia"/>
              </w:rPr>
              <w:t>5794</w:t>
            </w:r>
          </w:p>
        </w:tc>
        <w:tc>
          <w:tcPr>
            <w:tcW w:w="545" w:type="pct"/>
            <w:shd w:val="clear" w:color="auto" w:fill="auto"/>
            <w:noWrap/>
            <w:vAlign w:val="center"/>
          </w:tcPr>
          <w:p>
            <w:pPr>
              <w:pStyle w:val="85"/>
            </w:pPr>
          </w:p>
        </w:tc>
        <w:tc>
          <w:tcPr>
            <w:tcW w:w="545" w:type="pct"/>
            <w:shd w:val="clear" w:color="auto" w:fill="auto"/>
            <w:noWrap/>
            <w:vAlign w:val="center"/>
          </w:tcPr>
          <w:p>
            <w:pPr>
              <w:pStyle w:val="85"/>
            </w:pPr>
            <w:r>
              <w:rPr>
                <w:rFonts w:hint="eastAsia"/>
              </w:rPr>
              <w:t>5451</w:t>
            </w:r>
          </w:p>
        </w:tc>
        <w:tc>
          <w:tcPr>
            <w:tcW w:w="546" w:type="pct"/>
            <w:shd w:val="clear" w:color="auto" w:fill="auto"/>
            <w:noWrap/>
            <w:vAlign w:val="center"/>
          </w:tcPr>
          <w:p>
            <w:pPr>
              <w:pStyle w:val="85"/>
            </w:pPr>
            <w:r>
              <w:rPr>
                <w:rFonts w:hint="eastAsia"/>
              </w:rPr>
              <w:t>343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continue"/>
            <w:shd w:val="clear" w:color="auto" w:fill="auto"/>
            <w:noWrap/>
            <w:vAlign w:val="center"/>
          </w:tcPr>
          <w:p>
            <w:pPr>
              <w:pStyle w:val="85"/>
            </w:pPr>
          </w:p>
        </w:tc>
        <w:tc>
          <w:tcPr>
            <w:tcW w:w="545" w:type="pct"/>
            <w:shd w:val="clear" w:color="auto" w:fill="auto"/>
            <w:vAlign w:val="center"/>
          </w:tcPr>
          <w:p>
            <w:pPr>
              <w:pStyle w:val="85"/>
            </w:pPr>
            <w:r>
              <w:rPr>
                <w:rFonts w:hint="eastAsia"/>
              </w:rPr>
              <w:t>水环境治理</w:t>
            </w:r>
          </w:p>
        </w:tc>
        <w:tc>
          <w:tcPr>
            <w:tcW w:w="274" w:type="pct"/>
            <w:shd w:val="clear" w:color="auto" w:fill="auto"/>
            <w:noWrap/>
            <w:vAlign w:val="center"/>
          </w:tcPr>
          <w:p>
            <w:pPr>
              <w:pStyle w:val="85"/>
            </w:pPr>
            <w:r>
              <w:rPr>
                <w:rFonts w:hint="eastAsia"/>
              </w:rPr>
              <w:t>5</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5</w:t>
            </w:r>
          </w:p>
        </w:tc>
        <w:tc>
          <w:tcPr>
            <w:tcW w:w="546" w:type="pct"/>
            <w:shd w:val="clear" w:color="auto" w:fill="auto"/>
            <w:noWrap/>
            <w:vAlign w:val="center"/>
          </w:tcPr>
          <w:p>
            <w:pPr>
              <w:pStyle w:val="85"/>
            </w:pPr>
          </w:p>
        </w:tc>
        <w:tc>
          <w:tcPr>
            <w:tcW w:w="364" w:type="pct"/>
            <w:shd w:val="clear" w:color="auto" w:fill="auto"/>
            <w:noWrap/>
            <w:vAlign w:val="center"/>
          </w:tcPr>
          <w:p>
            <w:pPr>
              <w:pStyle w:val="85"/>
            </w:pPr>
            <w:r>
              <w:rPr>
                <w:rFonts w:hint="eastAsia"/>
              </w:rPr>
              <w:t>49676</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49676</w:t>
            </w:r>
          </w:p>
        </w:tc>
        <w:tc>
          <w:tcPr>
            <w:tcW w:w="546" w:type="pct"/>
            <w:shd w:val="clear" w:color="auto" w:fill="auto"/>
            <w:noWrap/>
            <w:vAlign w:val="center"/>
          </w:tcPr>
          <w:p>
            <w:pPr>
              <w:pStyle w:val="85"/>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8" w:hRule="atLeast"/>
          <w:jc w:val="center"/>
        </w:trPr>
        <w:tc>
          <w:tcPr>
            <w:tcW w:w="545" w:type="pct"/>
            <w:vMerge w:val="continue"/>
            <w:vAlign w:val="center"/>
          </w:tcPr>
          <w:p>
            <w:pPr>
              <w:pStyle w:val="85"/>
            </w:pPr>
          </w:p>
        </w:tc>
        <w:tc>
          <w:tcPr>
            <w:tcW w:w="545" w:type="pct"/>
            <w:shd w:val="clear" w:color="auto" w:fill="auto"/>
            <w:vAlign w:val="center"/>
          </w:tcPr>
          <w:p>
            <w:pPr>
              <w:pStyle w:val="85"/>
            </w:pPr>
            <w:r>
              <w:rPr>
                <w:rFonts w:hint="eastAsia"/>
              </w:rPr>
              <w:t>水土保持</w:t>
            </w:r>
          </w:p>
        </w:tc>
        <w:tc>
          <w:tcPr>
            <w:tcW w:w="274" w:type="pct"/>
            <w:shd w:val="clear" w:color="auto" w:fill="auto"/>
            <w:noWrap/>
            <w:vAlign w:val="center"/>
          </w:tcPr>
          <w:p>
            <w:pPr>
              <w:pStyle w:val="85"/>
            </w:pPr>
            <w:r>
              <w:rPr>
                <w:rFonts w:hint="eastAsia"/>
              </w:rPr>
              <w:t>6</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3</w:t>
            </w:r>
          </w:p>
        </w:tc>
        <w:tc>
          <w:tcPr>
            <w:tcW w:w="546" w:type="pct"/>
            <w:shd w:val="clear" w:color="auto" w:fill="auto"/>
            <w:noWrap/>
            <w:vAlign w:val="center"/>
          </w:tcPr>
          <w:p>
            <w:pPr>
              <w:pStyle w:val="85"/>
            </w:pPr>
            <w:r>
              <w:rPr>
                <w:rFonts w:hint="eastAsia"/>
              </w:rPr>
              <w:t>3</w:t>
            </w:r>
          </w:p>
        </w:tc>
        <w:tc>
          <w:tcPr>
            <w:tcW w:w="364" w:type="pct"/>
            <w:shd w:val="clear" w:color="auto" w:fill="auto"/>
            <w:noWrap/>
            <w:vAlign w:val="center"/>
          </w:tcPr>
          <w:p>
            <w:pPr>
              <w:pStyle w:val="85"/>
            </w:pPr>
            <w:r>
              <w:rPr>
                <w:rFonts w:hint="eastAsia"/>
              </w:rPr>
              <w:t xml:space="preserve">6612 </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 xml:space="preserve">2860 </w:t>
            </w:r>
          </w:p>
        </w:tc>
        <w:tc>
          <w:tcPr>
            <w:tcW w:w="546" w:type="pct"/>
            <w:shd w:val="clear" w:color="auto" w:fill="auto"/>
            <w:noWrap/>
            <w:vAlign w:val="center"/>
          </w:tcPr>
          <w:p>
            <w:pPr>
              <w:pStyle w:val="85"/>
            </w:pPr>
            <w:r>
              <w:rPr>
                <w:rFonts w:hint="eastAsia"/>
              </w:rPr>
              <w:t>3752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continue"/>
            <w:vAlign w:val="center"/>
          </w:tcPr>
          <w:p>
            <w:pPr>
              <w:pStyle w:val="85"/>
            </w:pPr>
          </w:p>
        </w:tc>
        <w:tc>
          <w:tcPr>
            <w:tcW w:w="545" w:type="pct"/>
            <w:shd w:val="clear" w:color="auto" w:fill="auto"/>
            <w:vAlign w:val="center"/>
          </w:tcPr>
          <w:p>
            <w:pPr>
              <w:pStyle w:val="85"/>
            </w:pPr>
            <w:r>
              <w:rPr>
                <w:rFonts w:hint="eastAsia"/>
              </w:rPr>
              <w:t>水生态修复</w:t>
            </w:r>
          </w:p>
        </w:tc>
        <w:tc>
          <w:tcPr>
            <w:tcW w:w="274" w:type="pct"/>
            <w:shd w:val="clear" w:color="auto" w:fill="auto"/>
            <w:noWrap/>
            <w:vAlign w:val="center"/>
          </w:tcPr>
          <w:p>
            <w:pPr>
              <w:pStyle w:val="85"/>
            </w:pPr>
            <w:r>
              <w:rPr>
                <w:rFonts w:hint="eastAsia"/>
              </w:rPr>
              <w:t>3</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3</w:t>
            </w:r>
          </w:p>
        </w:tc>
        <w:tc>
          <w:tcPr>
            <w:tcW w:w="546" w:type="pct"/>
            <w:shd w:val="clear" w:color="auto" w:fill="auto"/>
            <w:noWrap/>
            <w:vAlign w:val="center"/>
          </w:tcPr>
          <w:p>
            <w:pPr>
              <w:pStyle w:val="85"/>
            </w:pPr>
            <w:r>
              <w:rPr>
                <w:rFonts w:hint="eastAsia"/>
              </w:rPr>
              <w:t>　</w:t>
            </w:r>
          </w:p>
        </w:tc>
        <w:tc>
          <w:tcPr>
            <w:tcW w:w="364" w:type="pct"/>
            <w:shd w:val="clear" w:color="auto" w:fill="auto"/>
            <w:noWrap/>
            <w:vAlign w:val="center"/>
          </w:tcPr>
          <w:p>
            <w:pPr>
              <w:pStyle w:val="85"/>
            </w:pPr>
            <w:r>
              <w:rPr>
                <w:rFonts w:hint="eastAsia"/>
              </w:rPr>
              <w:t xml:space="preserve">32132 </w:t>
            </w:r>
          </w:p>
        </w:tc>
        <w:tc>
          <w:tcPr>
            <w:tcW w:w="545" w:type="pct"/>
            <w:shd w:val="clear" w:color="auto" w:fill="auto"/>
            <w:noWrap/>
            <w:vAlign w:val="center"/>
          </w:tcPr>
          <w:p>
            <w:pPr>
              <w:pStyle w:val="85"/>
            </w:pPr>
            <w:r>
              <w:rPr>
                <w:rFonts w:hint="eastAsia"/>
              </w:rPr>
              <w:t>　</w:t>
            </w:r>
          </w:p>
        </w:tc>
        <w:tc>
          <w:tcPr>
            <w:tcW w:w="545" w:type="pct"/>
            <w:shd w:val="clear" w:color="auto" w:fill="auto"/>
            <w:noWrap/>
            <w:vAlign w:val="center"/>
          </w:tcPr>
          <w:p>
            <w:pPr>
              <w:pStyle w:val="85"/>
            </w:pPr>
            <w:r>
              <w:rPr>
                <w:rFonts w:hint="eastAsia"/>
              </w:rPr>
              <w:t xml:space="preserve">32132 </w:t>
            </w:r>
          </w:p>
        </w:tc>
        <w:tc>
          <w:tcPr>
            <w:tcW w:w="546" w:type="pct"/>
            <w:shd w:val="clear" w:color="auto" w:fill="auto"/>
            <w:noWrap/>
            <w:vAlign w:val="center"/>
          </w:tcPr>
          <w:p>
            <w:pPr>
              <w:pStyle w:val="85"/>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continue"/>
            <w:vAlign w:val="center"/>
          </w:tcPr>
          <w:p>
            <w:pPr>
              <w:pStyle w:val="85"/>
            </w:pPr>
          </w:p>
        </w:tc>
        <w:tc>
          <w:tcPr>
            <w:tcW w:w="545" w:type="pct"/>
            <w:shd w:val="clear" w:color="auto" w:fill="auto"/>
            <w:vAlign w:val="center"/>
          </w:tcPr>
          <w:p>
            <w:pPr>
              <w:pStyle w:val="85"/>
            </w:pPr>
            <w:r>
              <w:rPr>
                <w:rFonts w:hint="eastAsia"/>
              </w:rPr>
              <w:t>水资源管理</w:t>
            </w:r>
          </w:p>
        </w:tc>
        <w:tc>
          <w:tcPr>
            <w:tcW w:w="274" w:type="pct"/>
            <w:shd w:val="clear" w:color="auto" w:fill="auto"/>
            <w:noWrap/>
            <w:vAlign w:val="center"/>
          </w:tcPr>
          <w:p>
            <w:pPr>
              <w:pStyle w:val="85"/>
            </w:pPr>
            <w:r>
              <w:rPr>
                <w:rFonts w:hint="eastAsia"/>
              </w:rPr>
              <w:t>8</w:t>
            </w:r>
          </w:p>
        </w:tc>
        <w:tc>
          <w:tcPr>
            <w:tcW w:w="545" w:type="pct"/>
            <w:shd w:val="clear" w:color="auto" w:fill="auto"/>
            <w:noWrap/>
            <w:vAlign w:val="center"/>
          </w:tcPr>
          <w:p>
            <w:pPr>
              <w:pStyle w:val="85"/>
            </w:pPr>
            <w:r>
              <w:rPr>
                <w:rFonts w:hint="eastAsia"/>
              </w:rPr>
              <w:t>5</w:t>
            </w:r>
          </w:p>
        </w:tc>
        <w:tc>
          <w:tcPr>
            <w:tcW w:w="545" w:type="pct"/>
            <w:shd w:val="clear" w:color="auto" w:fill="auto"/>
            <w:noWrap/>
            <w:vAlign w:val="center"/>
          </w:tcPr>
          <w:p>
            <w:pPr>
              <w:pStyle w:val="85"/>
            </w:pPr>
            <w:r>
              <w:rPr>
                <w:rFonts w:hint="eastAsia"/>
              </w:rPr>
              <w:t>3</w:t>
            </w:r>
          </w:p>
        </w:tc>
        <w:tc>
          <w:tcPr>
            <w:tcW w:w="546" w:type="pct"/>
            <w:shd w:val="clear" w:color="auto" w:fill="auto"/>
            <w:noWrap/>
            <w:vAlign w:val="center"/>
          </w:tcPr>
          <w:p>
            <w:pPr>
              <w:pStyle w:val="85"/>
            </w:pPr>
            <w:r>
              <w:rPr>
                <w:rFonts w:hint="eastAsia"/>
              </w:rPr>
              <w:t>　</w:t>
            </w:r>
          </w:p>
        </w:tc>
        <w:tc>
          <w:tcPr>
            <w:tcW w:w="364" w:type="pct"/>
            <w:shd w:val="clear" w:color="auto" w:fill="auto"/>
            <w:noWrap/>
            <w:vAlign w:val="center"/>
          </w:tcPr>
          <w:p>
            <w:pPr>
              <w:pStyle w:val="85"/>
            </w:pPr>
            <w:r>
              <w:rPr>
                <w:rFonts w:hint="eastAsia"/>
              </w:rPr>
              <w:t xml:space="preserve">11555 </w:t>
            </w:r>
          </w:p>
        </w:tc>
        <w:tc>
          <w:tcPr>
            <w:tcW w:w="545" w:type="pct"/>
            <w:shd w:val="clear" w:color="auto" w:fill="auto"/>
            <w:noWrap/>
            <w:vAlign w:val="center"/>
          </w:tcPr>
          <w:p>
            <w:pPr>
              <w:pStyle w:val="85"/>
            </w:pPr>
            <w:r>
              <w:rPr>
                <w:rFonts w:hint="eastAsia"/>
              </w:rPr>
              <w:t>4485</w:t>
            </w:r>
          </w:p>
        </w:tc>
        <w:tc>
          <w:tcPr>
            <w:tcW w:w="545" w:type="pct"/>
            <w:shd w:val="clear" w:color="auto" w:fill="auto"/>
            <w:noWrap/>
            <w:vAlign w:val="center"/>
          </w:tcPr>
          <w:p>
            <w:pPr>
              <w:pStyle w:val="85"/>
            </w:pPr>
            <w:r>
              <w:rPr>
                <w:rFonts w:hint="eastAsia"/>
              </w:rPr>
              <w:t>7070</w:t>
            </w:r>
          </w:p>
        </w:tc>
        <w:tc>
          <w:tcPr>
            <w:tcW w:w="546" w:type="pct"/>
            <w:shd w:val="clear" w:color="auto" w:fill="auto"/>
            <w:noWrap/>
            <w:vAlign w:val="center"/>
          </w:tcPr>
          <w:p>
            <w:pPr>
              <w:pStyle w:val="85"/>
            </w:pPr>
            <w:r>
              <w:rPr>
                <w:rFonts w:hint="eastAsia"/>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45" w:type="pct"/>
            <w:vMerge w:val="continue"/>
            <w:vAlign w:val="center"/>
          </w:tcPr>
          <w:p>
            <w:pPr>
              <w:pStyle w:val="85"/>
            </w:pPr>
          </w:p>
        </w:tc>
        <w:tc>
          <w:tcPr>
            <w:tcW w:w="545" w:type="pct"/>
            <w:shd w:val="clear" w:color="auto" w:fill="auto"/>
            <w:vAlign w:val="center"/>
          </w:tcPr>
          <w:p>
            <w:pPr>
              <w:pStyle w:val="85"/>
            </w:pPr>
            <w:r>
              <w:rPr>
                <w:rFonts w:hint="eastAsia"/>
              </w:rPr>
              <w:t>小计</w:t>
            </w:r>
          </w:p>
        </w:tc>
        <w:tc>
          <w:tcPr>
            <w:tcW w:w="274" w:type="pct"/>
            <w:shd w:val="clear" w:color="auto" w:fill="auto"/>
            <w:noWrap/>
            <w:vAlign w:val="center"/>
          </w:tcPr>
          <w:p>
            <w:pPr>
              <w:pStyle w:val="85"/>
            </w:pPr>
            <w:r>
              <w:rPr>
                <w:rFonts w:hint="eastAsia"/>
              </w:rPr>
              <w:t>25</w:t>
            </w:r>
          </w:p>
        </w:tc>
        <w:tc>
          <w:tcPr>
            <w:tcW w:w="545" w:type="pct"/>
            <w:shd w:val="clear" w:color="auto" w:fill="auto"/>
            <w:noWrap/>
            <w:vAlign w:val="center"/>
          </w:tcPr>
          <w:p>
            <w:pPr>
              <w:pStyle w:val="85"/>
            </w:pPr>
            <w:r>
              <w:rPr>
                <w:rFonts w:hint="eastAsia"/>
              </w:rPr>
              <w:t>5</w:t>
            </w:r>
          </w:p>
        </w:tc>
        <w:tc>
          <w:tcPr>
            <w:tcW w:w="545" w:type="pct"/>
            <w:shd w:val="clear" w:color="auto" w:fill="auto"/>
            <w:noWrap/>
            <w:vAlign w:val="center"/>
          </w:tcPr>
          <w:p>
            <w:pPr>
              <w:pStyle w:val="85"/>
            </w:pPr>
            <w:r>
              <w:rPr>
                <w:rFonts w:hint="eastAsia"/>
              </w:rPr>
              <w:t>16</w:t>
            </w:r>
          </w:p>
        </w:tc>
        <w:tc>
          <w:tcPr>
            <w:tcW w:w="546" w:type="pct"/>
            <w:shd w:val="clear" w:color="auto" w:fill="auto"/>
            <w:noWrap/>
            <w:vAlign w:val="center"/>
          </w:tcPr>
          <w:p>
            <w:pPr>
              <w:pStyle w:val="85"/>
            </w:pPr>
            <w:r>
              <w:rPr>
                <w:rFonts w:hint="eastAsia"/>
              </w:rPr>
              <w:t>4</w:t>
            </w:r>
          </w:p>
        </w:tc>
        <w:tc>
          <w:tcPr>
            <w:tcW w:w="364" w:type="pct"/>
            <w:shd w:val="clear" w:color="auto" w:fill="auto"/>
            <w:noWrap/>
            <w:vAlign w:val="center"/>
          </w:tcPr>
          <w:p>
            <w:pPr>
              <w:pStyle w:val="85"/>
            </w:pPr>
            <w:r>
              <w:rPr>
                <w:rFonts w:hint="eastAsia"/>
              </w:rPr>
              <w:t xml:space="preserve">105769 </w:t>
            </w:r>
          </w:p>
        </w:tc>
        <w:tc>
          <w:tcPr>
            <w:tcW w:w="545" w:type="pct"/>
            <w:shd w:val="clear" w:color="auto" w:fill="auto"/>
            <w:noWrap/>
            <w:vAlign w:val="center"/>
          </w:tcPr>
          <w:p>
            <w:pPr>
              <w:pStyle w:val="85"/>
            </w:pPr>
            <w:r>
              <w:rPr>
                <w:rFonts w:hint="eastAsia"/>
              </w:rPr>
              <w:t>4485</w:t>
            </w:r>
          </w:p>
        </w:tc>
        <w:tc>
          <w:tcPr>
            <w:tcW w:w="545" w:type="pct"/>
            <w:shd w:val="clear" w:color="auto" w:fill="auto"/>
            <w:noWrap/>
            <w:vAlign w:val="center"/>
          </w:tcPr>
          <w:p>
            <w:pPr>
              <w:pStyle w:val="85"/>
            </w:pPr>
            <w:r>
              <w:rPr>
                <w:rFonts w:hint="eastAsia"/>
              </w:rPr>
              <w:t>97189</w:t>
            </w:r>
          </w:p>
        </w:tc>
        <w:tc>
          <w:tcPr>
            <w:tcW w:w="546" w:type="pct"/>
            <w:shd w:val="clear" w:color="auto" w:fill="auto"/>
            <w:noWrap/>
            <w:vAlign w:val="center"/>
          </w:tcPr>
          <w:p>
            <w:pPr>
              <w:pStyle w:val="85"/>
            </w:pPr>
            <w:r>
              <w:rPr>
                <w:rFonts w:hint="eastAsia"/>
              </w:rPr>
              <w:t>4095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8" w:hRule="atLeast"/>
          <w:jc w:val="center"/>
        </w:trPr>
        <w:tc>
          <w:tcPr>
            <w:tcW w:w="1090" w:type="pct"/>
            <w:gridSpan w:val="2"/>
            <w:shd w:val="clear" w:color="auto" w:fill="auto"/>
            <w:noWrap/>
            <w:vAlign w:val="center"/>
          </w:tcPr>
          <w:p>
            <w:pPr>
              <w:pStyle w:val="85"/>
            </w:pPr>
            <w:r>
              <w:rPr>
                <w:rFonts w:hint="eastAsia"/>
              </w:rPr>
              <w:t>合计</w:t>
            </w:r>
          </w:p>
        </w:tc>
        <w:tc>
          <w:tcPr>
            <w:tcW w:w="274" w:type="pct"/>
            <w:shd w:val="clear" w:color="auto" w:fill="auto"/>
            <w:noWrap/>
            <w:vAlign w:val="center"/>
          </w:tcPr>
          <w:p>
            <w:pPr>
              <w:pStyle w:val="85"/>
            </w:pPr>
            <w:r>
              <w:rPr>
                <w:rFonts w:hint="eastAsia"/>
              </w:rPr>
              <w:t>42</w:t>
            </w:r>
          </w:p>
        </w:tc>
        <w:tc>
          <w:tcPr>
            <w:tcW w:w="545" w:type="pct"/>
            <w:shd w:val="clear" w:color="auto" w:fill="auto"/>
            <w:noWrap/>
            <w:vAlign w:val="center"/>
          </w:tcPr>
          <w:p>
            <w:pPr>
              <w:pStyle w:val="85"/>
            </w:pPr>
            <w:r>
              <w:rPr>
                <w:rFonts w:hint="eastAsia"/>
              </w:rPr>
              <w:t>5</w:t>
            </w:r>
          </w:p>
        </w:tc>
        <w:tc>
          <w:tcPr>
            <w:tcW w:w="545" w:type="pct"/>
            <w:shd w:val="clear" w:color="auto" w:fill="auto"/>
            <w:noWrap/>
            <w:vAlign w:val="center"/>
          </w:tcPr>
          <w:p>
            <w:pPr>
              <w:pStyle w:val="85"/>
            </w:pPr>
            <w:r>
              <w:rPr>
                <w:rFonts w:hint="eastAsia"/>
              </w:rPr>
              <w:t>29</w:t>
            </w:r>
          </w:p>
        </w:tc>
        <w:tc>
          <w:tcPr>
            <w:tcW w:w="546" w:type="pct"/>
            <w:shd w:val="clear" w:color="auto" w:fill="auto"/>
            <w:noWrap/>
            <w:vAlign w:val="center"/>
          </w:tcPr>
          <w:p>
            <w:pPr>
              <w:pStyle w:val="85"/>
            </w:pPr>
            <w:r>
              <w:rPr>
                <w:rFonts w:hint="eastAsia"/>
              </w:rPr>
              <w:t>8</w:t>
            </w:r>
          </w:p>
        </w:tc>
        <w:tc>
          <w:tcPr>
            <w:tcW w:w="364" w:type="pct"/>
            <w:shd w:val="clear" w:color="auto" w:fill="auto"/>
            <w:noWrap/>
            <w:vAlign w:val="center"/>
          </w:tcPr>
          <w:p>
            <w:pPr>
              <w:pStyle w:val="85"/>
            </w:pPr>
            <w:r>
              <w:rPr>
                <w:rFonts w:hint="eastAsia"/>
              </w:rPr>
              <w:t>269939</w:t>
            </w:r>
          </w:p>
        </w:tc>
        <w:tc>
          <w:tcPr>
            <w:tcW w:w="545" w:type="pct"/>
            <w:shd w:val="clear" w:color="auto" w:fill="auto"/>
            <w:noWrap/>
            <w:vAlign w:val="center"/>
          </w:tcPr>
          <w:p>
            <w:pPr>
              <w:pStyle w:val="85"/>
            </w:pPr>
            <w:r>
              <w:rPr>
                <w:rFonts w:hint="eastAsia"/>
              </w:rPr>
              <w:t>4485</w:t>
            </w:r>
          </w:p>
        </w:tc>
        <w:tc>
          <w:tcPr>
            <w:tcW w:w="545" w:type="pct"/>
            <w:shd w:val="clear" w:color="auto" w:fill="auto"/>
            <w:noWrap/>
            <w:vAlign w:val="center"/>
          </w:tcPr>
          <w:p>
            <w:pPr>
              <w:pStyle w:val="85"/>
            </w:pPr>
            <w:r>
              <w:rPr>
                <w:rFonts w:hint="eastAsia"/>
              </w:rPr>
              <w:t>242059</w:t>
            </w:r>
          </w:p>
        </w:tc>
        <w:tc>
          <w:tcPr>
            <w:tcW w:w="546" w:type="pct"/>
            <w:shd w:val="clear" w:color="auto" w:fill="auto"/>
            <w:noWrap/>
            <w:vAlign w:val="center"/>
          </w:tcPr>
          <w:p>
            <w:pPr>
              <w:pStyle w:val="85"/>
            </w:pPr>
            <w:r>
              <w:rPr>
                <w:rFonts w:hint="eastAsia"/>
              </w:rPr>
              <w:t>23395</w:t>
            </w:r>
          </w:p>
        </w:tc>
      </w:tr>
    </w:tbl>
    <w:p>
      <w:pPr>
        <w:pStyle w:val="4"/>
        <w:sectPr>
          <w:pgSz w:w="16838" w:h="11906" w:orient="landscape"/>
          <w:pgMar w:top="1418" w:right="1440" w:bottom="1418" w:left="1440" w:header="851" w:footer="851" w:gutter="0"/>
          <w:cols w:space="425" w:num="1"/>
          <w:docGrid w:type="linesAndChars" w:linePitch="326" w:charSpace="0"/>
        </w:sectPr>
      </w:pPr>
    </w:p>
    <w:p>
      <w:pPr>
        <w:pStyle w:val="17"/>
        <w:ind w:firstLine="576"/>
        <w:rPr>
          <w:b/>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表_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澄江市保护利用规划项目表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7"/>
        <w:gridCol w:w="877"/>
        <w:gridCol w:w="1551"/>
        <w:gridCol w:w="4058"/>
        <w:gridCol w:w="1692"/>
        <w:gridCol w:w="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tblHeader/>
          <w:jc w:val="center"/>
        </w:trPr>
        <w:tc>
          <w:tcPr>
            <w:tcW w:w="59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项目类别</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c>
          <w:tcPr>
            <w:tcW w:w="91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864" w:hRule="atLeast"/>
          <w:jc w:val="center"/>
        </w:trPr>
        <w:tc>
          <w:tcPr>
            <w:tcW w:w="591" w:type="pct"/>
            <w:vMerge w:val="restar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w:t>
            </w:r>
          </w:p>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利用</w:t>
            </w: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节水灌溉</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澄江市东大河中型灌区、梁王河中型续建配套与节水改造工程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7700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节水灌溉</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澄江市海新灌区建设工程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18000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节水灌溉</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澄江市新建抚仙湖西岸小型灌区工程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7200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节水灌溉</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澄江市新建东溪哨小型灌区工程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3200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节水灌溉</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澄江市七江小型灌区续建配套与节水改造工程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3600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滇中引水二期配套工程澄江干线项目</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52000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864"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抚仙湖水资源生态保护甸垛龙潭调水管网延伸扩建工程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4031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抚仙湖东南西岸配水管网工程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澄江市抚仙湖流域农业水资源循环利用工程一期</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11052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864"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澄江市抚仙湖流域农业水资源循环利用（二期）工程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6799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澄江市海口松元片区抗旱应急水利工程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2027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澄江市北片区城乡供水一体化项目</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13834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澄江市产业园区基础设施配套工程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11000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七江大沟修复工程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澄江市水库清淤工程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12117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抚仙湖流域小（二）型水库扩建工程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5900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864"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水资源配置</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澄江市三百亩村委会农业用水及森林防火抗旱应急工程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3492" w:type="pct"/>
            <w:gridSpan w:val="3"/>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小计</w:t>
            </w:r>
          </w:p>
        </w:tc>
        <w:tc>
          <w:tcPr>
            <w:tcW w:w="917" w:type="pct"/>
            <w:gridSpan w:val="2"/>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164170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restar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w:t>
            </w:r>
          </w:p>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保护</w:t>
            </w: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水源地保护</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东大河水库水源涵养工程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shd w:val="clear" w:color="auto" w:fill="auto"/>
            <w:noWrap/>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水源地保护</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梁王河水库水源涵养工程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3327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shd w:val="clear" w:color="auto" w:fill="auto"/>
            <w:noWrap/>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水源地保护</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澄江市甸垛龙潭泉水饮用水水源保护工程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水环境治理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抚仙湖南岸大鲫鱼河水环境综合治理工程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8154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水环境治理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抚仙湖入湖河道水质提升一期工程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7260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水环境治理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抚仙湖入湖河道水质提升二期工程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水环境治理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澄江市水库坝塘水环境综合治理工程</w:t>
            </w:r>
          </w:p>
        </w:tc>
        <w:tc>
          <w:tcPr>
            <w:tcW w:w="91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23500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水环境治理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澄江市抚仙湖龙街片区水环境综合治理工程</w:t>
            </w:r>
          </w:p>
        </w:tc>
        <w:tc>
          <w:tcPr>
            <w:tcW w:w="91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7762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水土保持</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澄江市梁王河沙坝生态清洁小流域综合治理工程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1586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水土保持</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澄江市绿美河湖项目</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254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水土保持</w:t>
            </w:r>
          </w:p>
        </w:tc>
        <w:tc>
          <w:tcPr>
            <w:tcW w:w="218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szCs w:val="21"/>
              </w:rPr>
              <w:t>澄江市松元小流域坡耕地水土流失综合治理工程</w:t>
            </w:r>
          </w:p>
        </w:tc>
        <w:tc>
          <w:tcPr>
            <w:tcW w:w="91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1383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水土保持</w:t>
            </w:r>
          </w:p>
        </w:tc>
        <w:tc>
          <w:tcPr>
            <w:tcW w:w="2185" w:type="pct"/>
            <w:tcBorders>
              <w:top w:val="nil"/>
              <w:left w:val="single" w:color="auto" w:sz="4" w:space="0"/>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szCs w:val="21"/>
              </w:rPr>
              <w:t>澄江市海口河生态清洁小流域综合治理项目</w:t>
            </w:r>
          </w:p>
        </w:tc>
        <w:tc>
          <w:tcPr>
            <w:tcW w:w="911" w:type="pct"/>
            <w:tcBorders>
              <w:top w:val="nil"/>
              <w:left w:val="single" w:color="auto" w:sz="4" w:space="0"/>
              <w:bottom w:val="single" w:color="auto" w:sz="4" w:space="0"/>
              <w:right w:val="single" w:color="auto" w:sz="4" w:space="0"/>
            </w:tcBorders>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1109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水土保持</w:t>
            </w:r>
          </w:p>
        </w:tc>
        <w:tc>
          <w:tcPr>
            <w:tcW w:w="2185" w:type="pct"/>
            <w:tcBorders>
              <w:top w:val="nil"/>
              <w:left w:val="single" w:color="auto" w:sz="4" w:space="0"/>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szCs w:val="21"/>
              </w:rPr>
              <w:t>澄江市九村上七非小流域综合治理项目</w:t>
            </w:r>
          </w:p>
        </w:tc>
        <w:tc>
          <w:tcPr>
            <w:tcW w:w="911" w:type="pct"/>
            <w:tcBorders>
              <w:top w:val="nil"/>
              <w:left w:val="single" w:color="auto" w:sz="4" w:space="0"/>
              <w:bottom w:val="single" w:color="auto" w:sz="4" w:space="0"/>
              <w:right w:val="single" w:color="auto" w:sz="4" w:space="0"/>
            </w:tcBorders>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1260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水土保持</w:t>
            </w:r>
          </w:p>
        </w:tc>
        <w:tc>
          <w:tcPr>
            <w:tcW w:w="2185" w:type="pct"/>
            <w:tcBorders>
              <w:top w:val="nil"/>
              <w:left w:val="single" w:color="auto" w:sz="4" w:space="0"/>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szCs w:val="21"/>
              </w:rPr>
              <w:t>澄江市右所镇跨马龙潭生态清洁小流域综合治理项目</w:t>
            </w:r>
          </w:p>
        </w:tc>
        <w:tc>
          <w:tcPr>
            <w:tcW w:w="911" w:type="pct"/>
            <w:tcBorders>
              <w:top w:val="nil"/>
              <w:left w:val="single" w:color="auto" w:sz="4" w:space="0"/>
              <w:bottom w:val="single" w:color="auto" w:sz="4" w:space="0"/>
              <w:right w:val="single" w:color="auto" w:sz="4" w:space="0"/>
            </w:tcBorders>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水生态修复</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幸福河湖项目</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8110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864"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水生态修复</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澄江市尖山河河侧湿地整治及临湖村落修复生态产品价值实现工程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11599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水生态修复</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抚仙湖北侧区域湿地保护和提升工程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12423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水资源管理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节水型社会建设</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960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水资源管理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抚仙湖流域取水在线计量设施建设</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水资源管理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健康水循环智慧管理工程 </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水资源管理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山洪灾害防治非工程措施</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水资源管理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河长制信息管理平台建设工程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800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5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水资源管理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河湖确权划界界桩埋设工程</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水资源管理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已建工程项目运行管护</w:t>
            </w:r>
          </w:p>
        </w:tc>
        <w:tc>
          <w:tcPr>
            <w:tcW w:w="911"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 w:type="pct"/>
          <w:trHeight w:val="288"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472"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83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水资源管理</w:t>
            </w:r>
          </w:p>
        </w:tc>
        <w:tc>
          <w:tcPr>
            <w:tcW w:w="2185"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基础研究类</w:t>
            </w:r>
          </w:p>
        </w:tc>
        <w:tc>
          <w:tcPr>
            <w:tcW w:w="911" w:type="pct"/>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91" w:type="pct"/>
            <w:vMerge w:val="continue"/>
            <w:vAlign w:val="center"/>
          </w:tcPr>
          <w:p>
            <w:pPr>
              <w:pStyle w:val="85"/>
              <w:rPr>
                <w:color w:val="000000" w:themeColor="text1"/>
                <w14:textFill>
                  <w14:solidFill>
                    <w14:schemeClr w14:val="tx1"/>
                  </w14:solidFill>
                </w14:textFill>
              </w:rPr>
            </w:pPr>
          </w:p>
        </w:tc>
        <w:tc>
          <w:tcPr>
            <w:tcW w:w="3492" w:type="pct"/>
            <w:gridSpan w:val="3"/>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小计</w:t>
            </w:r>
          </w:p>
        </w:tc>
        <w:tc>
          <w:tcPr>
            <w:tcW w:w="917" w:type="pct"/>
            <w:gridSpan w:val="2"/>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105769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4083" w:type="pct"/>
            <w:gridSpan w:val="4"/>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17" w:type="pct"/>
            <w:gridSpan w:val="2"/>
            <w:shd w:val="clear" w:color="auto" w:fill="auto"/>
            <w:noWrap/>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269939</w:t>
            </w:r>
          </w:p>
        </w:tc>
      </w:tr>
    </w:tbl>
    <w:p>
      <w:pPr>
        <w:pStyle w:val="5"/>
      </w:pPr>
      <w:bookmarkStart w:id="123" w:name="_Toc184023346"/>
      <w:r>
        <w:rPr>
          <w:rFonts w:hint="eastAsia"/>
        </w:rPr>
        <w:t>资金筹措</w:t>
      </w:r>
      <w:bookmarkEnd w:id="123"/>
    </w:p>
    <w:p>
      <w:pPr>
        <w:pStyle w:val="4"/>
      </w:pPr>
      <w:r>
        <w:rPr>
          <w:rFonts w:hint="eastAsia"/>
        </w:rPr>
        <w:t>澄江市水利局积极拓宽资金筹措渠道，主动对接省级和玉溪市相关部门，争取更多项目进入国家和省相关盘子，积极争取生态补偿、财政转移支付、自然资源、水利、农业、生态环境等方面的国家政策和项目资金支持。多渠道依法开展融资，切实抓好项目组织、包装，通过项目贷款、绿色金融债券、担保补偿基金、政府专项债券等形式，多方筹措保护治理资金。引入具备技术和运营能力的社会资本方，解决政府投入的项目前期开发资金不足问题，通过政策引导、放宽市场准入、完善公共服务定价、实施特许经营、落实财税和土地政策、完善受益和成本风险共担机制，吸引社会资本和第三方企业参与澄江市水资源保护利用中。</w:t>
      </w:r>
    </w:p>
    <w:p>
      <w:pPr>
        <w:pStyle w:val="4"/>
      </w:pPr>
    </w:p>
    <w:p>
      <w:pPr>
        <w:pStyle w:val="3"/>
        <w:ind w:left="656" w:hanging="656"/>
        <w:rPr>
          <w:rFonts w:ascii="Times New Roman" w:hAnsi="Times New Roman"/>
          <w:color w:val="000000" w:themeColor="text1"/>
          <w14:textFill>
            <w14:solidFill>
              <w14:schemeClr w14:val="tx1"/>
            </w14:solidFill>
          </w14:textFill>
        </w:rPr>
      </w:pPr>
      <w:bookmarkStart w:id="124" w:name="_Toc184023347"/>
      <w:r>
        <w:rPr>
          <w:rFonts w:ascii="Times New Roman" w:hAnsi="Times New Roman"/>
          <w:color w:val="000000" w:themeColor="text1"/>
          <w14:textFill>
            <w14:solidFill>
              <w14:schemeClr w14:val="tx1"/>
            </w14:solidFill>
          </w14:textFill>
        </w:rPr>
        <w:t>规划效益分析</w:t>
      </w:r>
      <w:bookmarkEnd w:id="124"/>
    </w:p>
    <w:p>
      <w:pPr>
        <w:pStyle w:val="5"/>
      </w:pPr>
      <w:bookmarkStart w:id="125" w:name="_Toc184023348"/>
      <w:bookmarkStart w:id="126" w:name="_Toc11945"/>
      <w:bookmarkStart w:id="127" w:name="_Toc10507"/>
      <w:r>
        <w:rPr>
          <w:rFonts w:hint="eastAsia"/>
        </w:rPr>
        <w:t>总体效果</w:t>
      </w:r>
      <w:bookmarkEnd w:id="125"/>
    </w:p>
    <w:p>
      <w:pPr>
        <w:pStyle w:val="4"/>
      </w:pPr>
      <w:r>
        <w:rPr>
          <w:rFonts w:hint="eastAsia"/>
        </w:rPr>
        <w:t>澄江市水资源保护利用规划按照循序渐进的方式逐步开展，通过项目的实施解决水资源存在的主要突出问题，对澄江市的水资源保护和河湖健康保障体系进行不断完善。</w:t>
      </w:r>
    </w:p>
    <w:p>
      <w:pPr>
        <w:pStyle w:val="4"/>
      </w:pPr>
      <w:r>
        <w:rPr>
          <w:rFonts w:hint="eastAsia"/>
        </w:rPr>
        <w:t>（1）重点问题得到解决</w:t>
      </w:r>
    </w:p>
    <w:p>
      <w:pPr>
        <w:pStyle w:val="4"/>
      </w:pPr>
      <w:r>
        <w:rPr>
          <w:rFonts w:hint="eastAsia"/>
        </w:rPr>
        <w:t>通过水源涵养、河湖生境维护与保护工程的实施，澄江市主要河流源头均得到有效保护，水源涵养能力增强，城镇河段得到全面整治，水环境恶化的趋势得到初步遏制，水生态系统得到基本保护，水生态景观有较大的提升；重要江河湖泊水功能区内的规模以上排污口均得到全面系统的整治，水功能区水质达标率将有所提高，特别是针对抚仙湖流域的整治初见成效；地表水监测体系进一步完善，水资源管理能力有效提高。</w:t>
      </w:r>
    </w:p>
    <w:p>
      <w:pPr>
        <w:pStyle w:val="4"/>
      </w:pPr>
      <w:r>
        <w:rPr>
          <w:rFonts w:hint="eastAsia"/>
        </w:rPr>
        <w:t>（2）近期保护体系初步建立，203</w:t>
      </w:r>
      <w:r>
        <w:t>5</w:t>
      </w:r>
      <w:r>
        <w:rPr>
          <w:rFonts w:hint="eastAsia"/>
        </w:rPr>
        <w:t>年保护体系得到完善、巩固</w:t>
      </w:r>
    </w:p>
    <w:p>
      <w:pPr>
        <w:pStyle w:val="4"/>
      </w:pPr>
      <w:r>
        <w:rPr>
          <w:rFonts w:hint="eastAsia"/>
        </w:rPr>
        <w:t>通过近期项目的实施，入河排污口得到全面整治，入河污染物总量控制措施有效实施，排污口规范化管理能力明显提高；城镇集中式供水水源保护区全部划定，水源地水质全面达标；主要江河湖泊水生态系统得到基本保护，江河湖库水系连通得到改善，河湖生态水量得到基本保证；重要生态保护区、水源涵养区、江河源头区和湿地得到有效保护，敏感生态需水得到基本保障；受损的重要地表水和地下水生态系统得到初步修复，水生态恶化的趋势得到遏制；基本建成水资源保护和河湖健康保障体系。</w:t>
      </w:r>
    </w:p>
    <w:p>
      <w:pPr>
        <w:pStyle w:val="4"/>
      </w:pPr>
      <w:r>
        <w:rPr>
          <w:rFonts w:hint="eastAsia"/>
        </w:rPr>
        <w:t>通过远期项目的实施，近期实施项目的效果得到进一步巩固，江河湖库水功能区基本实现达标，主要水功能区内的排污口全部实现规范化设置和管理，主要污染物入河湖总量控制在水功能区纳污能力的范围之内，水库、湖泊等水体富营养化状况得到显著改善，重点地区地下水水质显著改善；主要江河湖泊水生态系统得到全面保护，河湖生态水量得到全面保证；受损的重要地表水和地下水生态系统基本得到修复；建立完善的水资源保护和河湖健康保障体系。</w:t>
      </w:r>
    </w:p>
    <w:p>
      <w:pPr>
        <w:pStyle w:val="5"/>
      </w:pPr>
      <w:bookmarkStart w:id="128" w:name="_Toc184023349"/>
      <w:r>
        <w:rPr>
          <w:rFonts w:hint="eastAsia"/>
        </w:rPr>
        <w:t>水量保障</w:t>
      </w:r>
      <w:bookmarkEnd w:id="128"/>
    </w:p>
    <w:p>
      <w:pPr>
        <w:pStyle w:val="4"/>
      </w:pPr>
      <w:r>
        <w:rPr>
          <w:rFonts w:hint="eastAsia"/>
        </w:rPr>
        <w:t>（1）措施的合理性分析</w:t>
      </w:r>
    </w:p>
    <w:p>
      <w:pPr>
        <w:pStyle w:val="4"/>
      </w:pPr>
      <w:r>
        <w:rPr>
          <w:rFonts w:hint="eastAsia"/>
        </w:rPr>
        <w:t>水量保障主要包括生态基流与敏感生态需水以及地下水水量保障措施类型。</w:t>
      </w:r>
    </w:p>
    <w:p>
      <w:pPr>
        <w:pStyle w:val="4"/>
      </w:pPr>
      <w:r>
        <w:rPr>
          <w:rFonts w:hint="eastAsia"/>
        </w:rPr>
        <w:t>根据生态基流及敏感生态需水现状评价结果，澄江市主要江河湖库的生态基流及敏感生态需水现状情况相对较好，但局部时段存在一定的不足，所规划的项目措施也是针对存在问题的区域或断面，实施有针对性的补水工程；同时，导致生态基流及敏感生态需水不足的主要原因是局部区域水资源的过度开发利用挤占了生态用水，而目前国家对水资源利用工程中的保障生态用水越来越重视，一般均要求在水资源配置中优先满足生态需水。因此，本次水资源保护规划的水量保障之一的生态基流及敏感生态需水工程措施主要针对已有的问题河湖开展，对现状较好的主要提出生态用水的限制性要求，具有合理性。</w:t>
      </w:r>
    </w:p>
    <w:p>
      <w:pPr>
        <w:pStyle w:val="4"/>
      </w:pPr>
      <w:r>
        <w:rPr>
          <w:rFonts w:hint="eastAsia"/>
        </w:rPr>
        <w:t>（2）生态基流及敏感生态需水保障效果分析</w:t>
      </w:r>
    </w:p>
    <w:p>
      <w:pPr>
        <w:pStyle w:val="4"/>
      </w:pPr>
      <w:r>
        <w:rPr>
          <w:rFonts w:hint="eastAsia"/>
        </w:rPr>
        <w:t>通过生态补水工程的实施，澄江市主要控制断面的生态基流满足程度为差的断面基本消除。</w:t>
      </w:r>
    </w:p>
    <w:p>
      <w:pPr>
        <w:pStyle w:val="5"/>
      </w:pPr>
      <w:bookmarkStart w:id="129" w:name="_Toc184023350"/>
      <w:r>
        <w:rPr>
          <w:rFonts w:hint="eastAsia"/>
        </w:rPr>
        <w:t>水质保护</w:t>
      </w:r>
      <w:bookmarkEnd w:id="129"/>
    </w:p>
    <w:p>
      <w:pPr>
        <w:pStyle w:val="4"/>
      </w:pPr>
      <w:r>
        <w:rPr>
          <w:rFonts w:hint="eastAsia"/>
        </w:rPr>
        <w:t>（1）水质保护与改善措施的合理性</w:t>
      </w:r>
    </w:p>
    <w:p>
      <w:pPr>
        <w:pStyle w:val="4"/>
      </w:pPr>
      <w:r>
        <w:rPr>
          <w:rFonts w:hint="eastAsia"/>
        </w:rPr>
        <w:t>水质保护作为澄江市水资源保护的核心之一，包括饮用水水源地保护、水资源保护监测等。项目涉及面广，涵盖流域（片）所有重要的水功能区和不达标的水功能区，系统的从污染源控制、治理、水生态保护与修复、水源涵养等方面进行综合治理与保护，同时重点突出，将关乎人民群众身体健康和经济持续高速发展的水源地保护作为重中之重，水质改善与保护并重，将涉及严重污染水体的水质保护措施安排优先实施。综上所述，本次规划的水质保护具有合理性。</w:t>
      </w:r>
    </w:p>
    <w:p>
      <w:pPr>
        <w:pStyle w:val="4"/>
      </w:pPr>
      <w:r>
        <w:rPr>
          <w:rFonts w:hint="eastAsia"/>
        </w:rPr>
        <w:t>（2）水质保护与改善的效果</w:t>
      </w:r>
    </w:p>
    <w:p>
      <w:pPr>
        <w:pStyle w:val="4"/>
      </w:pPr>
      <w:r>
        <w:rPr>
          <w:rFonts w:hint="eastAsia"/>
        </w:rPr>
        <w:t xml:space="preserve">通过水资源保护利用规划项目的实施，流域内重点水源地水质达标率提高至100%，水质监测实现常态化，饮用水水源保护管理制度全面建立。 </w:t>
      </w:r>
    </w:p>
    <w:p>
      <w:pPr>
        <w:pStyle w:val="4"/>
      </w:pPr>
      <w:r>
        <w:rPr>
          <w:rFonts w:hint="eastAsia"/>
        </w:rPr>
        <w:t>通过对澄江市排污口的整治，各水功能区水质达标率较低的区域水质明显改善，水功能水质达标率显著提高，排污口全面实现规范化管理，新增排污口得到有效控制和管理，排污量得到有效监控，水资源监测体系全面建成，为实施水资源管理与保护的“三条红线”提供较好的工作基础。</w:t>
      </w:r>
    </w:p>
    <w:p>
      <w:pPr>
        <w:pStyle w:val="5"/>
      </w:pPr>
      <w:bookmarkStart w:id="130" w:name="_Toc184023351"/>
      <w:r>
        <w:rPr>
          <w:rFonts w:hint="eastAsia"/>
        </w:rPr>
        <w:t>水生态系统保护与修复</w:t>
      </w:r>
      <w:bookmarkEnd w:id="130"/>
    </w:p>
    <w:p>
      <w:pPr>
        <w:pStyle w:val="4"/>
      </w:pPr>
      <w:r>
        <w:rPr>
          <w:rFonts w:hint="eastAsia"/>
        </w:rPr>
        <w:t>（1）措施的合理性</w:t>
      </w:r>
    </w:p>
    <w:p>
      <w:pPr>
        <w:pStyle w:val="4"/>
      </w:pPr>
      <w:r>
        <w:rPr>
          <w:rFonts w:hint="eastAsia"/>
        </w:rPr>
        <w:t>水生态系统保护与修复的作用是改善并维持流域水生态的良性循环，与水质保护的关系较密切，是促进水资源可持续利用不可或缺的措施，规划注重保护与修复并重，重点修复水生态系统已遭破坏的重要水体，如抚仙湖流域和南盘江</w:t>
      </w:r>
      <w:r>
        <w:rPr>
          <w:bCs/>
        </w:rPr>
        <w:t>（过境河流）</w:t>
      </w:r>
      <w:r>
        <w:rPr>
          <w:rFonts w:hint="eastAsia"/>
        </w:rPr>
        <w:t>，重点保护的是水系源头的水生态，因此从措施布局和投资比例来看，本次规划的水生态系统保护修复措施具有合理性。</w:t>
      </w:r>
    </w:p>
    <w:p>
      <w:pPr>
        <w:pStyle w:val="4"/>
      </w:pPr>
      <w:r>
        <w:rPr>
          <w:rFonts w:hint="eastAsia"/>
        </w:rPr>
        <w:t>（2）水生态系统保护与修复的预期成果</w:t>
      </w:r>
    </w:p>
    <w:p>
      <w:pPr>
        <w:pStyle w:val="4"/>
      </w:pPr>
      <w:r>
        <w:rPr>
          <w:rFonts w:hint="eastAsia"/>
        </w:rPr>
        <w:t>本次规划通过河流水生态保护与修复工程，建设河流生态廊道、河湖水系联通及河湖地形地貌保护等，恢复江河湖库的生态功能和自然属性，有助于区域生物多样性的提高，从而实现水生态系统的良性循环，增强区域水生态系统抗冲击的能力，提高区域水生态环境的安全。</w:t>
      </w:r>
    </w:p>
    <w:p>
      <w:pPr>
        <w:pStyle w:val="4"/>
      </w:pPr>
      <w:r>
        <w:rPr>
          <w:rFonts w:hint="eastAsia"/>
        </w:rPr>
        <w:t>本次规划通过对开展水生态综合整治工程，实施排污口的规范化设置和综合整治，施行入河污染物的总量控制，有效的修复了地区的水生态系统，初步恢复了河流生态功能。</w:t>
      </w:r>
    </w:p>
    <w:p>
      <w:pPr>
        <w:pStyle w:val="5"/>
      </w:pPr>
      <w:bookmarkStart w:id="131" w:name="_Toc184023352"/>
      <w:r>
        <w:rPr>
          <w:rFonts w:hint="eastAsia"/>
        </w:rPr>
        <w:t>社会经济</w:t>
      </w:r>
      <w:bookmarkEnd w:id="131"/>
    </w:p>
    <w:p>
      <w:pPr>
        <w:pStyle w:val="4"/>
      </w:pPr>
      <w:r>
        <w:rPr>
          <w:rFonts w:hint="eastAsia"/>
        </w:rPr>
        <w:t>（1）澄江市水资源保护利用规划建立了相对比较完整的措施体系，布局了大量的水资源保护工程。通过饮用水水源地保护、地下水资源保护等方面对水质和水生态进行保护与修复，在一定程度上缓解了水质性缺水的压力，增加水资源对流域经济社会可持续发展的承载力。</w:t>
      </w:r>
    </w:p>
    <w:p>
      <w:pPr>
        <w:pStyle w:val="4"/>
      </w:pPr>
      <w:r>
        <w:rPr>
          <w:rFonts w:hint="eastAsia"/>
        </w:rPr>
        <w:t>（</w:t>
      </w:r>
      <w:r>
        <w:t>2</w:t>
      </w:r>
      <w:r>
        <w:rPr>
          <w:rFonts w:hint="eastAsia"/>
        </w:rPr>
        <w:t>）通过促进第一、第二产业结构调整的同时，必将增加第三产业的可用水量，促进了第三产业的发展。</w:t>
      </w:r>
    </w:p>
    <w:p>
      <w:pPr>
        <w:pStyle w:val="4"/>
      </w:pPr>
      <w:r>
        <w:rPr>
          <w:rFonts w:hint="eastAsia"/>
        </w:rPr>
        <w:t>（</w:t>
      </w:r>
      <w:r>
        <w:t>3</w:t>
      </w:r>
      <w:r>
        <w:rPr>
          <w:rFonts w:hint="eastAsia"/>
        </w:rPr>
        <w:t>）通过生态需水保障、水生态保护与修复，可以增加流域的水源涵养能力，生态需水保障、水生态保护与修复避免了水资源配置中过度的将生态用水调整到社会生产用水，保障了澄江市的生态安全，有助于创造优美的水环境、水生态，而流域内的各街道、乡镇可以借助改善的水环境，提升城市品位，创造优良的生产生活和招商引资条件，使水资源保护成就成为城市发展新的刺激点，如促进旅游业、房地产业发展等。</w:t>
      </w:r>
    </w:p>
    <w:p>
      <w:pPr>
        <w:pStyle w:val="4"/>
      </w:pPr>
      <w:r>
        <w:rPr>
          <w:rFonts w:hint="eastAsia"/>
        </w:rPr>
        <w:t>由此可见，水资源保护有助于宏观经济布局和产业结构的调整优化以及支撑经济社会可持续发展。</w:t>
      </w:r>
    </w:p>
    <w:p>
      <w:pPr>
        <w:pStyle w:val="3"/>
        <w:ind w:left="656" w:hanging="656"/>
        <w:rPr>
          <w:rFonts w:ascii="Times New Roman" w:hAnsi="Times New Roman"/>
          <w:color w:val="000000" w:themeColor="text1"/>
          <w14:textFill>
            <w14:solidFill>
              <w14:schemeClr w14:val="tx1"/>
            </w14:solidFill>
          </w14:textFill>
        </w:rPr>
      </w:pPr>
      <w:bookmarkStart w:id="132" w:name="_Toc184023353"/>
      <w:r>
        <w:rPr>
          <w:rFonts w:ascii="Times New Roman" w:hAnsi="Times New Roman"/>
          <w:color w:val="000000" w:themeColor="text1"/>
          <w14:textFill>
            <w14:solidFill>
              <w14:schemeClr w14:val="tx1"/>
            </w14:solidFill>
          </w14:textFill>
        </w:rPr>
        <w:t>环境影响评</w:t>
      </w:r>
      <w:bookmarkEnd w:id="126"/>
      <w:r>
        <w:rPr>
          <w:rFonts w:ascii="Times New Roman" w:hAnsi="Times New Roman"/>
          <w:color w:val="000000" w:themeColor="text1"/>
          <w14:textFill>
            <w14:solidFill>
              <w14:schemeClr w14:val="tx1"/>
            </w14:solidFill>
          </w14:textFill>
        </w:rPr>
        <w:t>价</w:t>
      </w:r>
      <w:bookmarkEnd w:id="132"/>
    </w:p>
    <w:p>
      <w:pPr>
        <w:pStyle w:val="5"/>
      </w:pPr>
      <w:bookmarkStart w:id="133" w:name="_Toc184023354"/>
      <w:r>
        <w:rPr>
          <w:rFonts w:hint="eastAsia"/>
        </w:rPr>
        <w:t>概述</w:t>
      </w:r>
      <w:bookmarkEnd w:id="133"/>
    </w:p>
    <w:p>
      <w:pPr>
        <w:pStyle w:val="6"/>
      </w:pPr>
      <w:r>
        <w:rPr>
          <w:rFonts w:hint="eastAsia"/>
        </w:rPr>
        <w:t>规划</w:t>
      </w:r>
      <w:r>
        <w:t>范围</w:t>
      </w:r>
    </w:p>
    <w:p>
      <w:r>
        <w:rPr>
          <w:rFonts w:hint="eastAsia"/>
        </w:rPr>
        <w:t>本次规划范围为澄江市全市范围（不含阳宗镇，含托管区），涉及2个街道、4个乡镇，规划范围面积844km</w:t>
      </w:r>
      <w:r>
        <w:rPr>
          <w:rFonts w:hint="eastAsia"/>
          <w:vertAlign w:val="superscript"/>
        </w:rPr>
        <w:t>2</w:t>
      </w:r>
      <w:r>
        <w:rPr>
          <w:rFonts w:hint="eastAsia"/>
        </w:rPr>
        <w:t>，主要涉及凤麓街道、龙街街道、右所镇、九村镇、海口镇、路居镇，其中重点分析区域抚仙湖径流区范围，流域面积669.22km</w:t>
      </w:r>
      <w:r>
        <w:rPr>
          <w:rFonts w:hint="eastAsia"/>
          <w:vertAlign w:val="superscript"/>
        </w:rPr>
        <w:t>2</w:t>
      </w:r>
      <w:r>
        <w:rPr>
          <w:rFonts w:hint="eastAsia"/>
        </w:rPr>
        <w:t>。</w:t>
      </w:r>
    </w:p>
    <w:p>
      <w:pPr>
        <w:pStyle w:val="6"/>
      </w:pPr>
      <w:r>
        <w:rPr>
          <w:rFonts w:hint="eastAsia"/>
        </w:rPr>
        <w:t>规划任务</w:t>
      </w:r>
    </w:p>
    <w:p>
      <w:r>
        <w:rPr>
          <w:rFonts w:hint="eastAsia"/>
        </w:rPr>
        <w:t>根据澄江市社会经济发展水平，预测2035年全市生产生活用水量，提出适合全市水资源配置体系。开展水功能区现状水质达标分析，统筹提出城市集中式饮用水水源地和农村饮用水水源地保护措施及应急备用水源保护要求；根据地下水水质保护目标，合理确定地下水水质保护措施。明确生态需水量保障目标，提出河道湖泊适宜生态水位要求，并制定生态需水保障方案；合理确定地下水水量及水位控制目标，制定地下水超采综合治理措施方案。</w:t>
      </w:r>
    </w:p>
    <w:p>
      <w:pPr>
        <w:pStyle w:val="6"/>
      </w:pPr>
      <w:r>
        <w:rPr>
          <w:rFonts w:hint="eastAsia"/>
        </w:rPr>
        <w:t>规划水平年</w:t>
      </w:r>
    </w:p>
    <w:p>
      <w:r>
        <w:rPr>
          <w:rFonts w:hint="eastAsia"/>
        </w:rPr>
        <w:t>本次规划现状基准年为2022年，规划水平年为2035年。</w:t>
      </w:r>
    </w:p>
    <w:p>
      <w:pPr>
        <w:pStyle w:val="6"/>
      </w:pPr>
      <w:r>
        <w:rPr>
          <w:rFonts w:hint="eastAsia"/>
        </w:rPr>
        <w:t>规划总体布局</w:t>
      </w:r>
    </w:p>
    <w:p>
      <w:r>
        <w:rPr>
          <w:rFonts w:hint="eastAsia"/>
        </w:rPr>
        <w:t>（1）按照澄江市现代化建设的发展目标，总体布局坚持开源节流治污并举，工程与非工程措施相结合。要求节水优先、保护为本、经济合理、技术可行、环境改善。</w:t>
      </w:r>
    </w:p>
    <w:p>
      <w:r>
        <w:rPr>
          <w:rFonts w:hint="eastAsia"/>
        </w:rPr>
        <w:t>（2）照优先满足城乡生活用水，基本满足国民经济建设用水，基本满足粮食安全生产用水，努力改善生态环境用水等要求，采取工程和非工程措施相结合，对供水、节水、水资源保护、治污、污水处理再利用等方面进行统筹安排。</w:t>
      </w:r>
    </w:p>
    <w:p>
      <w:r>
        <w:rPr>
          <w:rFonts w:hint="eastAsia"/>
        </w:rPr>
        <w:t>（3）澄江市地表水、地下水及其他多种水源进行统一配置，对生活、生产、生态用水进行统一调配。</w:t>
      </w:r>
    </w:p>
    <w:p>
      <w:r>
        <w:rPr>
          <w:rFonts w:hint="eastAsia"/>
        </w:rPr>
        <w:t>（4）实现合理开发利用地表水、积极开发利用多种水源和水资源优化配置、高效利用、有效保护、可持续利用的目标。</w:t>
      </w:r>
    </w:p>
    <w:p>
      <w:r>
        <w:rPr>
          <w:rFonts w:hint="eastAsia"/>
        </w:rPr>
        <w:t>（5）依据水资源合理配置成果，通过对各类增水、减需、防污和保护措施及其组合方案作用分析比较，在推荐水资源配置方案的基础上，进一步分析澄江市各分区水资源可持续利用的发展方向和各类水资源开发利用措施的技术经济条件，从需要与可能的角度提出流域和区域水资源开发利用的总体布局原则方案。同时，要根据水资源开发利用总体布局实施的技术可行性和经济合理性，调整本地区水资源的配置方案。</w:t>
      </w:r>
    </w:p>
    <w:p>
      <w:r>
        <w:rPr>
          <w:rFonts w:hint="eastAsia"/>
        </w:rPr>
        <w:t>（6）通过澄江市供水网络系统和水资源分区系统的耦合，供水与用水节点和分区系统的有机组合，对有效抑制需求、增加供给措施和生态环境保护措施的有机组合，形成本地区水资源安全供给的保障体系。</w:t>
      </w:r>
    </w:p>
    <w:p>
      <w:pPr>
        <w:pStyle w:val="6"/>
      </w:pPr>
      <w:r>
        <w:rPr>
          <w:rFonts w:hint="eastAsia"/>
        </w:rPr>
        <w:t>编制依据</w:t>
      </w:r>
    </w:p>
    <w:p>
      <w:pPr>
        <w:pStyle w:val="7"/>
      </w:pPr>
      <w:r>
        <w:rPr>
          <w:rFonts w:hint="eastAsia"/>
        </w:rPr>
        <w:t>法律</w:t>
      </w:r>
      <w:r>
        <w:t>法规</w:t>
      </w:r>
    </w:p>
    <w:p>
      <w:r>
        <w:rPr>
          <w:rFonts w:hint="eastAsia"/>
        </w:rPr>
        <w:t>（1）《中华人民共和国环境保护法》2014年4月修订；</w:t>
      </w:r>
    </w:p>
    <w:p>
      <w:r>
        <w:rPr>
          <w:rFonts w:hint="eastAsia"/>
        </w:rPr>
        <w:t>（2）《中华人民共和国环境影响评价法》2018年12月修正；</w:t>
      </w:r>
    </w:p>
    <w:p>
      <w:r>
        <w:rPr>
          <w:rFonts w:hint="eastAsia"/>
        </w:rPr>
        <w:t>（3）《中华人民共和国水法》2016年7月修正；</w:t>
      </w:r>
    </w:p>
    <w:p>
      <w:r>
        <w:rPr>
          <w:rFonts w:hint="eastAsia"/>
        </w:rPr>
        <w:t>（4）《中华人民共和国森林法》2019年12月修订；</w:t>
      </w:r>
    </w:p>
    <w:p>
      <w:r>
        <w:rPr>
          <w:rFonts w:hint="eastAsia"/>
        </w:rPr>
        <w:t>（5）《中华人民共和国土地管理法》2019年8月修改；</w:t>
      </w:r>
    </w:p>
    <w:p>
      <w:r>
        <w:rPr>
          <w:rFonts w:hint="eastAsia"/>
        </w:rPr>
        <w:t>（6）《中华人民共和国文物保护法》2017年11月修改；</w:t>
      </w:r>
    </w:p>
    <w:p>
      <w:r>
        <w:rPr>
          <w:rFonts w:hint="eastAsia"/>
        </w:rPr>
        <w:t>（7）《中华人民共和国野生动物保护法》2022年12月修订；</w:t>
      </w:r>
    </w:p>
    <w:p>
      <w:r>
        <w:rPr>
          <w:rFonts w:hint="eastAsia"/>
        </w:rPr>
        <w:t>（8）《中华人民共和国水污染防治法》2017年6月修正；</w:t>
      </w:r>
    </w:p>
    <w:p>
      <w:r>
        <w:rPr>
          <w:rFonts w:hint="eastAsia"/>
        </w:rPr>
        <w:t>（9）《中华人民共和国大气污染防治法》2018年10月修正；</w:t>
      </w:r>
    </w:p>
    <w:p>
      <w:r>
        <w:rPr>
          <w:rFonts w:hint="eastAsia"/>
        </w:rPr>
        <w:t>（10）《</w:t>
      </w:r>
      <w:r>
        <w:rPr>
          <w:rFonts w:hint="eastAsia"/>
          <w:lang w:eastAsia="zh-CN"/>
        </w:rPr>
        <w:t>中华人民共和国固体废物污染环境防治法</w:t>
      </w:r>
      <w:r>
        <w:rPr>
          <w:rFonts w:hint="eastAsia"/>
        </w:rPr>
        <w:t>》2020年4月修订；</w:t>
      </w:r>
    </w:p>
    <w:p>
      <w:r>
        <w:rPr>
          <w:rFonts w:hint="eastAsia"/>
        </w:rPr>
        <w:t>（11）《中华人民共和国环境噪声污染防治法》2018年12月修改；</w:t>
      </w:r>
    </w:p>
    <w:p>
      <w:r>
        <w:rPr>
          <w:rFonts w:hint="eastAsia"/>
        </w:rPr>
        <w:t>（12）《中华人民共和国水土保持法》2010 年 12 月修订；</w:t>
      </w:r>
    </w:p>
    <w:p>
      <w:r>
        <w:rPr>
          <w:rFonts w:hint="eastAsia"/>
        </w:rPr>
        <w:t>（13）《中华人民共和国传染病防治法》2013年6月修正；</w:t>
      </w:r>
    </w:p>
    <w:p>
      <w:r>
        <w:rPr>
          <w:rFonts w:hint="eastAsia"/>
        </w:rPr>
        <w:t>（14）《中华人民共和国渔业法》2013年12月修正；</w:t>
      </w:r>
    </w:p>
    <w:p>
      <w:r>
        <w:rPr>
          <w:rFonts w:hint="eastAsia"/>
        </w:rPr>
        <w:t>（15）《中华人民共和国矿产资源法》2009年8月修正；</w:t>
      </w:r>
    </w:p>
    <w:p>
      <w:r>
        <w:rPr>
          <w:rFonts w:hint="eastAsia"/>
        </w:rPr>
        <w:t>（16）《中华人民共和国防洪法》2016年7月修改；</w:t>
      </w:r>
    </w:p>
    <w:p>
      <w:r>
        <w:rPr>
          <w:rFonts w:hint="eastAsia"/>
        </w:rPr>
        <w:t>（17）《中华人民共和国河道管理条例》2017年修订；</w:t>
      </w:r>
    </w:p>
    <w:p>
      <w:r>
        <w:rPr>
          <w:rFonts w:hint="eastAsia"/>
        </w:rPr>
        <w:t>（18）《中华人民共和国城市供水条例》2018年3月修订；</w:t>
      </w:r>
    </w:p>
    <w:p>
      <w:r>
        <w:rPr>
          <w:rFonts w:hint="eastAsia"/>
        </w:rPr>
        <w:t>（19）《中华人民共和国自然保护区条例》2017年10月修改；</w:t>
      </w:r>
    </w:p>
    <w:p>
      <w:r>
        <w:rPr>
          <w:rFonts w:hint="eastAsia"/>
        </w:rPr>
        <w:t>（20）《中华人民共和国野生植物保护条例》2017年10月修订；</w:t>
      </w:r>
    </w:p>
    <w:p>
      <w:r>
        <w:rPr>
          <w:rFonts w:hint="eastAsia"/>
        </w:rPr>
        <w:t>（21）《中华人民共和国陆生野生动物保护实施条例》2016年2月修订；</w:t>
      </w:r>
    </w:p>
    <w:p>
      <w:r>
        <w:rPr>
          <w:rFonts w:hint="eastAsia"/>
        </w:rPr>
        <w:t>（22）《中华人民共和国水生野生动物保护实施条例》2013年12月修订；</w:t>
      </w:r>
    </w:p>
    <w:p>
      <w:r>
        <w:rPr>
          <w:rFonts w:hint="eastAsia"/>
        </w:rPr>
        <w:t>（23）《建设项目环境保护管理条例》2017年7月修订；</w:t>
      </w:r>
    </w:p>
    <w:p>
      <w:r>
        <w:rPr>
          <w:rFonts w:hint="eastAsia"/>
        </w:rPr>
        <w:t>（24）《中华人民共和国土地管理法实施条例》2014年7月修订；</w:t>
      </w:r>
    </w:p>
    <w:p>
      <w:r>
        <w:rPr>
          <w:rFonts w:hint="eastAsia"/>
        </w:rPr>
        <w:t>（25）《中华人民共和国水土保持法实施条例》2011 年 1 月修订；</w:t>
      </w:r>
    </w:p>
    <w:p>
      <w:r>
        <w:rPr>
          <w:rFonts w:hint="eastAsia"/>
        </w:rPr>
        <w:t>（26）《中华人民共和国文物保护法实施条例》2017 年 3 月修订；</w:t>
      </w:r>
    </w:p>
    <w:p>
      <w:r>
        <w:rPr>
          <w:rFonts w:hint="eastAsia"/>
        </w:rPr>
        <w:t>（27）《国家级自然公园管理办法（试行）》2023年10月；</w:t>
      </w:r>
    </w:p>
    <w:p>
      <w:r>
        <w:rPr>
          <w:rFonts w:hint="eastAsia"/>
        </w:rPr>
        <w:t>（28）《风景名胜区条例》2016年2月修订；</w:t>
      </w:r>
    </w:p>
    <w:p>
      <w:r>
        <w:rPr>
          <w:rFonts w:hint="eastAsia"/>
        </w:rPr>
        <w:t>（29）《云南省环境保护条例》2005年8月；</w:t>
      </w:r>
    </w:p>
    <w:p>
      <w:r>
        <w:rPr>
          <w:rFonts w:hint="eastAsia"/>
        </w:rPr>
        <w:t>（30）《云南省自然保护区管理条例》2021年9月修正；</w:t>
      </w:r>
    </w:p>
    <w:p>
      <w:r>
        <w:rPr>
          <w:rFonts w:hint="eastAsia"/>
        </w:rPr>
        <w:t>（31）《云南省风景名胜区条例》2011年；</w:t>
      </w:r>
    </w:p>
    <w:p>
      <w:r>
        <w:rPr>
          <w:rFonts w:hint="eastAsia"/>
        </w:rPr>
        <w:t>（32）《水产种质资源保护区管理暂行办法》2011年，</w:t>
      </w:r>
    </w:p>
    <w:p>
      <w:r>
        <w:rPr>
          <w:rFonts w:hint="eastAsia"/>
        </w:rPr>
        <w:t>（33）《云南省抚仙湖保护条例》（2023年修订）。</w:t>
      </w:r>
    </w:p>
    <w:p>
      <w:pPr>
        <w:pStyle w:val="7"/>
      </w:pPr>
      <w:r>
        <w:rPr>
          <w:rFonts w:hint="eastAsia"/>
        </w:rPr>
        <w:t>规范与导则</w:t>
      </w:r>
    </w:p>
    <w:p>
      <w:r>
        <w:rPr>
          <w:rFonts w:hint="eastAsia"/>
        </w:rPr>
        <w:t>（1）《环境影响评价技术导则 总纲》（HJ2.1-2016）；</w:t>
      </w:r>
    </w:p>
    <w:p>
      <w:r>
        <w:rPr>
          <w:rFonts w:hint="eastAsia"/>
        </w:rPr>
        <w:t>（2）《环境影响评价技术导则 大气环境》（HJ2.2-2018）；</w:t>
      </w:r>
    </w:p>
    <w:p>
      <w:r>
        <w:rPr>
          <w:rFonts w:hint="eastAsia"/>
        </w:rPr>
        <w:t>（3）《环境影响评价技术导则 地表水环境》（HJ2.3-2018）；</w:t>
      </w:r>
    </w:p>
    <w:p>
      <w:r>
        <w:rPr>
          <w:rFonts w:hint="eastAsia"/>
        </w:rPr>
        <w:t>（4）《环境影响评价技术导则 声环境》（HJ2.4-2009）；</w:t>
      </w:r>
    </w:p>
    <w:p>
      <w:r>
        <w:rPr>
          <w:rFonts w:hint="eastAsia"/>
        </w:rPr>
        <w:t>（5）《环境影响评价技术导则 生态影响》（HJ19-2022）；</w:t>
      </w:r>
    </w:p>
    <w:p>
      <w:r>
        <w:rPr>
          <w:rFonts w:hint="eastAsia"/>
        </w:rPr>
        <w:t>（6）《环境影响评价技术导则 水利水电工程》（HJ/T88-2003）；</w:t>
      </w:r>
    </w:p>
    <w:p>
      <w:r>
        <w:rPr>
          <w:rFonts w:hint="eastAsia"/>
        </w:rPr>
        <w:t>（7）《环境影响评价技术导则 地下水环境》（HJ610-2016）；</w:t>
      </w:r>
    </w:p>
    <w:p>
      <w:r>
        <w:rPr>
          <w:rFonts w:hint="eastAsia"/>
        </w:rPr>
        <w:t>（8）《环境影响评价技术导则 土壤环境》（HJ964-2018）；</w:t>
      </w:r>
    </w:p>
    <w:p>
      <w:r>
        <w:rPr>
          <w:rFonts w:hint="eastAsia"/>
        </w:rPr>
        <w:t>（9）《规划</w:t>
      </w:r>
      <w:r>
        <w:t>环境影响评价技术导则</w:t>
      </w:r>
      <w:r>
        <w:rPr>
          <w:rFonts w:hint="eastAsia"/>
        </w:rPr>
        <w:t xml:space="preserve"> 总纲》（HJ</w:t>
      </w:r>
      <w:r>
        <w:t xml:space="preserve"> 130-2019</w:t>
      </w:r>
      <w:r>
        <w:rPr>
          <w:rFonts w:hint="eastAsia"/>
        </w:rPr>
        <w:t>）；</w:t>
      </w:r>
    </w:p>
    <w:p>
      <w:r>
        <w:rPr>
          <w:rFonts w:hint="eastAsia"/>
        </w:rPr>
        <w:t>本节未列出的其他专业技术规定，应符合国家现行的相关标准和规范。</w:t>
      </w:r>
    </w:p>
    <w:p>
      <w:pPr>
        <w:pStyle w:val="7"/>
      </w:pPr>
      <w:r>
        <w:rPr>
          <w:rFonts w:hint="eastAsia"/>
        </w:rPr>
        <w:t>其他</w:t>
      </w:r>
      <w:r>
        <w:t>资料</w:t>
      </w:r>
    </w:p>
    <w:p>
      <w:pPr>
        <w:numPr>
          <w:ilvl w:val="0"/>
          <w:numId w:val="8"/>
        </w:numPr>
        <w:spacing w:line="520" w:lineRule="exact"/>
        <w:rPr>
          <w:rFonts w:eastAsia="宋体"/>
        </w:rPr>
      </w:pPr>
      <w:r>
        <w:rPr>
          <w:rFonts w:eastAsia="宋体"/>
        </w:rPr>
        <w:t>《云南省生态功能区划》（2009年）；</w:t>
      </w:r>
    </w:p>
    <w:p>
      <w:pPr>
        <w:numPr>
          <w:ilvl w:val="0"/>
          <w:numId w:val="8"/>
        </w:numPr>
        <w:spacing w:line="520" w:lineRule="exact"/>
        <w:rPr>
          <w:rFonts w:eastAsia="宋体"/>
        </w:rPr>
      </w:pPr>
      <w:r>
        <w:rPr>
          <w:rFonts w:hint="eastAsia" w:eastAsia="宋体"/>
        </w:rPr>
        <w:t>《云南省水功能区划》（2014年修订）；</w:t>
      </w:r>
    </w:p>
    <w:p>
      <w:pPr>
        <w:numPr>
          <w:ilvl w:val="0"/>
          <w:numId w:val="8"/>
        </w:numPr>
        <w:spacing w:line="520" w:lineRule="exact"/>
        <w:rPr>
          <w:rFonts w:eastAsia="宋体"/>
        </w:rPr>
      </w:pPr>
      <w:r>
        <w:rPr>
          <w:rFonts w:eastAsia="宋体"/>
        </w:rPr>
        <w:t>《自然资源部 生态环境部 国家林业和草原局关于加强生态保护红线管理的通知（试行）》（自然资发〔2022〕142号）；</w:t>
      </w:r>
    </w:p>
    <w:p>
      <w:pPr>
        <w:numPr>
          <w:ilvl w:val="0"/>
          <w:numId w:val="8"/>
        </w:numPr>
        <w:spacing w:line="520" w:lineRule="exact"/>
        <w:rPr>
          <w:rFonts w:eastAsia="宋体"/>
        </w:rPr>
      </w:pPr>
      <w:r>
        <w:rPr>
          <w:rFonts w:hint="eastAsia"/>
        </w:rPr>
        <w:t>《云南省自然资源厅 云南省生态环境厅 云南省林业和草原局关于加强生态保护红线管理工作的通知》（云自然资〔2023〕98号）；</w:t>
      </w:r>
    </w:p>
    <w:p>
      <w:pPr>
        <w:numPr>
          <w:ilvl w:val="0"/>
          <w:numId w:val="8"/>
        </w:numPr>
        <w:spacing w:line="520" w:lineRule="exact"/>
        <w:rPr>
          <w:rFonts w:eastAsia="宋体"/>
        </w:rPr>
      </w:pPr>
      <w:r>
        <w:rPr>
          <w:rFonts w:eastAsia="宋体"/>
        </w:rPr>
        <w:t>《云南省生物多样性保护战略与行动计划（2012~20</w:t>
      </w:r>
      <w:r>
        <w:rPr>
          <w:rFonts w:hint="eastAsia"/>
        </w:rPr>
        <w:t>3</w:t>
      </w:r>
      <w:r>
        <w:rPr>
          <w:rFonts w:eastAsia="宋体"/>
        </w:rPr>
        <w:t>0年）》</w:t>
      </w:r>
      <w:r>
        <w:rPr>
          <w:rFonts w:hint="eastAsia" w:eastAsia="宋体"/>
        </w:rPr>
        <w:t>；</w:t>
      </w:r>
    </w:p>
    <w:p>
      <w:pPr>
        <w:numPr>
          <w:ilvl w:val="0"/>
          <w:numId w:val="8"/>
        </w:numPr>
        <w:spacing w:line="520" w:lineRule="exact"/>
        <w:rPr>
          <w:rFonts w:eastAsia="宋体"/>
        </w:rPr>
      </w:pPr>
      <w:r>
        <w:rPr>
          <w:rFonts w:hint="eastAsia" w:eastAsia="宋体"/>
        </w:rPr>
        <w:t>《2022年各州市环境状况公报》；</w:t>
      </w:r>
    </w:p>
    <w:p>
      <w:pPr>
        <w:numPr>
          <w:ilvl w:val="0"/>
          <w:numId w:val="8"/>
        </w:numPr>
        <w:spacing w:line="520" w:lineRule="exact"/>
      </w:pPr>
      <w:r>
        <w:rPr>
          <w:rFonts w:hint="eastAsia" w:eastAsia="宋体"/>
        </w:rPr>
        <w:t>云南省“三区三线”划定成果；</w:t>
      </w:r>
    </w:p>
    <w:p>
      <w:pPr>
        <w:numPr>
          <w:ilvl w:val="0"/>
          <w:numId w:val="8"/>
        </w:numPr>
        <w:spacing w:line="520" w:lineRule="exact"/>
        <w:rPr>
          <w:rFonts w:eastAsia="宋体"/>
        </w:rPr>
      </w:pPr>
      <w:r>
        <w:rPr>
          <w:rFonts w:hint="eastAsia"/>
        </w:rPr>
        <w:t>《珠江流域综合规划</w:t>
      </w:r>
      <w:r>
        <w:t>（</w:t>
      </w:r>
      <w:r>
        <w:rPr>
          <w:rFonts w:hint="eastAsia"/>
        </w:rPr>
        <w:t>2012</w:t>
      </w:r>
      <w:r>
        <w:t>-203</w:t>
      </w:r>
      <w:r>
        <w:rPr>
          <w:rFonts w:hint="eastAsia"/>
        </w:rPr>
        <w:t>0年</w:t>
      </w:r>
      <w:r>
        <w:t>）</w:t>
      </w:r>
      <w:r>
        <w:rPr>
          <w:rFonts w:hint="eastAsia"/>
        </w:rPr>
        <w:t>》；</w:t>
      </w:r>
    </w:p>
    <w:p>
      <w:pPr>
        <w:numPr>
          <w:ilvl w:val="0"/>
          <w:numId w:val="8"/>
        </w:numPr>
        <w:spacing w:line="520" w:lineRule="exact"/>
      </w:pPr>
      <w:r>
        <w:rPr>
          <w:rFonts w:hint="eastAsia" w:eastAsia="宋体"/>
        </w:rPr>
        <w:t>珠江（云南段）“一河一策”方案（2021—2023年）。</w:t>
      </w:r>
    </w:p>
    <w:p>
      <w:pPr>
        <w:pStyle w:val="6"/>
      </w:pPr>
      <w:r>
        <w:rPr>
          <w:rFonts w:hint="eastAsia"/>
        </w:rPr>
        <w:t>编制原则</w:t>
      </w:r>
    </w:p>
    <w:p>
      <w:r>
        <w:rPr>
          <w:rFonts w:hint="eastAsia"/>
        </w:rPr>
        <w:t>（1）早期介入</w:t>
      </w:r>
      <w:r>
        <w:t>、过程互动</w:t>
      </w:r>
    </w:p>
    <w:p>
      <w:r>
        <w:rPr>
          <w:rFonts w:hint="eastAsia"/>
        </w:rPr>
        <w:t>评价</w:t>
      </w:r>
      <w:r>
        <w:t>应该在</w:t>
      </w:r>
      <w:r>
        <w:rPr>
          <w:rFonts w:hint="eastAsia"/>
        </w:rPr>
        <w:t>规划编制</w:t>
      </w:r>
      <w:r>
        <w:t>的早期阶段介入</w:t>
      </w:r>
      <w:r>
        <w:rPr>
          <w:rFonts w:hint="eastAsia"/>
        </w:rPr>
        <w:t>，</w:t>
      </w:r>
      <w:r>
        <w:t>在规划前期研究</w:t>
      </w:r>
      <w:r>
        <w:rPr>
          <w:rFonts w:hint="eastAsia"/>
        </w:rPr>
        <w:t>和</w:t>
      </w:r>
      <w:r>
        <w:t>方案编制、论证、审定等关键环节和过程中充分互动，不断优化规划方案，提高环境合理性。</w:t>
      </w:r>
    </w:p>
    <w:p>
      <w:r>
        <w:rPr>
          <w:rFonts w:hint="eastAsia"/>
        </w:rPr>
        <w:t>（2）统筹</w:t>
      </w:r>
      <w:r>
        <w:t>衔接、分类指导</w:t>
      </w:r>
    </w:p>
    <w:p>
      <w:r>
        <w:rPr>
          <w:rFonts w:hint="eastAsia"/>
        </w:rPr>
        <w:t>评价工作</w:t>
      </w:r>
      <w:r>
        <w:t>应突出不同类型、不同层级规划及其环境影响的特点，充分衔接“</w:t>
      </w:r>
      <w:r>
        <w:rPr>
          <w:rFonts w:hint="eastAsia"/>
        </w:rPr>
        <w:t>三线一单</w:t>
      </w:r>
      <w:r>
        <w:t>”</w:t>
      </w:r>
      <w:r>
        <w:rPr>
          <w:rFonts w:hint="eastAsia"/>
        </w:rPr>
        <w:t>成果</w:t>
      </w:r>
      <w:r>
        <w:t>，分类指导规划所包含建设项目的布局</w:t>
      </w:r>
      <w:r>
        <w:rPr>
          <w:rFonts w:hint="eastAsia"/>
        </w:rPr>
        <w:t>和</w:t>
      </w:r>
      <w:r>
        <w:t>生态环境准入。</w:t>
      </w:r>
    </w:p>
    <w:p>
      <w:r>
        <w:rPr>
          <w:rFonts w:hint="eastAsia"/>
        </w:rPr>
        <w:t>（3）客观</w:t>
      </w:r>
      <w:r>
        <w:t>评价、结论</w:t>
      </w:r>
      <w:r>
        <w:rPr>
          <w:rFonts w:hint="eastAsia"/>
        </w:rPr>
        <w:t>科学</w:t>
      </w:r>
    </w:p>
    <w:p>
      <w:r>
        <w:rPr>
          <w:rFonts w:hint="eastAsia"/>
        </w:rPr>
        <w:t>依据</w:t>
      </w:r>
      <w:r>
        <w:t>现有知识水平</w:t>
      </w:r>
      <w:r>
        <w:rPr>
          <w:rFonts w:hint="eastAsia"/>
        </w:rPr>
        <w:t>和</w:t>
      </w:r>
      <w:r>
        <w:t>技术条件对规划实施可能产生的不良环境影响的</w:t>
      </w:r>
      <w:r>
        <w:rPr>
          <w:rFonts w:hint="eastAsia"/>
        </w:rPr>
        <w:t>范围</w:t>
      </w:r>
      <w:r>
        <w:t>和</w:t>
      </w:r>
      <w:r>
        <w:rPr>
          <w:rFonts w:hint="eastAsia"/>
        </w:rPr>
        <w:t>程度</w:t>
      </w:r>
      <w:r>
        <w:t>进行客观分析，评价</w:t>
      </w:r>
      <w:r>
        <w:rPr>
          <w:rFonts w:hint="eastAsia"/>
        </w:rPr>
        <w:t>方法</w:t>
      </w:r>
      <w:r>
        <w:t>应成熟可靠，数据资料应</w:t>
      </w:r>
      <w:r>
        <w:rPr>
          <w:rFonts w:hint="eastAsia"/>
        </w:rPr>
        <w:t>完整</w:t>
      </w:r>
      <w:r>
        <w:t>可信，结论建议应具体且具有可操作性。</w:t>
      </w:r>
    </w:p>
    <w:p>
      <w:pPr>
        <w:pStyle w:val="6"/>
      </w:pPr>
      <w:r>
        <w:rPr>
          <w:rFonts w:hint="eastAsia"/>
        </w:rPr>
        <w:t>评价</w:t>
      </w:r>
      <w:r>
        <w:t>时段</w:t>
      </w:r>
      <w:r>
        <w:rPr>
          <w:rFonts w:hint="eastAsia"/>
        </w:rPr>
        <w:t>及</w:t>
      </w:r>
      <w:r>
        <w:t>范围</w:t>
      </w:r>
    </w:p>
    <w:p>
      <w:pPr>
        <w:pStyle w:val="7"/>
      </w:pPr>
      <w:r>
        <w:rPr>
          <w:rFonts w:hint="eastAsia"/>
        </w:rPr>
        <w:t>评价</w:t>
      </w:r>
      <w:r>
        <w:t>时段</w:t>
      </w:r>
    </w:p>
    <w:p>
      <w:r>
        <w:rPr>
          <w:rFonts w:hint="eastAsia"/>
        </w:rPr>
        <w:t>规划水平年为2035年</w:t>
      </w:r>
      <w:r>
        <w:t>。</w:t>
      </w:r>
    </w:p>
    <w:p>
      <w:pPr>
        <w:pStyle w:val="7"/>
      </w:pPr>
      <w:r>
        <w:rPr>
          <w:rFonts w:hint="eastAsia"/>
        </w:rPr>
        <w:t>评价</w:t>
      </w:r>
      <w:r>
        <w:t>范围</w:t>
      </w:r>
    </w:p>
    <w:p>
      <w:r>
        <w:rPr>
          <w:rFonts w:hint="eastAsia"/>
        </w:rPr>
        <w:t>本次</w:t>
      </w:r>
      <w:r>
        <w:t>评价的工作范围总体上与规划范围</w:t>
      </w:r>
      <w:r>
        <w:rPr>
          <w:rFonts w:hint="eastAsia"/>
        </w:rPr>
        <w:t>一致。重点</w:t>
      </w:r>
      <w:r>
        <w:t>对</w:t>
      </w:r>
      <w:r>
        <w:rPr>
          <w:rFonts w:hint="eastAsia"/>
        </w:rPr>
        <w:t>规划</w:t>
      </w:r>
      <w:r>
        <w:t>工程</w:t>
      </w:r>
      <w:r>
        <w:rPr>
          <w:rFonts w:hint="eastAsia"/>
        </w:rPr>
        <w:t>措施的实施</w:t>
      </w:r>
      <w:r>
        <w:t>对</w:t>
      </w:r>
      <w:r>
        <w:rPr>
          <w:rFonts w:hint="eastAsia"/>
        </w:rPr>
        <w:t>各</w:t>
      </w:r>
      <w:r>
        <w:t>环境要素的影响特点划定</w:t>
      </w:r>
      <w:r>
        <w:rPr>
          <w:rFonts w:hint="eastAsia"/>
        </w:rPr>
        <w:t>如下表</w:t>
      </w:r>
      <w:r>
        <w:t>所示。</w:t>
      </w:r>
    </w:p>
    <w:p>
      <w:pPr>
        <w:ind w:firstLine="498"/>
        <w:jc w:val="center"/>
        <w:rPr>
          <w:b/>
        </w:rPr>
      </w:pPr>
      <w:r>
        <w:rPr>
          <w:rFonts w:hint="eastAsia"/>
          <w:b/>
        </w:rPr>
        <w:t>表10.1-1</w:t>
      </w:r>
      <w:r>
        <w:rPr>
          <w:b/>
        </w:rPr>
        <w:t xml:space="preserve">     </w:t>
      </w:r>
      <w:r>
        <w:rPr>
          <w:rFonts w:hint="eastAsia"/>
          <w:b/>
        </w:rPr>
        <w:t>环境影响评价</w:t>
      </w:r>
      <w:r>
        <w:rPr>
          <w:b/>
        </w:rPr>
        <w:t>范围一览表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661"/>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blHeader/>
        </w:trPr>
        <w:tc>
          <w:tcPr>
            <w:tcW w:w="2830" w:type="dxa"/>
            <w:gridSpan w:val="2"/>
            <w:tcBorders>
              <w:top w:val="single" w:color="auto" w:sz="12" w:space="0"/>
              <w:left w:val="single" w:color="auto" w:sz="12" w:space="0"/>
              <w:bottom w:val="single" w:color="auto" w:sz="6"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环境要素</w:t>
            </w:r>
          </w:p>
        </w:tc>
        <w:tc>
          <w:tcPr>
            <w:tcW w:w="5692" w:type="dxa"/>
            <w:tcBorders>
              <w:top w:val="single" w:color="auto" w:sz="12" w:space="0"/>
              <w:left w:val="single" w:color="auto" w:sz="6" w:space="0"/>
              <w:bottom w:val="single" w:color="auto" w:sz="6" w:space="0"/>
              <w:right w:val="single" w:color="auto" w:sz="12"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169" w:type="dxa"/>
            <w:vMerge w:val="restart"/>
            <w:tcBorders>
              <w:top w:val="single" w:color="auto" w:sz="6" w:space="0"/>
              <w:left w:val="single" w:color="auto" w:sz="12" w:space="0"/>
              <w:bottom w:val="single" w:color="auto" w:sz="6"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生态环境</w:t>
            </w:r>
          </w:p>
        </w:tc>
        <w:tc>
          <w:tcPr>
            <w:tcW w:w="1661" w:type="dxa"/>
            <w:tcBorders>
              <w:top w:val="single" w:color="auto" w:sz="6" w:space="0"/>
              <w:left w:val="single" w:color="auto" w:sz="6" w:space="0"/>
              <w:bottom w:val="single" w:color="auto" w:sz="6"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陆生生态环境</w:t>
            </w:r>
          </w:p>
        </w:tc>
        <w:tc>
          <w:tcPr>
            <w:tcW w:w="5692" w:type="dxa"/>
            <w:tcBorders>
              <w:top w:val="single" w:color="auto" w:sz="6" w:space="0"/>
              <w:left w:val="single" w:color="auto" w:sz="6" w:space="0"/>
              <w:bottom w:val="single" w:color="auto" w:sz="6" w:space="0"/>
              <w:right w:val="single" w:color="auto" w:sz="12"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重点</w:t>
            </w:r>
            <w:r>
              <w:rPr>
                <w:rFonts w:hint="eastAsia"/>
                <w:color w:val="000000" w:themeColor="text1"/>
                <w14:textFill>
                  <w14:solidFill>
                    <w14:schemeClr w14:val="tx1"/>
                  </w14:solidFill>
                </w14:textFill>
              </w:rPr>
              <w:t>范围</w:t>
            </w:r>
            <w:r>
              <w:rPr>
                <w:color w:val="000000" w:themeColor="text1"/>
                <w14:textFill>
                  <w14:solidFill>
                    <w14:schemeClr w14:val="tx1"/>
                  </w14:solidFill>
                </w14:textFill>
              </w:rPr>
              <w:t>主要是</w:t>
            </w:r>
            <w:r>
              <w:rPr>
                <w:rFonts w:hint="eastAsia"/>
                <w:color w:val="000000" w:themeColor="text1"/>
                <w14:textFill>
                  <w14:solidFill>
                    <w14:schemeClr w14:val="tx1"/>
                  </w14:solidFill>
                </w14:textFill>
              </w:rPr>
              <w:t>规划实施</w:t>
            </w:r>
            <w:r>
              <w:rPr>
                <w:color w:val="000000" w:themeColor="text1"/>
                <w14:textFill>
                  <w14:solidFill>
                    <w14:schemeClr w14:val="tx1"/>
                  </w14:solidFill>
                </w14:textFill>
              </w:rPr>
              <w:t>工程周边外延200m范围</w:t>
            </w:r>
            <w:r>
              <w:rPr>
                <w:rFonts w:hint="eastAsia"/>
                <w:color w:val="000000" w:themeColor="text1"/>
                <w14:textFill>
                  <w14:solidFill>
                    <w14:schemeClr w14:val="tx1"/>
                  </w14:solidFill>
                </w14:textFill>
              </w:rPr>
              <w:t>，涉及敏感区的外延1000m</w:t>
            </w:r>
            <w:r>
              <w:rPr>
                <w:color w:val="000000" w:themeColor="text1"/>
                <w14:textFill>
                  <w14:solidFill>
                    <w14:schemeClr w14:val="tx1"/>
                  </w14:solidFill>
                </w14:textFill>
              </w:rPr>
              <w:t>范围内的区域</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9" w:type="dxa"/>
            <w:vMerge w:val="continue"/>
            <w:tcBorders>
              <w:top w:val="single" w:color="auto" w:sz="6" w:space="0"/>
              <w:left w:val="single" w:color="auto" w:sz="12" w:space="0"/>
              <w:bottom w:val="single" w:color="auto" w:sz="6" w:space="0"/>
              <w:right w:val="single" w:color="auto" w:sz="6" w:space="0"/>
            </w:tcBorders>
            <w:vAlign w:val="center"/>
          </w:tcPr>
          <w:p>
            <w:pPr>
              <w:pStyle w:val="85"/>
              <w:rPr>
                <w:color w:val="000000" w:themeColor="text1"/>
                <w14:textFill>
                  <w14:solidFill>
                    <w14:schemeClr w14:val="tx1"/>
                  </w14:solidFill>
                </w14:textFill>
              </w:rPr>
            </w:pPr>
          </w:p>
        </w:tc>
        <w:tc>
          <w:tcPr>
            <w:tcW w:w="1661" w:type="dxa"/>
            <w:tcBorders>
              <w:top w:val="single" w:color="auto" w:sz="6" w:space="0"/>
              <w:left w:val="single" w:color="auto" w:sz="6" w:space="0"/>
              <w:bottom w:val="single" w:color="auto" w:sz="6"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水生生态环境</w:t>
            </w:r>
          </w:p>
        </w:tc>
        <w:tc>
          <w:tcPr>
            <w:tcW w:w="5692" w:type="dxa"/>
            <w:tcBorders>
              <w:top w:val="single" w:color="auto" w:sz="6" w:space="0"/>
              <w:left w:val="single" w:color="auto" w:sz="6" w:space="0"/>
              <w:bottom w:val="single" w:color="auto" w:sz="6" w:space="0"/>
              <w:right w:val="single" w:color="auto" w:sz="12" w:space="0"/>
            </w:tcBorders>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范围内涉及的</w:t>
            </w:r>
            <w:r>
              <w:rPr>
                <w:rFonts w:hint="eastAsia"/>
                <w:color w:val="000000" w:themeColor="text1"/>
                <w14:textFill>
                  <w14:solidFill>
                    <w14:schemeClr w14:val="tx1"/>
                  </w14:solidFill>
                </w14:textFill>
              </w:rPr>
              <w:t>抚仙湖径流区湖泊、水库、河道等水体。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169" w:type="dxa"/>
            <w:vMerge w:val="restart"/>
            <w:tcBorders>
              <w:top w:val="single" w:color="auto" w:sz="6" w:space="0"/>
              <w:left w:val="single" w:color="auto" w:sz="12" w:space="0"/>
              <w:bottom w:val="single" w:color="auto" w:sz="6"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地水表</w:t>
            </w:r>
          </w:p>
        </w:tc>
        <w:tc>
          <w:tcPr>
            <w:tcW w:w="1661" w:type="dxa"/>
            <w:tcBorders>
              <w:top w:val="single" w:color="auto" w:sz="6" w:space="0"/>
              <w:left w:val="single" w:color="auto" w:sz="6" w:space="0"/>
              <w:bottom w:val="single" w:color="auto" w:sz="6"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水质</w:t>
            </w:r>
          </w:p>
        </w:tc>
        <w:tc>
          <w:tcPr>
            <w:tcW w:w="5692" w:type="dxa"/>
            <w:tcBorders>
              <w:top w:val="single" w:color="auto" w:sz="6" w:space="0"/>
              <w:left w:val="single" w:color="auto" w:sz="6" w:space="0"/>
              <w:bottom w:val="single" w:color="auto" w:sz="6" w:space="0"/>
              <w:right w:val="single" w:color="auto" w:sz="12"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评价范围为</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范围内涉及的</w:t>
            </w:r>
            <w:r>
              <w:rPr>
                <w:rFonts w:hint="eastAsia"/>
                <w:color w:val="000000" w:themeColor="text1"/>
                <w14:textFill>
                  <w14:solidFill>
                    <w14:schemeClr w14:val="tx1"/>
                  </w14:solidFill>
                </w14:textFill>
              </w:rPr>
              <w:t>抚仙湖径流区湖泊、水库、河道等水体。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9" w:type="dxa"/>
            <w:vMerge w:val="continue"/>
            <w:tcBorders>
              <w:top w:val="single" w:color="auto" w:sz="6" w:space="0"/>
              <w:left w:val="single" w:color="auto" w:sz="12" w:space="0"/>
              <w:bottom w:val="single" w:color="auto" w:sz="6" w:space="0"/>
              <w:right w:val="single" w:color="auto" w:sz="6" w:space="0"/>
            </w:tcBorders>
            <w:vAlign w:val="center"/>
          </w:tcPr>
          <w:p>
            <w:pPr>
              <w:pStyle w:val="85"/>
              <w:rPr>
                <w:color w:val="000000" w:themeColor="text1"/>
                <w14:textFill>
                  <w14:solidFill>
                    <w14:schemeClr w14:val="tx1"/>
                  </w14:solidFill>
                </w14:textFill>
              </w:rPr>
            </w:pPr>
          </w:p>
        </w:tc>
        <w:tc>
          <w:tcPr>
            <w:tcW w:w="1661" w:type="dxa"/>
            <w:tcBorders>
              <w:top w:val="single" w:color="auto" w:sz="6" w:space="0"/>
              <w:left w:val="single" w:color="auto" w:sz="6" w:space="0"/>
              <w:bottom w:val="single" w:color="auto" w:sz="6"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水文情势</w:t>
            </w:r>
          </w:p>
        </w:tc>
        <w:tc>
          <w:tcPr>
            <w:tcW w:w="5692" w:type="dxa"/>
            <w:tcBorders>
              <w:top w:val="single" w:color="auto" w:sz="6" w:space="0"/>
              <w:left w:val="single" w:color="auto" w:sz="6" w:space="0"/>
              <w:bottom w:val="single" w:color="auto" w:sz="6" w:space="0"/>
              <w:right w:val="single" w:color="auto" w:sz="12" w:space="0"/>
            </w:tcBorders>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范围内工程所涉及的</w:t>
            </w:r>
            <w:r>
              <w:rPr>
                <w:rFonts w:hint="eastAsia"/>
                <w:color w:val="000000" w:themeColor="text1"/>
                <w14:textFill>
                  <w14:solidFill>
                    <w14:schemeClr w14:val="tx1"/>
                  </w14:solidFill>
                </w14:textFill>
              </w:rPr>
              <w:t>抚仙湖及</w:t>
            </w:r>
            <w:r>
              <w:rPr>
                <w:color w:val="000000" w:themeColor="text1"/>
                <w14:textFill>
                  <w14:solidFill>
                    <w14:schemeClr w14:val="tx1"/>
                  </w14:solidFill>
                </w14:textFill>
              </w:rPr>
              <w:t>主要</w:t>
            </w:r>
            <w:r>
              <w:rPr>
                <w:rFonts w:hint="eastAsia"/>
                <w:color w:val="000000" w:themeColor="text1"/>
                <w14:textFill>
                  <w14:solidFill>
                    <w14:schemeClr w14:val="tx1"/>
                  </w14:solidFill>
                </w14:textFill>
              </w:rPr>
              <w:t>河流</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0" w:type="dxa"/>
            <w:gridSpan w:val="2"/>
            <w:tcBorders>
              <w:top w:val="single" w:color="auto" w:sz="6" w:space="0"/>
              <w:left w:val="single" w:color="auto" w:sz="12" w:space="0"/>
              <w:bottom w:val="single" w:color="auto" w:sz="6"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大气环境及声环境</w:t>
            </w:r>
          </w:p>
        </w:tc>
        <w:tc>
          <w:tcPr>
            <w:tcW w:w="5692" w:type="dxa"/>
            <w:tcBorders>
              <w:top w:val="single" w:color="auto" w:sz="6" w:space="0"/>
              <w:left w:val="single" w:color="auto" w:sz="6" w:space="0"/>
              <w:bottom w:val="single" w:color="auto" w:sz="6" w:space="0"/>
              <w:right w:val="single" w:color="auto" w:sz="12" w:space="0"/>
            </w:tcBorders>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规划范围</w:t>
            </w:r>
            <w:r>
              <w:rPr>
                <w:color w:val="000000" w:themeColor="text1"/>
                <w14:textFill>
                  <w14:solidFill>
                    <w14:schemeClr w14:val="tx1"/>
                  </w14:solidFill>
                </w14:textFill>
              </w:rPr>
              <w:t>内</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工程周边外延200m范围</w:t>
            </w:r>
            <w:r>
              <w:rPr>
                <w:rFonts w:hint="eastAsia"/>
                <w:color w:val="000000" w:themeColor="text1"/>
                <w14:textFill>
                  <w14:solidFill>
                    <w14:schemeClr w14:val="tx1"/>
                  </w14:solidFill>
                </w14:textFill>
              </w:rPr>
              <w:t>，涉及敏感区的外延1000m</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830" w:type="dxa"/>
            <w:gridSpan w:val="2"/>
            <w:tcBorders>
              <w:top w:val="single" w:color="auto" w:sz="6" w:space="0"/>
              <w:left w:val="single" w:color="auto" w:sz="12" w:space="0"/>
              <w:bottom w:val="single" w:color="auto" w:sz="12" w:space="0"/>
              <w:right w:val="single" w:color="auto" w:sz="6" w:space="0"/>
            </w:tcBorders>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社会环境</w:t>
            </w:r>
          </w:p>
        </w:tc>
        <w:tc>
          <w:tcPr>
            <w:tcW w:w="5692" w:type="dxa"/>
            <w:tcBorders>
              <w:top w:val="single" w:color="auto" w:sz="6" w:space="0"/>
              <w:left w:val="single" w:color="auto" w:sz="6" w:space="0"/>
              <w:bottom w:val="single" w:color="auto" w:sz="12" w:space="0"/>
              <w:right w:val="single" w:color="auto" w:sz="12" w:space="0"/>
            </w:tcBorders>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规划范围</w:t>
            </w:r>
            <w:r>
              <w:rPr>
                <w:color w:val="000000" w:themeColor="text1"/>
                <w14:textFill>
                  <w14:solidFill>
                    <w14:schemeClr w14:val="tx1"/>
                  </w14:solidFill>
                </w14:textFill>
              </w:rPr>
              <w:t>涉及的</w:t>
            </w:r>
            <w:r>
              <w:rPr>
                <w:rFonts w:hint="eastAsia"/>
                <w:color w:val="000000" w:themeColor="text1"/>
                <w14:textFill>
                  <w14:solidFill>
                    <w14:schemeClr w14:val="tx1"/>
                  </w14:solidFill>
                </w14:textFill>
              </w:rPr>
              <w:t>澄江市全市范围（不含阳宗镇，含托管区）</w:t>
            </w:r>
          </w:p>
        </w:tc>
      </w:tr>
    </w:tbl>
    <w:p>
      <w:pPr>
        <w:pStyle w:val="6"/>
      </w:pPr>
      <w:r>
        <w:rPr>
          <w:rFonts w:hint="eastAsia"/>
        </w:rPr>
        <w:t>环境敏感区</w:t>
      </w:r>
    </w:p>
    <w:p>
      <w:pPr>
        <w:pStyle w:val="6"/>
      </w:pPr>
      <w:r>
        <w:rPr>
          <w:rFonts w:hint="eastAsia"/>
        </w:rPr>
        <w:t>环境</w:t>
      </w:r>
      <w:r>
        <w:t>敏感区识别</w:t>
      </w:r>
    </w:p>
    <w:p>
      <w:pPr>
        <w:spacing w:line="520" w:lineRule="exact"/>
      </w:pPr>
      <w:r>
        <w:t>初步复核了</w:t>
      </w:r>
      <w:r>
        <w:rPr>
          <w:rFonts w:hint="eastAsia"/>
        </w:rPr>
        <w:t>规划</w:t>
      </w:r>
      <w:r>
        <w:t>范围内</w:t>
      </w:r>
      <w:r>
        <w:rPr>
          <w:rFonts w:hint="eastAsia"/>
        </w:rPr>
        <w:t>工程涉及</w:t>
      </w:r>
      <w:r>
        <w:t>的环境敏感区主要有</w:t>
      </w:r>
      <w:r>
        <w:rPr>
          <w:rFonts w:hint="eastAsia"/>
        </w:rPr>
        <w:t>2个自然保护区，1个水产种质资源保护区，1个风景名胜区，1个湿地公园，1个地质公园和生态保护红线</w:t>
      </w:r>
      <w:r>
        <w:t>具体见</w:t>
      </w:r>
      <w:r>
        <w:rPr>
          <w:rFonts w:hint="eastAsia"/>
        </w:rPr>
        <w:t>下表。</w:t>
      </w:r>
    </w:p>
    <w:p>
      <w:pPr>
        <w:spacing w:line="520" w:lineRule="exact"/>
        <w:ind w:firstLine="0" w:firstLineChars="0"/>
        <w:jc w:val="center"/>
      </w:pPr>
      <w:r>
        <w:rPr>
          <w:rFonts w:hint="eastAsia"/>
          <w:b/>
          <w:bCs/>
        </w:rPr>
        <w:t>表10.1-2</w:t>
      </w:r>
      <w:r>
        <w:rPr>
          <w:b/>
          <w:bCs/>
        </w:rPr>
        <w:t xml:space="preserve">    </w:t>
      </w:r>
      <w:r>
        <w:rPr>
          <w:rFonts w:hint="eastAsia"/>
          <w:b/>
          <w:bCs/>
        </w:rPr>
        <w:t>规划</w:t>
      </w:r>
      <w:r>
        <w:rPr>
          <w:b/>
          <w:bCs/>
        </w:rPr>
        <w:t>区域内环境敏感</w:t>
      </w:r>
      <w:r>
        <w:rPr>
          <w:rFonts w:hint="eastAsia"/>
          <w:b/>
          <w:bCs/>
        </w:rPr>
        <w:t>区</w:t>
      </w:r>
      <w:r>
        <w:rPr>
          <w:b/>
          <w:bCs/>
        </w:rPr>
        <w:t>及需要</w:t>
      </w:r>
      <w:r>
        <w:rPr>
          <w:rFonts w:hint="eastAsia"/>
          <w:b/>
          <w:bCs/>
        </w:rPr>
        <w:t>特殊</w:t>
      </w:r>
      <w:r>
        <w:rPr>
          <w:b/>
          <w:bCs/>
        </w:rPr>
        <w:t>保护的区域一览表</w:t>
      </w:r>
    </w:p>
    <w:tbl>
      <w:tblPr>
        <w:tblStyle w:val="51"/>
        <w:tblW w:w="919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816"/>
        <w:gridCol w:w="53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3821"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5385"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概述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0" w:hRule="atLeast"/>
          <w:jc w:val="center"/>
        </w:trPr>
        <w:tc>
          <w:tcPr>
            <w:tcW w:w="3821"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澄江动物化石群省级自然保护区</w:t>
            </w:r>
          </w:p>
        </w:tc>
        <w:tc>
          <w:tcPr>
            <w:tcW w:w="5385"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保护区位于云南省澄江市境内，总面积1800公顷，主要保护对象为寒武纪古生物化石。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3821"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澄江梁王山县级自然保护区</w:t>
            </w:r>
          </w:p>
        </w:tc>
        <w:tc>
          <w:tcPr>
            <w:tcW w:w="5385"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保护区总面积2285公顷，主要保护对象为野生花卉云南松林。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3821"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抚仙-星云湖泊风景名胜区</w:t>
            </w:r>
          </w:p>
        </w:tc>
        <w:tc>
          <w:tcPr>
            <w:tcW w:w="5385"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位于澄江和江川境内，两湖泊相通，总面积252平方公里。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3821"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云南玉溪抚仙湖国家湿地公园</w:t>
            </w:r>
          </w:p>
        </w:tc>
        <w:tc>
          <w:tcPr>
            <w:tcW w:w="5385"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位于云南省玉溪市，地跨澄江市、江川区、华宁县三县区，规划总面积22971.65公顷，规划红线范围内湿地总面积为21989.7公顷，其中自然湿地面积为21660.55公顷，人工湿地面积为329.15公顷，为永久性淡水湖湿地。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0" w:hRule="atLeast"/>
          <w:jc w:val="center"/>
        </w:trPr>
        <w:tc>
          <w:tcPr>
            <w:tcW w:w="3821"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抚仙湖特有鱼类国家级水产种质资源保护区</w:t>
            </w:r>
          </w:p>
        </w:tc>
        <w:tc>
          <w:tcPr>
            <w:tcW w:w="5385"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保护区总面积10580公顷，主要保护对象是鱇白鱼</w:t>
            </w:r>
          </w:p>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，其他保护物种包括云南倒刺鲃、抚仙金线鲃、青虾、草鱼、鲫、鲤、鲢等。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3821"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云南澄江动物群古生物国家地质公园</w:t>
            </w:r>
          </w:p>
        </w:tc>
        <w:tc>
          <w:tcPr>
            <w:tcW w:w="5385"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公园位于云南澄江帽天山地区，面积18km2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0" w:hRule="atLeast"/>
          <w:jc w:val="center"/>
        </w:trPr>
        <w:tc>
          <w:tcPr>
            <w:tcW w:w="3821"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高原湖泊及牛栏江上游水源涵养生态保护红线</w:t>
            </w:r>
          </w:p>
        </w:tc>
        <w:tc>
          <w:tcPr>
            <w:tcW w:w="5385" w:type="dxa"/>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pStyle w:val="6"/>
      </w:pPr>
      <w:r>
        <w:rPr>
          <w:rFonts w:hint="eastAsia"/>
        </w:rPr>
        <w:t>规划</w:t>
      </w:r>
      <w:r>
        <w:t>工程涉及环境敏感区情况</w:t>
      </w:r>
    </w:p>
    <w:p>
      <w:r>
        <w:rPr>
          <w:rFonts w:hint="eastAsia"/>
        </w:rPr>
        <w:t>受规划深度的限制，部分工程尚未开展工程设计，因此规划工程与各环境敏感区位置关系存在一定的不确定性。下阶段，根据各工程设计复核规划工程与环境敏感区具体位置关系，并在符合相关法律法规前提下合理布置工程，尽量避让环境敏感区。</w:t>
      </w:r>
    </w:p>
    <w:p>
      <w:pPr>
        <w:pStyle w:val="5"/>
      </w:pPr>
      <w:bookmarkStart w:id="134" w:name="_Toc184023355"/>
      <w:r>
        <w:rPr>
          <w:rFonts w:hint="eastAsia"/>
        </w:rPr>
        <w:t>规划符合性分析</w:t>
      </w:r>
      <w:bookmarkEnd w:id="134"/>
    </w:p>
    <w:p>
      <w:pPr>
        <w:pStyle w:val="6"/>
      </w:pPr>
      <w:r>
        <w:rPr>
          <w:rFonts w:hint="eastAsia"/>
        </w:rPr>
        <w:t>与与</w:t>
      </w:r>
      <w:r>
        <w:t>产业政策的符合性</w:t>
      </w:r>
    </w:p>
    <w:p>
      <w:pPr>
        <w:spacing w:line="520" w:lineRule="exact"/>
        <w:jc w:val="left"/>
        <w:rPr>
          <w:rFonts w:eastAsia="宋体"/>
        </w:rPr>
      </w:pPr>
      <w:r>
        <w:rPr>
          <w:rFonts w:hint="eastAsia"/>
        </w:rPr>
        <w:t>在《产业结构调整指导目录（2024年本）》中，规划工程属于第一类鼓励类中：二、水利行业中的“江河湖海堤防建设及河道治理工程”，同时兼具水利类“江河湖库清淤疏浚工程”的相关任务。因此</w:t>
      </w:r>
      <w:r>
        <w:t>，本规划</w:t>
      </w:r>
      <w:r>
        <w:rPr>
          <w:rFonts w:hint="eastAsia"/>
        </w:rPr>
        <w:t>符合国家现行</w:t>
      </w:r>
      <w:r>
        <w:t>产业政策</w:t>
      </w:r>
      <w:r>
        <w:rPr>
          <w:rFonts w:hint="eastAsia"/>
        </w:rPr>
        <w:t>。</w:t>
      </w:r>
    </w:p>
    <w:p>
      <w:pPr>
        <w:pStyle w:val="6"/>
      </w:pPr>
      <w:r>
        <w:rPr>
          <w:rFonts w:hint="eastAsia"/>
        </w:rPr>
        <w:t>与</w:t>
      </w:r>
      <w:r>
        <w:t>相关法律法规的符合性分析</w:t>
      </w:r>
    </w:p>
    <w:p>
      <w:pPr>
        <w:spacing w:line="520" w:lineRule="exact"/>
        <w:jc w:val="left"/>
      </w:pPr>
      <w:r>
        <w:rPr>
          <w:rFonts w:hint="eastAsia"/>
        </w:rPr>
        <w:t>（1）与《中华人民</w:t>
      </w:r>
      <w:r>
        <w:t>共和国环境保护</w:t>
      </w:r>
      <w:r>
        <w:rPr>
          <w:rFonts w:hint="eastAsia"/>
        </w:rPr>
        <w:t>法》的</w:t>
      </w:r>
      <w:r>
        <w:t>符合性</w:t>
      </w:r>
      <w:r>
        <w:rPr>
          <w:rFonts w:hint="eastAsia"/>
        </w:rPr>
        <w:t>分析</w:t>
      </w:r>
    </w:p>
    <w:p>
      <w:pPr>
        <w:spacing w:line="520" w:lineRule="exact"/>
        <w:jc w:val="left"/>
      </w:pPr>
      <w:r>
        <w:rPr>
          <w:rFonts w:hint="eastAsia"/>
        </w:rPr>
        <w:t>《中华人民共和国环境保护法》第二十九条规定：“国家在重点生态功能区、生态环境敏感区和脆弱区等区域划定生态保护红线，实行严格保护。......”。第三十条规定：“开发利用自然资源，应当合理开发，保护生物多样性，保障生态安全，依法制定有关生态保护和恢复治理方案并予以实施。引进外来物种以及研究、开发和利用生物技术，应当采取措施，防止对生物多样性的破坏”。</w:t>
      </w:r>
    </w:p>
    <w:p>
      <w:pPr>
        <w:spacing w:line="520" w:lineRule="exact"/>
        <w:jc w:val="left"/>
      </w:pPr>
      <w:r>
        <w:rPr>
          <w:rFonts w:hint="eastAsia"/>
        </w:rPr>
        <w:t>规划工程</w:t>
      </w:r>
      <w:r>
        <w:t>在施工期会对周边环境造成一定影响，但</w:t>
      </w:r>
      <w:r>
        <w:rPr>
          <w:rFonts w:hint="eastAsia"/>
        </w:rPr>
        <w:t>可</w:t>
      </w:r>
      <w:r>
        <w:t>通过相应环保措施减缓或消除，影响</w:t>
      </w:r>
      <w:r>
        <w:rPr>
          <w:rFonts w:hint="eastAsia"/>
        </w:rPr>
        <w:t>仅限于</w:t>
      </w:r>
      <w:r>
        <w:t>施工期，</w:t>
      </w:r>
      <w:r>
        <w:rPr>
          <w:rFonts w:hint="eastAsia"/>
        </w:rPr>
        <w:t>工程</w:t>
      </w:r>
      <w:r>
        <w:t>完工后对规划区域内的环境有积极正面的影响。因此，本规划与《</w:t>
      </w:r>
      <w:r>
        <w:rPr>
          <w:rFonts w:hint="eastAsia"/>
        </w:rPr>
        <w:t>中华</w:t>
      </w:r>
      <w:r>
        <w:t>人民共和国环境保护</w:t>
      </w:r>
      <w:r>
        <w:rPr>
          <w:rFonts w:hint="eastAsia"/>
        </w:rPr>
        <w:t>法</w:t>
      </w:r>
      <w:r>
        <w:t>》</w:t>
      </w:r>
      <w:r>
        <w:rPr>
          <w:rFonts w:hint="eastAsia"/>
        </w:rPr>
        <w:t>是</w:t>
      </w:r>
      <w:r>
        <w:t>相符的。</w:t>
      </w:r>
    </w:p>
    <w:p>
      <w:pPr>
        <w:spacing w:line="520" w:lineRule="exact"/>
        <w:jc w:val="left"/>
      </w:pPr>
      <w:r>
        <w:rPr>
          <w:rFonts w:hint="eastAsia"/>
        </w:rPr>
        <w:t>（2）与《中华</w:t>
      </w:r>
      <w:r>
        <w:t>人民共和国水法</w:t>
      </w:r>
      <w:r>
        <w:rPr>
          <w:rFonts w:hint="eastAsia"/>
        </w:rPr>
        <w:t>》的</w:t>
      </w:r>
      <w:r>
        <w:t>符合性</w:t>
      </w:r>
      <w:r>
        <w:rPr>
          <w:rFonts w:hint="eastAsia"/>
        </w:rPr>
        <w:t>分析</w:t>
      </w:r>
    </w:p>
    <w:p>
      <w:pPr>
        <w:pStyle w:val="4"/>
      </w:pPr>
      <w:r>
        <w:rPr>
          <w:rFonts w:hint="eastAsia"/>
        </w:rPr>
        <w:t>澄江市水资源保护利用规划的</w:t>
      </w:r>
      <w:r>
        <w:t>编制</w:t>
      </w:r>
      <w:r>
        <w:rPr>
          <w:rFonts w:hint="eastAsia"/>
        </w:rPr>
        <w:t>目的是为了解决澄江市</w:t>
      </w:r>
      <w:r>
        <w:t>水资源利用</w:t>
      </w:r>
      <w:r>
        <w:rPr>
          <w:rFonts w:hint="eastAsia"/>
        </w:rPr>
        <w:t>、</w:t>
      </w:r>
      <w:r>
        <w:t>水质保护</w:t>
      </w:r>
      <w:r>
        <w:rPr>
          <w:rFonts w:hint="eastAsia"/>
        </w:rPr>
        <w:t>、</w:t>
      </w:r>
      <w:r>
        <w:t>水量保障</w:t>
      </w:r>
      <w:r>
        <w:rPr>
          <w:rFonts w:hint="eastAsia"/>
        </w:rPr>
        <w:t>、</w:t>
      </w:r>
      <w:r>
        <w:t>水生态系统保护与修复</w:t>
      </w:r>
      <w:r>
        <w:rPr>
          <w:rFonts w:hint="eastAsia"/>
        </w:rPr>
        <w:t>、</w:t>
      </w:r>
      <w:r>
        <w:t>水资源保护监测与综合管理等问题，</w:t>
      </w:r>
      <w:r>
        <w:rPr>
          <w:rFonts w:hint="eastAsia"/>
        </w:rPr>
        <w:t>符合</w:t>
      </w:r>
      <w:r>
        <w:t>《</w:t>
      </w:r>
      <w:r>
        <w:rPr>
          <w:rFonts w:hint="eastAsia"/>
        </w:rPr>
        <w:t>中华人民</w:t>
      </w:r>
      <w:r>
        <w:t>共和国水法》</w:t>
      </w:r>
      <w:r>
        <w:rPr>
          <w:rFonts w:hint="eastAsia"/>
        </w:rPr>
        <w:t>中</w:t>
      </w:r>
      <w:r>
        <w:t>“</w:t>
      </w:r>
      <w:r>
        <w:rPr>
          <w:rFonts w:hint="eastAsia"/>
        </w:rPr>
        <w:t>开发</w:t>
      </w:r>
      <w:r>
        <w:t>、利用、节约、保护水资源</w:t>
      </w:r>
      <w:r>
        <w:rPr>
          <w:rFonts w:hint="eastAsia"/>
        </w:rPr>
        <w:t>和</w:t>
      </w:r>
      <w:r>
        <w:t>防治水害</w:t>
      </w:r>
      <w:r>
        <w:rPr>
          <w:rFonts w:hint="eastAsia"/>
        </w:rPr>
        <w:t>，</w:t>
      </w:r>
      <w:r>
        <w:t>应当按照流域、区域统一制定规划</w:t>
      </w:r>
      <w:r>
        <w:rPr>
          <w:rFonts w:hint="eastAsia"/>
        </w:rPr>
        <w:t>。规划分为</w:t>
      </w:r>
      <w:r>
        <w:t>流域规划和区域规划，区域规划包括区域综合规划</w:t>
      </w:r>
      <w:r>
        <w:rPr>
          <w:rFonts w:hint="eastAsia"/>
        </w:rPr>
        <w:t>和</w:t>
      </w:r>
      <w:r>
        <w:t>区域专业规划</w:t>
      </w:r>
      <w:r>
        <w:rPr>
          <w:rFonts w:hint="eastAsia"/>
        </w:rPr>
        <w:t>。</w:t>
      </w:r>
      <w:r>
        <w:t>”</w:t>
      </w:r>
      <w:r>
        <w:rPr>
          <w:rFonts w:hint="eastAsia"/>
        </w:rPr>
        <w:t>的</w:t>
      </w:r>
      <w:r>
        <w:t>相关规定。</w:t>
      </w:r>
    </w:p>
    <w:p>
      <w:pPr>
        <w:ind w:left="480" w:firstLine="0" w:firstLineChars="0"/>
      </w:pPr>
      <w:r>
        <w:rPr>
          <w:rFonts w:hint="eastAsia"/>
        </w:rPr>
        <w:t>（3）</w:t>
      </w:r>
      <w:r>
        <w:t>与自然保护区相关法律法规的符合性分析</w:t>
      </w:r>
    </w:p>
    <w:p>
      <w:pPr>
        <w:spacing w:line="520" w:lineRule="exact"/>
        <w:jc w:val="left"/>
        <w:rPr>
          <w:rFonts w:eastAsia="宋体"/>
        </w:rPr>
      </w:pPr>
      <w:r>
        <w:rPr>
          <w:rFonts w:hint="eastAsia" w:eastAsia="宋体"/>
        </w:rPr>
        <w:t>《中华人民共和国自然保护区条例》第十八条规定：“自然保护区内保存完好的天然状态的生态系统以及珍稀、濒危动植物的集中分布地，应当划为核心区，禁止任何单位和个人进入。除依照本条例第二十七条的规定经批准外，也不允许进入从事科学研究活动。核心区外围可以划定一定面积的缓冲区，只准进入从事科学研究观测活动。缓冲区外围划为实验区，可以进入从事科学试验、教学实习、参观考察、旅游以及驯化、繁殖珍稀、濒危野生动植物等活动。”第三十二条规定：“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限期治理决定由法律、法规规定的机关作出，被限期治理的企业事业单位必须按期完成治理任务。”</w:t>
      </w:r>
    </w:p>
    <w:p>
      <w:pPr>
        <w:spacing w:line="520" w:lineRule="exact"/>
        <w:jc w:val="left"/>
      </w:pPr>
      <w:r>
        <w:rPr>
          <w:rFonts w:hint="eastAsia"/>
        </w:rPr>
        <w:t>《云南省自然保护区管理条例》第十四条规定：核心区禁止任何单位和个人进入。因科学研究确需进入的，应当经同级有关自然保护区行政主管部门批准；不得建设与保护无关的任何设施。核心区内原有居民由自然保护区所在地的县级以上人民政府有计划地逐步迁出并予以妥善安置。缓冲区经同级有关自然保护区行政主管部门批准可以进入从事科学研究观测活动；不得建设任何生产设施。实验区经同级有关自然保护区行政主管部门批准可以从事参观考察、旅游及驯化、繁殖珍稀濒危野生动植物等活动；不得建设污染环境、破坏资源或者景观的生产设施。</w:t>
      </w:r>
    </w:p>
    <w:p>
      <w:pPr>
        <w:spacing w:line="520" w:lineRule="exact"/>
        <w:jc w:val="left"/>
        <w:rPr>
          <w:rFonts w:eastAsia="宋体"/>
        </w:rPr>
      </w:pPr>
      <w:r>
        <w:rPr>
          <w:rFonts w:hint="eastAsia"/>
        </w:rPr>
        <w:t>澄江市</w:t>
      </w:r>
      <w:r>
        <w:rPr>
          <w:rFonts w:hint="eastAsia" w:eastAsia="宋体"/>
        </w:rPr>
        <w:t>地处云南省中部，依托抚仙湖的存在该区域生物多样性及物种资源丰富，规划把生态环境保护作为规划目标之一，同时规划环境影响评价提前介入，工程规划项目应合理避让自然保护区，无法避让的依法办理相关手续，最大程度的减小规划项目可能对区内自然保护区产生的影响。规划工程范围内分布有</w:t>
      </w:r>
      <w:r>
        <w:rPr>
          <w:rFonts w:hint="eastAsia"/>
        </w:rPr>
        <w:t>澄江动物化石群省级自然保护区、澄江梁王山县级自然保护区</w:t>
      </w:r>
      <w:r>
        <w:rPr>
          <w:rFonts w:hint="eastAsia" w:eastAsia="宋体"/>
        </w:rPr>
        <w:t>，受规划深度的限制，规划工程与各环境敏感区位置关系存在一定的不确定性，下阶段应当合理布置工程，尽量避让自然保护区。</w:t>
      </w:r>
    </w:p>
    <w:p>
      <w:pPr>
        <w:spacing w:line="520" w:lineRule="exact"/>
        <w:jc w:val="left"/>
        <w:rPr>
          <w:rFonts w:eastAsia="宋体"/>
        </w:rPr>
      </w:pPr>
      <w:r>
        <w:rPr>
          <w:rFonts w:hint="eastAsia" w:eastAsia="宋体"/>
        </w:rPr>
        <w:t>综上所述，在规划工程布置合理避让自然保护区，无法避让的，按国家规定办理相关手续并获得批准的前提下，本规划不违反《中华人民共和国自然保护区条例》规定。</w:t>
      </w:r>
    </w:p>
    <w:p>
      <w:pPr>
        <w:spacing w:line="520" w:lineRule="exact"/>
        <w:jc w:val="left"/>
        <w:rPr>
          <w:rFonts w:eastAsia="宋体"/>
        </w:rPr>
      </w:pPr>
      <w:r>
        <w:rPr>
          <w:rFonts w:hint="eastAsia" w:eastAsia="宋体"/>
        </w:rPr>
        <w:t>（4）</w:t>
      </w:r>
      <w:r>
        <w:rPr>
          <w:rFonts w:eastAsia="宋体"/>
        </w:rPr>
        <w:t>与</w:t>
      </w:r>
      <w:r>
        <w:rPr>
          <w:rFonts w:hint="eastAsia" w:eastAsia="宋体"/>
        </w:rPr>
        <w:t>国家级自然公园管理办法</w:t>
      </w:r>
      <w:r>
        <w:rPr>
          <w:rFonts w:eastAsia="宋体"/>
        </w:rPr>
        <w:t>的符合性分析</w:t>
      </w:r>
    </w:p>
    <w:p>
      <w:pPr>
        <w:spacing w:line="520" w:lineRule="exact"/>
        <w:jc w:val="left"/>
      </w:pPr>
      <w:r>
        <w:rPr>
          <w:rFonts w:hint="eastAsia" w:eastAsia="宋体"/>
        </w:rPr>
        <w:t>国家级自然公园包括国家级森林公园、国家级地质公园、国家级海洋公园、国家级湿地公园、国家级沙漠（石漠）公园和国家级草原公园。根据《国家级自然公园管理办法（试行）》（林保规〔2023〕4号）</w:t>
      </w:r>
      <w:r>
        <w:rPr>
          <w:rFonts w:hint="eastAsia"/>
        </w:rPr>
        <w:t>第十八条  ：禁止擅自在国家级自然公园内从事采矿、房地产、开发区、高尔夫球场、风力光伏电场等不符合管控要求的开发活动。禁止违规侵占国家级自然公园，排放不符合水污染物排放标准的工业废水、生活污水及其他的废水、污水，倾倒、堆放、丢弃、遗撒固体废物等污染生态环境的行为。第十九条： 国家级自然公园范围内除国家重大项目外，仅允许对生态功能不造成破坏的有限人为活动：（一）自然公园内居民和其他合法权益主体依法依规开展的生产生活及设施建设。（二）符合自然公园保护管理要求的文化、体育活动和必要的配套设施建设。（三）符合生态保护红线管控要求的其他活动和设施建设。（四）法律法规和国家政策允许在自然公园内开展的其他活动。</w:t>
      </w:r>
    </w:p>
    <w:p>
      <w:pPr>
        <w:spacing w:line="520" w:lineRule="exact"/>
        <w:jc w:val="left"/>
        <w:rPr>
          <w:rFonts w:eastAsia="宋体"/>
        </w:rPr>
      </w:pPr>
      <w:r>
        <w:rPr>
          <w:rFonts w:hint="eastAsia" w:eastAsia="宋体"/>
        </w:rPr>
        <w:t>初步复核，澄江市水资源保护利用规划中抚仙湖北侧区域湿地保护和提升等工程可能涉及占用云南玉溪抚仙湖国家湿地公园、云南澄江动物群古生物国家地质公园。本次规划主要有河道治理、湿地整治等工程建设，施工过程中严格实施环保措施，不会对国家级自然公园造成不利影响。受规划深度的限制，规划工程与国家级自然公园关系存在一定的不确定性，下阶段需要进一步核实规划项目与国家级自然公园的位置关系，优化工程布置，尽量避让国家级森林公园，无法避让的应及时征求主管部门意见，取得同意后方可进行工程建设。因此，本次规划与《国家级自然公园管理办法》不相冲突。</w:t>
      </w:r>
    </w:p>
    <w:p>
      <w:pPr>
        <w:spacing w:line="520" w:lineRule="exact"/>
        <w:ind w:left="760" w:firstLine="0" w:firstLineChars="0"/>
        <w:jc w:val="left"/>
      </w:pPr>
      <w:r>
        <w:rPr>
          <w:rFonts w:hint="eastAsia"/>
        </w:rPr>
        <w:t>（5）与</w:t>
      </w:r>
      <w:r>
        <w:t>风景名胜区</w:t>
      </w:r>
      <w:r>
        <w:rPr>
          <w:rFonts w:hint="eastAsia"/>
        </w:rPr>
        <w:t>相关</w:t>
      </w:r>
      <w:r>
        <w:t>法律法规的符合性</w:t>
      </w:r>
      <w:r>
        <w:rPr>
          <w:rFonts w:hint="eastAsia"/>
        </w:rPr>
        <w:t>分析</w:t>
      </w:r>
    </w:p>
    <w:p>
      <w:pPr>
        <w:spacing w:line="520" w:lineRule="exact"/>
        <w:jc w:val="left"/>
      </w:pPr>
      <w:r>
        <w:rPr>
          <w:rFonts w:hint="eastAsia"/>
        </w:rPr>
        <w:t>《风景名胜区条例》的相关规定如下：1、风景名胜区规划未经批准的，不得在风景名胜区内进行各类建设活动。2、在风景名胜区内禁止开山、采石、开矿、开荒、修坟立碑等破坏景观、植被和地形地貌的活动；修建储存爆炸性、易燃性、放射性、毒害性、腐蚀性物品的设施；乱扔垃圾。3、风景名胜区内的建设项目应当符合风景名胜区规划，并与景观相协调，不得破坏景观、污染环境、妨碍游览。4、在风景名胜区内进行建设活动的，建设单位、施工单位应当制定污染防治和水土保持方案，并采取有效措施，保护好周围景物、水体、林草植被、野生动物资源和地形地貌。</w:t>
      </w:r>
    </w:p>
    <w:p>
      <w:pPr>
        <w:spacing w:line="520" w:lineRule="exact"/>
        <w:jc w:val="left"/>
        <w:rPr>
          <w:rFonts w:eastAsia="宋体"/>
        </w:rPr>
      </w:pPr>
      <w:r>
        <w:rPr>
          <w:rFonts w:hint="eastAsia"/>
        </w:rPr>
        <w:t>《云南省风景名胜区管理条例》中规定：1、风景名胜区内的水源、水体应当严加保护，禁止污染水源、水体，禁止擅自围、填、堵塞水面和围湖造田等。2、在风景名胜区内实施建设项目，建设单位应当采取有效措施，保护风景名胜资源，确保建设项目与周围景观和环境相协调，不得就地取材、乱倒渣土。</w:t>
      </w:r>
    </w:p>
    <w:p>
      <w:pPr>
        <w:spacing w:line="520" w:lineRule="exact"/>
        <w:jc w:val="left"/>
      </w:pPr>
      <w:r>
        <w:rPr>
          <w:rFonts w:hint="eastAsia"/>
        </w:rPr>
        <w:t>本次规划范围内有抚仙-星云湖泊风景名胜区</w:t>
      </w:r>
      <w:r>
        <w:t>，</w:t>
      </w:r>
      <w:r>
        <w:rPr>
          <w:rFonts w:hint="eastAsia"/>
        </w:rPr>
        <w:t>规划</w:t>
      </w:r>
      <w:r>
        <w:t>工程的实施是</w:t>
      </w:r>
      <w:r>
        <w:rPr>
          <w:rFonts w:hint="eastAsia"/>
        </w:rPr>
        <w:t>为了澄江市</w:t>
      </w:r>
      <w:r>
        <w:t>水资源利用</w:t>
      </w:r>
      <w:r>
        <w:rPr>
          <w:rFonts w:hint="eastAsia"/>
        </w:rPr>
        <w:t>、</w:t>
      </w:r>
      <w:r>
        <w:t>水质保护</w:t>
      </w:r>
      <w:r>
        <w:rPr>
          <w:rFonts w:hint="eastAsia"/>
        </w:rPr>
        <w:t>、</w:t>
      </w:r>
      <w:r>
        <w:t>水量保障</w:t>
      </w:r>
      <w:r>
        <w:rPr>
          <w:rFonts w:hint="eastAsia"/>
        </w:rPr>
        <w:t>、</w:t>
      </w:r>
      <w:r>
        <w:t>水生态系统保护与修复</w:t>
      </w:r>
      <w:r>
        <w:rPr>
          <w:rFonts w:hint="eastAsia"/>
        </w:rPr>
        <w:t>、</w:t>
      </w:r>
      <w:r>
        <w:t>水资源保护监测与综合管理等问题</w:t>
      </w:r>
      <w:r>
        <w:rPr>
          <w:rFonts w:hint="eastAsia"/>
        </w:rPr>
        <w:t>，规划</w:t>
      </w:r>
      <w:r>
        <w:t>工程</w:t>
      </w:r>
      <w:r>
        <w:rPr>
          <w:rFonts w:hint="eastAsia"/>
        </w:rPr>
        <w:t>不属于</w:t>
      </w:r>
      <w:r>
        <w:t>风景名胜区内禁止的</w:t>
      </w:r>
      <w:r>
        <w:rPr>
          <w:rFonts w:hint="eastAsia"/>
        </w:rPr>
        <w:t>活动</w:t>
      </w:r>
      <w:r>
        <w:t>事项，</w:t>
      </w:r>
      <w:r>
        <w:rPr>
          <w:rFonts w:hint="eastAsia"/>
        </w:rPr>
        <w:t>施工期</w:t>
      </w:r>
      <w:r>
        <w:t>会对风景区内</w:t>
      </w:r>
      <w:r>
        <w:rPr>
          <w:rFonts w:hint="eastAsia"/>
        </w:rPr>
        <w:t>的</w:t>
      </w:r>
      <w:r>
        <w:t>环境、景观造成一定影响，</w:t>
      </w:r>
      <w:r>
        <w:rPr>
          <w:rFonts w:hint="eastAsia"/>
        </w:rPr>
        <w:t>规划</w:t>
      </w:r>
      <w:r>
        <w:t>工程的实施</w:t>
      </w:r>
      <w:r>
        <w:rPr>
          <w:rFonts w:hint="eastAsia"/>
        </w:rPr>
        <w:t>需经</w:t>
      </w:r>
      <w:r>
        <w:t>风景名胜区管理机构审核后</w:t>
      </w:r>
      <w:r>
        <w:rPr>
          <w:rFonts w:hint="eastAsia"/>
        </w:rPr>
        <w:t>，</w:t>
      </w:r>
      <w:r>
        <w:t>按照有关法律</w:t>
      </w:r>
      <w:r>
        <w:rPr>
          <w:rFonts w:hint="eastAsia"/>
        </w:rPr>
        <w:t>、</w:t>
      </w:r>
      <w:r>
        <w:t>法规的规定，</w:t>
      </w:r>
      <w:r>
        <w:rPr>
          <w:rFonts w:hint="eastAsia"/>
        </w:rPr>
        <w:t>报</w:t>
      </w:r>
      <w:r>
        <w:t>有关主管部门的批准</w:t>
      </w:r>
      <w:r>
        <w:rPr>
          <w:rFonts w:hint="eastAsia"/>
        </w:rPr>
        <w:t>。</w:t>
      </w:r>
    </w:p>
    <w:p>
      <w:pPr>
        <w:spacing w:line="520" w:lineRule="exact"/>
        <w:jc w:val="left"/>
      </w:pPr>
      <w:r>
        <w:rPr>
          <w:rFonts w:hint="eastAsia"/>
        </w:rPr>
        <w:t>（6）与水产种质资源保护区相关</w:t>
      </w:r>
      <w:r>
        <w:t>法律法规的符合性</w:t>
      </w:r>
      <w:r>
        <w:rPr>
          <w:rFonts w:hint="eastAsia"/>
        </w:rPr>
        <w:t>分析</w:t>
      </w:r>
    </w:p>
    <w:p>
      <w:pPr>
        <w:spacing w:line="520" w:lineRule="exact"/>
        <w:jc w:val="left"/>
      </w:pPr>
      <w:r>
        <w:rPr>
          <w:rFonts w:hint="eastAsia"/>
        </w:rPr>
        <w:t>《水产种质资源保护区管理暂行办法》中规定：1、禁止在水产种质资源保从护区内事围湖造田、围海造地或围填海工程。2、禁止在水产种质资源保护区内新建排污口；3、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pPr>
        <w:spacing w:line="520" w:lineRule="exact"/>
        <w:jc w:val="left"/>
      </w:pPr>
      <w:r>
        <w:rPr>
          <w:rFonts w:hint="eastAsia"/>
        </w:rPr>
        <w:t>初步核实，本次规划范围内有抚仙湖特有鱼类国家级水产种质资源保护区，受限于规划深度影响，本阶段暂时无法确定规划工程与水产种质资源保护区的位置关系。但本次工程不属于规定中禁止建设事项，工程建设过程中，在严格执行环保措施的前提下，不会对保护区水体产生污染。</w:t>
      </w:r>
    </w:p>
    <w:p>
      <w:pPr>
        <w:spacing w:line="520" w:lineRule="exact"/>
        <w:jc w:val="left"/>
      </w:pPr>
      <w:r>
        <w:rPr>
          <w:rFonts w:hint="eastAsia"/>
        </w:rPr>
        <w:t>下阶段应进一步核实规划工程与保护区关系，并编制影响专题论证报告，报</w:t>
      </w:r>
      <w:r>
        <w:t>有关主管部门的批准</w:t>
      </w:r>
      <w:r>
        <w:rPr>
          <w:rFonts w:hint="eastAsia"/>
        </w:rPr>
        <w:t>。</w:t>
      </w:r>
    </w:p>
    <w:p>
      <w:pPr>
        <w:spacing w:line="520" w:lineRule="exact"/>
        <w:jc w:val="left"/>
      </w:pPr>
      <w:r>
        <w:rPr>
          <w:rFonts w:hint="eastAsia"/>
        </w:rPr>
        <w:t>（7）与国土空间规划及</w:t>
      </w:r>
      <w:r>
        <w:t>生态保护红线相关法律法规的</w:t>
      </w:r>
      <w:r>
        <w:rPr>
          <w:rFonts w:hint="eastAsia"/>
        </w:rPr>
        <w:t>符合性</w:t>
      </w:r>
      <w:r>
        <w:t>分析</w:t>
      </w:r>
    </w:p>
    <w:p>
      <w:pPr>
        <w:spacing w:line="520" w:lineRule="exact"/>
        <w:jc w:val="left"/>
        <w:rPr>
          <w:rFonts w:eastAsia="宋体"/>
        </w:rPr>
      </w:pPr>
      <w:r>
        <w:rPr>
          <w:rFonts w:hint="eastAsia" w:eastAsia="宋体"/>
        </w:rPr>
        <w:t>2019年11月中共中央办公厅、国务院办公厅《关于在国土空间规划中统筹划定落实三条控制线的指导意见》中，对生态保护红线提出“除国家重大战略项目外，仅允许对生态功能不造成破坏的有限人为活动；主要包括：......必须且无法避让、符合县级以上国土空间规划的线性基础设施建设、防洪和供水设施建设与运行维护”。2022年10月14日，自然资源部办公厅发布《自然资源部关于北京等省（区、市）启用“三区三线”划定成果作为报批建设项目用地用海依据的函》（自然资办函〔2022〕2207号），明确云南省“三区三线”划定成果正式启用。</w:t>
      </w:r>
    </w:p>
    <w:p>
      <w:pPr>
        <w:spacing w:line="520" w:lineRule="exact"/>
        <w:jc w:val="left"/>
        <w:rPr>
          <w:rFonts w:eastAsia="宋体"/>
        </w:rPr>
      </w:pPr>
      <w:r>
        <w:rPr>
          <w:rFonts w:hint="eastAsia" w:eastAsia="宋体"/>
        </w:rPr>
        <w:t>根据云南省“三区三线”划定成果，经叠图分析，本阶段规划工程中有</w:t>
      </w:r>
      <w:r>
        <w:rPr>
          <w:rFonts w:hint="eastAsia"/>
        </w:rPr>
        <w:t>滇中引水工程澄江干线等</w:t>
      </w:r>
      <w:r>
        <w:rPr>
          <w:rFonts w:hint="eastAsia" w:eastAsia="宋体"/>
        </w:rPr>
        <w:t>规划工程涉及高原湖泊及牛栏江上游水源涵养生态保护红线。</w:t>
      </w:r>
    </w:p>
    <w:p>
      <w:pPr>
        <w:spacing w:line="520" w:lineRule="exact"/>
        <w:jc w:val="left"/>
        <w:rPr>
          <w:rFonts w:eastAsia="宋体"/>
        </w:rPr>
      </w:pPr>
      <w:r>
        <w:rPr>
          <w:rFonts w:hint="eastAsia" w:eastAsia="宋体"/>
        </w:rPr>
        <w:t>根据自然资源部、生态环境部、林草局三部门联合发布的《自然资源部 生态环境部 国家林业和草原局关于加强生态保护红线管理的通知（试行）》（自然资发〔2022〕142号）</w:t>
      </w:r>
      <w:r>
        <w:rPr>
          <w:rFonts w:hint="eastAsia"/>
        </w:rPr>
        <w:t>以及《云南省自然资源厅 云南省生态环境厅 云南省林业和草原局关于加强生态保护红线管理工作的通知》（云自然资〔2023〕98号）</w:t>
      </w:r>
      <w:r>
        <w:rPr>
          <w:rFonts w:hint="eastAsia" w:eastAsia="宋体"/>
        </w:rPr>
        <w:t>，文件中明确生态保护红线是国土空间规划中的重要管控边界，生态保护红线内自然保护地核心保护区外，禁止开发性、生产性建设活动，在符合法律法规的前提下，仅允许以下对生态功能不造成破坏的有限人为活动。本次工程属于可允许使用生态保护红线的必须且无法避让、符合县级以上国土空间规划的线性基础设施、</w:t>
      </w:r>
      <w:r>
        <w:rPr>
          <w:rFonts w:hint="eastAsia"/>
        </w:rPr>
        <w:t>通讯和防洪、供水设施建设</w:t>
      </w:r>
      <w:r>
        <w:rPr>
          <w:rFonts w:hint="eastAsia" w:eastAsia="宋体"/>
        </w:rPr>
        <w:t>。</w:t>
      </w:r>
    </w:p>
    <w:p>
      <w:pPr>
        <w:spacing w:line="520" w:lineRule="exact"/>
        <w:jc w:val="left"/>
        <w:rPr>
          <w:rFonts w:eastAsia="宋体"/>
        </w:rPr>
      </w:pPr>
      <w:r>
        <w:rPr>
          <w:rFonts w:hint="eastAsia" w:eastAsia="宋体"/>
        </w:rPr>
        <w:t>本阶段受限于规划深度，部分工程尚未开展工程设计，暂时无法明确工程与生态保护红线具体位置关系。本次初步核实到滇中引水工程澄江干线中澄江隧洞约1.79km和1#支洞约459m下穿生态保护红线，此外1#支洞进场临时道路约452m、2#支洞永久进场道路约590m涉及生态保护红线范围。</w:t>
      </w:r>
    </w:p>
    <w:p>
      <w:pPr>
        <w:spacing w:line="520" w:lineRule="exact"/>
        <w:jc w:val="left"/>
        <w:rPr>
          <w:rFonts w:eastAsia="宋体"/>
        </w:rPr>
      </w:pPr>
      <w:r>
        <w:rPr>
          <w:rFonts w:hint="eastAsia" w:eastAsia="宋体"/>
        </w:rPr>
        <w:t>下阶段，应根据各规划工程设计进一步复核并优化方案，避让生态保护红线，对实在无法避让的协调省级人民政府出具符合生态保护红线内允许有限人为活动的认定意见后，开展用地</w:t>
      </w:r>
      <w:r>
        <w:rPr>
          <w:rFonts w:hint="eastAsia"/>
        </w:rPr>
        <w:t>审批</w:t>
      </w:r>
      <w:r>
        <w:rPr>
          <w:rFonts w:hint="eastAsia" w:eastAsia="宋体"/>
        </w:rPr>
        <w:t>工作。综上所述，澄江市水资源保护利用规划与生态保护红线相关管理办法不冲突。</w:t>
      </w:r>
    </w:p>
    <w:p>
      <w:pPr>
        <w:spacing w:line="520" w:lineRule="exact"/>
        <w:jc w:val="left"/>
      </w:pPr>
      <w:r>
        <w:rPr>
          <w:rFonts w:hint="eastAsia"/>
        </w:rPr>
        <w:t>（8）与云南省抚仙湖保护条例</w:t>
      </w:r>
      <w:r>
        <w:t>的</w:t>
      </w:r>
      <w:r>
        <w:rPr>
          <w:rFonts w:hint="eastAsia"/>
        </w:rPr>
        <w:t>符合性</w:t>
      </w:r>
      <w:r>
        <w:t>分析</w:t>
      </w:r>
    </w:p>
    <w:p>
      <w:pPr>
        <w:spacing w:line="520" w:lineRule="exact"/>
        <w:jc w:val="left"/>
        <w:rPr>
          <w:rFonts w:ascii="宋体" w:hAnsi="宋体" w:eastAsia="宋体" w:cs="宋体"/>
          <w:szCs w:val="24"/>
        </w:rPr>
      </w:pPr>
      <w:r>
        <w:rPr>
          <w:rFonts w:hint="eastAsia"/>
        </w:rPr>
        <w:t>《云南省抚仙湖保护条例》中规定</w:t>
      </w:r>
      <w:r>
        <w:rPr>
          <w:rFonts w:ascii="宋体" w:hAnsi="宋体" w:eastAsia="宋体" w:cs="宋体"/>
          <w:szCs w:val="24"/>
        </w:rPr>
        <w:t>生态保护核心区实行正面清单管控，禁止开展与抚仙湖保护无关的建设活动，符合法律法规规定，经玉溪市人民政府批准可以开展地质灾害防治工程、防洪防护安全工程、生态工程、环境监测、执法船停靠码头和步道、廊道、绿道公共设施建设。已经建设的与抚仙湖保护无关的建设项目，应当限期迁出；对原住居民应当采取有效措施有计划迁出。暂不具备退出条件的，严格管控，可以开展必要的房屋修缮和污水处理等配套公共设施建设，做到垃圾、污水全收集全处理，确保不让垃圾、污水入湖。生态保护缓冲区实行负面清单管控，与生态功能定位不符的开发性、生产性建设活动应当逐步退出，引导人口和产业有序退出，增强湖泊生态系统净化能力、调节能力和修复能力，最大限度降低入湖污染负荷，实现湖泊生态扩容增量。生态保护缓冲区的集镇空间只减不增，小区、村庄建设面积只减不增。依法经批准开展必要的乡村振兴、美丽乡村设施建设和民房修缮建设等，不得突破村庄规划确定的边界以及管控要求。已建成的商品住宅、宾馆、酒店，在不扩大原有规模的前提下，可以进行必要的修缮，相关修缮活动应当严格管控，提升环保标准，确保垃圾、污水全收集全处理。生态保护缓冲区严格控制各类开发利用活动对生态空间的占用和扰动，确保依法保护的湿地、林地、草地、耕地、未利用地等生态空间面积不减少、生态功能不降低。绿色发展区应当控制开发利用强度、调整开发利用方式、实现流域保护和开发利用协调发展，以提升生态涵养功能、促进富民就业为重点，建设生态特色城镇和美丽乡村，构建绿色高质量发展的生产生活方式。严格管控建设用地总规模，推动土地集约高效利用。现有高污染、高耗水、高耗能企业应当全部迁出抚仙湖流域</w:t>
      </w:r>
      <w:r>
        <w:rPr>
          <w:rFonts w:hint="eastAsia" w:ascii="宋体" w:hAnsi="宋体" w:eastAsia="宋体" w:cs="宋体"/>
          <w:szCs w:val="24"/>
        </w:rPr>
        <w:t>。</w:t>
      </w:r>
    </w:p>
    <w:p>
      <w:pPr>
        <w:spacing w:line="520" w:lineRule="exact"/>
        <w:jc w:val="left"/>
        <w:rPr>
          <w:rFonts w:ascii="宋体" w:hAnsi="宋体" w:eastAsia="宋体" w:cs="宋体"/>
          <w:szCs w:val="24"/>
        </w:rPr>
      </w:pPr>
      <w:r>
        <w:rPr>
          <w:rFonts w:hint="eastAsia"/>
        </w:rPr>
        <w:t>经初步核实，规划工程中滇中引水工程澄江干线、抚仙湖流域健康水循环系统江川路居片区供水工程、澄江市北片区城乡供水一体化项目、澄江市燃灯寺水库除险加固工程等规划工程涉及抚仙湖“两线三区”，但不属于抚仙湖保护条例中禁止建设事项。工程设计阶段，应进一步复核规划工程与抚仙湖两线三区的关系，优化施工布置，禁止在</w:t>
      </w:r>
      <w:r>
        <w:rPr>
          <w:rFonts w:ascii="宋体" w:hAnsi="宋体" w:eastAsia="宋体" w:cs="宋体"/>
          <w:szCs w:val="24"/>
        </w:rPr>
        <w:t>生态保护核心区</w:t>
      </w:r>
      <w:r>
        <w:rPr>
          <w:rFonts w:hint="eastAsia"/>
        </w:rPr>
        <w:t>、生态保护缓冲区内开展禁止建设事项。对允许建设范围内工程建设应</w:t>
      </w:r>
      <w:r>
        <w:rPr>
          <w:rFonts w:ascii="宋体" w:hAnsi="宋体" w:eastAsia="宋体" w:cs="宋体"/>
          <w:szCs w:val="24"/>
        </w:rPr>
        <w:t>在报</w:t>
      </w:r>
      <w:r>
        <w:rPr>
          <w:rFonts w:hint="eastAsia" w:ascii="宋体" w:hAnsi="宋体" w:cs="宋体"/>
          <w:szCs w:val="24"/>
        </w:rPr>
        <w:t>澄江市</w:t>
      </w:r>
      <w:r>
        <w:rPr>
          <w:rFonts w:ascii="宋体" w:hAnsi="宋体" w:eastAsia="宋体" w:cs="宋体"/>
          <w:szCs w:val="24"/>
        </w:rPr>
        <w:t>人民政府批准前，</w:t>
      </w:r>
      <w:r>
        <w:rPr>
          <w:rFonts w:hint="eastAsia" w:ascii="宋体" w:hAnsi="宋体" w:cs="宋体"/>
          <w:szCs w:val="24"/>
        </w:rPr>
        <w:t>先报抚仙湖</w:t>
      </w:r>
      <w:r>
        <w:rPr>
          <w:rFonts w:ascii="宋体" w:hAnsi="宋体" w:eastAsia="宋体" w:cs="宋体"/>
          <w:szCs w:val="24"/>
        </w:rPr>
        <w:t>行政管理部门</w:t>
      </w:r>
      <w:r>
        <w:rPr>
          <w:rFonts w:hint="eastAsia" w:ascii="宋体" w:hAnsi="宋体" w:cs="宋体"/>
          <w:szCs w:val="24"/>
        </w:rPr>
        <w:t>并取得相关</w:t>
      </w:r>
      <w:r>
        <w:rPr>
          <w:rFonts w:ascii="宋体" w:hAnsi="宋体" w:eastAsia="宋体" w:cs="宋体"/>
          <w:szCs w:val="24"/>
        </w:rPr>
        <w:t>意见。</w:t>
      </w:r>
    </w:p>
    <w:p>
      <w:pPr>
        <w:spacing w:line="520" w:lineRule="exact"/>
        <w:jc w:val="left"/>
        <w:rPr>
          <w:rFonts w:ascii="宋体" w:hAnsi="宋体" w:eastAsia="宋体" w:cs="宋体"/>
          <w:szCs w:val="24"/>
        </w:rPr>
      </w:pPr>
      <w:r>
        <w:rPr>
          <w:rFonts w:hint="eastAsia" w:ascii="宋体" w:hAnsi="宋体" w:cs="宋体"/>
          <w:szCs w:val="24"/>
        </w:rPr>
        <w:t>在此基础上，本次规划项目与</w:t>
      </w:r>
      <w:r>
        <w:rPr>
          <w:rFonts w:hint="eastAsia"/>
        </w:rPr>
        <w:t>《云南省抚仙湖保护条例》是相符的。</w:t>
      </w:r>
    </w:p>
    <w:p>
      <w:pPr>
        <w:pStyle w:val="6"/>
      </w:pPr>
      <w:r>
        <w:rPr>
          <w:rFonts w:hint="eastAsia"/>
        </w:rPr>
        <w:t>与</w:t>
      </w:r>
      <w:r>
        <w:t>相关规划的符合性分析</w:t>
      </w:r>
    </w:p>
    <w:p>
      <w:pPr>
        <w:ind w:left="480" w:firstLine="0" w:firstLineChars="0"/>
      </w:pPr>
      <w:r>
        <w:rPr>
          <w:rFonts w:hint="eastAsia"/>
        </w:rPr>
        <w:t>（1）</w:t>
      </w:r>
      <w:r>
        <w:rPr>
          <w:rFonts w:eastAsia="宋体"/>
        </w:rPr>
        <w:t>与</w:t>
      </w:r>
      <w:r>
        <w:rPr>
          <w:rFonts w:hint="eastAsia" w:eastAsia="宋体"/>
        </w:rPr>
        <w:t>《全国主体功能区划》的符合性</w:t>
      </w:r>
      <w:r>
        <w:rPr>
          <w:rFonts w:eastAsia="宋体"/>
        </w:rPr>
        <w:t>分析</w:t>
      </w:r>
    </w:p>
    <w:p>
      <w:pPr>
        <w:spacing w:line="520" w:lineRule="exact"/>
        <w:rPr>
          <w:rFonts w:eastAsia="宋体"/>
        </w:rPr>
      </w:pPr>
      <w:r>
        <w:rPr>
          <w:rFonts w:hint="eastAsia" w:eastAsia="宋体"/>
        </w:rPr>
        <w:t>云南省位于全国“两横三纵”城市化战略格局，主要功能定位中强调在严格节水减排基础上，通过加强水源调蓄能力与区域水资源合理配置，保障水资源供给。珠江上游地区要重点解决局部地区工程行缺水问题，保障城市化地区用水需求，解决季节性缺水。</w:t>
      </w:r>
    </w:p>
    <w:p>
      <w:pPr>
        <w:spacing w:line="520" w:lineRule="exact"/>
        <w:rPr>
          <w:rFonts w:eastAsia="宋体"/>
        </w:rPr>
      </w:pPr>
      <w:r>
        <w:rPr>
          <w:rFonts w:hint="eastAsia" w:eastAsia="宋体"/>
        </w:rPr>
        <w:t>本次规划以</w:t>
      </w:r>
      <w:r>
        <w:t>改善全市主要江河湖库水功能区水质</w:t>
      </w:r>
      <w:r>
        <w:rPr>
          <w:rFonts w:hint="eastAsia"/>
        </w:rPr>
        <w:t>、构建</w:t>
      </w:r>
      <w:r>
        <w:t>全市内城镇供水保障体系</w:t>
      </w:r>
      <w:r>
        <w:rPr>
          <w:rFonts w:hint="eastAsia"/>
        </w:rPr>
        <w:t>、</w:t>
      </w:r>
      <w:r>
        <w:t>提高地下水资源储备能力</w:t>
      </w:r>
      <w:r>
        <w:rPr>
          <w:rFonts w:hint="eastAsia"/>
        </w:rPr>
        <w:t>、</w:t>
      </w:r>
      <w:r>
        <w:t>基本保证抚仙湖生态水位</w:t>
      </w:r>
      <w:r>
        <w:rPr>
          <w:rFonts w:hint="eastAsia"/>
        </w:rPr>
        <w:t>等为目标</w:t>
      </w:r>
      <w:r>
        <w:rPr>
          <w:rFonts w:hint="eastAsia" w:eastAsia="宋体"/>
        </w:rPr>
        <w:t>，建成与未来经济社会高质量发展相适应的水资源保护体系，</w:t>
      </w:r>
      <w:r>
        <w:rPr>
          <w:rFonts w:eastAsia="宋体"/>
        </w:rPr>
        <w:t>来</w:t>
      </w:r>
      <w:r>
        <w:rPr>
          <w:rFonts w:hint="eastAsia" w:eastAsia="宋体"/>
        </w:rPr>
        <w:t>实现</w:t>
      </w:r>
      <w:r>
        <w:rPr>
          <w:rFonts w:eastAsia="宋体"/>
        </w:rPr>
        <w:t>经济社会高质量发展。</w:t>
      </w:r>
      <w:r>
        <w:rPr>
          <w:rFonts w:hint="eastAsia" w:eastAsia="宋体"/>
        </w:rPr>
        <w:t>工程建成后将有效增强澄江市水资源总量，保障人民生产生活用水，促进区域经济发展。与《全国主题功能区划》的功能定位及目标是相符的。</w:t>
      </w:r>
    </w:p>
    <w:p>
      <w:pPr>
        <w:tabs>
          <w:tab w:val="left" w:pos="784"/>
        </w:tabs>
        <w:spacing w:line="520" w:lineRule="exact"/>
        <w:jc w:val="left"/>
      </w:pPr>
      <w:r>
        <w:rPr>
          <w:rFonts w:hint="eastAsia"/>
        </w:rPr>
        <w:t>（</w:t>
      </w:r>
      <w:r>
        <w:rPr>
          <w:rFonts w:hint="eastAsia"/>
        </w:rPr>
        <w:tab/>
      </w:r>
      <w:r>
        <w:rPr>
          <w:rFonts w:hint="eastAsia"/>
        </w:rPr>
        <w:t>2）</w:t>
      </w:r>
      <w:r>
        <w:rPr>
          <w:rFonts w:eastAsia="宋体"/>
        </w:rPr>
        <w:t>与</w:t>
      </w:r>
      <w:r>
        <w:rPr>
          <w:rFonts w:hint="eastAsia" w:eastAsia="宋体"/>
        </w:rPr>
        <w:t>《</w:t>
      </w:r>
      <w:r>
        <w:rPr>
          <w:rFonts w:hint="eastAsia"/>
        </w:rPr>
        <w:t>云南省主体</w:t>
      </w:r>
      <w:r>
        <w:t>功能区</w:t>
      </w:r>
      <w:r>
        <w:rPr>
          <w:rFonts w:hint="eastAsia"/>
        </w:rPr>
        <w:t>规划</w:t>
      </w:r>
      <w:r>
        <w:rPr>
          <w:rFonts w:hint="eastAsia" w:eastAsia="宋体"/>
        </w:rPr>
        <w:t>》的符合性</w:t>
      </w:r>
      <w:r>
        <w:rPr>
          <w:rFonts w:eastAsia="宋体"/>
        </w:rPr>
        <w:t>分析</w:t>
      </w:r>
    </w:p>
    <w:p>
      <w:pPr>
        <w:spacing w:line="520" w:lineRule="exact"/>
      </w:pPr>
      <w:r>
        <w:rPr>
          <w:rFonts w:hint="eastAsia"/>
        </w:rPr>
        <w:t>在</w:t>
      </w:r>
      <w:r>
        <w:t>《</w:t>
      </w:r>
      <w:r>
        <w:rPr>
          <w:rFonts w:hint="eastAsia"/>
        </w:rPr>
        <w:t>云南省主体</w:t>
      </w:r>
      <w:r>
        <w:t>功能区</w:t>
      </w:r>
      <w:r>
        <w:rPr>
          <w:rFonts w:hint="eastAsia"/>
        </w:rPr>
        <w:t>规划</w:t>
      </w:r>
      <w:r>
        <w:t>》</w:t>
      </w:r>
      <w:r>
        <w:rPr>
          <w:rFonts w:hint="eastAsia"/>
        </w:rPr>
        <w:t>中</w:t>
      </w:r>
      <w:r>
        <w:t>，</w:t>
      </w:r>
      <w:r>
        <w:rPr>
          <w:rFonts w:hint="eastAsia"/>
        </w:rPr>
        <w:t>滇东北地区</w:t>
      </w:r>
      <w:r>
        <w:t>被列入云南省限制开发区域名录中农产品</w:t>
      </w:r>
      <w:r>
        <w:rPr>
          <w:rFonts w:hint="eastAsia"/>
        </w:rPr>
        <w:t>供</w:t>
      </w:r>
      <w:r>
        <w:t>给主产区，该区是保障粮食产品和主要农产品供给安全的基地，全省农业产业化的重要地区。农业产品主产区以大力发展高原特色农业为主，需切实保护耕地，稳定粮食生产，发展</w:t>
      </w:r>
      <w:r>
        <w:rPr>
          <w:rFonts w:hint="eastAsia"/>
        </w:rPr>
        <w:t>现代</w:t>
      </w:r>
      <w:r>
        <w:t>农业，</w:t>
      </w:r>
      <w:r>
        <w:rPr>
          <w:rFonts w:hint="eastAsia"/>
        </w:rPr>
        <w:t>增强农业综合生产能力，增加农民收入，加快建设社会主义新农村，有效增强农产品供给保障能力，确保国家粮食安全和食品安全。</w:t>
      </w:r>
    </w:p>
    <w:p>
      <w:pPr>
        <w:spacing w:line="520" w:lineRule="exact"/>
      </w:pPr>
      <w:r>
        <w:rPr>
          <w:rFonts w:hint="eastAsia"/>
        </w:rPr>
        <w:t>本规划</w:t>
      </w:r>
      <w:r>
        <w:rPr>
          <w:rFonts w:hint="eastAsia" w:eastAsia="宋体"/>
        </w:rPr>
        <w:t>以</w:t>
      </w:r>
      <w:r>
        <w:t>改善全市主要江河湖库水功能区水质</w:t>
      </w:r>
      <w:r>
        <w:rPr>
          <w:rFonts w:hint="eastAsia"/>
        </w:rPr>
        <w:t>、构建</w:t>
      </w:r>
      <w:r>
        <w:t>全市内城镇供水保障体系</w:t>
      </w:r>
      <w:r>
        <w:rPr>
          <w:rFonts w:hint="eastAsia"/>
        </w:rPr>
        <w:t>、</w:t>
      </w:r>
      <w:r>
        <w:t>提高地下水资源储备能力</w:t>
      </w:r>
      <w:r>
        <w:rPr>
          <w:rFonts w:hint="eastAsia"/>
        </w:rPr>
        <w:t>、</w:t>
      </w:r>
      <w:r>
        <w:t>基本保证抚仙湖生态水位</w:t>
      </w:r>
      <w:r>
        <w:rPr>
          <w:rFonts w:hint="eastAsia"/>
        </w:rPr>
        <w:t>等</w:t>
      </w:r>
      <w:r>
        <w:rPr>
          <w:rFonts w:hint="eastAsia" w:eastAsia="宋体"/>
        </w:rPr>
        <w:t>为重点，提高水资源总量，建成与未来经济社会高质量发展相适应的水资源保护体系，</w:t>
      </w:r>
      <w:r>
        <w:rPr>
          <w:rFonts w:eastAsia="宋体"/>
        </w:rPr>
        <w:t>来</w:t>
      </w:r>
      <w:r>
        <w:rPr>
          <w:rFonts w:hint="eastAsia" w:eastAsia="宋体"/>
        </w:rPr>
        <w:t>实现</w:t>
      </w:r>
      <w:r>
        <w:rPr>
          <w:rFonts w:eastAsia="宋体"/>
        </w:rPr>
        <w:t>经济社会高质量发展。</w:t>
      </w:r>
      <w:r>
        <w:rPr>
          <w:rFonts w:hint="eastAsia"/>
        </w:rPr>
        <w:t>本规划</w:t>
      </w:r>
      <w:r>
        <w:t>的实施，</w:t>
      </w:r>
      <w:r>
        <w:rPr>
          <w:rFonts w:hint="eastAsia"/>
        </w:rPr>
        <w:t>增加了澄江市水资源总量</w:t>
      </w:r>
      <w:r>
        <w:t>，为人民群众的</w:t>
      </w:r>
      <w:r>
        <w:rPr>
          <w:rFonts w:hint="eastAsia"/>
        </w:rPr>
        <w:t>生产生活</w:t>
      </w:r>
      <w:r>
        <w:t>提供保障，</w:t>
      </w:r>
      <w:r>
        <w:rPr>
          <w:rFonts w:hint="eastAsia" w:eastAsia="宋体"/>
        </w:rPr>
        <w:t>促进区域经济发展</w:t>
      </w:r>
      <w:r>
        <w:t>，因此，本规划实施与《</w:t>
      </w:r>
      <w:r>
        <w:rPr>
          <w:rFonts w:hint="eastAsia"/>
        </w:rPr>
        <w:t>云南省</w:t>
      </w:r>
      <w:r>
        <w:t>主体功能区划》</w:t>
      </w:r>
      <w:r>
        <w:rPr>
          <w:rFonts w:hint="eastAsia"/>
        </w:rPr>
        <w:t>是</w:t>
      </w:r>
      <w:r>
        <w:t>相符的。</w:t>
      </w:r>
    </w:p>
    <w:p>
      <w:pPr>
        <w:spacing w:line="520" w:lineRule="exact"/>
      </w:pPr>
      <w:r>
        <w:rPr>
          <w:rFonts w:hint="eastAsia"/>
        </w:rPr>
        <w:t>（3）</w:t>
      </w:r>
      <w:r>
        <w:rPr>
          <w:rFonts w:eastAsia="宋体"/>
        </w:rPr>
        <w:t>与</w:t>
      </w:r>
      <w:r>
        <w:rPr>
          <w:rFonts w:hint="eastAsia" w:eastAsia="宋体"/>
        </w:rPr>
        <w:t>《</w:t>
      </w:r>
      <w:r>
        <w:rPr>
          <w:rFonts w:hint="eastAsia"/>
        </w:rPr>
        <w:t>云南</w:t>
      </w:r>
      <w:r>
        <w:t>省生态功能</w:t>
      </w:r>
      <w:r>
        <w:rPr>
          <w:rFonts w:hint="eastAsia"/>
        </w:rPr>
        <w:t>区划</w:t>
      </w:r>
      <w:r>
        <w:rPr>
          <w:rFonts w:hint="eastAsia" w:eastAsia="宋体"/>
        </w:rPr>
        <w:t>》的符合性</w:t>
      </w:r>
      <w:r>
        <w:rPr>
          <w:rFonts w:eastAsia="宋体"/>
        </w:rPr>
        <w:t>分析</w:t>
      </w:r>
    </w:p>
    <w:p>
      <w:pPr>
        <w:spacing w:line="520" w:lineRule="exact"/>
        <w:rPr>
          <w:rFonts w:eastAsia="宋体"/>
        </w:rPr>
      </w:pPr>
      <w:r>
        <w:rPr>
          <w:rFonts w:hint="eastAsia"/>
        </w:rPr>
        <w:t>规划</w:t>
      </w:r>
      <w:r>
        <w:t>区域在《</w:t>
      </w:r>
      <w:r>
        <w:rPr>
          <w:rFonts w:hint="eastAsia"/>
        </w:rPr>
        <w:t>云南</w:t>
      </w:r>
      <w:r>
        <w:t>省生态功能</w:t>
      </w:r>
      <w:r>
        <w:rPr>
          <w:rFonts w:hint="eastAsia"/>
        </w:rPr>
        <w:t>区划</w:t>
      </w:r>
      <w:r>
        <w:t>》</w:t>
      </w:r>
      <w:r>
        <w:rPr>
          <w:rFonts w:hint="eastAsia"/>
        </w:rPr>
        <w:t>中涉及Ⅲ高原亚热带北部常绿阔叶林生态区，Ⅲ1 滇中高原谷盆半湿润常绿阔叶林、暖性针叶林生态亚区，Ⅲ1-6昆明、玉溪高原湖盆城镇建设生态功能区。</w:t>
      </w:r>
    </w:p>
    <w:p>
      <w:pPr>
        <w:spacing w:line="520" w:lineRule="exact"/>
      </w:pPr>
      <w:r>
        <w:rPr>
          <w:rFonts w:hint="eastAsia"/>
        </w:rPr>
        <w:t>抚仙湖流域是水源涵养的极重要区域</w:t>
      </w:r>
      <w:r>
        <w:t>，</w:t>
      </w:r>
      <w:r>
        <w:rPr>
          <w:rFonts w:hint="eastAsia"/>
        </w:rPr>
        <w:t>规划规划实施</w:t>
      </w:r>
      <w:r>
        <w:t>后，能有效</w:t>
      </w:r>
      <w:r>
        <w:rPr>
          <w:rFonts w:hint="eastAsia"/>
        </w:rPr>
        <w:t>的</w:t>
      </w:r>
      <w:r>
        <w:t>防治</w:t>
      </w:r>
      <w:r>
        <w:rPr>
          <w:rFonts w:hint="eastAsia"/>
        </w:rPr>
        <w:t>流域</w:t>
      </w:r>
      <w:r>
        <w:t>水土流失，</w:t>
      </w:r>
      <w:r>
        <w:rPr>
          <w:rFonts w:hint="eastAsia"/>
        </w:rPr>
        <w:t>保证水资源利用</w:t>
      </w:r>
      <w:r>
        <w:t>能力满足要求，为</w:t>
      </w:r>
      <w:r>
        <w:rPr>
          <w:rFonts w:hint="eastAsia"/>
        </w:rPr>
        <w:t>澄江市</w:t>
      </w:r>
      <w:r>
        <w:t>发展提供保障，</w:t>
      </w:r>
      <w:r>
        <w:rPr>
          <w:rFonts w:hint="eastAsia"/>
        </w:rPr>
        <w:t>因此</w:t>
      </w:r>
      <w:r>
        <w:t>，规划与《</w:t>
      </w:r>
      <w:r>
        <w:rPr>
          <w:rFonts w:hint="eastAsia"/>
        </w:rPr>
        <w:t>云南省</w:t>
      </w:r>
      <w:r>
        <w:t>生态功能区划》</w:t>
      </w:r>
      <w:r>
        <w:rPr>
          <w:rFonts w:hint="eastAsia"/>
        </w:rPr>
        <w:t>是</w:t>
      </w:r>
      <w:r>
        <w:t>相符的。</w:t>
      </w:r>
    </w:p>
    <w:p>
      <w:pPr>
        <w:spacing w:line="520" w:lineRule="exact"/>
      </w:pPr>
      <w:r>
        <w:rPr>
          <w:rFonts w:hint="eastAsia"/>
        </w:rPr>
        <w:t>（4）</w:t>
      </w:r>
      <w:r>
        <w:t>与《云南省生物多样性保护战略与行动计划（2012-2030年）》符合性分析</w:t>
      </w:r>
    </w:p>
    <w:p>
      <w:pPr>
        <w:spacing w:line="520" w:lineRule="exact"/>
      </w:pPr>
      <w:r>
        <w:t>为进一步加强云南生物多样性保护工作，积极推进生态文明建设，云南省生物多样性保护联席会议组织编制了《云南省生物多样性保护战略与行动计划（2012-2030年）》（以下简称《行动计划》），划定了生物多样性保护的6个优先区域，提出9大保护优先领域和34项行动。2013年2月5日云南省人民政府十二届第二次常务会议审议通过了《行动计划》，作为我省未来20年生物多样性资源有效保护和持续利用的指导性文件。</w:t>
      </w:r>
    </w:p>
    <w:p>
      <w:pPr>
        <w:spacing w:line="520" w:lineRule="exact"/>
      </w:pPr>
      <w:r>
        <w:t>经</w:t>
      </w:r>
      <w:r>
        <w:rPr>
          <w:rFonts w:hint="eastAsia"/>
        </w:rPr>
        <w:t>初步核实</w:t>
      </w:r>
      <w:r>
        <w:t>，本</w:t>
      </w:r>
      <w:r>
        <w:rPr>
          <w:rFonts w:hint="eastAsia"/>
        </w:rPr>
        <w:t>规划环境</w:t>
      </w:r>
      <w:r>
        <w:t>影响评价区</w:t>
      </w:r>
      <w:r>
        <w:rPr>
          <w:rFonts w:hint="eastAsia"/>
        </w:rPr>
        <w:t>内</w:t>
      </w:r>
      <w:r>
        <w:t>涉及</w:t>
      </w:r>
      <w:r>
        <w:rPr>
          <w:rFonts w:hint="eastAsia"/>
        </w:rPr>
        <w:t>滇中高原湖泊区。工程建设随会虽会对地表造成扰动，但规划项目项目主要依托现有水库、河道局部开展建设，局部建设不会对</w:t>
      </w:r>
      <w:r>
        <w:t>云南省生物多样性保护优先区域和重点保护对象</w:t>
      </w:r>
      <w:r>
        <w:rPr>
          <w:rFonts w:hint="eastAsia"/>
        </w:rPr>
        <w:t>造成负面影响</w:t>
      </w:r>
      <w:r>
        <w:t>，</w:t>
      </w:r>
      <w:r>
        <w:rPr>
          <w:rFonts w:hint="eastAsia"/>
        </w:rPr>
        <w:t>工程建设完成后，可有效改善区域水环境、及</w:t>
      </w:r>
      <w:r>
        <w:t>重点保护对象</w:t>
      </w:r>
      <w:r>
        <w:rPr>
          <w:rFonts w:hint="eastAsia"/>
        </w:rPr>
        <w:t>生境，对</w:t>
      </w:r>
      <w:r>
        <w:t>生物多样性保护优先区域</w:t>
      </w:r>
      <w:r>
        <w:rPr>
          <w:rFonts w:hint="eastAsia"/>
        </w:rPr>
        <w:t>将产生一定的积极影响，因此本次规划的</w:t>
      </w:r>
      <w:r>
        <w:t>实施与《行动计划》是相符的。</w:t>
      </w:r>
    </w:p>
    <w:p>
      <w:pPr>
        <w:spacing w:line="520" w:lineRule="exact"/>
      </w:pPr>
      <w:r>
        <w:rPr>
          <w:rFonts w:hint="eastAsia"/>
        </w:rPr>
        <w:t>（5）与《珠江流域综合规划</w:t>
      </w:r>
      <w:r>
        <w:t>（</w:t>
      </w:r>
      <w:r>
        <w:rPr>
          <w:rFonts w:hint="eastAsia"/>
        </w:rPr>
        <w:t>2012</w:t>
      </w:r>
      <w:r>
        <w:t>-20</w:t>
      </w:r>
      <w:r>
        <w:rPr>
          <w:rFonts w:hint="eastAsia"/>
        </w:rPr>
        <w:t>30年</w:t>
      </w:r>
      <w:r>
        <w:t>）</w:t>
      </w:r>
      <w:r>
        <w:rPr>
          <w:rFonts w:hint="eastAsia"/>
        </w:rPr>
        <w:t>》的</w:t>
      </w:r>
      <w:r>
        <w:t>符合性</w:t>
      </w:r>
    </w:p>
    <w:p>
      <w:pPr>
        <w:spacing w:line="520" w:lineRule="exact"/>
        <w:rPr>
          <w:rFonts w:eastAsia="宋体"/>
        </w:rPr>
      </w:pPr>
      <w:r>
        <w:rPr>
          <w:rFonts w:hint="eastAsia"/>
        </w:rPr>
        <w:t>《珠江流域综合规划</w:t>
      </w:r>
      <w:r>
        <w:t>（</w:t>
      </w:r>
      <w:r>
        <w:rPr>
          <w:rFonts w:hint="eastAsia"/>
        </w:rPr>
        <w:t>2012</w:t>
      </w:r>
      <w:r>
        <w:t>-20</w:t>
      </w:r>
      <w:r>
        <w:rPr>
          <w:rFonts w:hint="eastAsia"/>
        </w:rPr>
        <w:t>30年</w:t>
      </w:r>
      <w:r>
        <w:t>）</w:t>
      </w:r>
      <w:r>
        <w:rPr>
          <w:rFonts w:hint="eastAsia"/>
        </w:rPr>
        <w:t>》（以下简称《总体</w:t>
      </w:r>
      <w:r>
        <w:t>规划</w:t>
      </w:r>
      <w:r>
        <w:rPr>
          <w:rFonts w:hint="eastAsia"/>
        </w:rPr>
        <w:t>》）规划</w:t>
      </w:r>
      <w:r>
        <w:t>范围为</w:t>
      </w:r>
      <w:r>
        <w:rPr>
          <w:rFonts w:hint="eastAsia"/>
        </w:rPr>
        <w:t>云南、贵州、广西、广东、湖南、江西6省（自治区）和香港</w:t>
      </w:r>
      <w:r>
        <w:t>，</w:t>
      </w:r>
      <w:r>
        <w:rPr>
          <w:rFonts w:hint="eastAsia"/>
        </w:rPr>
        <w:t>《总体</w:t>
      </w:r>
      <w:r>
        <w:t>规划</w:t>
      </w:r>
      <w:r>
        <w:rPr>
          <w:rFonts w:hint="eastAsia"/>
        </w:rPr>
        <w:t>》以</w:t>
      </w:r>
      <w:r>
        <w:rPr>
          <w:rFonts w:ascii="宋体" w:hAnsi="宋体" w:eastAsia="宋体" w:cs="宋体"/>
          <w:szCs w:val="24"/>
        </w:rPr>
        <w:t>保护任务以水土流失与石漠化治理、水资源保护与水生态环境修复为重点</w:t>
      </w:r>
      <w:r>
        <w:rPr>
          <w:rFonts w:hint="eastAsia"/>
        </w:rPr>
        <w:t>。</w:t>
      </w:r>
      <w:r>
        <w:rPr>
          <w:rFonts w:ascii="宋体" w:hAnsi="宋体" w:eastAsia="宋体" w:cs="宋体"/>
          <w:szCs w:val="24"/>
        </w:rPr>
        <w:t>建立和完善流域防洪减灾、水资源供给和保障、水资源保护与生态环境修复和流域综合管理四大体系，加强农田水利、工程性缺 水与中小河流治理等薄弱环节建设，统筹协调水资源开发、利用、保护与防治水害的关系，以保障防洪安全、供水安全和水生态安全，提高流域管理水平，以水资源可持续利用支撑流域经济社会的可持续发展。</w:t>
      </w:r>
    </w:p>
    <w:p>
      <w:pPr>
        <w:spacing w:line="520" w:lineRule="exact"/>
      </w:pPr>
      <w:r>
        <w:rPr>
          <w:rFonts w:hint="eastAsia"/>
        </w:rPr>
        <w:t>本</w:t>
      </w:r>
      <w:r>
        <w:t>防洪规划依据《</w:t>
      </w:r>
      <w:r>
        <w:rPr>
          <w:rFonts w:hint="eastAsia"/>
        </w:rPr>
        <w:t>总体</w:t>
      </w:r>
      <w:r>
        <w:t>规划》</w:t>
      </w:r>
      <w:r>
        <w:rPr>
          <w:rFonts w:hint="eastAsia"/>
        </w:rPr>
        <w:t>中</w:t>
      </w:r>
      <w:r>
        <w:t>对</w:t>
      </w:r>
      <w:r>
        <w:rPr>
          <w:rFonts w:hint="eastAsia"/>
        </w:rPr>
        <w:t>珠江上游抚仙湖流域提出规划</w:t>
      </w:r>
      <w:r>
        <w:t>，满足</w:t>
      </w:r>
      <w:r>
        <w:rPr>
          <w:rFonts w:ascii="宋体" w:hAnsi="宋体" w:eastAsia="宋体" w:cs="宋体"/>
          <w:szCs w:val="24"/>
        </w:rPr>
        <w:t>水资源保护</w:t>
      </w:r>
      <w:r>
        <w:rPr>
          <w:rFonts w:hint="eastAsia"/>
        </w:rPr>
        <w:t>要求，是</w:t>
      </w:r>
      <w:r>
        <w:t>对《</w:t>
      </w:r>
      <w:r>
        <w:rPr>
          <w:rFonts w:hint="eastAsia"/>
        </w:rPr>
        <w:t>总体</w:t>
      </w:r>
      <w:r>
        <w:t>规划》</w:t>
      </w:r>
      <w:r>
        <w:rPr>
          <w:rFonts w:hint="eastAsia"/>
        </w:rPr>
        <w:t>规划</w:t>
      </w:r>
      <w:r>
        <w:t>目标的进一步细化，</w:t>
      </w:r>
      <w:r>
        <w:rPr>
          <w:rFonts w:hint="eastAsia"/>
        </w:rPr>
        <w:t>因此</w:t>
      </w:r>
      <w:r>
        <w:t>，本规划与《</w:t>
      </w:r>
      <w:r>
        <w:rPr>
          <w:rFonts w:hint="eastAsia"/>
        </w:rPr>
        <w:t>总体</w:t>
      </w:r>
      <w:r>
        <w:t>规划》</w:t>
      </w:r>
      <w:r>
        <w:rPr>
          <w:rFonts w:hint="eastAsia"/>
        </w:rPr>
        <w:t>是</w:t>
      </w:r>
      <w:r>
        <w:t>相符的。</w:t>
      </w:r>
    </w:p>
    <w:p>
      <w:pPr>
        <w:pStyle w:val="5"/>
      </w:pPr>
      <w:bookmarkStart w:id="135" w:name="_Toc184023356"/>
      <w:r>
        <w:rPr>
          <w:rFonts w:hint="eastAsia"/>
        </w:rPr>
        <w:t>区域环境质量状况</w:t>
      </w:r>
      <w:bookmarkEnd w:id="135"/>
    </w:p>
    <w:p>
      <w:pPr>
        <w:pStyle w:val="6"/>
      </w:pPr>
      <w:bookmarkStart w:id="136" w:name="_Toc40275745"/>
      <w:r>
        <w:t>自然环境</w:t>
      </w:r>
      <w:bookmarkEnd w:id="136"/>
    </w:p>
    <w:p>
      <w:pPr>
        <w:pStyle w:val="7"/>
      </w:pPr>
      <w:r>
        <w:t>地形地貌</w:t>
      </w:r>
    </w:p>
    <w:p>
      <w:r>
        <w:rPr>
          <w:rFonts w:hint="eastAsia"/>
        </w:rPr>
        <w:t>澄江市环湖东南西背山，唯北面一片平坝，阡陌交错。东大河水库和梁王河两大干渠分东西两边纵横南北。境内山脉多为南北走向，罗藏山自西向东横亘中部，形成澄江、阳宗两个坝子。最高海拔梁王山主峰2820m，最低海拔南盘江与海口河交汇处1328m，市区凤麓街道海拔1755m。山地面积占总面积的73.4%，水域面积占18.6%，坝区面积占8%，形成“七山、二水、一分坝”的天然格局。</w:t>
      </w:r>
    </w:p>
    <w:p>
      <w:pPr>
        <w:pStyle w:val="7"/>
      </w:pPr>
      <w:r>
        <w:t>气象</w:t>
      </w:r>
    </w:p>
    <w:p>
      <w:pPr>
        <w:pStyle w:val="4"/>
        <w:rPr>
          <w:rStyle w:val="358"/>
          <w:szCs w:val="24"/>
        </w:rPr>
      </w:pPr>
      <w:r>
        <w:rPr>
          <w:rStyle w:val="358"/>
          <w:szCs w:val="24"/>
        </w:rPr>
        <w:t>澄江市境内为中亚热带、北亚热带、南温带和中温带四个气候类型的立体气候。年平均气温11.9～17.5℃，极端最高气温33.7℃，极端最低气温-3.9℃。有霜日最多46天，最少9天，轻霜冻5年三遇，重霜冻5年二遇。年降雨量900～1200mm，相对湿度76%。盛行西南风，年平均风速2～3m/s。全年日照总时数2172.3</w:t>
      </w:r>
      <w:r>
        <w:rPr>
          <w:rStyle w:val="358"/>
          <w:rFonts w:hint="eastAsia"/>
          <w:szCs w:val="24"/>
        </w:rPr>
        <w:t>h</w:t>
      </w:r>
      <w:r>
        <w:rPr>
          <w:rStyle w:val="358"/>
          <w:szCs w:val="24"/>
        </w:rPr>
        <w:t>，日照率50%。全市气候温和，四季如春。</w:t>
      </w:r>
    </w:p>
    <w:p>
      <w:pPr>
        <w:pStyle w:val="7"/>
      </w:pPr>
      <w:r>
        <w:t>土壤</w:t>
      </w:r>
    </w:p>
    <w:p>
      <w:pPr>
        <w:pStyle w:val="4"/>
        <w:rPr>
          <w:rStyle w:val="358"/>
          <w:rFonts w:eastAsia="宋体"/>
          <w:szCs w:val="24"/>
        </w:rPr>
      </w:pPr>
      <w:r>
        <w:rPr>
          <w:rStyle w:val="358"/>
          <w:rFonts w:eastAsia="宋体"/>
          <w:szCs w:val="24"/>
        </w:rPr>
        <w:t>澄江市境内土壤由于不同母质、不同气候、不同地形、不同植被和不同利用方式等因素的影响，形成棕壤、酸性紫色土、红壤、红色石灰土、冲击性旱地土、水稻土6个土类，10个亚类，13个土属，28个土种。以红壤为主，占陆地面积的68.1%，酸性紫色土占陆地面积的13.54%，其余4类占18.36%。</w:t>
      </w:r>
    </w:p>
    <w:p>
      <w:pPr>
        <w:pStyle w:val="7"/>
      </w:pPr>
      <w:r>
        <w:t>环境质量现状</w:t>
      </w:r>
    </w:p>
    <w:p>
      <w:pPr>
        <w:pStyle w:val="4"/>
      </w:pPr>
      <w:r>
        <w:t>（1）水环境质量状况</w:t>
      </w:r>
    </w:p>
    <w:p>
      <w:pPr>
        <w:pStyle w:val="4"/>
      </w:pPr>
      <w:r>
        <w:t>2022</w:t>
      </w:r>
      <w:r>
        <w:rPr>
          <w:rFonts w:hint="eastAsia"/>
        </w:rPr>
        <w:t>年抚仙湖水质类别由</w:t>
      </w:r>
      <w:r>
        <w:t>Ⅰ</w:t>
      </w:r>
      <w:r>
        <w:rPr>
          <w:rFonts w:hint="eastAsia"/>
        </w:rPr>
        <w:t>类下降为</w:t>
      </w:r>
      <w:r>
        <w:t>Ⅱ</w:t>
      </w:r>
      <w:r>
        <w:rPr>
          <w:rFonts w:hint="eastAsia"/>
        </w:rPr>
        <w:t>类，水质优，未达到水功能要求（I类），超标指标总磷，湖库单独评价指标总氮为</w:t>
      </w:r>
      <w:r>
        <w:t>Ⅰ</w:t>
      </w:r>
      <w:r>
        <w:rPr>
          <w:rFonts w:hint="eastAsia"/>
        </w:rPr>
        <w:t>类，营养状态为贫营养。近几年抚仙湖水体虽然总体保持</w:t>
      </w:r>
      <w:r>
        <w:t>Ⅰ</w:t>
      </w:r>
      <w:r>
        <w:rPr>
          <w:rFonts w:hint="eastAsia"/>
        </w:rPr>
        <w:t>类，但主要污染指标总体呈缓慢上升趋势，总磷全湖平均浓度近五年均在</w:t>
      </w:r>
      <w:r>
        <w:t>Ⅰ</w:t>
      </w:r>
      <w:r>
        <w:rPr>
          <w:rFonts w:hint="eastAsia"/>
        </w:rPr>
        <w:t>类限值以下波动，</w:t>
      </w:r>
      <w:r>
        <w:t>2018</w:t>
      </w:r>
      <w:r>
        <w:rPr>
          <w:rFonts w:hint="eastAsia"/>
        </w:rPr>
        <w:t>年全湖年均总氮浓度达到</w:t>
      </w:r>
      <w:r>
        <w:t>0.2mg/L</w:t>
      </w:r>
      <w:r>
        <w:rPr>
          <w:rFonts w:hint="eastAsia"/>
        </w:rPr>
        <w:t>，达到</w:t>
      </w:r>
      <w:r>
        <w:t>I</w:t>
      </w:r>
      <w:r>
        <w:rPr>
          <w:rFonts w:hint="eastAsia"/>
        </w:rPr>
        <w:t>类标准限值（</w:t>
      </w:r>
      <w:r>
        <w:t>0.2mg/L</w:t>
      </w:r>
      <w:r>
        <w:rPr>
          <w:rFonts w:hint="eastAsia"/>
        </w:rPr>
        <w:t>），高于</w:t>
      </w:r>
      <w:r>
        <w:t>2017</w:t>
      </w:r>
      <w:r>
        <w:rPr>
          <w:rFonts w:hint="eastAsia"/>
        </w:rPr>
        <w:t>年同期，叶绿素</w:t>
      </w:r>
      <w:r>
        <w:t>a</w:t>
      </w:r>
      <w:r>
        <w:rPr>
          <w:rFonts w:hint="eastAsia"/>
        </w:rPr>
        <w:t>全湖平均浓度呈上升趋势，</w:t>
      </w:r>
      <w:r>
        <w:t>2018</w:t>
      </w:r>
      <w:r>
        <w:rPr>
          <w:rFonts w:hint="eastAsia"/>
        </w:rPr>
        <w:t>年较</w:t>
      </w:r>
      <w:r>
        <w:t>2017</w:t>
      </w:r>
      <w:r>
        <w:rPr>
          <w:rFonts w:hint="eastAsia"/>
        </w:rPr>
        <w:t>年上升了</w:t>
      </w:r>
      <w:r>
        <w:t>66.67%</w:t>
      </w:r>
      <w:r>
        <w:rPr>
          <w:rFonts w:hint="eastAsia"/>
        </w:rPr>
        <w:t>，近五年全湖仍处于贫营养状态，但营养状态指数有所升高。</w:t>
      </w:r>
    </w:p>
    <w:p>
      <w:pPr>
        <w:pStyle w:val="4"/>
      </w:pPr>
      <w:r>
        <w:t>（2）空气环境及声质量状况</w:t>
      </w:r>
    </w:p>
    <w:p>
      <w:pPr>
        <w:pStyle w:val="4"/>
      </w:pPr>
      <w:r>
        <w:t>本次规划拟建项目所在地属于</w:t>
      </w:r>
      <w:r>
        <w:rPr>
          <w:rFonts w:hint="eastAsia"/>
        </w:rPr>
        <w:t>城镇-</w:t>
      </w:r>
      <w:r>
        <w:t>农村地区，流域经济发展</w:t>
      </w:r>
      <w:r>
        <w:rPr>
          <w:rFonts w:hint="eastAsia"/>
        </w:rPr>
        <w:t>一般</w:t>
      </w:r>
      <w:r>
        <w:t>，无工矿企业分布，产业结构以农业为主，废气主要来源于零散的柴薪的燃烧，属间歇排放，排放量较小，对区域的空气环境基本无影响；区内声环境质量现状较好。</w:t>
      </w:r>
    </w:p>
    <w:p>
      <w:pPr>
        <w:pStyle w:val="7"/>
      </w:pPr>
      <w:r>
        <w:t>生态环境</w:t>
      </w:r>
    </w:p>
    <w:p>
      <w:pPr>
        <w:pStyle w:val="4"/>
      </w:pPr>
      <w:r>
        <w:rPr>
          <w:rFonts w:hint="eastAsia"/>
        </w:rPr>
        <w:t xml:space="preserve">抚仙湖径流区内生物多样性丰富。湖内有藻类80种、浮游甲壳动物12种、底栖动物种27种、沉水植物12种；湖内还有鱼类39种，其中12种为特殊鱼类（如抗浪鱼）。湖底有“活化石”——桃花水母，是一种指示生物，具有极高的研究价值和观赏价值。 </w:t>
      </w:r>
    </w:p>
    <w:p>
      <w:pPr>
        <w:pStyle w:val="4"/>
      </w:pPr>
      <w:r>
        <w:rPr>
          <w:rFonts w:hint="eastAsia"/>
        </w:rPr>
        <w:t>但另一方面，抚仙湖流域是玉溪市森林覆盖率最低的地区之一。目前径流区内植被以云南松林、华山松林、灌丛、灌草丛等次生植被为主。在海拔1720-1900米的湖盆区主要为人工植被，水稻土上种植 的农作物主要为水稻、烤烟、蚕豆、小麦、油菜、蔬菜；红壤、黄红壤以及紫色土主要种植的作物为玉米、小麦和烤烟。海拔1900-2300米的山地及丘陵区，以温凉年性的针叶林及针阔混交林为主。海拔2300-2820米以上的地区为径流区目前主要林区，以华山松为主。</w:t>
      </w:r>
    </w:p>
    <w:p>
      <w:pPr>
        <w:pStyle w:val="6"/>
      </w:pPr>
      <w:bookmarkStart w:id="137" w:name="_Toc40275746"/>
      <w:r>
        <w:t>社会环境</w:t>
      </w:r>
      <w:bookmarkEnd w:id="137"/>
    </w:p>
    <w:p>
      <w:pPr>
        <w:pStyle w:val="4"/>
      </w:pPr>
      <w:r>
        <w:rPr>
          <w:rFonts w:hint="eastAsia"/>
        </w:rPr>
        <w:t>抚仙湖流域范围统一属澄江市托管，涉及2个街道、4个乡镇，分别为凤麓街道、龙街街道、右所镇、九村镇、海口镇、路居镇。流域人口主要分布在北岸，南岸次之，东西岸较少。抚仙湖流域总体经济实力偏弱，人均生产总值不高，据近年来流域三大产业的结构分析，澄江市产业结构呈现“三二一”特征，产业结构变化较为平稳，第三产业已经成为国民经济发展的主导力量。</w:t>
      </w:r>
    </w:p>
    <w:p>
      <w:pPr>
        <w:pStyle w:val="6"/>
      </w:pPr>
      <w:bookmarkStart w:id="138" w:name="_Toc40275747"/>
      <w:r>
        <w:t>规划区存在的主要环境问题</w:t>
      </w:r>
      <w:bookmarkEnd w:id="138"/>
    </w:p>
    <w:p>
      <w:pPr>
        <w:ind w:firstLine="498"/>
        <w:rPr>
          <w:b/>
          <w:bCs/>
        </w:rPr>
      </w:pPr>
      <w:r>
        <w:rPr>
          <w:rFonts w:hint="eastAsia"/>
          <w:b/>
          <w:bCs/>
        </w:rPr>
        <w:t xml:space="preserve">1、抚仙湖I类水质保护目标依旧面临严峻形势 </w:t>
      </w:r>
    </w:p>
    <w:p>
      <w:r>
        <w:rPr>
          <w:rFonts w:hint="eastAsia"/>
        </w:rPr>
        <w:t xml:space="preserve">近二十年来,抚仙湖湖体水质总体保持在Ⅰ类,但总氮(TN)浓度平均值为0.169 米 g/L,已经非常接近Ⅰ类水质标准上限。局部水域污染严重,水污染程度自北向南、由沿岸向湖心逐步递减。抚仙湖的理论换水周期大约为200年左右，滇池、洱海为 3 年，太湖只有300天，一旦污染治理难度极大。 </w:t>
      </w:r>
    </w:p>
    <w:p>
      <w:pPr>
        <w:ind w:firstLine="498"/>
        <w:rPr>
          <w:b/>
          <w:bCs/>
        </w:rPr>
      </w:pPr>
      <w:r>
        <w:rPr>
          <w:rFonts w:hint="eastAsia"/>
          <w:b/>
          <w:bCs/>
        </w:rPr>
        <w:t xml:space="preserve">2、农田面源污染是流域内最大污染源 </w:t>
      </w:r>
    </w:p>
    <w:p>
      <w:r>
        <w:rPr>
          <w:rFonts w:hint="eastAsia"/>
        </w:rPr>
        <w:t xml:space="preserve">在流域入湖污染中，农业农村面源污染是抚仙湖最大的污染源，由于生活与生产方式及治理技术等原因,抚仙湖流域农村与农田面源未得到全面有效控制，这些污染物通过地表径流和地层渗漏有相当部分进入湖泊水体，给湖泊生态安全造成了严重威胁。北部北岸片区和湖盆区是面源污染控制的重点区域，农业生态安全依旧是未来很长时间内流域环境面临的主要问题。 </w:t>
      </w:r>
    </w:p>
    <w:p>
      <w:pPr>
        <w:ind w:firstLine="498"/>
        <w:rPr>
          <w:b/>
          <w:bCs/>
        </w:rPr>
      </w:pPr>
      <w:r>
        <w:rPr>
          <w:rFonts w:hint="eastAsia"/>
          <w:b/>
          <w:bCs/>
        </w:rPr>
        <w:t xml:space="preserve">3、流域部分入湖河流污染严重 </w:t>
      </w:r>
    </w:p>
    <w:p>
      <w:r>
        <w:rPr>
          <w:rFonts w:hint="eastAsia"/>
        </w:rPr>
        <w:t xml:space="preserve">经过“十一五”、“十二五”、“十三五”、“十四五”期间对抚仙湖流域主要入湖河流的治理，使超过约 50%的入湖河流地表径流量得到治理，提高了主要入湖河流的水质，改善了其周边生态环境，但抚仙湖流域除了东大河、抚澄河等主要入湖河流外，尚有不少入湖河流或沟渠，如北部的窑泥沟、洗菜沟、独房大沟，南部的大马沟等，这些河沟多流经人口密集区域或河流周围人为活动强烈，河道早已渠道化，失去自净能力，由于长期积纳生活污水、生产与生活垃圾，河道水质污染严重处于劣 V 类，这些河沟每年输送入湖水量上千万方，对抚仙湖带来的影响不容忽视。 </w:t>
      </w:r>
    </w:p>
    <w:p>
      <w:pPr>
        <w:ind w:firstLine="498"/>
        <w:rPr>
          <w:b/>
          <w:bCs/>
        </w:rPr>
      </w:pPr>
      <w:r>
        <w:rPr>
          <w:rFonts w:hint="eastAsia"/>
          <w:b/>
          <w:bCs/>
        </w:rPr>
        <w:t>4、流域生态系统存在退化可能</w:t>
      </w:r>
    </w:p>
    <w:p>
      <w:r>
        <w:rPr>
          <w:rFonts w:hint="eastAsia"/>
        </w:rPr>
        <w:t xml:space="preserve">陆域森林覆盖率仅 39.2%，环湖公路沿线可视区域内森林覆盖率仅为 21.92%，与洱海、 泸沽湖、滇池等流域相比明显偏低，也低于玉溪市和云南省的平均水平，且覆盖不均，现有森林主要分布在远山，面山、近山区域植被覆盖率低，土质疏松，雨季冲刷严重，部分区域强度侵蚀面积在原来的基础上增加，加之湖体周边山区地带河道坡降大，河道随降水暴涨暴落，并携带大量污染物及泥沙。抚仙湖水深，泥沙一旦入湖，就非常难以清除，泥沙中往往含有大量营养元素，长年累月，底泥中的营养元素得以释放，成为威胁抚仙湖水质的重要影响因素之一。 </w:t>
      </w:r>
    </w:p>
    <w:p>
      <w:r>
        <w:rPr>
          <w:rFonts w:hint="eastAsia"/>
        </w:rPr>
        <w:t>流域内生物多样性较为单一，林地质量参差不齐，植被组成和结构都呈现明显的次生性,生态系统抗风险能力严重不足。随着城镇建设与旅游业等的发展，区域生态环境产生了较大的变化，各种生态问题日益突现。</w:t>
      </w:r>
    </w:p>
    <w:p>
      <w:pPr>
        <w:pStyle w:val="5"/>
      </w:pPr>
      <w:bookmarkStart w:id="139" w:name="_Toc184023357"/>
      <w:r>
        <w:rPr>
          <w:rFonts w:hint="eastAsia"/>
        </w:rPr>
        <w:t>主要环境影响分析</w:t>
      </w:r>
      <w:bookmarkEnd w:id="139"/>
    </w:p>
    <w:p>
      <w:pPr>
        <w:pStyle w:val="6"/>
      </w:pPr>
      <w:r>
        <w:rPr>
          <w:rFonts w:hint="eastAsia"/>
        </w:rPr>
        <w:t>规划</w:t>
      </w:r>
      <w:r>
        <w:t>方案的宏观影响</w:t>
      </w:r>
    </w:p>
    <w:p>
      <w:pPr>
        <w:spacing w:line="520" w:lineRule="exact"/>
      </w:pPr>
      <w:r>
        <w:rPr>
          <w:rFonts w:hint="eastAsia"/>
        </w:rPr>
        <w:t>规划</w:t>
      </w:r>
      <w:r>
        <w:t>实施过程中，主要是</w:t>
      </w:r>
      <w:r>
        <w:rPr>
          <w:rFonts w:hint="eastAsia"/>
        </w:rPr>
        <w:t>河道治理工程、除险加固以及引调水工程</w:t>
      </w:r>
      <w:r>
        <w:t>的实施，</w:t>
      </w:r>
      <w:r>
        <w:rPr>
          <w:rFonts w:hint="eastAsia"/>
        </w:rPr>
        <w:t>会</w:t>
      </w:r>
      <w:r>
        <w:t>对周边环境造成一定的影响，</w:t>
      </w:r>
      <w:r>
        <w:rPr>
          <w:rFonts w:hint="eastAsia"/>
        </w:rPr>
        <w:t>主要</w:t>
      </w:r>
      <w:r>
        <w:t>表现在工程</w:t>
      </w:r>
      <w:r>
        <w:rPr>
          <w:rFonts w:hint="eastAsia"/>
        </w:rPr>
        <w:t>永久</w:t>
      </w:r>
      <w:r>
        <w:t>、临时占地</w:t>
      </w:r>
      <w:r>
        <w:rPr>
          <w:rFonts w:hint="eastAsia"/>
        </w:rPr>
        <w:t>对</w:t>
      </w:r>
      <w:r>
        <w:t>土地利用的影响</w:t>
      </w:r>
      <w:r>
        <w:rPr>
          <w:rFonts w:hint="eastAsia"/>
        </w:rPr>
        <w:t>，河道治理</w:t>
      </w:r>
      <w:r>
        <w:t>施工过程中，对下游河道的水环境影响</w:t>
      </w:r>
      <w:r>
        <w:rPr>
          <w:rFonts w:hint="eastAsia"/>
        </w:rPr>
        <w:t>，</w:t>
      </w:r>
      <w:r>
        <w:t>固体废弃物</w:t>
      </w:r>
      <w:r>
        <w:rPr>
          <w:rFonts w:hint="eastAsia"/>
        </w:rPr>
        <w:t>、</w:t>
      </w:r>
      <w:r>
        <w:t>扬尘及噪声影响，</w:t>
      </w:r>
      <w:r>
        <w:rPr>
          <w:rFonts w:hint="eastAsia"/>
        </w:rPr>
        <w:t>影响</w:t>
      </w:r>
      <w:r>
        <w:t>仅限于施工期。</w:t>
      </w:r>
    </w:p>
    <w:p>
      <w:pPr>
        <w:spacing w:line="520" w:lineRule="exact"/>
      </w:pPr>
      <w:r>
        <w:rPr>
          <w:rFonts w:hint="eastAsia"/>
        </w:rPr>
        <w:t>本规划</w:t>
      </w:r>
      <w:r>
        <w:t>的实施</w:t>
      </w:r>
      <w:r>
        <w:rPr>
          <w:rFonts w:hint="eastAsia"/>
        </w:rPr>
        <w:t>完成</w:t>
      </w:r>
      <w:r>
        <w:t>后</w:t>
      </w:r>
      <w:r>
        <w:rPr>
          <w:rFonts w:hint="eastAsia"/>
        </w:rPr>
        <w:t>，</w:t>
      </w:r>
      <w:r>
        <w:t>不会对环境产生不利影响，</w:t>
      </w:r>
      <w:r>
        <w:rPr>
          <w:rFonts w:hint="eastAsia"/>
        </w:rPr>
        <w:t>可</w:t>
      </w:r>
      <w:r>
        <w:t>有效的提高</w:t>
      </w:r>
      <w:r>
        <w:rPr>
          <w:rFonts w:hint="eastAsia"/>
        </w:rPr>
        <w:t>流域内的水资源利用情况</w:t>
      </w:r>
      <w:r>
        <w:t>，</w:t>
      </w:r>
      <w:r>
        <w:rPr>
          <w:rFonts w:hint="eastAsia"/>
        </w:rPr>
        <w:t>对</w:t>
      </w:r>
      <w:r>
        <w:t>区域内</w:t>
      </w:r>
      <w:r>
        <w:rPr>
          <w:rFonts w:hint="eastAsia"/>
        </w:rPr>
        <w:t>人民</w:t>
      </w:r>
      <w:r>
        <w:t>群众的生命财产安全提供了更</w:t>
      </w:r>
      <w:r>
        <w:rPr>
          <w:rFonts w:hint="eastAsia"/>
        </w:rPr>
        <w:t>有力</w:t>
      </w:r>
      <w:r>
        <w:t>的保障，</w:t>
      </w:r>
      <w:r>
        <w:rPr>
          <w:rFonts w:hint="eastAsia"/>
        </w:rPr>
        <w:t>同时规划</w:t>
      </w:r>
      <w:r>
        <w:t>工程完成后，</w:t>
      </w:r>
      <w:r>
        <w:rPr>
          <w:rFonts w:hint="eastAsia"/>
        </w:rPr>
        <w:t>提升了城市</w:t>
      </w:r>
      <w:r>
        <w:t>整体景观</w:t>
      </w:r>
      <w:r>
        <w:rPr>
          <w:rFonts w:hint="eastAsia"/>
        </w:rPr>
        <w:t>，</w:t>
      </w:r>
      <w:r>
        <w:t>带来良好的生态景观效益</w:t>
      </w:r>
      <w:r>
        <w:rPr>
          <w:rFonts w:hint="eastAsia"/>
        </w:rPr>
        <w:t>。总体</w:t>
      </w:r>
      <w:r>
        <w:t>来</w:t>
      </w:r>
      <w:r>
        <w:rPr>
          <w:rFonts w:hint="eastAsia"/>
        </w:rPr>
        <w:t>说</w:t>
      </w:r>
      <w:r>
        <w:t>，</w:t>
      </w:r>
      <w:r>
        <w:rPr>
          <w:rFonts w:hint="eastAsia"/>
        </w:rPr>
        <w:t>本规划对</w:t>
      </w:r>
      <w:r>
        <w:t>环境是有利的。</w:t>
      </w:r>
    </w:p>
    <w:p>
      <w:pPr>
        <w:pStyle w:val="6"/>
      </w:pPr>
      <w:r>
        <w:rPr>
          <w:rFonts w:hint="eastAsia"/>
        </w:rPr>
        <w:t>对</w:t>
      </w:r>
      <w:r>
        <w:t>可持续发展的影响</w:t>
      </w:r>
    </w:p>
    <w:p>
      <w:pPr>
        <w:spacing w:line="520" w:lineRule="exact"/>
      </w:pPr>
      <w:r>
        <w:rPr>
          <w:rFonts w:hint="eastAsia"/>
        </w:rPr>
        <w:t>本</w:t>
      </w:r>
      <w:r>
        <w:t>规划的实施，确保了</w:t>
      </w:r>
      <w:r>
        <w:rPr>
          <w:rFonts w:hint="eastAsia"/>
        </w:rPr>
        <w:t>流域内的主要城市</w:t>
      </w:r>
      <w:r>
        <w:t>的</w:t>
      </w:r>
      <w:r>
        <w:rPr>
          <w:rFonts w:hint="eastAsia"/>
        </w:rPr>
        <w:t>水资源情况</w:t>
      </w:r>
      <w:r>
        <w:t>，进一步完善了</w:t>
      </w:r>
      <w:r>
        <w:rPr>
          <w:rFonts w:hint="eastAsia"/>
        </w:rPr>
        <w:t>与</w:t>
      </w:r>
      <w:r>
        <w:t>城市发展相适应的</w:t>
      </w:r>
      <w:r>
        <w:rPr>
          <w:rFonts w:hint="eastAsia"/>
        </w:rPr>
        <w:t>水资源利用率</w:t>
      </w:r>
      <w:r>
        <w:t>，</w:t>
      </w:r>
      <w:r>
        <w:rPr>
          <w:rFonts w:hint="eastAsia"/>
        </w:rPr>
        <w:t>保障</w:t>
      </w:r>
      <w:r>
        <w:t>人民群众生命财产安全的</w:t>
      </w:r>
      <w:r>
        <w:rPr>
          <w:rFonts w:hint="eastAsia"/>
        </w:rPr>
        <w:t>同时</w:t>
      </w:r>
      <w:r>
        <w:t>，</w:t>
      </w:r>
      <w:r>
        <w:rPr>
          <w:rFonts w:hint="eastAsia"/>
        </w:rPr>
        <w:t>为澄江市</w:t>
      </w:r>
      <w:r>
        <w:t>可持续发展提供了</w:t>
      </w:r>
      <w:r>
        <w:rPr>
          <w:rFonts w:hint="eastAsia"/>
        </w:rPr>
        <w:t>有力</w:t>
      </w:r>
      <w:r>
        <w:t>保障，</w:t>
      </w:r>
      <w:r>
        <w:rPr>
          <w:rFonts w:hint="eastAsia"/>
        </w:rPr>
        <w:t>提高</w:t>
      </w:r>
      <w:r>
        <w:t>区域的可持续发展能力。</w:t>
      </w:r>
    </w:p>
    <w:p>
      <w:pPr>
        <w:pStyle w:val="6"/>
      </w:pPr>
      <w:r>
        <w:rPr>
          <w:rFonts w:hint="eastAsia"/>
        </w:rPr>
        <w:t>水环境</w:t>
      </w:r>
      <w:r>
        <w:t>影响</w:t>
      </w:r>
    </w:p>
    <w:p>
      <w:pPr>
        <w:pStyle w:val="7"/>
      </w:pPr>
      <w:r>
        <w:rPr>
          <w:rFonts w:hint="eastAsia"/>
        </w:rPr>
        <w:t>水文情势的</w:t>
      </w:r>
      <w:r>
        <w:t>影响</w:t>
      </w:r>
    </w:p>
    <w:p>
      <w:pPr>
        <w:spacing w:line="520" w:lineRule="exact"/>
      </w:pPr>
      <w:r>
        <w:rPr>
          <w:rFonts w:hint="eastAsia"/>
        </w:rPr>
        <w:t>（1）施工期</w:t>
      </w:r>
    </w:p>
    <w:p>
      <w:pPr>
        <w:spacing w:line="520" w:lineRule="exact"/>
      </w:pPr>
      <w:r>
        <w:rPr>
          <w:rFonts w:hint="eastAsia"/>
        </w:rPr>
        <w:t>规划</w:t>
      </w:r>
      <w:r>
        <w:t>实施在施工期对水文情势的影响主要是工程</w:t>
      </w:r>
      <w:r>
        <w:rPr>
          <w:rFonts w:hint="eastAsia"/>
        </w:rPr>
        <w:t>在施工时</w:t>
      </w:r>
      <w:r>
        <w:t>需要对</w:t>
      </w:r>
      <w:r>
        <w:rPr>
          <w:rFonts w:hint="eastAsia"/>
        </w:rPr>
        <w:t>目标</w:t>
      </w:r>
      <w:r>
        <w:t>河段</w:t>
      </w:r>
      <w:r>
        <w:rPr>
          <w:rFonts w:hint="eastAsia"/>
        </w:rPr>
        <w:t>、水库、</w:t>
      </w:r>
      <w:r>
        <w:t>采取挡水</w:t>
      </w:r>
      <w:r>
        <w:rPr>
          <w:rFonts w:hint="eastAsia"/>
        </w:rPr>
        <w:t>、</w:t>
      </w:r>
      <w:r>
        <w:t>导流等</w:t>
      </w:r>
      <w:r>
        <w:rPr>
          <w:rFonts w:hint="eastAsia"/>
        </w:rPr>
        <w:t>工程</w:t>
      </w:r>
      <w:r>
        <w:t>措施，</w:t>
      </w:r>
      <w:r>
        <w:rPr>
          <w:rFonts w:hint="eastAsia"/>
        </w:rPr>
        <w:t>会对施工水体</w:t>
      </w:r>
      <w:r>
        <w:t>及下游水文情势造成一定的影响</w:t>
      </w:r>
      <w:r>
        <w:rPr>
          <w:rFonts w:hint="eastAsia"/>
        </w:rPr>
        <w:t>，</w:t>
      </w:r>
      <w:r>
        <w:t>但</w:t>
      </w:r>
      <w:r>
        <w:rPr>
          <w:rFonts w:hint="eastAsia"/>
        </w:rPr>
        <w:t>不会造成河道断流，总体</w:t>
      </w:r>
      <w:r>
        <w:t>影响较小且仅限于施工期。</w:t>
      </w:r>
    </w:p>
    <w:p>
      <w:pPr>
        <w:spacing w:line="520" w:lineRule="exact"/>
      </w:pPr>
      <w:r>
        <w:rPr>
          <w:rFonts w:hint="eastAsia"/>
        </w:rPr>
        <w:t>（2）运行期</w:t>
      </w:r>
    </w:p>
    <w:p>
      <w:pPr>
        <w:spacing w:line="520" w:lineRule="exact"/>
      </w:pPr>
      <w:r>
        <w:rPr>
          <w:rFonts w:hint="eastAsia"/>
        </w:rPr>
        <w:t>本</w:t>
      </w:r>
      <w:r>
        <w:t>规划</w:t>
      </w:r>
      <w:r>
        <w:rPr>
          <w:rFonts w:hint="eastAsia"/>
        </w:rPr>
        <w:t>针</w:t>
      </w:r>
      <w:r>
        <w:t>对不同河段</w:t>
      </w:r>
      <w:r>
        <w:rPr>
          <w:rFonts w:hint="eastAsia"/>
        </w:rPr>
        <w:t>，</w:t>
      </w:r>
      <w:r>
        <w:t>采取的</w:t>
      </w:r>
      <w:r>
        <w:rPr>
          <w:rFonts w:hint="eastAsia"/>
        </w:rPr>
        <w:t>相应</w:t>
      </w:r>
      <w:r>
        <w:t>断面</w:t>
      </w:r>
      <w:r>
        <w:rPr>
          <w:rFonts w:hint="eastAsia"/>
        </w:rPr>
        <w:t>设计</w:t>
      </w:r>
      <w:r>
        <w:t>，</w:t>
      </w:r>
      <w:r>
        <w:rPr>
          <w:rFonts w:hint="eastAsia"/>
        </w:rPr>
        <w:t>通过</w:t>
      </w:r>
      <w:r>
        <w:t>开展</w:t>
      </w:r>
      <w:r>
        <w:rPr>
          <w:rFonts w:hint="eastAsia"/>
        </w:rPr>
        <w:t>水资源保护利用规划工程</w:t>
      </w:r>
      <w:r>
        <w:t>，</w:t>
      </w:r>
      <w:r>
        <w:rPr>
          <w:rFonts w:hint="eastAsia"/>
        </w:rPr>
        <w:t>能进一步改善区域水环境，提高水资源利用率，保障区域用水安全，</w:t>
      </w:r>
      <w:r>
        <w:t>对</w:t>
      </w:r>
      <w:r>
        <w:rPr>
          <w:rFonts w:hint="eastAsia"/>
        </w:rPr>
        <w:t>澄江市</w:t>
      </w:r>
      <w:r>
        <w:t>带来正面影响。</w:t>
      </w:r>
    </w:p>
    <w:p>
      <w:pPr>
        <w:pStyle w:val="7"/>
      </w:pPr>
      <w:r>
        <w:rPr>
          <w:rFonts w:hint="eastAsia"/>
        </w:rPr>
        <w:t>对水质</w:t>
      </w:r>
      <w:r>
        <w:t>的影响分析</w:t>
      </w:r>
    </w:p>
    <w:p>
      <w:pPr>
        <w:spacing w:line="520" w:lineRule="exact"/>
      </w:pPr>
      <w:r>
        <w:rPr>
          <w:rFonts w:hint="eastAsia"/>
        </w:rPr>
        <w:t>规划</w:t>
      </w:r>
      <w:r>
        <w:t>的实施对水质影响主要表现在施工产生的</w:t>
      </w:r>
      <w:r>
        <w:rPr>
          <w:rFonts w:hint="eastAsia"/>
        </w:rPr>
        <w:t>废污水、清淤</w:t>
      </w:r>
      <w:r>
        <w:t>施工</w:t>
      </w:r>
      <w:r>
        <w:rPr>
          <w:rFonts w:hint="eastAsia"/>
        </w:rPr>
        <w:t>过程中</w:t>
      </w:r>
      <w:r>
        <w:t>对</w:t>
      </w:r>
      <w:r>
        <w:rPr>
          <w:rFonts w:hint="eastAsia"/>
        </w:rPr>
        <w:t>水体</w:t>
      </w:r>
      <w:r>
        <w:t>底泥的扰动</w:t>
      </w:r>
      <w:r>
        <w:rPr>
          <w:rFonts w:hint="eastAsia"/>
        </w:rPr>
        <w:t>导致</w:t>
      </w:r>
      <w:r>
        <w:t>内源释放产生的污染</w:t>
      </w:r>
      <w:r>
        <w:rPr>
          <w:rFonts w:hint="eastAsia"/>
        </w:rPr>
        <w:t>以及淤泥</w:t>
      </w:r>
      <w:r>
        <w:t>渗滤液对周围水体会产生影响</w:t>
      </w:r>
      <w:r>
        <w:rPr>
          <w:rFonts w:hint="eastAsia"/>
        </w:rPr>
        <w:t>，运行期</w:t>
      </w:r>
      <w:r>
        <w:t>不会对水质产生影响。</w:t>
      </w:r>
    </w:p>
    <w:p>
      <w:pPr>
        <w:spacing w:line="520" w:lineRule="exact"/>
      </w:pPr>
      <w:r>
        <w:rPr>
          <w:rFonts w:hint="eastAsia"/>
        </w:rPr>
        <w:t>规划工程施工</w:t>
      </w:r>
      <w:r>
        <w:t>范围主要集中在</w:t>
      </w:r>
      <w:r>
        <w:rPr>
          <w:rFonts w:hint="eastAsia"/>
        </w:rPr>
        <w:t>流域内澄江市及周边村镇</w:t>
      </w:r>
      <w:r>
        <w:t>，施工人员</w:t>
      </w:r>
      <w:r>
        <w:rPr>
          <w:rFonts w:hint="eastAsia"/>
        </w:rPr>
        <w:t>居住于</w:t>
      </w:r>
      <w:r>
        <w:t>附近城镇、村庄，所产生生活污水</w:t>
      </w:r>
      <w:r>
        <w:rPr>
          <w:rFonts w:hint="eastAsia"/>
        </w:rPr>
        <w:t>依托现有</w:t>
      </w:r>
      <w:r>
        <w:t>污水处理设施进行处理</w:t>
      </w:r>
      <w:r>
        <w:rPr>
          <w:rFonts w:hint="eastAsia"/>
        </w:rPr>
        <w:t>，</w:t>
      </w:r>
      <w:r>
        <w:t>不外排，因此，</w:t>
      </w:r>
      <w:r>
        <w:rPr>
          <w:rFonts w:hint="eastAsia"/>
        </w:rPr>
        <w:t>施工</w:t>
      </w:r>
      <w:r>
        <w:t>产生的废污水主要有混凝土</w:t>
      </w:r>
      <w:r>
        <w:rPr>
          <w:rFonts w:hint="eastAsia"/>
        </w:rPr>
        <w:t>拌和系统</w:t>
      </w:r>
      <w:r>
        <w:t>冲洗废水、机修含油废水</w:t>
      </w:r>
      <w:r>
        <w:rPr>
          <w:rFonts w:hint="eastAsia"/>
        </w:rPr>
        <w:t>，</w:t>
      </w:r>
      <w:r>
        <w:t>其中，混凝土拌和系统冲洗废水特点是SS和酸碱度较高，SS浓度达5000mg/L，pH值达12</w:t>
      </w:r>
      <w:r>
        <w:rPr>
          <w:rFonts w:hint="eastAsia"/>
        </w:rPr>
        <w:t>；</w:t>
      </w:r>
      <w:r>
        <w:t>机修含油废水主要是施工机械在冲洗、保养等过程中产生，</w:t>
      </w:r>
      <w:r>
        <w:rPr>
          <w:rFonts w:hint="eastAsia"/>
        </w:rPr>
        <w:t xml:space="preserve">主要污染物成分为石油类和悬浮物，石油类浓度一般约为50～80mg/L，悬浮物浓度约为1000 mg/L。废水排放方式为间歇性排放。如果冲洗废水进入地表水体，将影响河流水质； </w:t>
      </w:r>
    </w:p>
    <w:p>
      <w:pPr>
        <w:spacing w:line="520" w:lineRule="exact"/>
      </w:pPr>
      <w:r>
        <w:t>工程</w:t>
      </w:r>
      <w:r>
        <w:rPr>
          <w:rFonts w:hint="eastAsia"/>
        </w:rPr>
        <w:t>施工</w:t>
      </w:r>
      <w:r>
        <w:t>过程中，</w:t>
      </w:r>
      <w:r>
        <w:rPr>
          <w:rFonts w:hint="eastAsia"/>
        </w:rPr>
        <w:t>部分</w:t>
      </w:r>
      <w:r>
        <w:t>河段需要</w:t>
      </w:r>
      <w:r>
        <w:rPr>
          <w:rFonts w:hint="eastAsia"/>
        </w:rPr>
        <w:t>开挖清淤</w:t>
      </w:r>
      <w:r>
        <w:t>，不可避免</w:t>
      </w:r>
      <w:r>
        <w:rPr>
          <w:rFonts w:hint="eastAsia"/>
        </w:rPr>
        <w:t>对河床底部</w:t>
      </w:r>
      <w:r>
        <w:t>淤泥造成扰动，</w:t>
      </w:r>
      <w:r>
        <w:rPr>
          <w:rFonts w:hint="eastAsia"/>
        </w:rPr>
        <w:t>导致水体</w:t>
      </w:r>
      <w:r>
        <w:t>浑浊，</w:t>
      </w:r>
      <w:r>
        <w:rPr>
          <w:rFonts w:hint="eastAsia"/>
        </w:rPr>
        <w:t>淤泥</w:t>
      </w:r>
      <w:r>
        <w:t>中</w:t>
      </w:r>
      <w:r>
        <w:rPr>
          <w:rFonts w:hint="eastAsia"/>
        </w:rPr>
        <w:t>富集</w:t>
      </w:r>
      <w:r>
        <w:t>的污染物释放，</w:t>
      </w:r>
      <w:r>
        <w:rPr>
          <w:rFonts w:hint="eastAsia"/>
        </w:rPr>
        <w:t>对</w:t>
      </w:r>
      <w:r>
        <w:t>水质产生一定影响</w:t>
      </w:r>
      <w:r>
        <w:rPr>
          <w:rFonts w:hint="eastAsia"/>
        </w:rPr>
        <w:t>，</w:t>
      </w:r>
      <w:r>
        <w:t>另外，淤泥渗滤液</w:t>
      </w:r>
      <w:r>
        <w:rPr>
          <w:rFonts w:hint="eastAsia"/>
        </w:rPr>
        <w:t>污染物</w:t>
      </w:r>
      <w:r>
        <w:t>浓度较高，若不进行妥善</w:t>
      </w:r>
      <w:r>
        <w:rPr>
          <w:rFonts w:hint="eastAsia"/>
        </w:rPr>
        <w:t>的</w:t>
      </w:r>
      <w:r>
        <w:t>处理处置的话</w:t>
      </w:r>
      <w:r>
        <w:rPr>
          <w:rFonts w:hint="eastAsia"/>
        </w:rPr>
        <w:t>，</w:t>
      </w:r>
      <w:r>
        <w:t>可能回流到水体中</w:t>
      </w:r>
      <w:r>
        <w:rPr>
          <w:rFonts w:hint="eastAsia"/>
        </w:rPr>
        <w:t>，</w:t>
      </w:r>
      <w:r>
        <w:t>或对周围环境造成污染</w:t>
      </w:r>
      <w:r>
        <w:rPr>
          <w:rFonts w:hint="eastAsia"/>
        </w:rPr>
        <w:t>。</w:t>
      </w:r>
    </w:p>
    <w:p>
      <w:pPr>
        <w:pStyle w:val="6"/>
      </w:pPr>
      <w:r>
        <w:rPr>
          <w:rFonts w:hint="eastAsia"/>
        </w:rPr>
        <w:t>生态</w:t>
      </w:r>
      <w:r>
        <w:t>环境影响</w:t>
      </w:r>
    </w:p>
    <w:p>
      <w:pPr>
        <w:spacing w:line="520" w:lineRule="exact"/>
      </w:pPr>
      <w:r>
        <w:rPr>
          <w:rFonts w:hint="eastAsia"/>
        </w:rPr>
        <w:t>（1）对植被和土地利用现状的影响</w:t>
      </w:r>
    </w:p>
    <w:p>
      <w:pPr>
        <w:spacing w:line="520" w:lineRule="exact"/>
      </w:pPr>
      <w:r>
        <w:rPr>
          <w:rFonts w:hint="eastAsia"/>
        </w:rPr>
        <w:t>规划实施造成区域内耕地、林地等地类面积较少，水域及水利设施用地和交通用地面积有所增加。但因工程占地面积相对较小，多呈条带状占地，对评价区土地利用现状的影响较为有限，工程建设不会对评价区土地利用结构造成重大改变。</w:t>
      </w:r>
    </w:p>
    <w:p>
      <w:pPr>
        <w:spacing w:line="520" w:lineRule="exact"/>
      </w:pPr>
      <w:r>
        <w:t>（</w:t>
      </w:r>
      <w:r>
        <w:rPr>
          <w:rFonts w:hint="eastAsia"/>
        </w:rPr>
        <w:t>2）对植物资源的影响</w:t>
      </w:r>
    </w:p>
    <w:p>
      <w:pPr>
        <w:spacing w:line="520" w:lineRule="exact"/>
      </w:pPr>
      <w:r>
        <w:rPr>
          <w:rFonts w:hint="eastAsia"/>
        </w:rPr>
        <w:t>本次规划水资源保护利用工程大多为</w:t>
      </w:r>
      <w:r>
        <w:t>线性工程，仅有部分</w:t>
      </w:r>
      <w:r>
        <w:rPr>
          <w:rFonts w:hint="eastAsia"/>
        </w:rPr>
        <w:t>水库扩建和河道治理</w:t>
      </w:r>
      <w:r>
        <w:t>需要对原有河段进行拓宽，</w:t>
      </w:r>
      <w:r>
        <w:rPr>
          <w:rFonts w:hint="eastAsia"/>
        </w:rPr>
        <w:t>产生</w:t>
      </w:r>
      <w:r>
        <w:t>新增永久占地</w:t>
      </w:r>
      <w:r>
        <w:rPr>
          <w:rFonts w:hint="eastAsia"/>
        </w:rPr>
        <w:t>，</w:t>
      </w:r>
      <w:r>
        <w:t>其余治理方式</w:t>
      </w:r>
      <w:r>
        <w:rPr>
          <w:rFonts w:hint="eastAsia"/>
        </w:rPr>
        <w:t>不会破坏</w:t>
      </w:r>
      <w:r>
        <w:t>河道两岸原有的植被。</w:t>
      </w:r>
      <w:r>
        <w:rPr>
          <w:rFonts w:hint="eastAsia"/>
        </w:rPr>
        <w:t>临时施工占地在工程完工后可进行迹地恢复和覆土复耕，在一定程度上可减少施工的不利影响，部分</w:t>
      </w:r>
      <w:r>
        <w:t>河段</w:t>
      </w:r>
      <w:r>
        <w:rPr>
          <w:rFonts w:hint="eastAsia"/>
        </w:rPr>
        <w:t>在</w:t>
      </w:r>
      <w:r>
        <w:t>治理过程中，</w:t>
      </w:r>
      <w:r>
        <w:rPr>
          <w:rFonts w:hint="eastAsia"/>
        </w:rPr>
        <w:t>在</w:t>
      </w:r>
      <w:r>
        <w:t>满足</w:t>
      </w:r>
      <w:r>
        <w:rPr>
          <w:rFonts w:hint="eastAsia"/>
        </w:rPr>
        <w:t>治理</w:t>
      </w:r>
      <w:r>
        <w:t>要求的</w:t>
      </w:r>
      <w:r>
        <w:rPr>
          <w:rFonts w:hint="eastAsia"/>
        </w:rPr>
        <w:t>同时</w:t>
      </w:r>
      <w:r>
        <w:t>，还会对河道</w:t>
      </w:r>
      <w:r>
        <w:rPr>
          <w:rFonts w:hint="eastAsia"/>
        </w:rPr>
        <w:t>护坡</w:t>
      </w:r>
      <w:r>
        <w:t>、岸线</w:t>
      </w:r>
      <w:r>
        <w:rPr>
          <w:rFonts w:hint="eastAsia"/>
        </w:rPr>
        <w:t>，开展</w:t>
      </w:r>
      <w:r>
        <w:t>综合治理，增加</w:t>
      </w:r>
      <w:r>
        <w:rPr>
          <w:rFonts w:hint="eastAsia"/>
        </w:rPr>
        <w:t>河道</w:t>
      </w:r>
      <w:r>
        <w:t>两岸的植被覆盖率</w:t>
      </w:r>
      <w:r>
        <w:rPr>
          <w:rFonts w:hint="eastAsia"/>
        </w:rPr>
        <w:t>，</w:t>
      </w:r>
      <w:r>
        <w:t>对区域内</w:t>
      </w:r>
      <w:r>
        <w:rPr>
          <w:rFonts w:hint="eastAsia"/>
        </w:rPr>
        <w:t>植物</w:t>
      </w:r>
      <w:r>
        <w:t>资源产生有利影响</w:t>
      </w:r>
      <w:r>
        <w:rPr>
          <w:rFonts w:hint="eastAsia"/>
        </w:rPr>
        <w:t>。</w:t>
      </w:r>
    </w:p>
    <w:p>
      <w:pPr>
        <w:spacing w:line="520" w:lineRule="exact"/>
      </w:pPr>
      <w:r>
        <w:rPr>
          <w:rFonts w:hint="eastAsia"/>
        </w:rPr>
        <w:t>（3）对陆生</w:t>
      </w:r>
      <w:r>
        <w:t>脊椎动物的影响</w:t>
      </w:r>
    </w:p>
    <w:p>
      <w:pPr>
        <w:spacing w:line="520" w:lineRule="exact"/>
      </w:pPr>
      <w:r>
        <w:rPr>
          <w:rFonts w:hint="eastAsia"/>
        </w:rPr>
        <w:t>工程</w:t>
      </w:r>
      <w:r>
        <w:t>所在区域，</w:t>
      </w:r>
      <w:r>
        <w:rPr>
          <w:rFonts w:hint="eastAsia"/>
        </w:rPr>
        <w:t>城镇化</w:t>
      </w:r>
      <w:r>
        <w:t>程度较高，受人类活动影响，陆生脊椎动物</w:t>
      </w:r>
      <w:r>
        <w:rPr>
          <w:rFonts w:hint="eastAsia"/>
        </w:rPr>
        <w:t>主要</w:t>
      </w:r>
      <w:r>
        <w:t>为小型啮齿类以及小型鸟类，工程施工时</w:t>
      </w:r>
      <w:r>
        <w:rPr>
          <w:rFonts w:hint="eastAsia"/>
        </w:rPr>
        <w:t>会产生</w:t>
      </w:r>
      <w:r>
        <w:t>一定</w:t>
      </w:r>
      <w:r>
        <w:rPr>
          <w:rFonts w:hint="eastAsia"/>
        </w:rPr>
        <w:t>程度</w:t>
      </w:r>
      <w:r>
        <w:t>的不利影响，但动物自我保护趋避意识</w:t>
      </w:r>
      <w:r>
        <w:rPr>
          <w:rFonts w:hint="eastAsia"/>
        </w:rPr>
        <w:t>会减少不利</w:t>
      </w:r>
      <w:r>
        <w:t>影响，且在工程完成后，治理</w:t>
      </w:r>
      <w:r>
        <w:rPr>
          <w:rFonts w:hint="eastAsia"/>
        </w:rPr>
        <w:t>区域</w:t>
      </w:r>
      <w:r>
        <w:t>的生态环境较治理之前</w:t>
      </w:r>
      <w:r>
        <w:rPr>
          <w:rFonts w:hint="eastAsia"/>
        </w:rPr>
        <w:t>将会</w:t>
      </w:r>
      <w:r>
        <w:t>有</w:t>
      </w:r>
      <w:r>
        <w:rPr>
          <w:rFonts w:hint="eastAsia"/>
        </w:rPr>
        <w:t>很大</w:t>
      </w:r>
      <w:r>
        <w:t>提升，</w:t>
      </w:r>
      <w:r>
        <w:rPr>
          <w:rFonts w:hint="eastAsia"/>
        </w:rPr>
        <w:t>成为</w:t>
      </w:r>
      <w:r>
        <w:t>一些水鸟类的良好栖息地</w:t>
      </w:r>
      <w:r>
        <w:rPr>
          <w:rFonts w:hint="eastAsia"/>
        </w:rPr>
        <w:t>。</w:t>
      </w:r>
      <w:r>
        <w:t>因此，</w:t>
      </w:r>
      <w:r>
        <w:rPr>
          <w:rFonts w:hint="eastAsia"/>
        </w:rPr>
        <w:t>规划</w:t>
      </w:r>
      <w:r>
        <w:t>实施对陆生脊椎动物的影响较小。</w:t>
      </w:r>
    </w:p>
    <w:p>
      <w:pPr>
        <w:spacing w:line="520" w:lineRule="exact"/>
      </w:pPr>
      <w:r>
        <w:rPr>
          <w:rFonts w:hint="eastAsia"/>
        </w:rPr>
        <w:t>（4）对</w:t>
      </w:r>
      <w:r>
        <w:t>鱼类的影响</w:t>
      </w:r>
    </w:p>
    <w:p>
      <w:pPr>
        <w:spacing w:line="520" w:lineRule="exact"/>
      </w:pPr>
      <w:r>
        <w:rPr>
          <w:rFonts w:hint="eastAsia"/>
        </w:rPr>
        <w:t>规划</w:t>
      </w:r>
      <w:r>
        <w:t>工程所涉及</w:t>
      </w:r>
      <w:r>
        <w:rPr>
          <w:rFonts w:hint="eastAsia"/>
        </w:rPr>
        <w:t>的</w:t>
      </w:r>
      <w:r>
        <w:t>主要是</w:t>
      </w:r>
      <w:r>
        <w:rPr>
          <w:rFonts w:hint="eastAsia"/>
        </w:rPr>
        <w:t>抚仙湖流域</w:t>
      </w:r>
      <w:r>
        <w:t>及</w:t>
      </w:r>
      <w:r>
        <w:rPr>
          <w:rFonts w:hint="eastAsia"/>
        </w:rPr>
        <w:t>其</w:t>
      </w:r>
      <w:r>
        <w:t>部分支流河段，</w:t>
      </w:r>
      <w:r>
        <w:rPr>
          <w:rFonts w:hint="eastAsia"/>
        </w:rPr>
        <w:t>在</w:t>
      </w:r>
      <w:r>
        <w:t>河道治理过程</w:t>
      </w:r>
      <w:r>
        <w:rPr>
          <w:rFonts w:hint="eastAsia"/>
        </w:rPr>
        <w:t>中</w:t>
      </w:r>
      <w:r>
        <w:t>，对水体及河床的扰动，</w:t>
      </w:r>
      <w:r>
        <w:rPr>
          <w:rFonts w:hint="eastAsia"/>
        </w:rPr>
        <w:t>影响</w:t>
      </w:r>
      <w:r>
        <w:t>部分河段的水质，局部范围内破坏了鱼类的栖息地</w:t>
      </w:r>
      <w:r>
        <w:rPr>
          <w:rFonts w:hint="eastAsia"/>
        </w:rPr>
        <w:t>，</w:t>
      </w:r>
      <w:r>
        <w:t>对鱼类产生一定不利</w:t>
      </w:r>
      <w:r>
        <w:rPr>
          <w:rFonts w:hint="eastAsia"/>
        </w:rPr>
        <w:t>影响</w:t>
      </w:r>
      <w:r>
        <w:t>，但随着工程结束，治理河段的</w:t>
      </w:r>
      <w:r>
        <w:rPr>
          <w:rFonts w:hint="eastAsia"/>
        </w:rPr>
        <w:t>生态</w:t>
      </w:r>
      <w:r>
        <w:t>环境提升，</w:t>
      </w:r>
      <w:r>
        <w:rPr>
          <w:rFonts w:hint="eastAsia"/>
        </w:rPr>
        <w:t>会</w:t>
      </w:r>
      <w:r>
        <w:t>为鱼类创造更良好的生境，</w:t>
      </w:r>
      <w:r>
        <w:rPr>
          <w:rFonts w:hint="eastAsia"/>
        </w:rPr>
        <w:t>且</w:t>
      </w:r>
      <w:r>
        <w:t>规划工程不会</w:t>
      </w:r>
      <w:r>
        <w:rPr>
          <w:rFonts w:hint="eastAsia"/>
        </w:rPr>
        <w:t>对</w:t>
      </w:r>
      <w:r>
        <w:t>鱼类造成阻隔影响，因此，规划</w:t>
      </w:r>
      <w:r>
        <w:rPr>
          <w:rFonts w:hint="eastAsia"/>
        </w:rPr>
        <w:t>实施</w:t>
      </w:r>
      <w:r>
        <w:t>过程会对鱼类产生一定不利影响，实施后会对鱼类产生有利影响。</w:t>
      </w:r>
      <w:r>
        <w:rPr>
          <w:rFonts w:hint="eastAsia"/>
        </w:rPr>
        <w:t>但目前规划工程不涉及抚仙湖湖体，对抚仙湖特有鱼种和保护鱼种不产生直接不利影响。</w:t>
      </w:r>
    </w:p>
    <w:p>
      <w:pPr>
        <w:pStyle w:val="6"/>
      </w:pPr>
      <w:r>
        <w:rPr>
          <w:rFonts w:hint="eastAsia"/>
        </w:rPr>
        <w:t>环境空气</w:t>
      </w:r>
      <w:r>
        <w:t>影响</w:t>
      </w:r>
    </w:p>
    <w:p>
      <w:pPr>
        <w:spacing w:line="520" w:lineRule="exact"/>
      </w:pPr>
      <w:r>
        <w:rPr>
          <w:rFonts w:hint="eastAsia"/>
        </w:rPr>
        <w:t>规划</w:t>
      </w:r>
      <w:r>
        <w:t>工程的实施对环境空气的主要影响</w:t>
      </w:r>
      <w:r>
        <w:rPr>
          <w:rFonts w:hint="eastAsia"/>
        </w:rPr>
        <w:t>主要</w:t>
      </w:r>
      <w:r>
        <w:t>来自施工机械</w:t>
      </w:r>
      <w:r>
        <w:rPr>
          <w:rFonts w:hint="eastAsia"/>
        </w:rPr>
        <w:t>工作时</w:t>
      </w:r>
      <w:r>
        <w:t>产生的</w:t>
      </w:r>
      <w:r>
        <w:rPr>
          <w:rFonts w:hint="eastAsia"/>
        </w:rPr>
        <w:t>燃烧废气以及开挖</w:t>
      </w:r>
      <w:r>
        <w:t>、运输等过程产生的扬尘对周边环境的影响。</w:t>
      </w:r>
      <w:r>
        <w:rPr>
          <w:rFonts w:hint="eastAsia"/>
        </w:rPr>
        <w:t>燃油废气</w:t>
      </w:r>
      <w:r>
        <w:t>主要包括</w:t>
      </w:r>
      <w:r>
        <w:rPr>
          <w:rFonts w:hint="eastAsia"/>
        </w:rPr>
        <w:t>CO、NO</w:t>
      </w:r>
      <w:r>
        <w:rPr>
          <w:rFonts w:hint="eastAsia"/>
          <w:vertAlign w:val="subscript"/>
        </w:rPr>
        <w:t>2</w:t>
      </w:r>
      <w:r>
        <w:rPr>
          <w:rFonts w:hint="eastAsia"/>
        </w:rPr>
        <w:t>、SO</w:t>
      </w:r>
      <w:r>
        <w:rPr>
          <w:rFonts w:hint="eastAsia"/>
          <w:vertAlign w:val="subscript"/>
        </w:rPr>
        <w:t>2</w:t>
      </w:r>
      <w:r>
        <w:rPr>
          <w:rFonts w:hint="eastAsia"/>
        </w:rPr>
        <w:t>、C</w:t>
      </w:r>
      <w:r>
        <w:rPr>
          <w:rFonts w:hint="eastAsia"/>
          <w:vertAlign w:val="subscript"/>
        </w:rPr>
        <w:t>m</w:t>
      </w:r>
      <w:r>
        <w:rPr>
          <w:rFonts w:hint="eastAsia"/>
        </w:rPr>
        <w:t>H</w:t>
      </w:r>
      <w:r>
        <w:rPr>
          <w:rFonts w:hint="eastAsia"/>
          <w:vertAlign w:val="subscript"/>
        </w:rPr>
        <w:t>n</w:t>
      </w:r>
      <w:r>
        <w:rPr>
          <w:rFonts w:hint="eastAsia"/>
        </w:rPr>
        <w:t>等</w:t>
      </w:r>
      <w:r>
        <w:t>污染物，</w:t>
      </w:r>
      <w:r>
        <w:rPr>
          <w:rFonts w:hint="eastAsia"/>
        </w:rPr>
        <w:t>规划</w:t>
      </w:r>
      <w:r>
        <w:t>工程</w:t>
      </w:r>
      <w:r>
        <w:rPr>
          <w:rFonts w:hint="eastAsia"/>
        </w:rPr>
        <w:t>沿</w:t>
      </w:r>
      <w:r>
        <w:t>河道</w:t>
      </w:r>
      <w:r>
        <w:rPr>
          <w:rFonts w:hint="eastAsia"/>
        </w:rPr>
        <w:t>和水体</w:t>
      </w:r>
      <w:r>
        <w:t>两岸布置，较为分散，排放强度较小</w:t>
      </w:r>
      <w:r>
        <w:rPr>
          <w:rFonts w:hint="eastAsia"/>
        </w:rPr>
        <w:t>，因此工程施工期燃油废气排放对工程区环境空气质量影响较小；施工及</w:t>
      </w:r>
      <w:r>
        <w:t>运输过程中产生的扬尘会导致周围空气中</w:t>
      </w:r>
      <w:r>
        <w:rPr>
          <w:rFonts w:hint="eastAsia"/>
        </w:rPr>
        <w:t>TSP浓度</w:t>
      </w:r>
      <w:r>
        <w:t>增加，对周边人群及施工人员造成影响</w:t>
      </w:r>
      <w:r>
        <w:rPr>
          <w:rFonts w:hint="eastAsia"/>
        </w:rPr>
        <w:t>，通过</w:t>
      </w:r>
      <w:r>
        <w:t>对施工场地及道路洒水降尘，定期清洁，可</w:t>
      </w:r>
      <w:r>
        <w:rPr>
          <w:rFonts w:hint="eastAsia"/>
        </w:rPr>
        <w:t>大大</w:t>
      </w:r>
      <w:r>
        <w:t>降低扬尘的影响。</w:t>
      </w:r>
    </w:p>
    <w:p>
      <w:pPr>
        <w:pStyle w:val="6"/>
      </w:pPr>
      <w:r>
        <w:rPr>
          <w:rFonts w:hint="eastAsia"/>
        </w:rPr>
        <w:t>声</w:t>
      </w:r>
      <w:r>
        <w:t>环境影响</w:t>
      </w:r>
    </w:p>
    <w:p>
      <w:pPr>
        <w:spacing w:line="520" w:lineRule="exact"/>
      </w:pPr>
      <w:r>
        <w:rPr>
          <w:rFonts w:hint="eastAsia"/>
        </w:rPr>
        <w:t>规划</w:t>
      </w:r>
      <w:r>
        <w:t>治理</w:t>
      </w:r>
      <w:r>
        <w:rPr>
          <w:rFonts w:hint="eastAsia"/>
        </w:rPr>
        <w:t>部分</w:t>
      </w:r>
      <w:r>
        <w:t>河段从城区穿过，河道治理施工</w:t>
      </w:r>
      <w:r>
        <w:rPr>
          <w:rFonts w:hint="eastAsia"/>
        </w:rPr>
        <w:t>机械以及施工</w:t>
      </w:r>
      <w:r>
        <w:t>交通运输产生的噪声会对周围居民</w:t>
      </w:r>
      <w:r>
        <w:rPr>
          <w:rFonts w:hint="eastAsia"/>
        </w:rPr>
        <w:t>的</w:t>
      </w:r>
      <w:r>
        <w:t>生活环境产生影响。</w:t>
      </w:r>
      <w:r>
        <w:rPr>
          <w:rFonts w:hint="eastAsia"/>
        </w:rPr>
        <w:t>施工机械主要</w:t>
      </w:r>
      <w:r>
        <w:t>是</w:t>
      </w:r>
      <w:r>
        <w:rPr>
          <w:rFonts w:hint="eastAsia"/>
        </w:rPr>
        <w:t>混凝土</w:t>
      </w:r>
      <w:r>
        <w:t>搅拌设备、振捣器、压缩机等固定声源，产生的噪声强度约</w:t>
      </w:r>
      <w:r>
        <w:rPr>
          <w:rFonts w:hint="eastAsia"/>
        </w:rPr>
        <w:t>75-100</w:t>
      </w:r>
      <w:r>
        <w:t>dB（</w:t>
      </w:r>
      <w:r>
        <w:rPr>
          <w:rFonts w:hint="eastAsia"/>
        </w:rPr>
        <w:t>A</w:t>
      </w:r>
      <w:r>
        <w:t>）</w:t>
      </w:r>
      <w:r>
        <w:rPr>
          <w:rFonts w:hint="eastAsia"/>
        </w:rPr>
        <w:t>，交通</w:t>
      </w:r>
      <w:r>
        <w:t>运输车辆为流动声源，产生的噪声强度约为</w:t>
      </w:r>
      <w:r>
        <w:rPr>
          <w:rFonts w:hint="eastAsia"/>
        </w:rPr>
        <w:t>75-95</w:t>
      </w:r>
      <w:r>
        <w:t>dB（</w:t>
      </w:r>
      <w:r>
        <w:rPr>
          <w:rFonts w:hint="eastAsia"/>
        </w:rPr>
        <w:t>A</w:t>
      </w:r>
      <w:r>
        <w:t>）</w:t>
      </w:r>
      <w:r>
        <w:rPr>
          <w:rFonts w:hint="eastAsia"/>
        </w:rPr>
        <w:t>。</w:t>
      </w:r>
    </w:p>
    <w:p>
      <w:pPr>
        <w:pStyle w:val="6"/>
      </w:pPr>
      <w:r>
        <w:rPr>
          <w:rFonts w:hint="eastAsia"/>
        </w:rPr>
        <w:t>对</w:t>
      </w:r>
      <w:r>
        <w:t>环境敏感区的影响</w:t>
      </w:r>
    </w:p>
    <w:p>
      <w:pPr>
        <w:spacing w:line="520" w:lineRule="exact"/>
      </w:pPr>
      <w:r>
        <w:rPr>
          <w:rFonts w:hint="eastAsia"/>
        </w:rPr>
        <w:t>规划工程可能</w:t>
      </w:r>
      <w:r>
        <w:t>涉及</w:t>
      </w:r>
      <w:r>
        <w:rPr>
          <w:rFonts w:hint="eastAsia"/>
        </w:rPr>
        <w:t>自然保护区、</w:t>
      </w:r>
      <w:r>
        <w:t>风景名胜区、</w:t>
      </w:r>
      <w:r>
        <w:rPr>
          <w:rFonts w:hint="eastAsia"/>
        </w:rPr>
        <w:t>国家级公园以及</w:t>
      </w:r>
      <w:r>
        <w:t>生态保护红线</w:t>
      </w:r>
      <w:r>
        <w:rPr>
          <w:rFonts w:hint="eastAsia"/>
        </w:rPr>
        <w:t>。</w:t>
      </w:r>
    </w:p>
    <w:p>
      <w:pPr>
        <w:spacing w:line="520" w:lineRule="exact"/>
      </w:pPr>
      <w:r>
        <w:rPr>
          <w:rFonts w:hint="eastAsia"/>
        </w:rPr>
        <w:t>（1）对自然保护区</w:t>
      </w:r>
      <w:r>
        <w:t>影响</w:t>
      </w:r>
    </w:p>
    <w:p>
      <w:pPr>
        <w:spacing w:line="520" w:lineRule="exact"/>
      </w:pPr>
      <w:r>
        <w:rPr>
          <w:rFonts w:hint="eastAsia"/>
        </w:rPr>
        <w:t>经初步核实，规划区范围内有澄江动物化石群省级自然保护区、澄江梁王山县级自然保护区两个自然保护区。现阶段规划工程不涉及上述保护区，但由于受规划深度的影响，暂时无法明确规划工程与自然保护区的具体关系。</w:t>
      </w:r>
    </w:p>
    <w:p>
      <w:pPr>
        <w:spacing w:line="520" w:lineRule="exact"/>
      </w:pPr>
      <w:r>
        <w:rPr>
          <w:rFonts w:hint="eastAsia"/>
        </w:rPr>
        <w:t>规划工程施工过程中施工废水和生活污水若不经处理直接排放，势必对保护区水域水质造成污染影响；施工机械噪声和运输车辆亦对保护区野生动物造成噪声惊扰影响；车辆运输产生的废气和扬尘对保护区内环境空气质量造成污染；施工产生的建筑垃圾和生活垃圾，会造成保护区内生态环境的污染，长时间堆放的生活垃圾容易滋生蚊虫，容易引发自燃疫源性疾病的发生，对施工人员的卫生健康造成不利影响。建成后，澄江市水资源保护能力提升，区域水环境将得到有效改善，也会对自然保护区带来一定的积极影响。</w:t>
      </w:r>
    </w:p>
    <w:p>
      <w:pPr>
        <w:spacing w:line="520" w:lineRule="exact"/>
      </w:pPr>
      <w:r>
        <w:rPr>
          <w:rFonts w:hint="eastAsia"/>
        </w:rPr>
        <w:t>根据《中华人民共和国自然保护区条例》第三十二条、《云南省自然保护区管理条例》中第十四条规定缓冲区经自然保护区管理机构批准可以进入从事科学研究观测活动，不得建设任何生产设施；实验区不得建设污染环境、破坏资源或者景观的生产设施。开展参观、旅游活动的，由自然保护区管理机构编制方案，方案应当符合自然保护区管理目标，不得开设与自然保护区保护方向不一致的参观、旅游项目。</w:t>
      </w:r>
    </w:p>
    <w:p>
      <w:pPr>
        <w:spacing w:line="520" w:lineRule="exact"/>
      </w:pPr>
      <w:r>
        <w:rPr>
          <w:rFonts w:hint="eastAsia"/>
        </w:rPr>
        <w:t>总体上看，考虑到相关法律规定，建议通过优化施工工艺、加强施工期管理等多种方式进一步缓解对自然保护区的影响。</w:t>
      </w:r>
    </w:p>
    <w:p>
      <w:pPr>
        <w:spacing w:line="520" w:lineRule="exact"/>
      </w:pPr>
      <w:r>
        <w:rPr>
          <w:rFonts w:hint="eastAsia"/>
        </w:rPr>
        <w:t>（2）对风景名胜区</w:t>
      </w:r>
      <w:r>
        <w:t>影响</w:t>
      </w:r>
    </w:p>
    <w:p>
      <w:pPr>
        <w:spacing w:line="520" w:lineRule="exact"/>
      </w:pPr>
      <w:r>
        <w:rPr>
          <w:rFonts w:hint="eastAsia"/>
        </w:rPr>
        <w:t>根据风景名胜区</w:t>
      </w:r>
      <w:r>
        <w:t>范围以及工程布置分析，</w:t>
      </w:r>
      <w:r>
        <w:rPr>
          <w:rFonts w:hint="eastAsia"/>
        </w:rPr>
        <w:t>规划工程可能</w:t>
      </w:r>
      <w:r>
        <w:t>涉及</w:t>
      </w:r>
      <w:r>
        <w:rPr>
          <w:rFonts w:hint="eastAsia"/>
        </w:rPr>
        <w:t>抚仙-星云湖泊风景名胜区。</w:t>
      </w:r>
    </w:p>
    <w:p>
      <w:pPr>
        <w:spacing w:line="520" w:lineRule="exact"/>
      </w:pPr>
      <w:r>
        <w:rPr>
          <w:rFonts w:hint="eastAsia"/>
        </w:rPr>
        <w:t>根据初步分析，本规划中的抚仙湖北侧区域湿地保护和提升等工程可能涉及风景名胜区。从景观层面上来讲，本工程的实施不可避免的会对风景名胜区的景观造成影响，在施工期，施工占地、开挖造成地表裸露，施工弃渣等施工行为会影响景观的视觉美，施工噪声、粉尘等也会影响景区的景观质量，但这些影响到了运行期会逐渐消失，且涉及风景名胜区为管道工程，开挖等工程量较小，在做好绿化等环保措施的前提下，对景区的实际影响不大。</w:t>
      </w:r>
    </w:p>
    <w:p>
      <w:pPr>
        <w:spacing w:line="520" w:lineRule="exact"/>
        <w:rPr>
          <w:rFonts w:eastAsia="宋体"/>
        </w:rPr>
      </w:pPr>
      <w:r>
        <w:rPr>
          <w:rFonts w:hint="eastAsia"/>
        </w:rPr>
        <w:t>但由于目前自然保护地整合优化成果尚未正式启用，规划工程与风景名胜区位置关系具有不确定性，因此在环评专题阶段需要进一步核实。为了保护风景名胜区，环评专题阶段需进行合理选址，避开风景名胜区，各项施工生产生活区、施工设施均不得布设在风景名胜区。若不能避让风景名胜区，需按照相关法律法规办理相关</w:t>
      </w:r>
      <w:r>
        <w:rPr>
          <w:rFonts w:hint="eastAsia" w:eastAsia="宋体"/>
        </w:rPr>
        <w:t>手续，经风景名胜区主管部门的同意后，方可实施工程建设。</w:t>
      </w:r>
    </w:p>
    <w:p>
      <w:pPr>
        <w:spacing w:line="520" w:lineRule="exact"/>
        <w:rPr>
          <w:rFonts w:eastAsia="宋体"/>
        </w:rPr>
      </w:pPr>
      <w:r>
        <w:rPr>
          <w:rFonts w:hint="eastAsia" w:eastAsia="宋体"/>
        </w:rPr>
        <w:t>（3）对国家级公园的影响</w:t>
      </w:r>
    </w:p>
    <w:p>
      <w:pPr>
        <w:spacing w:line="520" w:lineRule="exact"/>
        <w:rPr>
          <w:rFonts w:eastAsia="宋体"/>
        </w:rPr>
      </w:pPr>
      <w:r>
        <w:rPr>
          <w:rFonts w:hint="eastAsia" w:eastAsia="宋体"/>
        </w:rPr>
        <w:t>①对湿地公园的影响</w:t>
      </w:r>
    </w:p>
    <w:p>
      <w:pPr>
        <w:spacing w:line="520" w:lineRule="exact"/>
        <w:rPr>
          <w:rFonts w:eastAsia="宋体"/>
        </w:rPr>
      </w:pPr>
      <w:r>
        <w:rPr>
          <w:rFonts w:hint="eastAsia" w:eastAsia="宋体"/>
        </w:rPr>
        <w:t>根据自然保护区范围以及工程布置分析，规划工程可能涉及</w:t>
      </w:r>
      <w:r>
        <w:rPr>
          <w:rFonts w:hint="eastAsia"/>
        </w:rPr>
        <w:t>抚仙-星云湖泊风景名胜区</w:t>
      </w:r>
      <w:r>
        <w:rPr>
          <w:rFonts w:hint="eastAsia" w:eastAsia="宋体"/>
        </w:rPr>
        <w:t>。</w:t>
      </w:r>
    </w:p>
    <w:p>
      <w:pPr>
        <w:spacing w:line="520" w:lineRule="exact"/>
      </w:pPr>
      <w:r>
        <w:rPr>
          <w:rFonts w:hint="eastAsia"/>
        </w:rPr>
        <w:t>规划工程不可避免会对湿地公园产生一定影响，具体表现在施工期工程建设废弃以及施工废水易造成湿地公园水环境的污染，从而造成湿地生态系统受损，但这些影响都是暂时的，在下阶段执行环境影响保护措施的前提下，这类影响可以得到有效减缓。随着工程运行期，河道生态系统逐渐恢复，许多湿地、水域栖息的鸟类会逐渐增加，区域水资源情况将得到有效改善，总体来说，不论施工期还是运行期，工程建设造成影响不可避免，但这些影响相对较小，对区域湿地生态系统来说，工程建设对湿地公园是有利的。</w:t>
      </w:r>
    </w:p>
    <w:p>
      <w:pPr>
        <w:spacing w:line="520" w:lineRule="exact"/>
        <w:ind w:left="496" w:leftChars="200" w:firstLine="0" w:firstLineChars="0"/>
      </w:pPr>
      <w:r>
        <w:rPr>
          <w:rFonts w:hint="eastAsia"/>
        </w:rPr>
        <w:t>②对地质公园</w:t>
      </w:r>
      <w:r>
        <w:t>的影响</w:t>
      </w:r>
    </w:p>
    <w:p>
      <w:pPr>
        <w:spacing w:line="520" w:lineRule="exact"/>
      </w:pPr>
      <w:r>
        <w:rPr>
          <w:rFonts w:hint="eastAsia"/>
        </w:rPr>
        <w:t>根据地质公园</w:t>
      </w:r>
      <w:r>
        <w:t>范围以及工程布置</w:t>
      </w:r>
      <w:r>
        <w:rPr>
          <w:rFonts w:hint="eastAsia"/>
        </w:rPr>
        <w:t>初步</w:t>
      </w:r>
      <w:r>
        <w:t>分析，</w:t>
      </w:r>
      <w:r>
        <w:rPr>
          <w:rFonts w:hint="eastAsia"/>
        </w:rPr>
        <w:t>现阶段规划工程不涉及上述保护区，但由于受规划深度的影响，暂时无法明确规划工程与自然保护区的具体关系。</w:t>
      </w:r>
    </w:p>
    <w:p>
      <w:pPr>
        <w:spacing w:line="520" w:lineRule="exact"/>
        <w:rPr>
          <w:rFonts w:eastAsia="宋体"/>
        </w:rPr>
      </w:pPr>
      <w:r>
        <w:rPr>
          <w:rFonts w:hint="eastAsia"/>
        </w:rPr>
        <w:t>在地质公园的范围内，工程施工过程中的基础开挖、河道加固等不可避免对地质公园的景观产生一定影响，影响公园的整体美观，但工程的建设均依托现有湖泊、河道等水体，工程施工对水体周边的扰动小，对公园内的地质资源影响有限。</w:t>
      </w:r>
      <w:r>
        <w:rPr>
          <w:rFonts w:eastAsia="宋体"/>
        </w:rPr>
        <w:t>规划工程</w:t>
      </w:r>
      <w:r>
        <w:rPr>
          <w:rFonts w:hint="eastAsia" w:eastAsia="宋体"/>
        </w:rPr>
        <w:t>施工前</w:t>
      </w:r>
      <w:r>
        <w:rPr>
          <w:rFonts w:eastAsia="宋体"/>
        </w:rPr>
        <w:t>应进一步咨询相关主管部门意见</w:t>
      </w:r>
      <w:r>
        <w:rPr>
          <w:rFonts w:hint="eastAsia" w:eastAsia="宋体"/>
        </w:rPr>
        <w:t>，</w:t>
      </w:r>
      <w:r>
        <w:rPr>
          <w:rFonts w:eastAsia="宋体"/>
        </w:rPr>
        <w:t>并</w:t>
      </w:r>
      <w:r>
        <w:rPr>
          <w:rFonts w:hint="eastAsia" w:eastAsia="宋体"/>
        </w:rPr>
        <w:t>充分</w:t>
      </w:r>
      <w:r>
        <w:rPr>
          <w:rFonts w:eastAsia="宋体"/>
        </w:rPr>
        <w:t>论证工程建设对</w:t>
      </w:r>
      <w:r>
        <w:rPr>
          <w:rFonts w:hint="eastAsia"/>
        </w:rPr>
        <w:t>地质公园</w:t>
      </w:r>
      <w:r>
        <w:rPr>
          <w:rFonts w:eastAsia="宋体"/>
        </w:rPr>
        <w:t>的影响，并由相关管理部门按照程序进行审核。</w:t>
      </w:r>
    </w:p>
    <w:p>
      <w:pPr>
        <w:spacing w:line="520" w:lineRule="exact"/>
      </w:pPr>
      <w:r>
        <w:rPr>
          <w:rFonts w:hint="eastAsia"/>
        </w:rPr>
        <w:t>（4）对</w:t>
      </w:r>
      <w:r>
        <w:t>生态保护红线的影响</w:t>
      </w:r>
    </w:p>
    <w:p>
      <w:pPr>
        <w:spacing w:line="520" w:lineRule="exact"/>
      </w:pPr>
      <w:r>
        <w:rPr>
          <w:rFonts w:hint="eastAsia"/>
        </w:rPr>
        <w:t>规划工程占用的生态保护红线工程征占地将造成流域内生态保护红线面积减少，生态功能有所降低。规划工程占用的生态红线属于高原湖泊及牛栏江上游水源涵养生态保护红线，主导功能是水源涵养。依据结合现有资料及遥感判读，占用红线的区域主要为次生植被，生物多样性不高，未发现保护动植物分布；规划工程涉及的生态保护红线面积较为有限，影响范围较小。规划工程的建设仅会导致局部区域植物个体及数量的损失，对区域的生物多样性维持及水土保持功能产生的不利影响较为有限。</w:t>
      </w:r>
    </w:p>
    <w:p>
      <w:pPr>
        <w:pStyle w:val="6"/>
      </w:pPr>
      <w:r>
        <w:rPr>
          <w:rFonts w:hint="eastAsia"/>
        </w:rPr>
        <w:t>固体废弃物</w:t>
      </w:r>
      <w:r>
        <w:t>的影响</w:t>
      </w:r>
    </w:p>
    <w:p>
      <w:pPr>
        <w:spacing w:line="520" w:lineRule="exact"/>
      </w:pPr>
      <w:r>
        <w:rPr>
          <w:rFonts w:hint="eastAsia"/>
        </w:rPr>
        <w:t>规划</w:t>
      </w:r>
      <w:r>
        <w:t>工程实施带来的固体废弃物影响主要</w:t>
      </w:r>
      <w:r>
        <w:rPr>
          <w:rFonts w:hint="eastAsia"/>
        </w:rPr>
        <w:t>来自</w:t>
      </w:r>
      <w:r>
        <w:t>工程弃渣</w:t>
      </w:r>
      <w:r>
        <w:rPr>
          <w:rFonts w:hint="eastAsia"/>
        </w:rPr>
        <w:t>和</w:t>
      </w:r>
      <w:r>
        <w:t>施工期</w:t>
      </w:r>
      <w:r>
        <w:rPr>
          <w:rFonts w:hint="eastAsia"/>
        </w:rPr>
        <w:t>建筑</w:t>
      </w:r>
      <w:r>
        <w:t>、生活垃圾。</w:t>
      </w:r>
      <w:r>
        <w:rPr>
          <w:rFonts w:hint="eastAsia"/>
        </w:rPr>
        <w:t>其中</w:t>
      </w:r>
      <w:r>
        <w:t>，弃渣主要</w:t>
      </w:r>
      <w:r>
        <w:rPr>
          <w:rFonts w:hint="eastAsia"/>
        </w:rPr>
        <w:t>是</w:t>
      </w:r>
      <w:r>
        <w:t>河道</w:t>
      </w:r>
      <w:r>
        <w:rPr>
          <w:rFonts w:hint="eastAsia"/>
        </w:rPr>
        <w:t>治理</w:t>
      </w:r>
      <w:r>
        <w:t>过程中</w:t>
      </w:r>
      <w:r>
        <w:rPr>
          <w:rFonts w:hint="eastAsia"/>
        </w:rPr>
        <w:t>水库扩建、河道拓宽</w:t>
      </w:r>
      <w:r>
        <w:t>、清淤等过程中</w:t>
      </w:r>
      <w:r>
        <w:rPr>
          <w:rFonts w:hint="eastAsia"/>
        </w:rPr>
        <w:t>开挖</w:t>
      </w:r>
      <w:r>
        <w:t>的土石方</w:t>
      </w:r>
      <w:r>
        <w:rPr>
          <w:rFonts w:hint="eastAsia"/>
        </w:rPr>
        <w:t>，</w:t>
      </w:r>
      <w:r>
        <w:t>影响主要表现在</w:t>
      </w:r>
      <w:r>
        <w:rPr>
          <w:rFonts w:hint="eastAsia"/>
        </w:rPr>
        <w:t>占</w:t>
      </w:r>
      <w:r>
        <w:t>压</w:t>
      </w:r>
      <w:r>
        <w:rPr>
          <w:rFonts w:hint="eastAsia"/>
        </w:rPr>
        <w:t>植被</w:t>
      </w:r>
      <w:r>
        <w:t>、影响工程区景观，弃渣未及时</w:t>
      </w:r>
      <w:r>
        <w:rPr>
          <w:rFonts w:hint="eastAsia"/>
        </w:rPr>
        <w:t>清运堆存或处置</w:t>
      </w:r>
      <w:r>
        <w:t>不当</w:t>
      </w:r>
      <w:r>
        <w:rPr>
          <w:rFonts w:hint="eastAsia"/>
        </w:rPr>
        <w:t>受到</w:t>
      </w:r>
      <w:r>
        <w:t>雨水或地表径流冲刷极易造成水土流失，</w:t>
      </w:r>
      <w:r>
        <w:rPr>
          <w:rFonts w:hint="eastAsia"/>
        </w:rPr>
        <w:t>弃渣</w:t>
      </w:r>
      <w:r>
        <w:t>冲</w:t>
      </w:r>
      <w:r>
        <w:rPr>
          <w:rFonts w:hint="eastAsia"/>
        </w:rPr>
        <w:t>入</w:t>
      </w:r>
      <w:r>
        <w:t>河道影响河道水质</w:t>
      </w:r>
      <w:r>
        <w:rPr>
          <w:rFonts w:hint="eastAsia"/>
        </w:rPr>
        <w:t>；建筑</w:t>
      </w:r>
      <w:r>
        <w:t>垃圾主要是</w:t>
      </w:r>
      <w:r>
        <w:rPr>
          <w:rFonts w:hint="eastAsia"/>
        </w:rPr>
        <w:t>施工</w:t>
      </w:r>
      <w:r>
        <w:t>过程中</w:t>
      </w:r>
      <w:r>
        <w:rPr>
          <w:rFonts w:hint="eastAsia"/>
        </w:rPr>
        <w:t>材料</w:t>
      </w:r>
      <w:r>
        <w:t>包装、边角料等</w:t>
      </w:r>
      <w:r>
        <w:rPr>
          <w:rFonts w:hint="eastAsia"/>
        </w:rPr>
        <w:t>，</w:t>
      </w:r>
      <w:r>
        <w:t>生活垃圾主要是</w:t>
      </w:r>
      <w:r>
        <w:rPr>
          <w:rFonts w:hint="eastAsia"/>
        </w:rPr>
        <w:t>由</w:t>
      </w:r>
      <w:r>
        <w:t>施工人员</w:t>
      </w:r>
      <w:r>
        <w:rPr>
          <w:rFonts w:hint="eastAsia"/>
        </w:rPr>
        <w:t>日常</w:t>
      </w:r>
      <w:r>
        <w:t>生活产生，</w:t>
      </w:r>
      <w:r>
        <w:rPr>
          <w:rFonts w:hint="eastAsia"/>
        </w:rPr>
        <w:t>如不妥善</w:t>
      </w:r>
      <w:r>
        <w:t>进行处置，</w:t>
      </w:r>
      <w:r>
        <w:rPr>
          <w:rFonts w:hint="eastAsia"/>
        </w:rPr>
        <w:t>容易对</w:t>
      </w:r>
      <w:r>
        <w:t>周边环境造成</w:t>
      </w:r>
      <w:r>
        <w:rPr>
          <w:rFonts w:hint="eastAsia"/>
        </w:rPr>
        <w:t>不利</w:t>
      </w:r>
      <w:r>
        <w:t>影响。</w:t>
      </w:r>
    </w:p>
    <w:p>
      <w:pPr>
        <w:pStyle w:val="6"/>
      </w:pPr>
      <w:r>
        <w:rPr>
          <w:rFonts w:hint="eastAsia"/>
        </w:rPr>
        <w:t>社会</w:t>
      </w:r>
      <w:r>
        <w:t>环境</w:t>
      </w:r>
      <w:r>
        <w:rPr>
          <w:rFonts w:hint="eastAsia"/>
        </w:rPr>
        <w:t>影响</w:t>
      </w:r>
    </w:p>
    <w:p>
      <w:pPr>
        <w:spacing w:line="520" w:lineRule="exact"/>
      </w:pPr>
      <w:r>
        <w:rPr>
          <w:rFonts w:hint="eastAsia"/>
        </w:rPr>
        <w:t>（1）对土地</w:t>
      </w:r>
      <w:r>
        <w:t>利用的影响</w:t>
      </w:r>
    </w:p>
    <w:p>
      <w:pPr>
        <w:spacing w:line="520" w:lineRule="exact"/>
      </w:pPr>
      <w:r>
        <w:rPr>
          <w:rFonts w:hint="eastAsia"/>
        </w:rPr>
        <w:t>规划</w:t>
      </w:r>
      <w:r>
        <w:t>工程</w:t>
      </w:r>
      <w:r>
        <w:rPr>
          <w:rFonts w:hint="eastAsia"/>
        </w:rPr>
        <w:t>中扩建水库、治理山洪沟治理</w:t>
      </w:r>
      <w:r>
        <w:t>以及对河</w:t>
      </w:r>
      <w:r>
        <w:rPr>
          <w:rFonts w:hint="eastAsia"/>
        </w:rPr>
        <w:t>道</w:t>
      </w:r>
      <w:r>
        <w:t>两岸</w:t>
      </w:r>
      <w:r>
        <w:rPr>
          <w:rFonts w:hint="eastAsia"/>
        </w:rPr>
        <w:t>植物</w:t>
      </w:r>
      <w:r>
        <w:t>、路面等的</w:t>
      </w:r>
      <w:r>
        <w:rPr>
          <w:rFonts w:hint="eastAsia"/>
        </w:rPr>
        <w:t>整治</w:t>
      </w:r>
      <w:r>
        <w:t>，</w:t>
      </w:r>
      <w:r>
        <w:rPr>
          <w:rFonts w:hint="eastAsia"/>
        </w:rPr>
        <w:t>将</w:t>
      </w:r>
      <w:r>
        <w:t>会</w:t>
      </w:r>
      <w:r>
        <w:rPr>
          <w:rFonts w:hint="eastAsia"/>
        </w:rPr>
        <w:t>永久</w:t>
      </w:r>
      <w:r>
        <w:t>性的改变河道两岸的</w:t>
      </w:r>
      <w:r>
        <w:rPr>
          <w:rFonts w:hint="eastAsia"/>
        </w:rPr>
        <w:t>土地</w:t>
      </w:r>
      <w:r>
        <w:t>利用类型，</w:t>
      </w:r>
      <w:r>
        <w:rPr>
          <w:rFonts w:hint="eastAsia"/>
        </w:rPr>
        <w:t>但占地</w:t>
      </w:r>
      <w:r>
        <w:t>主要</w:t>
      </w:r>
      <w:r>
        <w:rPr>
          <w:rFonts w:hint="eastAsia"/>
        </w:rPr>
        <w:t>集中</w:t>
      </w:r>
      <w:r>
        <w:t>在河道两岸，</w:t>
      </w:r>
      <w:r>
        <w:rPr>
          <w:rFonts w:hint="eastAsia"/>
        </w:rPr>
        <w:t>规划</w:t>
      </w:r>
      <w:r>
        <w:t>方案在</w:t>
      </w:r>
      <w:r>
        <w:rPr>
          <w:rFonts w:hint="eastAsia"/>
        </w:rPr>
        <w:t>设计</w:t>
      </w:r>
      <w:r>
        <w:t>过程中，已经</w:t>
      </w:r>
      <w:r>
        <w:rPr>
          <w:rFonts w:hint="eastAsia"/>
        </w:rPr>
        <w:t>综合</w:t>
      </w:r>
      <w:r>
        <w:t>考虑了</w:t>
      </w:r>
      <w:r>
        <w:rPr>
          <w:rFonts w:hint="eastAsia"/>
        </w:rPr>
        <w:t>河道宽度</w:t>
      </w:r>
      <w:r>
        <w:t>以及河道两岸的植被、房屋、公路等建筑情况，合理</w:t>
      </w:r>
      <w:r>
        <w:rPr>
          <w:rFonts w:hint="eastAsia"/>
        </w:rPr>
        <w:t>设计</w:t>
      </w:r>
      <w:r>
        <w:t>河道整治断面，提出</w:t>
      </w:r>
      <w:r>
        <w:rPr>
          <w:rFonts w:hint="eastAsia"/>
        </w:rPr>
        <w:t>合理</w:t>
      </w:r>
      <w:r>
        <w:t>的整治方案，且</w:t>
      </w:r>
      <w:r>
        <w:rPr>
          <w:rFonts w:hint="eastAsia"/>
        </w:rPr>
        <w:t>规划</w:t>
      </w:r>
      <w:r>
        <w:t>的实施，是</w:t>
      </w:r>
      <w:r>
        <w:rPr>
          <w:rFonts w:hint="eastAsia"/>
        </w:rPr>
        <w:t>综合</w:t>
      </w:r>
      <w:r>
        <w:t>考虑城市发展的各方面因素下，对河道行洪功能以及岸线景观的优化调整，总</w:t>
      </w:r>
      <w:r>
        <w:rPr>
          <w:rFonts w:hint="eastAsia"/>
        </w:rPr>
        <w:t>体</w:t>
      </w:r>
      <w:r>
        <w:t>来说，对</w:t>
      </w:r>
      <w:r>
        <w:rPr>
          <w:rFonts w:hint="eastAsia"/>
        </w:rPr>
        <w:t>区域</w:t>
      </w:r>
      <w:r>
        <w:t>内</w:t>
      </w:r>
      <w:r>
        <w:rPr>
          <w:rFonts w:hint="eastAsia"/>
        </w:rPr>
        <w:t>土地</w:t>
      </w:r>
      <w:r>
        <w:t>利用的影响较小。</w:t>
      </w:r>
    </w:p>
    <w:p>
      <w:pPr>
        <w:spacing w:line="520" w:lineRule="exact"/>
      </w:pPr>
      <w:r>
        <w:rPr>
          <w:rFonts w:hint="eastAsia"/>
        </w:rPr>
        <w:t>（2）对</w:t>
      </w:r>
      <w:r>
        <w:t>人群健康的影响</w:t>
      </w:r>
    </w:p>
    <w:p>
      <w:pPr>
        <w:spacing w:line="520" w:lineRule="exact"/>
      </w:pPr>
      <w:r>
        <w:t>规划工程的实施，外来人员的涌入会对区域人群健康造成影响，进驻的施工人员中可能携带有病源，可能向当地居民传染；另一方面施工期间人员密集，食宿集中，若施工区卫生防疫条件差</w:t>
      </w:r>
      <w:r>
        <w:rPr>
          <w:rFonts w:hint="eastAsia"/>
        </w:rPr>
        <w:t>，易</w:t>
      </w:r>
      <w:r>
        <w:t>对</w:t>
      </w:r>
      <w:r>
        <w:rPr>
          <w:rFonts w:hint="eastAsia"/>
        </w:rPr>
        <w:t>施工人员</w:t>
      </w:r>
      <w:r>
        <w:t>的健康造成影响，影响程度随着施工人员进驻的增加而增加。</w:t>
      </w:r>
    </w:p>
    <w:p>
      <w:pPr>
        <w:spacing w:line="520" w:lineRule="exact"/>
      </w:pPr>
      <w:r>
        <w:rPr>
          <w:rFonts w:hint="eastAsia"/>
        </w:rPr>
        <w:t>（3）对</w:t>
      </w:r>
      <w:r>
        <w:t>社会经济的影响</w:t>
      </w:r>
    </w:p>
    <w:p>
      <w:pPr>
        <w:spacing w:line="520" w:lineRule="exact"/>
      </w:pPr>
      <w:r>
        <w:rPr>
          <w:rFonts w:hint="eastAsia"/>
        </w:rPr>
        <w:t>规划的实施</w:t>
      </w:r>
      <w:r>
        <w:t>，提升了</w:t>
      </w:r>
      <w:r>
        <w:rPr>
          <w:rFonts w:hint="eastAsia"/>
        </w:rPr>
        <w:t>澄江市区域水资源保护率</w:t>
      </w:r>
      <w:r>
        <w:t>，为人民群众的</w:t>
      </w:r>
      <w:r>
        <w:rPr>
          <w:rFonts w:hint="eastAsia"/>
        </w:rPr>
        <w:t>生活生产用水</w:t>
      </w:r>
      <w:r>
        <w:t>提供了</w:t>
      </w:r>
      <w:r>
        <w:rPr>
          <w:rFonts w:hint="eastAsia"/>
        </w:rPr>
        <w:t>有力</w:t>
      </w:r>
      <w:r>
        <w:t>保障</w:t>
      </w:r>
      <w:r>
        <w:rPr>
          <w:rFonts w:hint="eastAsia"/>
        </w:rPr>
        <w:t>，同时</w:t>
      </w:r>
      <w:r>
        <w:t>也为</w:t>
      </w:r>
      <w:r>
        <w:rPr>
          <w:rFonts w:hint="eastAsia"/>
        </w:rPr>
        <w:t>流域内</w:t>
      </w:r>
      <w:r>
        <w:t>城市经济社会可持续发展提供了必要的支撑。</w:t>
      </w:r>
      <w:r>
        <w:rPr>
          <w:rFonts w:hint="eastAsia"/>
        </w:rPr>
        <w:t>因此</w:t>
      </w:r>
      <w:r>
        <w:t>，</w:t>
      </w:r>
      <w:r>
        <w:rPr>
          <w:rFonts w:hint="eastAsia"/>
        </w:rPr>
        <w:t>规划</w:t>
      </w:r>
      <w:r>
        <w:t>实施对</w:t>
      </w:r>
      <w:r>
        <w:rPr>
          <w:rFonts w:hint="eastAsia"/>
        </w:rPr>
        <w:t>流域内</w:t>
      </w:r>
      <w:r>
        <w:t>城市社会经济</w:t>
      </w:r>
      <w:r>
        <w:rPr>
          <w:rFonts w:hint="eastAsia"/>
        </w:rPr>
        <w:t>是</w:t>
      </w:r>
      <w:r>
        <w:t>有正面积极的影响。</w:t>
      </w:r>
    </w:p>
    <w:p>
      <w:pPr>
        <w:pStyle w:val="5"/>
      </w:pPr>
      <w:bookmarkStart w:id="140" w:name="_Toc184023358"/>
      <w:r>
        <w:rPr>
          <w:rFonts w:hint="eastAsia"/>
        </w:rPr>
        <w:t>环境保护对策措施</w:t>
      </w:r>
      <w:bookmarkEnd w:id="140"/>
    </w:p>
    <w:p>
      <w:pPr>
        <w:pStyle w:val="6"/>
      </w:pPr>
      <w:r>
        <w:rPr>
          <w:rFonts w:hint="eastAsia"/>
        </w:rPr>
        <w:t>水环境</w:t>
      </w:r>
      <w:r>
        <w:t>保护措施</w:t>
      </w:r>
    </w:p>
    <w:p>
      <w:pPr>
        <w:spacing w:line="520" w:lineRule="exact"/>
      </w:pPr>
      <w:r>
        <w:rPr>
          <w:rFonts w:hint="eastAsia"/>
        </w:rPr>
        <w:t>（1）施工期</w:t>
      </w:r>
    </w:p>
    <w:p>
      <w:pPr>
        <w:spacing w:line="520" w:lineRule="exact"/>
      </w:pPr>
      <w:r>
        <w:rPr>
          <w:rFonts w:hint="eastAsia"/>
        </w:rPr>
        <w:t>1）工程</w:t>
      </w:r>
      <w:r>
        <w:t>应</w:t>
      </w:r>
      <w:r>
        <w:rPr>
          <w:rFonts w:hint="eastAsia"/>
        </w:rPr>
        <w:t>合理</w:t>
      </w:r>
      <w:r>
        <w:t>安排工期，尽量选择枯期</w:t>
      </w:r>
      <w:r>
        <w:rPr>
          <w:rFonts w:hint="eastAsia"/>
        </w:rPr>
        <w:t>施工，减少</w:t>
      </w:r>
      <w:r>
        <w:t>施工过程</w:t>
      </w:r>
      <w:r>
        <w:rPr>
          <w:rFonts w:hint="eastAsia"/>
        </w:rPr>
        <w:t>可能</w:t>
      </w:r>
      <w:r>
        <w:t>对下游</w:t>
      </w:r>
      <w:r>
        <w:rPr>
          <w:rFonts w:hint="eastAsia"/>
        </w:rPr>
        <w:t>带来</w:t>
      </w:r>
      <w:r>
        <w:t>的水文情势上的影响</w:t>
      </w:r>
      <w:r>
        <w:rPr>
          <w:rFonts w:hint="eastAsia"/>
        </w:rPr>
        <w:t>；</w:t>
      </w:r>
    </w:p>
    <w:p>
      <w:pPr>
        <w:spacing w:line="520" w:lineRule="exact"/>
      </w:pPr>
      <w:r>
        <w:rPr>
          <w:rFonts w:hint="eastAsia"/>
        </w:rPr>
        <w:t>2）工程</w:t>
      </w:r>
      <w:r>
        <w:t>施工期</w:t>
      </w:r>
      <w:r>
        <w:rPr>
          <w:rFonts w:hint="eastAsia"/>
        </w:rPr>
        <w:t>需</w:t>
      </w:r>
      <w:r>
        <w:t>根据</w:t>
      </w:r>
      <w:r>
        <w:rPr>
          <w:rFonts w:hint="eastAsia"/>
        </w:rPr>
        <w:t>水功能区划确定</w:t>
      </w:r>
      <w:r>
        <w:t>的地表水水质保护类别，</w:t>
      </w:r>
      <w:r>
        <w:rPr>
          <w:rFonts w:hint="eastAsia"/>
        </w:rPr>
        <w:t>合理布置</w:t>
      </w:r>
      <w:r>
        <w:t>施工设施</w:t>
      </w:r>
      <w:r>
        <w:rPr>
          <w:rFonts w:hint="eastAsia"/>
        </w:rPr>
        <w:t>，</w:t>
      </w:r>
      <w:r>
        <w:t>对</w:t>
      </w:r>
      <w:r>
        <w:rPr>
          <w:rFonts w:hint="eastAsia"/>
        </w:rPr>
        <w:t>混凝土</w:t>
      </w:r>
      <w:r>
        <w:t>拌和</w:t>
      </w:r>
      <w:r>
        <w:rPr>
          <w:rFonts w:hint="eastAsia"/>
        </w:rPr>
        <w:t>系统</w:t>
      </w:r>
      <w:r>
        <w:t>冲洗废水、机修含油废水等进行</w:t>
      </w:r>
      <w:r>
        <w:rPr>
          <w:rFonts w:hint="eastAsia"/>
        </w:rPr>
        <w:t>收集</w:t>
      </w:r>
      <w:r>
        <w:t>、处理，</w:t>
      </w:r>
      <w:r>
        <w:rPr>
          <w:rFonts w:hint="eastAsia"/>
        </w:rPr>
        <w:t>优先</w:t>
      </w:r>
      <w:r>
        <w:t>回用</w:t>
      </w:r>
      <w:r>
        <w:rPr>
          <w:rFonts w:hint="eastAsia"/>
        </w:rPr>
        <w:t>于</w:t>
      </w:r>
      <w:r>
        <w:t>生产</w:t>
      </w:r>
      <w:r>
        <w:rPr>
          <w:rFonts w:hint="eastAsia"/>
        </w:rPr>
        <w:t>和</w:t>
      </w:r>
      <w:r>
        <w:t>降尘。</w:t>
      </w:r>
    </w:p>
    <w:p>
      <w:pPr>
        <w:spacing w:line="520" w:lineRule="exact"/>
      </w:pPr>
      <w:r>
        <w:rPr>
          <w:rFonts w:hint="eastAsia"/>
        </w:rPr>
        <w:t>3）施工人员</w:t>
      </w:r>
      <w:r>
        <w:t>租住</w:t>
      </w:r>
      <w:r>
        <w:rPr>
          <w:rFonts w:hint="eastAsia"/>
        </w:rPr>
        <w:t>于</w:t>
      </w:r>
      <w:r>
        <w:t>附近村庄，产生的生活污水</w:t>
      </w:r>
      <w:r>
        <w:rPr>
          <w:rFonts w:hint="eastAsia"/>
        </w:rPr>
        <w:t>依托</w:t>
      </w:r>
      <w:r>
        <w:t>现有</w:t>
      </w:r>
      <w:r>
        <w:rPr>
          <w:rFonts w:hint="eastAsia"/>
        </w:rPr>
        <w:t>处理</w:t>
      </w:r>
      <w:r>
        <w:t>措施进行</w:t>
      </w:r>
      <w:r>
        <w:rPr>
          <w:rFonts w:hint="eastAsia"/>
        </w:rPr>
        <w:t>处置。</w:t>
      </w:r>
    </w:p>
    <w:p>
      <w:pPr>
        <w:spacing w:line="520" w:lineRule="exact"/>
      </w:pPr>
      <w:r>
        <w:rPr>
          <w:rFonts w:hint="eastAsia"/>
        </w:rPr>
        <w:t>4）在河道</w:t>
      </w:r>
      <w:r>
        <w:t>清淤过程中，</w:t>
      </w:r>
      <w:r>
        <w:rPr>
          <w:rFonts w:hint="eastAsia"/>
        </w:rPr>
        <w:t>应</w:t>
      </w:r>
      <w:r>
        <w:t>选择枯期</w:t>
      </w:r>
      <w:r>
        <w:rPr>
          <w:rFonts w:hint="eastAsia"/>
        </w:rPr>
        <w:t>进行</w:t>
      </w:r>
      <w:r>
        <w:t>，并且应该选择对</w:t>
      </w:r>
      <w:r>
        <w:rPr>
          <w:rFonts w:hint="eastAsia"/>
        </w:rPr>
        <w:t>河道底泥</w:t>
      </w:r>
      <w:r>
        <w:t>扰动较小</w:t>
      </w:r>
      <w:r>
        <w:rPr>
          <w:rFonts w:hint="eastAsia"/>
        </w:rPr>
        <w:t>的</w:t>
      </w:r>
      <w:r>
        <w:t>清淤设备及方式</w:t>
      </w:r>
      <w:r>
        <w:rPr>
          <w:rFonts w:hint="eastAsia"/>
        </w:rPr>
        <w:t>，明确淤泥及淤泥</w:t>
      </w:r>
      <w:r>
        <w:t>渗滤液的产生量</w:t>
      </w:r>
      <w:r>
        <w:rPr>
          <w:rFonts w:hint="eastAsia"/>
        </w:rPr>
        <w:t>，规划</w:t>
      </w:r>
      <w:r>
        <w:t>合理去向</w:t>
      </w:r>
      <w:r>
        <w:rPr>
          <w:rFonts w:hint="eastAsia"/>
        </w:rPr>
        <w:t>及</w:t>
      </w:r>
      <w:r>
        <w:t>处理处置方式</w:t>
      </w:r>
      <w:r>
        <w:rPr>
          <w:rFonts w:hint="eastAsia"/>
        </w:rPr>
        <w:t>。 避免</w:t>
      </w:r>
      <w:r>
        <w:t>对周围环境造成二次污染。</w:t>
      </w:r>
    </w:p>
    <w:p>
      <w:pPr>
        <w:spacing w:line="520" w:lineRule="exact"/>
      </w:pPr>
      <w:r>
        <w:rPr>
          <w:rFonts w:hint="eastAsia"/>
        </w:rPr>
        <w:t>（2）运行期</w:t>
      </w:r>
    </w:p>
    <w:p>
      <w:pPr>
        <w:spacing w:line="520" w:lineRule="exact"/>
      </w:pPr>
      <w:r>
        <w:rPr>
          <w:rFonts w:hint="eastAsia"/>
        </w:rPr>
        <w:t>水资源保护利用工程</w:t>
      </w:r>
      <w:r>
        <w:t>运行期</w:t>
      </w:r>
      <w:r>
        <w:rPr>
          <w:rFonts w:hint="eastAsia"/>
        </w:rPr>
        <w:t>不产生</w:t>
      </w:r>
      <w:r>
        <w:t>污染物，但运行期需要由相关主管部门加强管理与维护，</w:t>
      </w:r>
      <w:r>
        <w:rPr>
          <w:rFonts w:hint="eastAsia"/>
        </w:rPr>
        <w:t>保证规划区内湖泊、水库、</w:t>
      </w:r>
      <w:r>
        <w:t>河道</w:t>
      </w:r>
      <w:r>
        <w:rPr>
          <w:rFonts w:hint="eastAsia"/>
        </w:rPr>
        <w:t>等水体畅通</w:t>
      </w:r>
      <w:r>
        <w:t>以及水质达标。</w:t>
      </w:r>
    </w:p>
    <w:p>
      <w:pPr>
        <w:pStyle w:val="6"/>
      </w:pPr>
      <w:r>
        <w:rPr>
          <w:rFonts w:hint="eastAsia"/>
        </w:rPr>
        <w:t>生态</w:t>
      </w:r>
      <w:r>
        <w:t>环境保护措施</w:t>
      </w:r>
    </w:p>
    <w:p>
      <w:pPr>
        <w:pStyle w:val="7"/>
      </w:pPr>
      <w:r>
        <w:rPr>
          <w:rFonts w:hint="eastAsia"/>
        </w:rPr>
        <w:t>植被</w:t>
      </w:r>
      <w:r>
        <w:t>保护措施</w:t>
      </w:r>
    </w:p>
    <w:p>
      <w:pPr>
        <w:spacing w:line="520" w:lineRule="exact"/>
      </w:pPr>
      <w:r>
        <w:rPr>
          <w:rFonts w:hint="eastAsia"/>
        </w:rPr>
        <w:t>（1）下阶段</w:t>
      </w:r>
      <w:r>
        <w:t>工作中应结合植被现状调查，</w:t>
      </w:r>
      <w:r>
        <w:rPr>
          <w:rFonts w:hint="eastAsia"/>
        </w:rPr>
        <w:t>进一步</w:t>
      </w:r>
      <w:r>
        <w:t>优化</w:t>
      </w:r>
      <w:r>
        <w:rPr>
          <w:rFonts w:hint="eastAsia"/>
        </w:rPr>
        <w:t>工程</w:t>
      </w:r>
      <w:r>
        <w:t>布置，减少对自然植被的占用，发现有保护植物</w:t>
      </w:r>
      <w:r>
        <w:rPr>
          <w:rFonts w:hint="eastAsia"/>
        </w:rPr>
        <w:t>或名木古树需</w:t>
      </w:r>
      <w:r>
        <w:t>采取有效</w:t>
      </w:r>
      <w:r>
        <w:rPr>
          <w:rFonts w:hint="eastAsia"/>
        </w:rPr>
        <w:t>、</w:t>
      </w:r>
      <w:r>
        <w:t>适宜的保护措施</w:t>
      </w:r>
      <w:r>
        <w:rPr>
          <w:rFonts w:hint="eastAsia"/>
        </w:rPr>
        <w:t>；</w:t>
      </w:r>
    </w:p>
    <w:p>
      <w:pPr>
        <w:spacing w:line="520" w:lineRule="exact"/>
      </w:pPr>
      <w:r>
        <w:rPr>
          <w:rFonts w:hint="eastAsia"/>
        </w:rPr>
        <w:t>（2）工程</w:t>
      </w:r>
      <w:r>
        <w:t>施工结束后，对河道两岸</w:t>
      </w:r>
      <w:r>
        <w:rPr>
          <w:rFonts w:hint="eastAsia"/>
        </w:rPr>
        <w:t>落实植被</w:t>
      </w:r>
      <w:r>
        <w:t>恢复措施，</w:t>
      </w:r>
      <w:r>
        <w:rPr>
          <w:rFonts w:hint="eastAsia"/>
        </w:rPr>
        <w:t>应</w:t>
      </w:r>
      <w:r>
        <w:t>结合河道两岸景观，</w:t>
      </w:r>
      <w:r>
        <w:rPr>
          <w:rFonts w:hint="eastAsia"/>
        </w:rPr>
        <w:t>合理</w:t>
      </w:r>
      <w:r>
        <w:t>搭配乔</w:t>
      </w:r>
      <w:r>
        <w:rPr>
          <w:rFonts w:hint="eastAsia"/>
        </w:rPr>
        <w:t>、</w:t>
      </w:r>
      <w:r>
        <w:t>灌木</w:t>
      </w:r>
      <w:r>
        <w:rPr>
          <w:rFonts w:hint="eastAsia"/>
        </w:rPr>
        <w:t>等</w:t>
      </w:r>
      <w:r>
        <w:t>，植被恢复</w:t>
      </w:r>
      <w:r>
        <w:rPr>
          <w:rFonts w:hint="eastAsia"/>
        </w:rPr>
        <w:t>时</w:t>
      </w:r>
      <w:r>
        <w:t>应征求当地林业、水保部门意见，选择适合</w:t>
      </w:r>
      <w:r>
        <w:rPr>
          <w:rFonts w:hint="eastAsia"/>
        </w:rPr>
        <w:t>本地</w:t>
      </w:r>
      <w:r>
        <w:t>的植物种类，避免外来物种的入侵。</w:t>
      </w:r>
    </w:p>
    <w:p>
      <w:pPr>
        <w:pStyle w:val="7"/>
      </w:pPr>
      <w:r>
        <w:rPr>
          <w:rFonts w:hint="eastAsia"/>
        </w:rPr>
        <w:t>陆生动物</w:t>
      </w:r>
      <w:r>
        <w:t>保护措施</w:t>
      </w:r>
    </w:p>
    <w:p>
      <w:pPr>
        <w:spacing w:line="520" w:lineRule="exact"/>
      </w:pPr>
      <w:r>
        <w:t>全面贯彻执行《中华人民共和</w:t>
      </w:r>
      <w:r>
        <w:rPr>
          <w:rFonts w:hint="eastAsia"/>
        </w:rPr>
        <w:t>国</w:t>
      </w:r>
      <w:r>
        <w:t>野生动物保护法》和地方野生动物保护法规，依法对野生动物群落、动物物种进行保护。</w:t>
      </w:r>
      <w:r>
        <w:rPr>
          <w:rFonts w:hint="eastAsia"/>
        </w:rPr>
        <w:t>对施工</w:t>
      </w:r>
      <w:r>
        <w:t>人员进行相关法律法规的宣传教育，严禁捕猎野生</w:t>
      </w:r>
      <w:r>
        <w:rPr>
          <w:rFonts w:hint="eastAsia"/>
        </w:rPr>
        <w:t>动物。保护好</w:t>
      </w:r>
      <w:r>
        <w:t>现有植被及周边生态环境，</w:t>
      </w:r>
      <w:r>
        <w:rPr>
          <w:rFonts w:hint="eastAsia"/>
        </w:rPr>
        <w:t>落实</w:t>
      </w:r>
      <w:r>
        <w:t>好河道治理方案，做好</w:t>
      </w:r>
      <w:r>
        <w:rPr>
          <w:rFonts w:hint="eastAsia"/>
        </w:rPr>
        <w:t>河道</w:t>
      </w:r>
      <w:r>
        <w:t>两岸植被恢复，使</w:t>
      </w:r>
      <w:r>
        <w:rPr>
          <w:rFonts w:hint="eastAsia"/>
        </w:rPr>
        <w:t>治理后</w:t>
      </w:r>
      <w:r>
        <w:t>的河段</w:t>
      </w:r>
      <w:r>
        <w:rPr>
          <w:rFonts w:hint="eastAsia"/>
        </w:rPr>
        <w:t>在</w:t>
      </w:r>
      <w:r>
        <w:t>满足行洪功能的</w:t>
      </w:r>
      <w:r>
        <w:rPr>
          <w:rFonts w:hint="eastAsia"/>
        </w:rPr>
        <w:t>同时</w:t>
      </w:r>
      <w:r>
        <w:t>成为</w:t>
      </w:r>
      <w:r>
        <w:rPr>
          <w:rFonts w:hint="eastAsia"/>
        </w:rPr>
        <w:t>更加</w:t>
      </w:r>
      <w:r>
        <w:t>适合</w:t>
      </w:r>
      <w:r>
        <w:rPr>
          <w:rFonts w:hint="eastAsia"/>
        </w:rPr>
        <w:t>动物</w:t>
      </w:r>
      <w:r>
        <w:t>生长繁衍的栖息地</w:t>
      </w:r>
      <w:r>
        <w:rPr>
          <w:rFonts w:hint="eastAsia"/>
        </w:rPr>
        <w:t>，</w:t>
      </w:r>
      <w:r>
        <w:t>达到人与自然和谐共处的目的。</w:t>
      </w:r>
    </w:p>
    <w:p>
      <w:pPr>
        <w:pStyle w:val="7"/>
      </w:pPr>
      <w:r>
        <w:rPr>
          <w:rFonts w:hint="eastAsia"/>
        </w:rPr>
        <w:t>鱼类</w:t>
      </w:r>
      <w:r>
        <w:t>保护措施</w:t>
      </w:r>
    </w:p>
    <w:p>
      <w:pPr>
        <w:spacing w:line="520" w:lineRule="exact"/>
      </w:pPr>
      <w:r>
        <w:t>规划</w:t>
      </w:r>
      <w:r>
        <w:rPr>
          <w:rFonts w:hint="eastAsia"/>
        </w:rPr>
        <w:t>工程</w:t>
      </w:r>
      <w:r>
        <w:t>应合理安排工期，河道</w:t>
      </w:r>
      <w:r>
        <w:rPr>
          <w:rFonts w:hint="eastAsia"/>
        </w:rPr>
        <w:t>清淤</w:t>
      </w:r>
      <w:r>
        <w:t>、拓宽等工程措施应尽量安排在枯</w:t>
      </w:r>
      <w:r>
        <w:rPr>
          <w:rFonts w:hint="eastAsia"/>
        </w:rPr>
        <w:t>水期</w:t>
      </w:r>
      <w:r>
        <w:t>进行</w:t>
      </w:r>
      <w:r>
        <w:rPr>
          <w:rFonts w:hint="eastAsia"/>
        </w:rPr>
        <w:t>；</w:t>
      </w:r>
      <w:r>
        <w:t>施工期间产生的施工废水和生活污水进行收集处理</w:t>
      </w:r>
      <w:r>
        <w:rPr>
          <w:rFonts w:hint="eastAsia"/>
        </w:rPr>
        <w:t>，处理</w:t>
      </w:r>
      <w:r>
        <w:t>达标后回用</w:t>
      </w:r>
      <w:r>
        <w:rPr>
          <w:rFonts w:hint="eastAsia"/>
        </w:rPr>
        <w:t>于</w:t>
      </w:r>
      <w:r>
        <w:t>洒水降尘</w:t>
      </w:r>
      <w:r>
        <w:rPr>
          <w:rFonts w:hint="eastAsia"/>
        </w:rPr>
        <w:t>；</w:t>
      </w:r>
      <w:r>
        <w:t>规划施工期间，项目区内人员增加，为保护鱼类，应</w:t>
      </w:r>
      <w:r>
        <w:rPr>
          <w:rFonts w:hint="eastAsia"/>
        </w:rPr>
        <w:t>对</w:t>
      </w:r>
      <w:r>
        <w:t>施工人员开展宣传教育，禁止一切捕捞行为</w:t>
      </w:r>
      <w:r>
        <w:rPr>
          <w:rFonts w:hint="eastAsia"/>
        </w:rPr>
        <w:t>。</w:t>
      </w:r>
    </w:p>
    <w:p>
      <w:pPr>
        <w:pStyle w:val="6"/>
      </w:pPr>
      <w:r>
        <w:rPr>
          <w:rFonts w:hint="eastAsia"/>
        </w:rPr>
        <w:t>环境</w:t>
      </w:r>
      <w:r>
        <w:t>空气保护措施</w:t>
      </w:r>
    </w:p>
    <w:p>
      <w:pPr>
        <w:spacing w:line="520" w:lineRule="exact"/>
      </w:pPr>
      <w:r>
        <w:rPr>
          <w:rFonts w:hint="eastAsia"/>
        </w:rPr>
        <w:t>（1）优化施工工艺</w:t>
      </w:r>
    </w:p>
    <w:p>
      <w:pPr>
        <w:spacing w:line="520" w:lineRule="exact"/>
      </w:pPr>
      <w:r>
        <w:rPr>
          <w:rFonts w:hint="eastAsia"/>
        </w:rPr>
        <w:t>定期维护、保养施工机械设备以保障设备正常运行，从源头减少大气污染物产生量。</w:t>
      </w:r>
    </w:p>
    <w:p>
      <w:pPr>
        <w:spacing w:line="520" w:lineRule="exact"/>
      </w:pPr>
      <w:r>
        <w:rPr>
          <w:rFonts w:hint="eastAsia"/>
        </w:rPr>
        <w:t>（2）采取防尘、降尘措施</w:t>
      </w:r>
    </w:p>
    <w:p>
      <w:pPr>
        <w:spacing w:line="520" w:lineRule="exact"/>
      </w:pPr>
      <w:r>
        <w:rPr>
          <w:rFonts w:hint="eastAsia"/>
        </w:rPr>
        <w:t>施工车辆运输砂石过程中应进行覆盖，并及时清理泼洒物，并通过洒水降尘减少起尘量。在干燥无雨的天气情况下，采取洒水降尘措施，每日早、中、晚对施工道路、施工区等粉尘源头洒水，减少粉尘的产生量。在村落、居民集中附近的施工区加强施工管理，落实降尘措施，增加洒水次数。</w:t>
      </w:r>
    </w:p>
    <w:p>
      <w:pPr>
        <w:spacing w:line="520" w:lineRule="exact"/>
      </w:pPr>
      <w:r>
        <w:rPr>
          <w:rFonts w:hint="eastAsia"/>
        </w:rPr>
        <w:t>针对施工交通运输除对场内施工道路进行每日的洒水降尘外，还需聘请专人，每日对场内道路进行清扫，消除积尘，维持路面平整和洁净，场内运输时限制施工车辆速度。</w:t>
      </w:r>
    </w:p>
    <w:p>
      <w:pPr>
        <w:pStyle w:val="6"/>
      </w:pPr>
      <w:r>
        <w:rPr>
          <w:rFonts w:hint="eastAsia"/>
        </w:rPr>
        <w:t>声环境</w:t>
      </w:r>
      <w:r>
        <w:t>保护措施</w:t>
      </w:r>
    </w:p>
    <w:p>
      <w:pPr>
        <w:spacing w:line="520" w:lineRule="exact"/>
      </w:pPr>
      <w:r>
        <w:rPr>
          <w:rFonts w:hint="eastAsia"/>
        </w:rPr>
        <w:t>（1）声源控制</w:t>
      </w:r>
    </w:p>
    <w:p>
      <w:pPr>
        <w:spacing w:line="520" w:lineRule="exact"/>
      </w:pPr>
      <w:r>
        <w:rPr>
          <w:rFonts w:hint="eastAsia"/>
        </w:rPr>
        <w:t>选择噪声排放符合国家标准的施工机械和工艺，施工机械尽量选用低噪声设备，对噪声强度较高的设备可设置消声器或减振装置，加强设备的维修和保养。加强施工车辆及机械的保养，夜间及中午时段禁止施工。</w:t>
      </w:r>
    </w:p>
    <w:p>
      <w:pPr>
        <w:spacing w:line="520" w:lineRule="exact"/>
      </w:pPr>
      <w:r>
        <w:rPr>
          <w:rFonts w:hint="eastAsia"/>
        </w:rPr>
        <w:t>（</w:t>
      </w:r>
      <w:r>
        <w:t>2</w:t>
      </w:r>
      <w:r>
        <w:rPr>
          <w:rFonts w:hint="eastAsia"/>
        </w:rPr>
        <w:t>）敏感点保护措施及要求</w:t>
      </w:r>
    </w:p>
    <w:p>
      <w:pPr>
        <w:spacing w:line="520" w:lineRule="exact"/>
      </w:pPr>
      <w:r>
        <w:rPr>
          <w:rFonts w:hint="eastAsia"/>
        </w:rPr>
        <w:t>下阶段</w:t>
      </w:r>
      <w:r>
        <w:t>工作中应进一步明确</w:t>
      </w:r>
      <w:r>
        <w:rPr>
          <w:rFonts w:hint="eastAsia"/>
        </w:rPr>
        <w:t>规划工程</w:t>
      </w:r>
      <w:r>
        <w:t>周边</w:t>
      </w:r>
      <w:r>
        <w:rPr>
          <w:rFonts w:hint="eastAsia"/>
        </w:rPr>
        <w:t>分布</w:t>
      </w:r>
      <w:r>
        <w:t>的声环境敏感点</w:t>
      </w:r>
      <w:r>
        <w:rPr>
          <w:rFonts w:hint="eastAsia"/>
        </w:rPr>
        <w:t>与</w:t>
      </w:r>
      <w:r>
        <w:t>工程的距离，优化施工布置，</w:t>
      </w:r>
      <w:r>
        <w:rPr>
          <w:rFonts w:hint="eastAsia"/>
        </w:rPr>
        <w:t>施工机械</w:t>
      </w:r>
      <w:r>
        <w:t>尽量</w:t>
      </w:r>
      <w:r>
        <w:rPr>
          <w:rFonts w:hint="eastAsia"/>
        </w:rPr>
        <w:t>远离声环境</w:t>
      </w:r>
      <w:r>
        <w:t>敏感点。</w:t>
      </w:r>
    </w:p>
    <w:p>
      <w:pPr>
        <w:spacing w:line="520" w:lineRule="exact"/>
      </w:pPr>
      <w:r>
        <w:rPr>
          <w:rFonts w:hint="eastAsia"/>
        </w:rPr>
        <w:t>在敏感点附近施工时，做好施工组织计划，尽量避免多机联合作业。在噪声敏感点附近施工时，建议采用隔声屏障等降噪措施，减轻对敏感点的噪声影响，禁止夜间施工。</w:t>
      </w:r>
    </w:p>
    <w:p>
      <w:pPr>
        <w:pStyle w:val="6"/>
      </w:pPr>
      <w:r>
        <w:rPr>
          <w:rFonts w:hint="eastAsia"/>
        </w:rPr>
        <w:t>环境</w:t>
      </w:r>
      <w:r>
        <w:t>敏感区保护措施</w:t>
      </w:r>
    </w:p>
    <w:p>
      <w:pPr>
        <w:spacing w:line="520" w:lineRule="exact"/>
      </w:pPr>
      <w:r>
        <w:rPr>
          <w:rFonts w:hint="eastAsia"/>
        </w:rPr>
        <w:t>根据符合</w:t>
      </w:r>
      <w:r>
        <w:t>性分析，</w:t>
      </w:r>
      <w:r>
        <w:rPr>
          <w:rFonts w:hint="eastAsia"/>
        </w:rPr>
        <w:t>规划</w:t>
      </w:r>
      <w:r>
        <w:t>工程与</w:t>
      </w:r>
      <w:r>
        <w:rPr>
          <w:rFonts w:hint="eastAsia"/>
        </w:rPr>
        <w:t>自然保护区、风景</w:t>
      </w:r>
      <w:r>
        <w:t>名胜区、</w:t>
      </w:r>
      <w:r>
        <w:rPr>
          <w:rFonts w:hint="eastAsia"/>
        </w:rPr>
        <w:t>国家级公园以及</w:t>
      </w:r>
      <w:r>
        <w:t>生态保护红线</w:t>
      </w:r>
      <w:r>
        <w:rPr>
          <w:rFonts w:hint="eastAsia"/>
        </w:rPr>
        <w:t>等</w:t>
      </w:r>
      <w:r>
        <w:t>相关法律法规并无冲突之处，在下阶段工作中应进一步优化工程布置，减少对环境敏感区的占用，对无法避让的，在施工前应根据相应的法律法规以及主管部门的管理规定，编制相应的影响专题报告并取得相应主管部门的同意。</w:t>
      </w:r>
    </w:p>
    <w:p>
      <w:pPr>
        <w:spacing w:line="520" w:lineRule="exact"/>
      </w:pPr>
      <w:r>
        <w:rPr>
          <w:rFonts w:hint="eastAsia"/>
        </w:rPr>
        <w:t>在</w:t>
      </w:r>
      <w:r>
        <w:t>环境敏感区内进行施工，应当</w:t>
      </w:r>
      <w:r>
        <w:rPr>
          <w:rFonts w:hint="eastAsia"/>
        </w:rPr>
        <w:t>优化</w:t>
      </w:r>
      <w:r>
        <w:t>施工方案，</w:t>
      </w:r>
      <w:r>
        <w:rPr>
          <w:rFonts w:hint="eastAsia"/>
        </w:rPr>
        <w:t>选用</w:t>
      </w:r>
      <w:r>
        <w:t>对</w:t>
      </w:r>
      <w:r>
        <w:rPr>
          <w:rFonts w:hint="eastAsia"/>
        </w:rPr>
        <w:t>周围</w:t>
      </w:r>
      <w:r>
        <w:t>环境影响较小的施工工艺，合理施工布置，对施工产生的废污水，收集处理后回用，</w:t>
      </w:r>
      <w:r>
        <w:rPr>
          <w:rFonts w:hint="eastAsia"/>
        </w:rPr>
        <w:t>施工产生</w:t>
      </w:r>
      <w:r>
        <w:t>的建筑垃圾、弃渣等应及时进行</w:t>
      </w:r>
      <w:r>
        <w:rPr>
          <w:rFonts w:hint="eastAsia"/>
        </w:rPr>
        <w:t>清运；</w:t>
      </w:r>
      <w:r>
        <w:t>施工结束后</w:t>
      </w:r>
      <w:r>
        <w:rPr>
          <w:rFonts w:hint="eastAsia"/>
        </w:rPr>
        <w:t>，</w:t>
      </w:r>
      <w:r>
        <w:t>做好植被</w:t>
      </w:r>
      <w:r>
        <w:rPr>
          <w:rFonts w:hint="eastAsia"/>
        </w:rPr>
        <w:t>恢复</w:t>
      </w:r>
      <w:r>
        <w:t>等相关工作</w:t>
      </w:r>
      <w:r>
        <w:rPr>
          <w:rFonts w:hint="eastAsia"/>
        </w:rPr>
        <w:t>。</w:t>
      </w:r>
    </w:p>
    <w:p>
      <w:pPr>
        <w:pStyle w:val="6"/>
      </w:pPr>
      <w:r>
        <w:rPr>
          <w:rFonts w:hint="eastAsia"/>
        </w:rPr>
        <w:t>固体废弃物</w:t>
      </w:r>
      <w:r>
        <w:t>处理措施</w:t>
      </w:r>
    </w:p>
    <w:p>
      <w:pPr>
        <w:spacing w:line="520" w:lineRule="exact"/>
      </w:pPr>
      <w:r>
        <w:rPr>
          <w:rFonts w:hint="eastAsia"/>
        </w:rPr>
        <w:t>工程</w:t>
      </w:r>
      <w:r>
        <w:t>施工过程中产生的工程弃渣、</w:t>
      </w:r>
      <w:r>
        <w:rPr>
          <w:rFonts w:hint="eastAsia"/>
        </w:rPr>
        <w:t>废弃</w:t>
      </w:r>
      <w:r>
        <w:t>建材、生活垃圾等应进行分类妥善处置，工程</w:t>
      </w:r>
      <w:r>
        <w:rPr>
          <w:rFonts w:hint="eastAsia"/>
        </w:rPr>
        <w:t>弃渣</w:t>
      </w:r>
      <w:r>
        <w:t>及无害废弃建材应</w:t>
      </w:r>
      <w:r>
        <w:rPr>
          <w:rFonts w:hint="eastAsia"/>
        </w:rPr>
        <w:t>堆放</w:t>
      </w:r>
      <w:r>
        <w:t>至弃渣场，并按照水土保持方案落实相应水保措施，生活垃圾应</w:t>
      </w:r>
      <w:r>
        <w:rPr>
          <w:rFonts w:hint="eastAsia"/>
        </w:rPr>
        <w:t>统一</w:t>
      </w:r>
      <w:r>
        <w:t>收集后</w:t>
      </w:r>
      <w:r>
        <w:rPr>
          <w:rFonts w:hint="eastAsia"/>
        </w:rPr>
        <w:t>由</w:t>
      </w:r>
      <w:r>
        <w:t>环卫部门进行</w:t>
      </w:r>
      <w:r>
        <w:rPr>
          <w:rFonts w:hint="eastAsia"/>
        </w:rPr>
        <w:t>清运</w:t>
      </w:r>
      <w:r>
        <w:t>处置。不得随意堆放、丢弃。</w:t>
      </w:r>
    </w:p>
    <w:p>
      <w:pPr>
        <w:pStyle w:val="6"/>
      </w:pPr>
      <w:r>
        <w:rPr>
          <w:rFonts w:hint="eastAsia"/>
        </w:rPr>
        <w:t>社会</w:t>
      </w:r>
      <w:r>
        <w:t>环境保护措施</w:t>
      </w:r>
    </w:p>
    <w:p>
      <w:pPr>
        <w:spacing w:line="520" w:lineRule="exact"/>
      </w:pPr>
      <w:r>
        <w:t>（1）在下阶段工作中，应按环</w:t>
      </w:r>
      <w:r>
        <w:rPr>
          <w:rFonts w:hint="eastAsia"/>
        </w:rPr>
        <w:t>评</w:t>
      </w:r>
      <w:r>
        <w:t>法要求广泛开展公众参与，向项目区周边居民、保护区管理机构及相关的社会团体、个人告知规划及项目实施可能带来的环境影响，充分听取公众意见，并以此为基础开展环境影响评价工作。</w:t>
      </w:r>
    </w:p>
    <w:p>
      <w:pPr>
        <w:spacing w:line="520" w:lineRule="exact"/>
      </w:pPr>
      <w:r>
        <w:t>（2）按国家法律法规要求，进行生产安置、补偿，避免因工程建设造成项目区周边居民生活水平下降。</w:t>
      </w:r>
    </w:p>
    <w:p>
      <w:pPr>
        <w:pStyle w:val="6"/>
      </w:pPr>
      <w:r>
        <w:rPr>
          <w:rFonts w:hint="eastAsia"/>
        </w:rPr>
        <w:t>人群</w:t>
      </w:r>
      <w:r>
        <w:t>健康保护措施</w:t>
      </w:r>
    </w:p>
    <w:p>
      <w:pPr>
        <w:spacing w:line="520" w:lineRule="exact"/>
      </w:pPr>
      <w:r>
        <w:t>进场前对施工生活区进行消毒，对施工人员进行体检，施工期做定期消毒和体检；在蚊虫滋生季节，定期做好灭“四害”工作；施工期预先准备控制疾病的相关药物，以供紧急时使用。</w:t>
      </w:r>
    </w:p>
    <w:p>
      <w:pPr>
        <w:pStyle w:val="5"/>
      </w:pPr>
      <w:bookmarkStart w:id="141" w:name="_Toc184023359"/>
      <w:r>
        <w:rPr>
          <w:rFonts w:hint="eastAsia"/>
        </w:rPr>
        <w:t>环境</w:t>
      </w:r>
      <w:r>
        <w:t>管理、监理与监测</w:t>
      </w:r>
      <w:bookmarkEnd w:id="141"/>
    </w:p>
    <w:p>
      <w:pPr>
        <w:spacing w:line="520" w:lineRule="exact"/>
      </w:pPr>
      <w:r>
        <w:t>根据国家环境保护管理规定，</w:t>
      </w:r>
      <w:r>
        <w:rPr>
          <w:rFonts w:hint="eastAsia"/>
        </w:rPr>
        <w:t>工程</w:t>
      </w:r>
      <w:r>
        <w:t>施工期间应设置环境保护管理机构，业务上接受当地环保部门的指导，其职责是贯彻执行国家环境保护方针、政策及法规；负责工程日常的环境管理工作；负责各阶段的环境监测、监理计划及环保措施的实施；接受相关部门的环境监督与检察。</w:t>
      </w:r>
    </w:p>
    <w:p>
      <w:pPr>
        <w:spacing w:line="520" w:lineRule="exact"/>
      </w:pPr>
      <w:r>
        <w:t>根据建设项目工程环境监理的有关规定，建设单位应委托具有相应资质的单位开展工程环境监理及水土保持监理工作，在施工期间对所有实施环保项目的专业部门及工程项目承包商的环境工作进行监督、</w:t>
      </w:r>
      <w:r>
        <w:rPr>
          <w:rFonts w:hint="eastAsia"/>
        </w:rPr>
        <w:t>检查和</w:t>
      </w:r>
      <w:r>
        <w:t>管理。</w:t>
      </w:r>
    </w:p>
    <w:p>
      <w:pPr>
        <w:spacing w:line="520" w:lineRule="exact"/>
      </w:pPr>
      <w:r>
        <w:t>加强施工期和运行期的环境监测工作。工程施工和运行期间，应开展水质、大气、噪声、人群健康、水土保持等监测工作，了解工程建设及运行期间各个阶段的环境质量状况，为环境管理提供依据。根据各项目的环境特点，在进行监测时可适当调整监测内容和时期、频次等。</w:t>
      </w:r>
    </w:p>
    <w:p>
      <w:pPr>
        <w:pStyle w:val="4"/>
      </w:pPr>
    </w:p>
    <w:p>
      <w:pPr>
        <w:pStyle w:val="3"/>
        <w:ind w:left="656" w:hanging="656"/>
        <w:rPr>
          <w:rFonts w:ascii="Times New Roman" w:hAnsi="Times New Roman"/>
          <w:color w:val="000000" w:themeColor="text1"/>
          <w14:textFill>
            <w14:solidFill>
              <w14:schemeClr w14:val="tx1"/>
            </w14:solidFill>
          </w14:textFill>
        </w:rPr>
      </w:pPr>
      <w:bookmarkStart w:id="142" w:name="_Toc184023360"/>
      <w:r>
        <w:rPr>
          <w:rFonts w:ascii="Times New Roman" w:hAnsi="Times New Roman"/>
          <w:color w:val="000000" w:themeColor="text1"/>
          <w14:textFill>
            <w14:solidFill>
              <w14:schemeClr w14:val="tx1"/>
            </w14:solidFill>
          </w14:textFill>
        </w:rPr>
        <w:t>风险分析评估</w:t>
      </w:r>
      <w:bookmarkEnd w:id="127"/>
      <w:bookmarkEnd w:id="142"/>
    </w:p>
    <w:p>
      <w:pPr>
        <w:pStyle w:val="4"/>
      </w:pPr>
      <w:r>
        <w:rPr>
          <w:rFonts w:hint="eastAsia"/>
        </w:rPr>
        <w:t>为有效规避、预防、控制本规划实施过程中可能产生的风险，根据《云南省重大行政决策程序规定》（省人民政府令第</w:t>
      </w:r>
      <w:r>
        <w:t>200</w:t>
      </w:r>
      <w:r>
        <w:rPr>
          <w:rFonts w:hint="eastAsia"/>
        </w:rPr>
        <w:t>号），对本规划决策事项可能存在的社会稳定、生态环境、社会效益、法律纠纷、财政金融和公共安全等方面进行风险评估。</w:t>
      </w:r>
    </w:p>
    <w:p>
      <w:pPr>
        <w:pStyle w:val="5"/>
      </w:pPr>
      <w:bookmarkStart w:id="143" w:name="_Toc184023361"/>
      <w:bookmarkStart w:id="144" w:name="_Hlk160183336"/>
      <w:r>
        <w:rPr>
          <w:rFonts w:hint="eastAsia"/>
        </w:rPr>
        <w:t>风险因素</w:t>
      </w:r>
      <w:bookmarkEnd w:id="143"/>
    </w:p>
    <w:bookmarkEnd w:id="144"/>
    <w:p>
      <w:pPr>
        <w:pStyle w:val="4"/>
        <w:ind w:firstLine="498"/>
      </w:pPr>
      <w:r>
        <w:rPr>
          <w:rFonts w:hint="eastAsia"/>
          <w:b/>
          <w:bCs/>
        </w:rPr>
        <w:t>社会稳定风险。</w:t>
      </w:r>
      <w:r>
        <w:rPr>
          <w:rFonts w:hint="eastAsia"/>
        </w:rPr>
        <w:t>本规划水资源配置、城乡供水保障、水土保持与生态修复等部分工程的实施，涉及征占土地、种养结构调整等涉及人民群众的切身利益，对人民群众的财产权益和生存发展具有较大影响，处理不当容易引发群体上访、集会、阻挠施工等社会不稳定事件。</w:t>
      </w:r>
      <w:r>
        <w:t xml:space="preserve"> </w:t>
      </w:r>
    </w:p>
    <w:p>
      <w:pPr>
        <w:pStyle w:val="4"/>
        <w:ind w:firstLine="498"/>
      </w:pPr>
      <w:r>
        <w:rPr>
          <w:rFonts w:hint="eastAsia"/>
          <w:b/>
          <w:bCs/>
        </w:rPr>
        <w:t>生态环境风险。</w:t>
      </w:r>
      <w:r>
        <w:rPr>
          <w:rFonts w:hint="eastAsia"/>
        </w:rPr>
        <w:t>本规划项目中，部分工程涉及小范围自然保护区、饮用水源地等环境敏感区域，工程建设将在一定程度上改变陆域水循环过程、河湖水文情势及水生态环境。工程征地及施工可能对环境敏感区的完整性、景观、生态系统功能、生物多样性等产生影响，其次，因工程实施涉及以上敏感区可能会对项目审批和推进造成影响。</w:t>
      </w:r>
      <w:r>
        <w:t xml:space="preserve"> </w:t>
      </w:r>
    </w:p>
    <w:p>
      <w:pPr>
        <w:pStyle w:val="4"/>
        <w:ind w:firstLine="498"/>
      </w:pPr>
      <w:r>
        <w:rPr>
          <w:rFonts w:hint="eastAsia"/>
          <w:b/>
          <w:bCs/>
        </w:rPr>
        <w:t>法律纠纷风险。</w:t>
      </w:r>
      <w:r>
        <w:rPr>
          <w:rFonts w:hint="eastAsia"/>
        </w:rPr>
        <w:t>本规划中的规划项目建设涉及市、乡（镇）政府、设计单位、施工单位、监理单位、用水主体等多个利益相关方和多方合同合作关系，涉及重大利益调整和风险分担，任何环节处理不当都可能发生法律纠纷。</w:t>
      </w:r>
      <w:r>
        <w:t xml:space="preserve"> </w:t>
      </w:r>
    </w:p>
    <w:p>
      <w:pPr>
        <w:pStyle w:val="4"/>
        <w:ind w:firstLine="498"/>
      </w:pPr>
      <w:r>
        <w:rPr>
          <w:rFonts w:hint="eastAsia"/>
          <w:b/>
          <w:bCs/>
        </w:rPr>
        <w:t>财政金融风险。</w:t>
      </w:r>
      <w:r>
        <w:rPr>
          <w:rFonts w:hint="eastAsia"/>
        </w:rPr>
        <w:t>澄江市水资源保护利用规划总投资26.99亿元，投资规模较大。水利建设项目以公益性和准公益性为主，投资周期长，经济收益低，加重了澄江市政府的财政负担，容易产生财政金融风险。</w:t>
      </w:r>
    </w:p>
    <w:p>
      <w:pPr>
        <w:pStyle w:val="4"/>
        <w:ind w:firstLine="498"/>
      </w:pPr>
      <w:r>
        <w:rPr>
          <w:rFonts w:hint="eastAsia"/>
          <w:b/>
          <w:bCs/>
        </w:rPr>
        <w:t>公共安全风险。</w:t>
      </w:r>
      <w:r>
        <w:rPr>
          <w:rFonts w:hint="eastAsia"/>
        </w:rPr>
        <w:t>本规划中，水库坝塘除险加固工程等涉及防洪滞蓄、排水防涝，如果汛期雨水充足，可能引发洪涝灾害，威胁周边人民群众的生命和财产安全。甸垛龙潭引水工程、抚仙湖水资源生态保护甸垛龙潭调水管网延伸扩建工程、城乡供水一体化涉及城乡供水任务，如果供水水质出现问题，或出现突发环境风险事件，将影响正常的供水，还可能影响到居民的身体健康，引发社会公共安全事件。</w:t>
      </w:r>
    </w:p>
    <w:p>
      <w:pPr>
        <w:pStyle w:val="5"/>
      </w:pPr>
      <w:bookmarkStart w:id="145" w:name="_Toc184023362"/>
      <w:r>
        <w:rPr>
          <w:rFonts w:hint="eastAsia"/>
        </w:rPr>
        <w:t>风险应对措施</w:t>
      </w:r>
      <w:bookmarkEnd w:id="145"/>
    </w:p>
    <w:p>
      <w:pPr>
        <w:pStyle w:val="4"/>
        <w:ind w:firstLine="498"/>
      </w:pPr>
      <w:r>
        <w:rPr>
          <w:rFonts w:hint="eastAsia"/>
          <w:b/>
          <w:bCs/>
        </w:rPr>
        <w:t>社会稳定风险应对措施。</w:t>
      </w:r>
      <w:r>
        <w:rPr>
          <w:rFonts w:hint="eastAsia"/>
        </w:rPr>
        <w:t>强化项目前期工作，科学论证，合理设计，控制征地移民影响规模，从源头上减少社会稳定风险。强化征地前期工作，深入调查，充分征求移民的意愿，在此基础上，科学合理地编制建设征地移民安置规划。严格落实建设征地补偿和移民安置社会稳定风险评估制度，充分排查风险因素，科学评估风险等级，强化评估结论应用，落实地方政府维稳责任。建立风险监测和预警机制，及时掌握移民风险动向，做到</w:t>
      </w:r>
      <w:r>
        <w:t>“</w:t>
      </w:r>
      <w:r>
        <w:rPr>
          <w:rFonts w:hint="eastAsia"/>
        </w:rPr>
        <w:t>早发现、早处置</w:t>
      </w:r>
      <w:r>
        <w:t>”</w:t>
      </w:r>
      <w:r>
        <w:rPr>
          <w:rFonts w:hint="eastAsia"/>
        </w:rPr>
        <w:t>。</w:t>
      </w:r>
      <w:r>
        <w:t xml:space="preserve"> </w:t>
      </w:r>
    </w:p>
    <w:p>
      <w:pPr>
        <w:pStyle w:val="4"/>
        <w:ind w:firstLine="498"/>
      </w:pPr>
      <w:r>
        <w:rPr>
          <w:rFonts w:hint="eastAsia"/>
          <w:b/>
          <w:bCs/>
        </w:rPr>
        <w:t>生态环境风险应对措施。</w:t>
      </w:r>
      <w:r>
        <w:rPr>
          <w:rFonts w:hint="eastAsia"/>
        </w:rPr>
        <w:t>坚持绿色发展理念，水资源配置要保障河流的基本生态环境用水要求，逐步退还挤占的河道内生态环境用水。在工程前期论证阶段要优化工程设计，从源头上减少或消除工程建设的不利影响和阻碍。依法加强规划、建设项目环境影响评价和水土保持等前期工作，提出具体可行的环境影响控制措施和水土保持方案。严格落实</w:t>
      </w:r>
      <w:r>
        <w:t>“</w:t>
      </w:r>
      <w:r>
        <w:rPr>
          <w:rFonts w:hint="eastAsia"/>
        </w:rPr>
        <w:t>三同时</w:t>
      </w:r>
      <w:r>
        <w:t>”</w:t>
      </w:r>
      <w:r>
        <w:rPr>
          <w:rFonts w:hint="eastAsia"/>
        </w:rPr>
        <w:t>管理制度，加强建设、管理过程的环境影响监测和环境保护监管。</w:t>
      </w:r>
      <w:r>
        <w:t xml:space="preserve"> </w:t>
      </w:r>
    </w:p>
    <w:p>
      <w:pPr>
        <w:pStyle w:val="4"/>
        <w:ind w:firstLine="498"/>
      </w:pPr>
      <w:r>
        <w:rPr>
          <w:rFonts w:hint="eastAsia"/>
          <w:b/>
          <w:bCs/>
        </w:rPr>
        <w:t>法律纠纷风险应对措施。</w:t>
      </w:r>
      <w:r>
        <w:rPr>
          <w:rFonts w:hint="eastAsia"/>
        </w:rPr>
        <w:t>强化市、乡镇政府及各部门的法律意识，维护政府信用。严格执行项目</w:t>
      </w:r>
      <w:r>
        <w:t>“</w:t>
      </w:r>
      <w:r>
        <w:rPr>
          <w:rFonts w:hint="eastAsia"/>
        </w:rPr>
        <w:t>五制</w:t>
      </w:r>
      <w:r>
        <w:t>”</w:t>
      </w:r>
      <w:r>
        <w:rPr>
          <w:rFonts w:hint="eastAsia"/>
        </w:rPr>
        <w:t>建设、落实项目单位六项管理制度。通过签订合同等形式，规范合作行为，完善合同约定事项，明确界定合同双方的责权利关系、违约处理、争议解决等内容，提前预防法律纠纷风险。</w:t>
      </w:r>
      <w:r>
        <w:t xml:space="preserve"> </w:t>
      </w:r>
    </w:p>
    <w:p>
      <w:pPr>
        <w:pStyle w:val="4"/>
        <w:ind w:firstLine="498"/>
      </w:pPr>
      <w:r>
        <w:rPr>
          <w:rFonts w:hint="eastAsia"/>
          <w:b/>
          <w:bCs/>
        </w:rPr>
        <w:t>财政金融风险应对措施。</w:t>
      </w:r>
      <w:r>
        <w:rPr>
          <w:rFonts w:hint="eastAsia"/>
        </w:rPr>
        <w:t>创新水利投融资体制，积极引入社会资本，鼓励社会资本参与水利工程建设和运营。统筹城乡供水，实行水源工程、供水排水、污水处理、中水回用等一体化建设运营。建立规模控制、预算管理和风险预警制度，全面动态监控地方政府债务情况，及时应对和处理。</w:t>
      </w:r>
      <w:r>
        <w:t xml:space="preserve"> </w:t>
      </w:r>
    </w:p>
    <w:p>
      <w:pPr>
        <w:pStyle w:val="4"/>
        <w:ind w:firstLine="498"/>
      </w:pPr>
      <w:r>
        <w:rPr>
          <w:rFonts w:hint="eastAsia"/>
          <w:b/>
          <w:bCs/>
        </w:rPr>
        <w:t>公共安全风险应对措施。</w:t>
      </w:r>
      <w:r>
        <w:rPr>
          <w:rFonts w:hint="eastAsia"/>
        </w:rPr>
        <w:t>重视专家论证意见，把好设计技术评审关。加强对水源工程的水源安全保护，建立健全饮用水水源水质监测制度，实时监测源头水质，制定饮用水水源地保护规划，划定饮用水水源保护区，对饮用水源地进行封闭管理。针对各水源工程编制应急预案，并配备应急物资和应急队伍，加强应急演练，提高应对突发水质事件的能力。</w:t>
      </w:r>
    </w:p>
    <w:p>
      <w:pPr>
        <w:pStyle w:val="5"/>
      </w:pPr>
      <w:bookmarkStart w:id="146" w:name="_Toc184023363"/>
      <w:r>
        <w:rPr>
          <w:rFonts w:hint="eastAsia"/>
        </w:rPr>
        <w:t>风险等级</w:t>
      </w:r>
      <w:bookmarkEnd w:id="146"/>
    </w:p>
    <w:p>
      <w:pPr>
        <w:pStyle w:val="4"/>
      </w:pPr>
      <w:r>
        <w:rPr>
          <w:rFonts w:hint="eastAsia"/>
        </w:rPr>
        <w:t>本规划在增强供水安全保障能力、保护重点地区防洪安全、完善农村水利基础设施、改善河湖生态健康、推进水土流失治理等方面具有良好的社会、环境效益。本规划存在的社会稳定、生态环境、法律纠纷、财政金融和公共安全风险具有可控性。在充分落实前述风险应对措施后，确定实施本规划的综合风险等级为</w:t>
      </w:r>
      <w:r>
        <w:t>“</w:t>
      </w:r>
      <w:r>
        <w:rPr>
          <w:rFonts w:hint="eastAsia"/>
        </w:rPr>
        <w:t>低风险</w:t>
      </w:r>
      <w:r>
        <w:t>”</w:t>
      </w:r>
      <w:r>
        <w:rPr>
          <w:rFonts w:hint="eastAsia"/>
        </w:rPr>
        <w:t>，其中社会稳定风险为</w:t>
      </w:r>
      <w:r>
        <w:t>“</w:t>
      </w:r>
      <w:r>
        <w:rPr>
          <w:rFonts w:hint="eastAsia"/>
        </w:rPr>
        <w:t>小风险</w:t>
      </w:r>
      <w:r>
        <w:t>”</w:t>
      </w:r>
      <w:r>
        <w:rPr>
          <w:rFonts w:hint="eastAsia"/>
        </w:rPr>
        <w:t>。</w:t>
      </w:r>
    </w:p>
    <w:p>
      <w:pPr>
        <w:pStyle w:val="4"/>
      </w:pPr>
    </w:p>
    <w:p>
      <w:pPr>
        <w:pStyle w:val="3"/>
        <w:ind w:left="656" w:hanging="656"/>
        <w:rPr>
          <w:rFonts w:ascii="Times New Roman" w:hAnsi="Times New Roman"/>
          <w:color w:val="000000" w:themeColor="text1"/>
          <w14:textFill>
            <w14:solidFill>
              <w14:schemeClr w14:val="tx1"/>
            </w14:solidFill>
          </w14:textFill>
        </w:rPr>
      </w:pPr>
      <w:bookmarkStart w:id="147" w:name="_Toc184023364"/>
      <w:r>
        <w:rPr>
          <w:rFonts w:ascii="Times New Roman" w:hAnsi="Times New Roman"/>
          <w:color w:val="000000" w:themeColor="text1"/>
          <w14:textFill>
            <w14:solidFill>
              <w14:schemeClr w14:val="tx1"/>
            </w14:solidFill>
          </w14:textFill>
        </w:rPr>
        <w:t>保障措施</w:t>
      </w:r>
      <w:bookmarkEnd w:id="147"/>
    </w:p>
    <w:p>
      <w:pPr>
        <w:pStyle w:val="5"/>
      </w:pPr>
      <w:bookmarkStart w:id="148" w:name="_Toc184023365"/>
      <w:bookmarkStart w:id="149" w:name="_Hlk160183024"/>
      <w:r>
        <w:rPr>
          <w:rFonts w:hint="eastAsia"/>
        </w:rPr>
        <w:t>组织保障</w:t>
      </w:r>
      <w:bookmarkEnd w:id="148"/>
    </w:p>
    <w:bookmarkEnd w:id="149"/>
    <w:p>
      <w:pPr>
        <w:pStyle w:val="4"/>
        <w:rPr>
          <w:bCs/>
        </w:rPr>
      </w:pPr>
      <w:r>
        <w:rPr>
          <w:rFonts w:hint="eastAsia"/>
          <w:bCs/>
        </w:rPr>
        <w:t>水资源保护是政府的重要职责之一，合理划分县、街道各级政府的事权，加强各级政府对水资源保护的组织领导。进一步明确水利部门和地方政府在水资源管理中的职责，健全部门之间的协商机制。澄江市人民政府对本地区水资源管理和保护工作负总责，要把水资源保护工作纳入政府重要议事日程，逐级落实责任。</w:t>
      </w:r>
    </w:p>
    <w:p>
      <w:pPr>
        <w:pStyle w:val="4"/>
        <w:rPr>
          <w:bCs/>
        </w:rPr>
      </w:pPr>
      <w:bookmarkStart w:id="150" w:name="_Toc246789074"/>
      <w:bookmarkStart w:id="151" w:name="_Toc246781262"/>
      <w:bookmarkStart w:id="152" w:name="_Toc246766247"/>
      <w:r>
        <w:rPr>
          <w:rFonts w:hint="eastAsia"/>
          <w:bCs/>
        </w:rPr>
        <w:t>建立健全水资源保护责任制度。落实目标责任，完善监督检查机制</w:t>
      </w:r>
      <w:bookmarkEnd w:id="150"/>
      <w:bookmarkEnd w:id="151"/>
      <w:bookmarkEnd w:id="152"/>
      <w:r>
        <w:rPr>
          <w:rFonts w:hint="eastAsia"/>
          <w:bCs/>
        </w:rPr>
        <w:t>。围绕水资源保护利用规划、水利发展“十四五”规划总体目标和年度目标任务，建立目标管理考核责任制、工作监督检查机制、重要事项责任追究制度，保障水资源保护利用规划、水利发展“十四五”规划目标的实现。水资源开发利用、节约和保护的主要约束性指标，应纳入各地经济社会发展综合评价体系，作为各级政府领导干部业绩考核的重要内容，实行严格的问责制，强化政府和部门责任。水利部门会同有关部门对各片区水资源开发利用、节约和保护的主要约束性指标的落实情况进行考核。</w:t>
      </w:r>
    </w:p>
    <w:p>
      <w:pPr>
        <w:pStyle w:val="5"/>
      </w:pPr>
      <w:bookmarkStart w:id="153" w:name="_Toc184023366"/>
      <w:r>
        <w:rPr>
          <w:rFonts w:hint="eastAsia"/>
        </w:rPr>
        <w:t>资金保障</w:t>
      </w:r>
      <w:bookmarkEnd w:id="153"/>
    </w:p>
    <w:p>
      <w:pPr>
        <w:pStyle w:val="4"/>
      </w:pPr>
      <w:r>
        <w:rPr>
          <w:rFonts w:hint="eastAsia"/>
        </w:rPr>
        <w:t>完善现有水资源保护工程项目的资金投入机制，倡导建立水资源保护工程国家财政预算专项投入机制，加大对水资源保护的资金投入力度，稳定提高政府对水资源保护的支出。严格要求各级各部门，严格按照《云南省节约用水条例》的具体规定，落实水资源费主要用于节约管理和保护，要求留成水资源费的20%用于节约用水工作，超计划超定额加倍征收的水资源费，全额用于水资源的管理、节约和保护工作。</w:t>
      </w:r>
    </w:p>
    <w:p>
      <w:pPr>
        <w:pStyle w:val="4"/>
      </w:pPr>
      <w:r>
        <w:rPr>
          <w:rFonts w:hint="eastAsia"/>
        </w:rPr>
        <w:t>通过水价和产权制度改革，理顺各利益主体的关系，按照国家、集体、社会投入相结合和谁投资、谁受益的原则，建立多元化、多层次、多渠道的水利融资机制，提高水资源保护利用投融资能力。鼓励民营资本、外资、金融资本投资水资源保护，支持民间和外商以各种形式投资参与经营性为主的水资源保护和运营。运作好各级水利建设投融资平台，力争多渠道、多元化筹集水资源保护地方配套资金，充分发挥政府的主导作用，为水资源保护提供重要的投入保障。政府和有关组织应采取多种措施包括经济手段积极引导鼓励公众和企业参与水资源和水环境的保护。</w:t>
      </w:r>
    </w:p>
    <w:p>
      <w:pPr>
        <w:pStyle w:val="4"/>
      </w:pPr>
      <w:r>
        <w:rPr>
          <w:rFonts w:hint="eastAsia"/>
        </w:rPr>
        <w:t>制定用水定额，实行用水定额管理，建立合理的水价体系。开展用水定额的基础调查和研究工作，组织编制覆盖各县区、各行业的用水定额，建立合理的水价体系，实行用水定额管理，对超定额用水实施加价收费。水价必须反映其内在价值，反映其资源属性和商品属性。水价偏低，一方面造成供水单位的财政困难，不适应市场经济的需要，更重要的是，水价偏低，造成用水成本较低，水的浪费严重，同时废(污)水量增加，水污染加剧。因此应尽快建立合理的水价体系及水资源污染补偿机制，提高资源水价的比例。</w:t>
      </w:r>
    </w:p>
    <w:p>
      <w:pPr>
        <w:pStyle w:val="4"/>
      </w:pPr>
      <w:r>
        <w:rPr>
          <w:rFonts w:hint="eastAsia"/>
        </w:rPr>
        <w:t>推行各项优惠政策，对于有利于水资源保护的各种项目和企业，可给予土地使用、税收、贷款等方面的优惠政策。</w:t>
      </w:r>
    </w:p>
    <w:p>
      <w:pPr>
        <w:pStyle w:val="5"/>
      </w:pPr>
      <w:bookmarkStart w:id="154" w:name="_Toc184023367"/>
      <w:r>
        <w:rPr>
          <w:rFonts w:hint="eastAsia"/>
        </w:rPr>
        <w:t>监督考核</w:t>
      </w:r>
      <w:bookmarkEnd w:id="154"/>
    </w:p>
    <w:p>
      <w:pPr>
        <w:pStyle w:val="4"/>
        <w:rPr>
          <w:bCs/>
        </w:rPr>
      </w:pPr>
      <w:r>
        <w:rPr>
          <w:rFonts w:hint="eastAsia"/>
          <w:bCs/>
        </w:rPr>
        <w:t>澄江市人民政府成立实行最严格水资源管理制度考核工作领导小组和考核工作组，负责落实玉溪市人民政府对澄江市人民政府实行最严格水资源管理制度工作的考核。分管副市长为市级考核领导小组组长，市水利局会同市发展和改革局、工业和信息化局、监察局、财政局、自然资源局、生态环境局、住房和城乡建设局、农业农村局、林草局、审计局和统计局等部门组成考核工作组，共同负责最严格水资源管理制度的落实和考核实施工作，下设办公室在市水利局，负责组织协调和具体落实。</w:t>
      </w:r>
    </w:p>
    <w:p>
      <w:pPr>
        <w:pStyle w:val="5"/>
      </w:pPr>
      <w:bookmarkStart w:id="155" w:name="_Toc184023368"/>
      <w:r>
        <w:rPr>
          <w:rFonts w:hint="eastAsia"/>
        </w:rPr>
        <w:t>技术保障</w:t>
      </w:r>
      <w:bookmarkEnd w:id="155"/>
    </w:p>
    <w:p>
      <w:pPr>
        <w:pStyle w:val="4"/>
      </w:pPr>
      <w:r>
        <w:rPr>
          <w:rFonts w:hint="eastAsia"/>
        </w:rPr>
        <w:t>当前，流域和区域社会经济快速发展，持续而剧烈的人类活动对河湖生态系统的健康和安全造成了严重的影响。为了揭示不同流域和区域的生态环境问题及其形成的机制，需尽快开展河湖健康保障关键技术等专项研究，为水资源保护科学管理提供技术支撑。特别是加强湖泊水系、再生水、生物多样性等重要水资源的保护和修复技术研究，建立水生态监测和预警网络，增强水生态监测、分析及预报预警能力，</w:t>
      </w:r>
    </w:p>
    <w:p>
      <w:pPr>
        <w:pStyle w:val="4"/>
      </w:pPr>
      <w:r>
        <w:rPr>
          <w:rFonts w:hint="eastAsia"/>
        </w:rPr>
        <w:t>坚持自主创新、重点跨越、支撑发展、引领未来的科技方针，树立科技兴水思想，总结提炼科技成果，推广应用先进科技成果，引进水利先进技术，加强水利科技管理，加大水利科技投入，发挥水利社团组织平台。结合云南省水利人才发展“十百万工程”和水利部专业人才知识更新工程的实施，加强水利人才教育培训，全力推进水利科技进步和创新工作。</w:t>
      </w:r>
    </w:p>
    <w:p>
      <w:pPr>
        <w:pStyle w:val="4"/>
      </w:pPr>
      <w:r>
        <w:rPr>
          <w:rFonts w:hint="eastAsia"/>
        </w:rPr>
        <w:t>迅速提高企业产品的技术使产业结构逐步向技术密集型产业发展，积极引进国内外相对成熟的技术，推动传统产业的发展上新台阶。</w:t>
      </w:r>
    </w:p>
    <w:p>
      <w:pPr>
        <w:pStyle w:val="5"/>
      </w:pPr>
      <w:bookmarkStart w:id="156" w:name="_Toc184023369"/>
      <w:r>
        <w:rPr>
          <w:rFonts w:hint="eastAsia"/>
        </w:rPr>
        <w:t>协作机制</w:t>
      </w:r>
      <w:bookmarkEnd w:id="156"/>
    </w:p>
    <w:p>
      <w:pPr>
        <w:pStyle w:val="4"/>
      </w:pPr>
      <w:r>
        <w:rPr>
          <w:rFonts w:hint="eastAsia"/>
        </w:rPr>
        <w:t>水资源保护利用是复杂的系统工程，须加强政府各部门之间的相互协调和配合，明确水资源保护责任制度。</w:t>
      </w:r>
    </w:p>
    <w:p>
      <w:pPr>
        <w:pStyle w:val="4"/>
      </w:pPr>
      <w:r>
        <w:rPr>
          <w:rFonts w:hint="eastAsia"/>
        </w:rPr>
        <w:t>建立科学合理的综合决策机制。成立澄江市水资源保护协调工作组，包括发改局、生态环境局、</w:t>
      </w:r>
      <w:r>
        <w:rPr>
          <w:rFonts w:hint="eastAsia"/>
          <w:lang w:eastAsia="zh-CN"/>
        </w:rPr>
        <w:t>住房和城乡建设</w:t>
      </w:r>
      <w:r>
        <w:rPr>
          <w:rFonts w:hint="eastAsia"/>
        </w:rPr>
        <w:t>局、自然资源局、文化和旅游局、林草局、水利局、农业农村局、教育局等与水资源保护相关的职能部门。全面负责澄江市水资源保护利用的领导、综合、协调、监督和检查，对各种参与水资源保护利用的行为从宏观上调控和引导，监督澄江市水资源保护利用规划的实施。</w:t>
      </w:r>
    </w:p>
    <w:p>
      <w:pPr>
        <w:pStyle w:val="4"/>
      </w:pPr>
      <w:r>
        <w:rPr>
          <w:rFonts w:hint="eastAsia"/>
        </w:rPr>
        <w:t>澄江市水利局主要负责水资源保护工程建设与运行管理；农业农村局主要负责调整产业结构，径流区退出水产养殖，禁止规模化养殖；住建局主要负责提高流域内城镇生活污水收集处理率，完善中水利用基础设施，提高中水利用率；生态环境局主要负责水质监督与管理；林草局负责实施森林抚仙湖项目，提高森林覆盖率等。</w:t>
      </w:r>
    </w:p>
    <w:p>
      <w:pPr>
        <w:pStyle w:val="5"/>
      </w:pPr>
      <w:bookmarkStart w:id="157" w:name="_Toc184023370"/>
      <w:r>
        <w:rPr>
          <w:rFonts w:hint="eastAsia"/>
        </w:rPr>
        <w:t>社会参与</w:t>
      </w:r>
      <w:bookmarkEnd w:id="157"/>
    </w:p>
    <w:p>
      <w:pPr>
        <w:pStyle w:val="4"/>
      </w:pPr>
      <w:r>
        <w:rPr>
          <w:rFonts w:hint="eastAsia"/>
        </w:rPr>
        <w:t>积极推进水资源保护利用规划实施的社会参与进程，创新水资源保护利用各个环节的公众参与方式，建立健全公众参与专家论证和政府决定相结合的行政决策机制。</w:t>
      </w:r>
    </w:p>
    <w:p>
      <w:pPr>
        <w:pStyle w:val="4"/>
      </w:pPr>
      <w:r>
        <w:rPr>
          <w:rFonts w:hint="eastAsia"/>
        </w:rPr>
        <w:t>做好水资源保护利用宣传教育，鼓励公众参与，强化社会监督，使水资源得到全社会全方位的保护。推动全民参与水资源节约和保护，促进节约用水，合理用水成为社会风尚，自觉行动，推进节水防污型社会建设。</w:t>
      </w:r>
    </w:p>
    <w:p>
      <w:pPr>
        <w:pStyle w:val="4"/>
      </w:pPr>
      <w:r>
        <w:rPr>
          <w:rFonts w:hint="eastAsia"/>
        </w:rPr>
        <w:t>加强信息的公开程度，深入开展水资源保护利用政务公开。拓宽公众参与水资源保护利用的渠道，设立投诉中心和举报电话，疏通投诉渠道，鼓励广大群众检举揭发各种违反水资源保护利用法律法规的行为，充分发挥新闻媒体的舆论监督作用。</w:t>
      </w:r>
    </w:p>
    <w:p>
      <w:pPr>
        <w:pStyle w:val="4"/>
        <w:sectPr>
          <w:pgSz w:w="11906" w:h="16838"/>
          <w:pgMar w:top="1440" w:right="1418" w:bottom="1440" w:left="1418" w:header="851" w:footer="851" w:gutter="0"/>
          <w:cols w:space="425" w:num="1"/>
          <w:docGrid w:type="linesAndChars" w:linePitch="312" w:charSpace="0"/>
        </w:sectPr>
      </w:pPr>
      <w:r>
        <w:rPr>
          <w:rFonts w:hint="eastAsia"/>
        </w:rPr>
        <w:t>通过创建节水型社区、节水型学校、节水型单位、将节水型社会建设延伸到社区、学校、企业，节水意识深入人心。</w:t>
      </w:r>
    </w:p>
    <w:p>
      <w:pPr>
        <w:pStyle w:val="4"/>
        <w:jc w:val="center"/>
      </w:pPr>
      <w:r>
        <w:rPr>
          <w:rFonts w:hint="eastAsia"/>
        </w:rPr>
        <w:t>附表:</w:t>
      </w:r>
      <w:r>
        <w:t xml:space="preserve">  </w:t>
      </w:r>
      <w:r>
        <w:rPr>
          <w:rFonts w:hint="eastAsia"/>
        </w:rPr>
        <w:t>澄江市水资源保护利用规划项目表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4"/>
        <w:gridCol w:w="819"/>
        <w:gridCol w:w="1880"/>
        <w:gridCol w:w="7273"/>
        <w:gridCol w:w="791"/>
        <w:gridCol w:w="783"/>
        <w:gridCol w:w="1245"/>
        <w:gridCol w:w="9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tblHeader/>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项目类别</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项目阶段</w:t>
            </w:r>
          </w:p>
        </w:tc>
        <w:tc>
          <w:tcPr>
            <w:tcW w:w="276"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建设期限</w:t>
            </w:r>
          </w:p>
        </w:tc>
        <w:tc>
          <w:tcPr>
            <w:tcW w:w="439"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投资</w:t>
            </w:r>
          </w:p>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32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所在</w:t>
            </w:r>
          </w:p>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节水灌溉</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澄江市东大河中型灌区、梁王河中型续建配套与节水改造工程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工程等别为Ⅳ等，工程规模为小（</w:t>
            </w:r>
            <w:r>
              <w:rPr>
                <w:rFonts w:cs="Times New Roman"/>
                <w:color w:val="000000"/>
                <w:szCs w:val="21"/>
              </w:rPr>
              <w:t>1</w:t>
            </w:r>
            <w:r>
              <w:rPr>
                <w:rFonts w:hint="eastAsia"/>
                <w:color w:val="000000"/>
                <w:szCs w:val="21"/>
              </w:rPr>
              <w:t>）型。工程设计灌溉面积</w:t>
            </w:r>
            <w:r>
              <w:rPr>
                <w:rFonts w:cs="Times New Roman"/>
                <w:color w:val="000000"/>
                <w:szCs w:val="21"/>
              </w:rPr>
              <w:t>1.33</w:t>
            </w:r>
            <w:r>
              <w:rPr>
                <w:rFonts w:hint="eastAsia"/>
                <w:color w:val="000000"/>
                <w:szCs w:val="21"/>
              </w:rPr>
              <w:t>万亩，改善灌溉面积</w:t>
            </w:r>
            <w:r>
              <w:rPr>
                <w:rFonts w:cs="Times New Roman"/>
                <w:color w:val="000000"/>
                <w:szCs w:val="21"/>
              </w:rPr>
              <w:t>1.33</w:t>
            </w:r>
            <w:r>
              <w:rPr>
                <w:rFonts w:hint="eastAsia"/>
                <w:color w:val="000000"/>
                <w:szCs w:val="21"/>
              </w:rPr>
              <w:t>万亩，设计供水量</w:t>
            </w:r>
            <w:r>
              <w:rPr>
                <w:rFonts w:cs="Times New Roman"/>
                <w:color w:val="000000"/>
                <w:szCs w:val="21"/>
              </w:rPr>
              <w:t>475</w:t>
            </w:r>
            <w:r>
              <w:rPr>
                <w:rFonts w:hint="eastAsia"/>
                <w:color w:val="000000"/>
                <w:szCs w:val="21"/>
              </w:rPr>
              <w:t>万立方米。主要建设内容：新建泵站</w:t>
            </w:r>
            <w:r>
              <w:rPr>
                <w:rFonts w:cs="Times New Roman"/>
                <w:color w:val="000000"/>
                <w:szCs w:val="21"/>
              </w:rPr>
              <w:t>3</w:t>
            </w:r>
            <w:r>
              <w:rPr>
                <w:rFonts w:hint="eastAsia"/>
                <w:color w:val="000000"/>
                <w:szCs w:val="21"/>
              </w:rPr>
              <w:t>座，新建骨干输配水管网</w:t>
            </w:r>
            <w:r>
              <w:rPr>
                <w:rFonts w:cs="Times New Roman"/>
                <w:color w:val="000000"/>
                <w:szCs w:val="21"/>
              </w:rPr>
              <w:t>31.41km</w:t>
            </w:r>
            <w:r>
              <w:rPr>
                <w:rFonts w:hint="eastAsia"/>
                <w:color w:val="000000"/>
                <w:szCs w:val="21"/>
              </w:rPr>
              <w:t>，新建分水闸</w:t>
            </w:r>
            <w:r>
              <w:rPr>
                <w:rFonts w:cs="Times New Roman"/>
                <w:color w:val="000000"/>
                <w:szCs w:val="21"/>
              </w:rPr>
              <w:t>14</w:t>
            </w:r>
            <w:r>
              <w:rPr>
                <w:rFonts w:hint="eastAsia"/>
                <w:color w:val="000000"/>
                <w:szCs w:val="21"/>
              </w:rPr>
              <w:t>个，退水闸</w:t>
            </w:r>
            <w:r>
              <w:rPr>
                <w:rFonts w:cs="Times New Roman"/>
                <w:color w:val="000000"/>
                <w:szCs w:val="21"/>
              </w:rPr>
              <w:t>6</w:t>
            </w:r>
            <w:r>
              <w:rPr>
                <w:rFonts w:hint="eastAsia"/>
                <w:color w:val="000000"/>
                <w:szCs w:val="21"/>
              </w:rPr>
              <w:t>座，节制闸</w:t>
            </w:r>
            <w:r>
              <w:rPr>
                <w:rFonts w:cs="Times New Roman"/>
                <w:color w:val="000000"/>
                <w:szCs w:val="21"/>
              </w:rPr>
              <w:t>6</w:t>
            </w:r>
            <w:r>
              <w:rPr>
                <w:rFonts w:hint="eastAsia"/>
                <w:color w:val="000000"/>
                <w:szCs w:val="21"/>
              </w:rPr>
              <w:t>座，闸阀室</w:t>
            </w:r>
            <w:r>
              <w:rPr>
                <w:rFonts w:cs="Times New Roman"/>
                <w:color w:val="000000"/>
                <w:szCs w:val="21"/>
              </w:rPr>
              <w:t>9</w:t>
            </w:r>
            <w:r>
              <w:rPr>
                <w:rFonts w:hint="eastAsia"/>
                <w:color w:val="000000"/>
                <w:szCs w:val="21"/>
              </w:rPr>
              <w:t>座，安装用水量测设备</w:t>
            </w:r>
            <w:r>
              <w:rPr>
                <w:rFonts w:cs="Times New Roman"/>
                <w:color w:val="000000"/>
                <w:szCs w:val="21"/>
              </w:rPr>
              <w:t>36</w:t>
            </w:r>
            <w:r>
              <w:rPr>
                <w:rFonts w:hint="eastAsia"/>
                <w:color w:val="000000"/>
                <w:szCs w:val="21"/>
              </w:rPr>
              <w:t>处，安装电磁计量设备</w:t>
            </w:r>
            <w:r>
              <w:rPr>
                <w:rFonts w:cs="Times New Roman"/>
                <w:color w:val="000000"/>
                <w:szCs w:val="21"/>
              </w:rPr>
              <w:t>800</w:t>
            </w:r>
            <w:r>
              <w:rPr>
                <w:rFonts w:hint="eastAsia"/>
                <w:color w:val="000000"/>
                <w:szCs w:val="21"/>
              </w:rPr>
              <w:t>套，工程信息化建设。</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7700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节水灌溉</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澄江市海新灌区建设工程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工程等别为Ⅳ等，工程规模为小（</w:t>
            </w:r>
            <w:r>
              <w:rPr>
                <w:rFonts w:cs="Times New Roman"/>
                <w:color w:val="000000"/>
                <w:szCs w:val="21"/>
              </w:rPr>
              <w:t>1</w:t>
            </w:r>
            <w:r>
              <w:rPr>
                <w:rFonts w:hint="eastAsia"/>
                <w:color w:val="000000"/>
                <w:szCs w:val="21"/>
              </w:rPr>
              <w:t>）型。工程设计灌溉面积</w:t>
            </w:r>
            <w:r>
              <w:rPr>
                <w:rFonts w:cs="Times New Roman"/>
                <w:color w:val="000000"/>
                <w:szCs w:val="21"/>
              </w:rPr>
              <w:t>3.79</w:t>
            </w:r>
            <w:r>
              <w:rPr>
                <w:rFonts w:hint="eastAsia"/>
                <w:color w:val="000000"/>
                <w:szCs w:val="21"/>
              </w:rPr>
              <w:t>万亩，其中新增灌溉面积</w:t>
            </w:r>
            <w:r>
              <w:rPr>
                <w:rFonts w:cs="Times New Roman"/>
                <w:color w:val="000000"/>
                <w:szCs w:val="21"/>
              </w:rPr>
              <w:t>1.5</w:t>
            </w:r>
            <w:r>
              <w:rPr>
                <w:rFonts w:hint="eastAsia"/>
                <w:color w:val="000000"/>
                <w:szCs w:val="21"/>
              </w:rPr>
              <w:t>万亩，改善灌溉面积</w:t>
            </w:r>
            <w:r>
              <w:rPr>
                <w:rFonts w:cs="Times New Roman"/>
                <w:color w:val="000000"/>
                <w:szCs w:val="21"/>
              </w:rPr>
              <w:t>2.29</w:t>
            </w:r>
            <w:r>
              <w:rPr>
                <w:rFonts w:hint="eastAsia"/>
                <w:color w:val="000000"/>
                <w:szCs w:val="21"/>
              </w:rPr>
              <w:t>万亩。主要由泵站、提水管道、输水干管组成，包含管网建设、水池、计量设施、水库坝塘清淤扩容。新建泵站</w:t>
            </w:r>
            <w:r>
              <w:rPr>
                <w:rFonts w:cs="Times New Roman"/>
                <w:color w:val="000000"/>
                <w:szCs w:val="21"/>
              </w:rPr>
              <w:t>4</w:t>
            </w:r>
            <w:r>
              <w:rPr>
                <w:rFonts w:hint="eastAsia"/>
                <w:color w:val="000000"/>
                <w:szCs w:val="21"/>
              </w:rPr>
              <w:t>座，改建泵站</w:t>
            </w:r>
            <w:r>
              <w:rPr>
                <w:rFonts w:cs="Times New Roman"/>
                <w:color w:val="000000"/>
                <w:szCs w:val="21"/>
              </w:rPr>
              <w:t>5</w:t>
            </w:r>
            <w:r>
              <w:rPr>
                <w:rFonts w:hint="eastAsia"/>
                <w:color w:val="000000"/>
                <w:szCs w:val="21"/>
              </w:rPr>
              <w:t>座；新建输水干管、支管和分管将水引至已建坝塘和调蓄池，输水管总长</w:t>
            </w:r>
            <w:r>
              <w:rPr>
                <w:rFonts w:cs="Times New Roman"/>
                <w:color w:val="000000"/>
                <w:szCs w:val="21"/>
              </w:rPr>
              <w:t>69.219km</w:t>
            </w:r>
            <w:r>
              <w:rPr>
                <w:rFonts w:hint="eastAsia"/>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18000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节水灌溉</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澄江市新建抚仙湖西岸小型灌区工程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工程等别为Ⅳ等，工程规模为小（</w:t>
            </w:r>
            <w:r>
              <w:rPr>
                <w:rFonts w:cs="Times New Roman"/>
                <w:color w:val="000000"/>
                <w:szCs w:val="21"/>
              </w:rPr>
              <w:t>1</w:t>
            </w:r>
            <w:r>
              <w:rPr>
                <w:rFonts w:hint="eastAsia"/>
                <w:color w:val="000000"/>
                <w:szCs w:val="21"/>
              </w:rPr>
              <w:t>）型。设计灌溉面积</w:t>
            </w:r>
            <w:r>
              <w:rPr>
                <w:rFonts w:cs="Times New Roman"/>
                <w:color w:val="000000"/>
                <w:szCs w:val="21"/>
              </w:rPr>
              <w:t>9500</w:t>
            </w:r>
            <w:r>
              <w:rPr>
                <w:rFonts w:hint="eastAsia"/>
                <w:color w:val="000000"/>
                <w:szCs w:val="21"/>
              </w:rPr>
              <w:t>亩，其中新增灌溉面积</w:t>
            </w:r>
            <w:r>
              <w:rPr>
                <w:rFonts w:cs="Times New Roman"/>
                <w:color w:val="000000"/>
                <w:szCs w:val="21"/>
              </w:rPr>
              <w:t>1500</w:t>
            </w:r>
            <w:r>
              <w:rPr>
                <w:rFonts w:hint="eastAsia"/>
                <w:color w:val="000000"/>
                <w:szCs w:val="21"/>
              </w:rPr>
              <w:t>亩，改善灌溉面积</w:t>
            </w:r>
            <w:r>
              <w:rPr>
                <w:rFonts w:cs="Times New Roman"/>
                <w:color w:val="000000"/>
                <w:szCs w:val="21"/>
              </w:rPr>
              <w:t>8000</w:t>
            </w:r>
            <w:r>
              <w:rPr>
                <w:rFonts w:hint="eastAsia"/>
                <w:color w:val="000000"/>
                <w:szCs w:val="21"/>
              </w:rPr>
              <w:t>亩。新建水池</w:t>
            </w:r>
            <w:r>
              <w:rPr>
                <w:rFonts w:cs="Times New Roman"/>
                <w:color w:val="000000"/>
                <w:szCs w:val="21"/>
              </w:rPr>
              <w:t>13</w:t>
            </w:r>
            <w:r>
              <w:rPr>
                <w:rFonts w:hint="eastAsia"/>
                <w:color w:val="000000"/>
                <w:szCs w:val="21"/>
              </w:rPr>
              <w:t>座，新建提水泵站</w:t>
            </w:r>
            <w:r>
              <w:rPr>
                <w:rFonts w:cs="Times New Roman"/>
                <w:color w:val="000000"/>
                <w:szCs w:val="21"/>
              </w:rPr>
              <w:t>3</w:t>
            </w:r>
            <w:r>
              <w:rPr>
                <w:rFonts w:hint="eastAsia"/>
                <w:color w:val="000000"/>
                <w:szCs w:val="21"/>
              </w:rPr>
              <w:t>座，铺设供水主管</w:t>
            </w:r>
            <w:r>
              <w:rPr>
                <w:rFonts w:cs="Times New Roman"/>
                <w:color w:val="000000"/>
                <w:szCs w:val="21"/>
              </w:rPr>
              <w:t>45</w:t>
            </w:r>
            <w:r>
              <w:rPr>
                <w:rFonts w:hint="eastAsia"/>
                <w:color w:val="000000"/>
                <w:szCs w:val="21"/>
              </w:rPr>
              <w:t>公里，支管</w:t>
            </w:r>
            <w:r>
              <w:rPr>
                <w:rFonts w:cs="Times New Roman"/>
                <w:color w:val="000000"/>
                <w:szCs w:val="21"/>
              </w:rPr>
              <w:t>25</w:t>
            </w:r>
            <w:r>
              <w:rPr>
                <w:rFonts w:hint="eastAsia"/>
                <w:color w:val="000000"/>
                <w:szCs w:val="21"/>
              </w:rPr>
              <w:t>公里。</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7200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节水灌溉</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澄江市新建东溪哨小型灌区工程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工程等别为Ⅴ等，工程规模为小（</w:t>
            </w:r>
            <w:r>
              <w:rPr>
                <w:rFonts w:cs="Times New Roman"/>
                <w:color w:val="000000"/>
                <w:szCs w:val="21"/>
              </w:rPr>
              <w:t>2</w:t>
            </w:r>
            <w:r>
              <w:rPr>
                <w:rFonts w:hint="eastAsia"/>
                <w:color w:val="000000"/>
                <w:szCs w:val="21"/>
              </w:rPr>
              <w:t>）型。工程设计灌溉面积</w:t>
            </w:r>
            <w:r>
              <w:rPr>
                <w:rFonts w:cs="Times New Roman"/>
                <w:color w:val="000000"/>
                <w:szCs w:val="21"/>
              </w:rPr>
              <w:t>3900</w:t>
            </w:r>
            <w:r>
              <w:rPr>
                <w:rFonts w:hint="eastAsia"/>
                <w:color w:val="000000"/>
                <w:szCs w:val="21"/>
              </w:rPr>
              <w:t>亩，新增灌溉面积</w:t>
            </w:r>
            <w:r>
              <w:rPr>
                <w:rFonts w:cs="Times New Roman"/>
                <w:color w:val="000000"/>
                <w:szCs w:val="21"/>
              </w:rPr>
              <w:t>3900</w:t>
            </w:r>
            <w:r>
              <w:rPr>
                <w:rFonts w:hint="eastAsia"/>
                <w:color w:val="000000"/>
                <w:szCs w:val="21"/>
              </w:rPr>
              <w:t>亩，新建提水泵站</w:t>
            </w:r>
            <w:r>
              <w:rPr>
                <w:rFonts w:cs="Times New Roman"/>
                <w:color w:val="000000"/>
                <w:szCs w:val="21"/>
              </w:rPr>
              <w:t>2</w:t>
            </w:r>
            <w:r>
              <w:rPr>
                <w:rFonts w:hint="eastAsia"/>
                <w:color w:val="000000"/>
                <w:szCs w:val="21"/>
              </w:rPr>
              <w:t>座，水池</w:t>
            </w:r>
            <w:r>
              <w:rPr>
                <w:rFonts w:cs="Times New Roman"/>
                <w:color w:val="000000"/>
                <w:szCs w:val="21"/>
              </w:rPr>
              <w:t>15</w:t>
            </w:r>
            <w:r>
              <w:rPr>
                <w:rFonts w:hint="eastAsia"/>
                <w:color w:val="000000"/>
                <w:szCs w:val="21"/>
              </w:rPr>
              <w:t>座，新建输水管网总长</w:t>
            </w:r>
            <w:r>
              <w:rPr>
                <w:rFonts w:cs="Times New Roman"/>
                <w:color w:val="000000"/>
                <w:szCs w:val="21"/>
              </w:rPr>
              <w:t>21.85km</w:t>
            </w:r>
            <w:r>
              <w:rPr>
                <w:rFonts w:hint="eastAsia"/>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3200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节水灌溉</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澄江市七江小型灌区续建配套与节水改造工程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工程等别为Ⅳ等，工程规模为小（</w:t>
            </w:r>
            <w:r>
              <w:rPr>
                <w:rFonts w:cs="Times New Roman"/>
                <w:color w:val="000000"/>
                <w:szCs w:val="21"/>
              </w:rPr>
              <w:t>1</w:t>
            </w:r>
            <w:r>
              <w:rPr>
                <w:rFonts w:hint="eastAsia"/>
                <w:color w:val="000000"/>
                <w:szCs w:val="21"/>
              </w:rPr>
              <w:t>）型。工程设计灌溉面积</w:t>
            </w:r>
            <w:r>
              <w:rPr>
                <w:rFonts w:cs="Times New Roman"/>
                <w:color w:val="000000"/>
                <w:szCs w:val="21"/>
              </w:rPr>
              <w:t>7300</w:t>
            </w:r>
            <w:r>
              <w:rPr>
                <w:rFonts w:hint="eastAsia"/>
                <w:color w:val="000000"/>
                <w:szCs w:val="21"/>
              </w:rPr>
              <w:t>亩，其中改善灌溉面积</w:t>
            </w:r>
            <w:r>
              <w:rPr>
                <w:rFonts w:cs="Times New Roman"/>
                <w:color w:val="000000"/>
                <w:szCs w:val="21"/>
              </w:rPr>
              <w:t>5000</w:t>
            </w:r>
            <w:r>
              <w:rPr>
                <w:rFonts w:hint="eastAsia"/>
                <w:color w:val="000000"/>
                <w:szCs w:val="21"/>
              </w:rPr>
              <w:t>亩，新增灌溉面积</w:t>
            </w:r>
            <w:r>
              <w:rPr>
                <w:rFonts w:cs="Times New Roman"/>
                <w:color w:val="000000"/>
                <w:szCs w:val="21"/>
              </w:rPr>
              <w:t>2300</w:t>
            </w:r>
            <w:r>
              <w:rPr>
                <w:rFonts w:hint="eastAsia"/>
                <w:color w:val="000000"/>
                <w:szCs w:val="21"/>
              </w:rPr>
              <w:t>亩。自流引水，新建水池</w:t>
            </w:r>
            <w:r>
              <w:rPr>
                <w:rFonts w:cs="Times New Roman"/>
                <w:color w:val="000000"/>
                <w:szCs w:val="21"/>
              </w:rPr>
              <w:t>20</w:t>
            </w:r>
            <w:r>
              <w:rPr>
                <w:rFonts w:hint="eastAsia"/>
                <w:color w:val="000000"/>
                <w:szCs w:val="21"/>
              </w:rPr>
              <w:t>座，新建输水管网总长</w:t>
            </w:r>
            <w:r>
              <w:rPr>
                <w:rFonts w:cs="Times New Roman"/>
                <w:color w:val="000000"/>
                <w:szCs w:val="21"/>
              </w:rPr>
              <w:t>32.56km</w:t>
            </w:r>
            <w:r>
              <w:rPr>
                <w:rFonts w:hint="eastAsia"/>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3600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滇中引水二期配套工程澄江干线项目</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从呈昆隧洞</w:t>
            </w:r>
            <w:r>
              <w:rPr>
                <w:rFonts w:cs="Times New Roman"/>
                <w:color w:val="000000"/>
                <w:szCs w:val="21"/>
              </w:rPr>
              <w:t>14</w:t>
            </w:r>
            <w:r>
              <w:rPr>
                <w:rFonts w:hint="eastAsia"/>
                <w:color w:val="000000"/>
                <w:szCs w:val="21"/>
              </w:rPr>
              <w:t>号施工支洞与主洞交叉位置向东南布设</w:t>
            </w:r>
            <w:r>
              <w:rPr>
                <w:rFonts w:cs="Times New Roman"/>
                <w:color w:val="000000"/>
                <w:szCs w:val="21"/>
              </w:rPr>
              <w:t>6.4km</w:t>
            </w:r>
            <w:r>
              <w:rPr>
                <w:rFonts w:hint="eastAsia"/>
                <w:color w:val="000000"/>
                <w:szCs w:val="21"/>
              </w:rPr>
              <w:t>长输水隧洞，隧洞在小官庄村附近出洞后，向东布置约</w:t>
            </w:r>
            <w:r>
              <w:rPr>
                <w:rFonts w:cs="Times New Roman"/>
                <w:color w:val="000000"/>
                <w:szCs w:val="21"/>
              </w:rPr>
              <w:t>16.7km</w:t>
            </w:r>
            <w:r>
              <w:rPr>
                <w:rFonts w:hint="eastAsia"/>
                <w:color w:val="000000"/>
                <w:szCs w:val="21"/>
              </w:rPr>
              <w:t>长输水管道分别向西大河水库、澄江市二水厂、澄江市东岸水厂供水。渠首设计输水流量为</w:t>
            </w:r>
            <w:r>
              <w:rPr>
                <w:rFonts w:cs="Times New Roman"/>
                <w:color w:val="000000"/>
                <w:szCs w:val="21"/>
              </w:rPr>
              <w:t>11</w:t>
            </w:r>
            <w:r>
              <w:rPr>
                <w:rFonts w:hint="eastAsia"/>
                <w:color w:val="000000"/>
                <w:szCs w:val="21"/>
              </w:rPr>
              <w:t>万</w:t>
            </w:r>
            <w:r>
              <w:rPr>
                <w:rFonts w:cs="Times New Roman"/>
                <w:color w:val="000000"/>
                <w:szCs w:val="21"/>
              </w:rPr>
              <w:t>m</w:t>
            </w:r>
            <w:r>
              <w:rPr>
                <w:rFonts w:hint="eastAsia"/>
                <w:color w:val="000000"/>
                <w:szCs w:val="21"/>
              </w:rPr>
              <w:t>³</w:t>
            </w:r>
            <w:r>
              <w:rPr>
                <w:rFonts w:cs="Times New Roman"/>
                <w:color w:val="000000"/>
                <w:szCs w:val="21"/>
              </w:rPr>
              <w:t>/</w:t>
            </w:r>
            <w:r>
              <w:rPr>
                <w:rFonts w:hint="eastAsia"/>
                <w:color w:val="000000"/>
                <w:szCs w:val="21"/>
              </w:rPr>
              <w:t>日，隧洞采用城门洞型无压隧洞，净断面</w:t>
            </w:r>
            <w:r>
              <w:rPr>
                <w:rFonts w:cs="Times New Roman"/>
                <w:color w:val="000000"/>
                <w:szCs w:val="21"/>
              </w:rPr>
              <w:t>2.5</w:t>
            </w:r>
            <w:r>
              <w:rPr>
                <w:rFonts w:hint="eastAsia"/>
                <w:color w:val="000000"/>
                <w:szCs w:val="21"/>
              </w:rPr>
              <w:t>×</w:t>
            </w:r>
            <w:r>
              <w:rPr>
                <w:rFonts w:cs="Times New Roman"/>
                <w:color w:val="000000"/>
                <w:szCs w:val="21"/>
              </w:rPr>
              <w:t>3.0</w:t>
            </w:r>
            <w:r>
              <w:rPr>
                <w:rFonts w:hint="eastAsia"/>
                <w:color w:val="000000"/>
                <w:szCs w:val="21"/>
              </w:rPr>
              <w:t>（宽×高），输水管径</w:t>
            </w:r>
            <w:r>
              <w:rPr>
                <w:rFonts w:cs="Times New Roman"/>
                <w:color w:val="000000"/>
                <w:szCs w:val="21"/>
              </w:rPr>
              <w:t>D=1.5m</w:t>
            </w:r>
            <w:r>
              <w:rPr>
                <w:rFonts w:hint="eastAsia"/>
                <w:color w:val="000000"/>
                <w:szCs w:val="21"/>
              </w:rPr>
              <w:t>、</w:t>
            </w:r>
            <w:r>
              <w:rPr>
                <w:rFonts w:cs="Times New Roman"/>
                <w:color w:val="000000"/>
                <w:szCs w:val="21"/>
              </w:rPr>
              <w:t>1.2m</w:t>
            </w:r>
            <w:r>
              <w:rPr>
                <w:rFonts w:hint="eastAsia"/>
                <w:color w:val="000000"/>
                <w:szCs w:val="21"/>
              </w:rPr>
              <w:t>、</w:t>
            </w:r>
            <w:r>
              <w:rPr>
                <w:rFonts w:cs="Times New Roman"/>
                <w:color w:val="000000"/>
                <w:szCs w:val="21"/>
              </w:rPr>
              <w:t>1.0m</w:t>
            </w:r>
            <w:r>
              <w:rPr>
                <w:rFonts w:hint="eastAsia"/>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52000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抚仙湖水资源生态保护甸垛龙潭调水管网延伸扩建工程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新建配水管网</w:t>
            </w:r>
            <w:r>
              <w:rPr>
                <w:rFonts w:cs="Times New Roman"/>
                <w:color w:val="000000"/>
                <w:szCs w:val="21"/>
              </w:rPr>
              <w:t>98.5km</w:t>
            </w:r>
            <w:r>
              <w:rPr>
                <w:rFonts w:hint="eastAsia"/>
                <w:color w:val="000000"/>
                <w:szCs w:val="21"/>
              </w:rPr>
              <w:t>，新建村内管网</w:t>
            </w:r>
            <w:r>
              <w:rPr>
                <w:rFonts w:cs="Times New Roman"/>
                <w:color w:val="000000"/>
                <w:szCs w:val="21"/>
              </w:rPr>
              <w:t>182.4km</w:t>
            </w:r>
            <w:r>
              <w:rPr>
                <w:rFonts w:hint="eastAsia"/>
                <w:color w:val="000000"/>
                <w:szCs w:val="21"/>
              </w:rPr>
              <w:t>，日供水规模</w:t>
            </w:r>
            <w:r>
              <w:rPr>
                <w:rFonts w:cs="Times New Roman"/>
                <w:color w:val="000000"/>
                <w:szCs w:val="21"/>
              </w:rPr>
              <w:t>3855.1m3/d</w:t>
            </w:r>
            <w:r>
              <w:rPr>
                <w:rFonts w:hint="eastAsia"/>
                <w:color w:val="000000"/>
                <w:szCs w:val="21"/>
              </w:rPr>
              <w:t>，年供水规模</w:t>
            </w:r>
            <w:r>
              <w:rPr>
                <w:rFonts w:cs="Times New Roman"/>
                <w:color w:val="000000"/>
                <w:szCs w:val="21"/>
              </w:rPr>
              <w:t>100.51</w:t>
            </w:r>
            <w:r>
              <w:rPr>
                <w:rFonts w:hint="eastAsia"/>
                <w:color w:val="000000"/>
                <w:szCs w:val="21"/>
              </w:rPr>
              <w:t>万</w:t>
            </w:r>
            <w:r>
              <w:rPr>
                <w:rFonts w:cs="Times New Roman"/>
                <w:color w:val="000000"/>
                <w:szCs w:val="21"/>
              </w:rPr>
              <w:t>m3</w:t>
            </w:r>
            <w:r>
              <w:rPr>
                <w:rFonts w:hint="eastAsia"/>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4031</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抚仙湖东南西岸配水管网工程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配水管网全长</w:t>
            </w:r>
            <w:r>
              <w:rPr>
                <w:rFonts w:cs="Times New Roman"/>
                <w:color w:val="000000"/>
                <w:szCs w:val="21"/>
              </w:rPr>
              <w:t>16.13km</w:t>
            </w:r>
            <w:r>
              <w:rPr>
                <w:rFonts w:hint="eastAsia"/>
                <w:color w:val="000000"/>
                <w:szCs w:val="21"/>
              </w:rPr>
              <w:t>，其中管径</w:t>
            </w:r>
            <w:r>
              <w:rPr>
                <w:rFonts w:cs="Times New Roman"/>
                <w:color w:val="000000"/>
                <w:szCs w:val="21"/>
              </w:rPr>
              <w:t>DN400mm</w:t>
            </w:r>
            <w:r>
              <w:rPr>
                <w:rFonts w:hint="eastAsia"/>
                <w:color w:val="000000"/>
                <w:szCs w:val="21"/>
              </w:rPr>
              <w:t>的</w:t>
            </w:r>
            <w:r>
              <w:rPr>
                <w:rFonts w:cs="Times New Roman"/>
                <w:color w:val="000000"/>
                <w:szCs w:val="21"/>
              </w:rPr>
              <w:t>260m</w:t>
            </w:r>
            <w:r>
              <w:rPr>
                <w:rFonts w:hint="eastAsia"/>
                <w:color w:val="000000"/>
                <w:szCs w:val="21"/>
              </w:rPr>
              <w:t>，</w:t>
            </w:r>
            <w:r>
              <w:rPr>
                <w:rFonts w:cs="Times New Roman"/>
                <w:color w:val="000000"/>
                <w:szCs w:val="21"/>
              </w:rPr>
              <w:t>DN300mm</w:t>
            </w:r>
            <w:r>
              <w:rPr>
                <w:rFonts w:hint="eastAsia"/>
                <w:color w:val="000000"/>
                <w:szCs w:val="21"/>
              </w:rPr>
              <w:t>的</w:t>
            </w:r>
            <w:r>
              <w:rPr>
                <w:rFonts w:cs="Times New Roman"/>
                <w:color w:val="000000"/>
                <w:szCs w:val="21"/>
              </w:rPr>
              <w:t>8770m</w:t>
            </w:r>
            <w:r>
              <w:rPr>
                <w:rFonts w:hint="eastAsia"/>
                <w:color w:val="000000"/>
                <w:szCs w:val="21"/>
              </w:rPr>
              <w:t>，</w:t>
            </w:r>
            <w:r>
              <w:rPr>
                <w:rFonts w:cs="Times New Roman"/>
                <w:color w:val="000000"/>
                <w:szCs w:val="21"/>
              </w:rPr>
              <w:t>DN200mm</w:t>
            </w:r>
            <w:r>
              <w:rPr>
                <w:rFonts w:hint="eastAsia"/>
                <w:color w:val="000000"/>
                <w:szCs w:val="21"/>
              </w:rPr>
              <w:t>的</w:t>
            </w:r>
            <w:r>
              <w:rPr>
                <w:rFonts w:cs="Times New Roman"/>
                <w:color w:val="000000"/>
                <w:szCs w:val="21"/>
              </w:rPr>
              <w:t>3353m</w:t>
            </w:r>
            <w:r>
              <w:rPr>
                <w:rFonts w:hint="eastAsia"/>
                <w:color w:val="000000"/>
                <w:szCs w:val="21"/>
              </w:rPr>
              <w:t>，</w:t>
            </w:r>
            <w:r>
              <w:rPr>
                <w:rFonts w:cs="Times New Roman"/>
                <w:color w:val="000000"/>
                <w:szCs w:val="21"/>
              </w:rPr>
              <w:t>DN150mm</w:t>
            </w:r>
            <w:r>
              <w:rPr>
                <w:rFonts w:hint="eastAsia"/>
                <w:color w:val="000000"/>
                <w:szCs w:val="21"/>
              </w:rPr>
              <w:t>的</w:t>
            </w:r>
            <w:r>
              <w:rPr>
                <w:rFonts w:cs="Times New Roman"/>
                <w:color w:val="000000"/>
                <w:szCs w:val="21"/>
              </w:rPr>
              <w:t>3747m</w:t>
            </w:r>
            <w:r>
              <w:rPr>
                <w:rFonts w:hint="eastAsia"/>
                <w:color w:val="000000"/>
                <w:szCs w:val="21"/>
              </w:rPr>
              <w:t>。</w:t>
            </w:r>
          </w:p>
        </w:tc>
        <w:tc>
          <w:tcPr>
            <w:tcW w:w="279"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4000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澄江市抚仙湖流域农业水资源循环利用工程一期</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工程项目区分为</w:t>
            </w:r>
            <w:r>
              <w:rPr>
                <w:rFonts w:cs="Times New Roman"/>
                <w:color w:val="000000"/>
                <w:szCs w:val="21"/>
              </w:rPr>
              <w:t>2</w:t>
            </w:r>
            <w:r>
              <w:rPr>
                <w:rFonts w:hint="eastAsia"/>
                <w:color w:val="000000"/>
                <w:szCs w:val="21"/>
              </w:rPr>
              <w:t>个灌区，</w:t>
            </w:r>
            <w:r>
              <w:rPr>
                <w:rFonts w:cs="Times New Roman"/>
                <w:color w:val="000000"/>
                <w:szCs w:val="21"/>
              </w:rPr>
              <w:t>13</w:t>
            </w:r>
            <w:r>
              <w:rPr>
                <w:rFonts w:hint="eastAsia"/>
                <w:color w:val="000000"/>
                <w:szCs w:val="21"/>
              </w:rPr>
              <w:t>个灌片设计，</w:t>
            </w:r>
            <w:r>
              <w:rPr>
                <w:rFonts w:cs="Times New Roman"/>
                <w:color w:val="000000"/>
                <w:szCs w:val="21"/>
              </w:rPr>
              <w:t>2</w:t>
            </w:r>
            <w:r>
              <w:rPr>
                <w:rFonts w:hint="eastAsia"/>
                <w:color w:val="000000"/>
                <w:szCs w:val="21"/>
              </w:rPr>
              <w:t>个灌区以海口河为界南北划分。海口河以北区域为“抚仙湖东北部山地灌区”，设计灌溉面积</w:t>
            </w:r>
            <w:r>
              <w:rPr>
                <w:rFonts w:cs="Times New Roman"/>
                <w:color w:val="000000"/>
                <w:szCs w:val="21"/>
              </w:rPr>
              <w:t>3.55</w:t>
            </w:r>
            <w:r>
              <w:rPr>
                <w:rFonts w:hint="eastAsia"/>
                <w:color w:val="000000"/>
                <w:szCs w:val="21"/>
              </w:rPr>
              <w:t>万亩；海口河以南区域为“抚仙湖东南部山地灌区”，设计灌溉面积</w:t>
            </w:r>
            <w:r>
              <w:rPr>
                <w:rFonts w:cs="Times New Roman"/>
                <w:color w:val="000000"/>
                <w:szCs w:val="21"/>
              </w:rPr>
              <w:t>0.24</w:t>
            </w:r>
            <w:r>
              <w:rPr>
                <w:rFonts w:hint="eastAsia"/>
                <w:color w:val="000000"/>
                <w:szCs w:val="21"/>
              </w:rPr>
              <w:t>万亩。工程新建泵站</w:t>
            </w:r>
            <w:r>
              <w:rPr>
                <w:rFonts w:cs="Times New Roman"/>
                <w:color w:val="000000"/>
                <w:szCs w:val="21"/>
              </w:rPr>
              <w:t>4</w:t>
            </w:r>
            <w:r>
              <w:rPr>
                <w:rFonts w:hint="eastAsia"/>
                <w:color w:val="000000"/>
                <w:szCs w:val="21"/>
              </w:rPr>
              <w:t>座，改建泵站</w:t>
            </w:r>
            <w:r>
              <w:rPr>
                <w:rFonts w:cs="Times New Roman"/>
                <w:color w:val="000000"/>
                <w:szCs w:val="21"/>
              </w:rPr>
              <w:t>5</w:t>
            </w:r>
            <w:r>
              <w:rPr>
                <w:rFonts w:hint="eastAsia"/>
                <w:color w:val="000000"/>
                <w:szCs w:val="21"/>
              </w:rPr>
              <w:t>座；输水管总长</w:t>
            </w:r>
            <w:r>
              <w:rPr>
                <w:rFonts w:cs="Times New Roman"/>
                <w:color w:val="000000"/>
                <w:szCs w:val="21"/>
              </w:rPr>
              <w:t>69.219km</w:t>
            </w:r>
            <w:r>
              <w:rPr>
                <w:rFonts w:hint="eastAsia"/>
                <w:color w:val="000000"/>
                <w:szCs w:val="21"/>
              </w:rPr>
              <w:t>。工程配套布置调蓄池</w:t>
            </w:r>
            <w:r>
              <w:rPr>
                <w:rFonts w:cs="Times New Roman"/>
                <w:color w:val="000000"/>
                <w:szCs w:val="21"/>
              </w:rPr>
              <w:t>11</w:t>
            </w:r>
            <w:r>
              <w:rPr>
                <w:rFonts w:hint="eastAsia"/>
                <w:color w:val="000000"/>
                <w:szCs w:val="21"/>
              </w:rPr>
              <w:t>座，其中新建</w:t>
            </w:r>
            <w:r>
              <w:rPr>
                <w:rFonts w:cs="Times New Roman"/>
                <w:color w:val="000000"/>
                <w:szCs w:val="21"/>
              </w:rPr>
              <w:t xml:space="preserve"> 2000m3</w:t>
            </w:r>
            <w:r>
              <w:rPr>
                <w:rFonts w:hint="eastAsia"/>
                <w:color w:val="000000"/>
                <w:szCs w:val="21"/>
              </w:rPr>
              <w:t>调蓄池</w:t>
            </w:r>
            <w:r>
              <w:rPr>
                <w:rFonts w:cs="Times New Roman"/>
                <w:color w:val="000000"/>
                <w:szCs w:val="21"/>
              </w:rPr>
              <w:t>1</w:t>
            </w:r>
            <w:r>
              <w:rPr>
                <w:rFonts w:hint="eastAsia"/>
                <w:color w:val="000000"/>
                <w:szCs w:val="21"/>
              </w:rPr>
              <w:t>座，新建</w:t>
            </w:r>
            <w:r>
              <w:rPr>
                <w:rFonts w:cs="Times New Roman"/>
                <w:color w:val="000000"/>
                <w:szCs w:val="21"/>
              </w:rPr>
              <w:t>1000m3</w:t>
            </w:r>
            <w:r>
              <w:rPr>
                <w:rFonts w:hint="eastAsia"/>
                <w:color w:val="000000"/>
                <w:szCs w:val="21"/>
              </w:rPr>
              <w:t>调蓄池</w:t>
            </w:r>
            <w:r>
              <w:rPr>
                <w:rFonts w:cs="Times New Roman"/>
                <w:color w:val="000000"/>
                <w:szCs w:val="21"/>
              </w:rPr>
              <w:t>5</w:t>
            </w:r>
            <w:r>
              <w:rPr>
                <w:rFonts w:hint="eastAsia"/>
                <w:color w:val="000000"/>
                <w:szCs w:val="21"/>
              </w:rPr>
              <w:t>座，</w:t>
            </w:r>
            <w:r>
              <w:rPr>
                <w:rFonts w:cs="Times New Roman"/>
                <w:color w:val="000000"/>
                <w:szCs w:val="21"/>
              </w:rPr>
              <w:t>100m3</w:t>
            </w:r>
            <w:r>
              <w:rPr>
                <w:rFonts w:hint="eastAsia"/>
                <w:color w:val="000000"/>
                <w:szCs w:val="21"/>
              </w:rPr>
              <w:t>调蓄池</w:t>
            </w:r>
            <w:r>
              <w:rPr>
                <w:rFonts w:cs="Times New Roman"/>
                <w:color w:val="000000"/>
                <w:szCs w:val="21"/>
              </w:rPr>
              <w:t>5</w:t>
            </w:r>
            <w:r>
              <w:rPr>
                <w:rFonts w:hint="eastAsia"/>
                <w:color w:val="000000"/>
                <w:szCs w:val="21"/>
              </w:rPr>
              <w:t>座；新建隧洞</w:t>
            </w:r>
            <w:r>
              <w:rPr>
                <w:rFonts w:cs="Times New Roman"/>
                <w:color w:val="000000"/>
                <w:szCs w:val="21"/>
              </w:rPr>
              <w:t>1</w:t>
            </w:r>
            <w:r>
              <w:rPr>
                <w:rFonts w:hint="eastAsia"/>
                <w:color w:val="000000"/>
                <w:szCs w:val="21"/>
              </w:rPr>
              <w:t>座；新建闸阀井</w:t>
            </w:r>
            <w:r>
              <w:rPr>
                <w:rFonts w:cs="Times New Roman"/>
                <w:color w:val="000000"/>
                <w:szCs w:val="21"/>
              </w:rPr>
              <w:t>141</w:t>
            </w:r>
            <w:r>
              <w:rPr>
                <w:rFonts w:hint="eastAsia"/>
                <w:color w:val="000000"/>
                <w:szCs w:val="21"/>
              </w:rPr>
              <w:t>座。</w:t>
            </w:r>
          </w:p>
        </w:tc>
        <w:tc>
          <w:tcPr>
            <w:tcW w:w="279"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11052</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澄江市抚仙湖流域农业水资源循环利用（二期）工程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南岸片区新建主管</w:t>
            </w:r>
            <w:r>
              <w:rPr>
                <w:rFonts w:cs="Times New Roman"/>
                <w:color w:val="000000"/>
                <w:szCs w:val="21"/>
              </w:rPr>
              <w:t>2</w:t>
            </w:r>
            <w:r>
              <w:rPr>
                <w:rFonts w:hint="eastAsia"/>
                <w:color w:val="000000"/>
                <w:szCs w:val="21"/>
              </w:rPr>
              <w:t>条，合计长</w:t>
            </w:r>
            <w:r>
              <w:rPr>
                <w:rFonts w:cs="Times New Roman"/>
                <w:color w:val="000000"/>
                <w:szCs w:val="21"/>
              </w:rPr>
              <w:t>4.07km</w:t>
            </w:r>
            <w:r>
              <w:rPr>
                <w:rFonts w:hint="eastAsia"/>
                <w:color w:val="000000"/>
                <w:szCs w:val="21"/>
              </w:rPr>
              <w:t>，新建干管</w:t>
            </w:r>
            <w:r>
              <w:rPr>
                <w:rFonts w:cs="Times New Roman"/>
                <w:color w:val="000000"/>
                <w:szCs w:val="21"/>
              </w:rPr>
              <w:t>1</w:t>
            </w:r>
            <w:r>
              <w:rPr>
                <w:rFonts w:hint="eastAsia"/>
                <w:color w:val="000000"/>
                <w:szCs w:val="21"/>
              </w:rPr>
              <w:t>条，长</w:t>
            </w:r>
            <w:r>
              <w:rPr>
                <w:rFonts w:cs="Times New Roman"/>
                <w:color w:val="000000"/>
                <w:szCs w:val="21"/>
              </w:rPr>
              <w:t>1.25km</w:t>
            </w:r>
            <w:r>
              <w:rPr>
                <w:rFonts w:hint="eastAsia"/>
                <w:color w:val="000000"/>
                <w:szCs w:val="21"/>
              </w:rPr>
              <w:t>。新增高效节水燃灯寺灌片，面积</w:t>
            </w:r>
            <w:r>
              <w:rPr>
                <w:rFonts w:cs="Times New Roman"/>
                <w:color w:val="000000"/>
                <w:szCs w:val="21"/>
              </w:rPr>
              <w:t>0.15</w:t>
            </w:r>
            <w:r>
              <w:rPr>
                <w:rFonts w:hint="eastAsia"/>
                <w:color w:val="000000"/>
                <w:szCs w:val="21"/>
              </w:rPr>
              <w:t>万亩，改善灌溉面积</w:t>
            </w:r>
            <w:r>
              <w:rPr>
                <w:rFonts w:cs="Times New Roman"/>
                <w:color w:val="000000"/>
                <w:szCs w:val="21"/>
              </w:rPr>
              <w:t>0.616</w:t>
            </w:r>
            <w:r>
              <w:rPr>
                <w:rFonts w:hint="eastAsia"/>
                <w:color w:val="000000"/>
                <w:szCs w:val="21"/>
              </w:rPr>
              <w:t>万亩（旱改水灌片</w:t>
            </w:r>
            <w:r>
              <w:rPr>
                <w:rFonts w:cs="Times New Roman"/>
                <w:color w:val="000000"/>
                <w:szCs w:val="21"/>
              </w:rPr>
              <w:t>0.17</w:t>
            </w:r>
            <w:r>
              <w:rPr>
                <w:rFonts w:hint="eastAsia"/>
                <w:color w:val="000000"/>
                <w:szCs w:val="21"/>
              </w:rPr>
              <w:t>万亩、燃灯寺水库灌片</w:t>
            </w:r>
            <w:r>
              <w:rPr>
                <w:rFonts w:cs="Times New Roman"/>
                <w:color w:val="000000"/>
                <w:szCs w:val="21"/>
              </w:rPr>
              <w:t>0.15</w:t>
            </w:r>
            <w:r>
              <w:rPr>
                <w:rFonts w:hint="eastAsia"/>
                <w:color w:val="000000"/>
                <w:szCs w:val="21"/>
              </w:rPr>
              <w:t>万亩、下坝村以下灌片即原高效节水南岸路居镇片区</w:t>
            </w:r>
            <w:r>
              <w:rPr>
                <w:rFonts w:cs="Times New Roman"/>
                <w:color w:val="000000"/>
                <w:szCs w:val="21"/>
              </w:rPr>
              <w:t>0.296</w:t>
            </w:r>
            <w:r>
              <w:rPr>
                <w:rFonts w:hint="eastAsia"/>
                <w:color w:val="000000"/>
                <w:szCs w:val="21"/>
              </w:rPr>
              <w:t>万亩）；北岸片区新建输水主管</w:t>
            </w:r>
            <w:r>
              <w:rPr>
                <w:rFonts w:cs="Times New Roman"/>
                <w:color w:val="000000"/>
                <w:szCs w:val="21"/>
              </w:rPr>
              <w:t>4</w:t>
            </w:r>
            <w:r>
              <w:rPr>
                <w:rFonts w:hint="eastAsia"/>
                <w:color w:val="000000"/>
                <w:szCs w:val="21"/>
              </w:rPr>
              <w:t>条，合计长</w:t>
            </w:r>
            <w:r>
              <w:rPr>
                <w:rFonts w:cs="Times New Roman"/>
                <w:color w:val="000000"/>
                <w:szCs w:val="21"/>
              </w:rPr>
              <w:t>10.7km</w:t>
            </w:r>
            <w:r>
              <w:rPr>
                <w:rFonts w:hint="eastAsia"/>
                <w:color w:val="000000"/>
                <w:szCs w:val="21"/>
              </w:rPr>
              <w:t>；输水干管</w:t>
            </w:r>
            <w:r>
              <w:rPr>
                <w:rFonts w:cs="Times New Roman"/>
                <w:color w:val="000000"/>
                <w:szCs w:val="21"/>
              </w:rPr>
              <w:t>15</w:t>
            </w:r>
            <w:r>
              <w:rPr>
                <w:rFonts w:hint="eastAsia"/>
                <w:color w:val="000000"/>
                <w:szCs w:val="21"/>
              </w:rPr>
              <w:t>条，合计长</w:t>
            </w:r>
            <w:r>
              <w:rPr>
                <w:rFonts w:cs="Times New Roman"/>
                <w:color w:val="000000"/>
                <w:szCs w:val="21"/>
              </w:rPr>
              <w:t>8.34km</w:t>
            </w:r>
            <w:r>
              <w:rPr>
                <w:rFonts w:hint="eastAsia"/>
                <w:color w:val="000000"/>
                <w:szCs w:val="21"/>
              </w:rPr>
              <w:t>；提水干管</w:t>
            </w:r>
            <w:r>
              <w:rPr>
                <w:rFonts w:cs="Times New Roman"/>
                <w:color w:val="000000"/>
                <w:szCs w:val="21"/>
              </w:rPr>
              <w:t>3</w:t>
            </w:r>
            <w:r>
              <w:rPr>
                <w:rFonts w:hint="eastAsia"/>
                <w:color w:val="000000"/>
                <w:szCs w:val="21"/>
              </w:rPr>
              <w:t>条，合计长</w:t>
            </w:r>
            <w:r>
              <w:rPr>
                <w:rFonts w:cs="Times New Roman"/>
                <w:color w:val="000000"/>
                <w:szCs w:val="21"/>
              </w:rPr>
              <w:t>6.06km</w:t>
            </w:r>
            <w:r>
              <w:rPr>
                <w:rFonts w:hint="eastAsia"/>
                <w:color w:val="000000"/>
                <w:szCs w:val="21"/>
              </w:rPr>
              <w:t>；中水回用管</w:t>
            </w:r>
            <w:r>
              <w:rPr>
                <w:rFonts w:cs="Times New Roman"/>
                <w:color w:val="000000"/>
                <w:szCs w:val="21"/>
              </w:rPr>
              <w:t>2</w:t>
            </w:r>
            <w:r>
              <w:rPr>
                <w:rFonts w:hint="eastAsia"/>
                <w:color w:val="000000"/>
                <w:szCs w:val="21"/>
              </w:rPr>
              <w:t>条，合计长</w:t>
            </w:r>
            <w:r>
              <w:rPr>
                <w:rFonts w:cs="Times New Roman"/>
                <w:color w:val="000000"/>
                <w:szCs w:val="21"/>
              </w:rPr>
              <w:t>1.4km</w:t>
            </w:r>
            <w:r>
              <w:rPr>
                <w:rFonts w:hint="eastAsia"/>
                <w:color w:val="000000"/>
                <w:szCs w:val="21"/>
              </w:rPr>
              <w:t>，新建泵站</w:t>
            </w:r>
            <w:r>
              <w:rPr>
                <w:rFonts w:cs="Times New Roman"/>
                <w:color w:val="000000"/>
                <w:szCs w:val="21"/>
              </w:rPr>
              <w:t>3</w:t>
            </w:r>
            <w:r>
              <w:rPr>
                <w:rFonts w:hint="eastAsia"/>
                <w:color w:val="000000"/>
                <w:szCs w:val="21"/>
              </w:rPr>
              <w:t>座，合计装机</w:t>
            </w:r>
            <w:r>
              <w:rPr>
                <w:rFonts w:cs="Times New Roman"/>
                <w:color w:val="000000"/>
                <w:szCs w:val="21"/>
              </w:rPr>
              <w:t>712KW</w:t>
            </w:r>
            <w:r>
              <w:rPr>
                <w:rFonts w:hint="eastAsia"/>
                <w:color w:val="000000"/>
                <w:szCs w:val="21"/>
              </w:rPr>
              <w:t>，改建泵站</w:t>
            </w:r>
            <w:r>
              <w:rPr>
                <w:rFonts w:cs="Times New Roman"/>
                <w:color w:val="000000"/>
                <w:szCs w:val="21"/>
              </w:rPr>
              <w:t>1</w:t>
            </w:r>
            <w:r>
              <w:rPr>
                <w:rFonts w:hint="eastAsia"/>
                <w:color w:val="000000"/>
                <w:szCs w:val="21"/>
              </w:rPr>
              <w:t>座，装机</w:t>
            </w:r>
            <w:r>
              <w:rPr>
                <w:rFonts w:cs="Times New Roman"/>
                <w:color w:val="000000"/>
                <w:szCs w:val="21"/>
              </w:rPr>
              <w:t>220KW</w:t>
            </w:r>
            <w:r>
              <w:rPr>
                <w:rFonts w:hint="eastAsia"/>
                <w:color w:val="000000"/>
                <w:szCs w:val="21"/>
              </w:rPr>
              <w:t>。完善高效节水减排耕地面积</w:t>
            </w:r>
            <w:r>
              <w:rPr>
                <w:rFonts w:cs="Times New Roman"/>
                <w:color w:val="000000"/>
                <w:szCs w:val="21"/>
              </w:rPr>
              <w:t>4332</w:t>
            </w:r>
            <w:r>
              <w:rPr>
                <w:rFonts w:hint="eastAsia"/>
                <w:color w:val="000000"/>
                <w:szCs w:val="21"/>
              </w:rPr>
              <w:t>亩，中水灌溉面积</w:t>
            </w:r>
            <w:r>
              <w:rPr>
                <w:rFonts w:cs="Times New Roman"/>
                <w:color w:val="000000"/>
                <w:szCs w:val="21"/>
              </w:rPr>
              <w:t>3850</w:t>
            </w:r>
            <w:r>
              <w:rPr>
                <w:rFonts w:hint="eastAsia"/>
                <w:color w:val="000000"/>
                <w:szCs w:val="21"/>
              </w:rPr>
              <w:t>亩，调蓄带蓄水灌溉</w:t>
            </w:r>
            <w:r>
              <w:rPr>
                <w:rFonts w:cs="Times New Roman"/>
                <w:color w:val="000000"/>
                <w:szCs w:val="21"/>
              </w:rPr>
              <w:t>1.15</w:t>
            </w:r>
            <w:r>
              <w:rPr>
                <w:rFonts w:hint="eastAsia"/>
                <w:color w:val="000000"/>
                <w:szCs w:val="21"/>
              </w:rPr>
              <w:t>万亩。</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6799</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澄江市海口松元片区抗旱应急水利工程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主要建设内容及规模：</w:t>
            </w:r>
            <w:r>
              <w:rPr>
                <w:rFonts w:cs="Times New Roman"/>
                <w:color w:val="000000"/>
                <w:szCs w:val="21"/>
              </w:rPr>
              <w:t>1.</w:t>
            </w:r>
            <w:r>
              <w:rPr>
                <w:rFonts w:hint="eastAsia"/>
                <w:color w:val="000000"/>
                <w:szCs w:val="21"/>
              </w:rPr>
              <w:t>一级泵站工程。新建泵站取水前池</w:t>
            </w:r>
            <w:r>
              <w:rPr>
                <w:rFonts w:cs="Times New Roman"/>
                <w:color w:val="000000"/>
                <w:szCs w:val="21"/>
              </w:rPr>
              <w:t>1</w:t>
            </w:r>
            <w:r>
              <w:rPr>
                <w:rFonts w:hint="eastAsia"/>
                <w:color w:val="000000"/>
                <w:szCs w:val="21"/>
              </w:rPr>
              <w:t>座，安装潜水泵</w:t>
            </w:r>
            <w:r>
              <w:rPr>
                <w:rFonts w:cs="Times New Roman"/>
                <w:color w:val="000000"/>
                <w:szCs w:val="21"/>
              </w:rPr>
              <w:t>2</w:t>
            </w:r>
            <w:r>
              <w:rPr>
                <w:rFonts w:hint="eastAsia"/>
                <w:color w:val="000000"/>
                <w:szCs w:val="21"/>
              </w:rPr>
              <w:t>台，新增卧式多级泵</w:t>
            </w:r>
            <w:r>
              <w:rPr>
                <w:rFonts w:cs="Times New Roman"/>
                <w:color w:val="000000"/>
                <w:szCs w:val="21"/>
              </w:rPr>
              <w:t>2</w:t>
            </w:r>
            <w:r>
              <w:rPr>
                <w:rFonts w:hint="eastAsia"/>
                <w:color w:val="000000"/>
                <w:szCs w:val="21"/>
              </w:rPr>
              <w:t>台、单机流量</w:t>
            </w:r>
            <w:r>
              <w:rPr>
                <w:rFonts w:cs="Times New Roman"/>
                <w:color w:val="000000"/>
                <w:szCs w:val="21"/>
              </w:rPr>
              <w:t>Q=155m</w:t>
            </w:r>
            <w:r>
              <w:rPr>
                <w:rFonts w:hint="eastAsia"/>
                <w:color w:val="000000"/>
                <w:szCs w:val="21"/>
              </w:rPr>
              <w:t>³</w:t>
            </w:r>
            <w:r>
              <w:rPr>
                <w:rFonts w:cs="Times New Roman"/>
                <w:color w:val="000000"/>
                <w:szCs w:val="21"/>
              </w:rPr>
              <w:t>/h</w:t>
            </w:r>
            <w:r>
              <w:rPr>
                <w:rFonts w:hint="eastAsia"/>
                <w:color w:val="000000"/>
                <w:szCs w:val="21"/>
              </w:rPr>
              <w:t>、扬程</w:t>
            </w:r>
            <w:r>
              <w:rPr>
                <w:rFonts w:cs="Times New Roman"/>
                <w:color w:val="000000"/>
                <w:szCs w:val="21"/>
              </w:rPr>
              <w:t>H=469m</w:t>
            </w:r>
            <w:r>
              <w:rPr>
                <w:rFonts w:hint="eastAsia"/>
                <w:color w:val="000000"/>
                <w:szCs w:val="21"/>
              </w:rPr>
              <w:t>、电机功率</w:t>
            </w:r>
            <w:r>
              <w:rPr>
                <w:rFonts w:cs="Times New Roman"/>
                <w:color w:val="000000"/>
                <w:szCs w:val="21"/>
              </w:rPr>
              <w:t>P=315kw</w:t>
            </w:r>
            <w:r>
              <w:rPr>
                <w:rFonts w:hint="eastAsia"/>
                <w:color w:val="000000"/>
                <w:szCs w:val="21"/>
              </w:rPr>
              <w:t>；新建泵房及配电室</w:t>
            </w:r>
            <w:r>
              <w:rPr>
                <w:rFonts w:cs="Times New Roman"/>
                <w:color w:val="000000"/>
                <w:szCs w:val="21"/>
              </w:rPr>
              <w:t>120</w:t>
            </w:r>
            <w:r>
              <w:rPr>
                <w:rFonts w:hint="eastAsia"/>
                <w:color w:val="000000"/>
                <w:szCs w:val="21"/>
              </w:rPr>
              <w:t>㎡；</w:t>
            </w:r>
            <w:r>
              <w:rPr>
                <w:rFonts w:cs="Times New Roman"/>
                <w:color w:val="000000"/>
                <w:szCs w:val="21"/>
              </w:rPr>
              <w:t>2.</w:t>
            </w:r>
            <w:r>
              <w:rPr>
                <w:rFonts w:hint="eastAsia"/>
                <w:color w:val="000000"/>
                <w:szCs w:val="21"/>
              </w:rPr>
              <w:t>二级泵站工程。新建卧式多级泵</w:t>
            </w:r>
            <w:r>
              <w:rPr>
                <w:rFonts w:cs="Times New Roman"/>
                <w:color w:val="000000"/>
                <w:szCs w:val="21"/>
              </w:rPr>
              <w:t>1</w:t>
            </w:r>
            <w:r>
              <w:rPr>
                <w:rFonts w:hint="eastAsia"/>
                <w:color w:val="000000"/>
                <w:szCs w:val="21"/>
              </w:rPr>
              <w:t>台、单机流量</w:t>
            </w:r>
            <w:r>
              <w:rPr>
                <w:rFonts w:cs="Times New Roman"/>
                <w:color w:val="000000"/>
                <w:szCs w:val="21"/>
              </w:rPr>
              <w:t>Q=155m</w:t>
            </w:r>
            <w:r>
              <w:rPr>
                <w:rFonts w:hint="eastAsia"/>
                <w:color w:val="000000"/>
                <w:szCs w:val="21"/>
              </w:rPr>
              <w:t>³</w:t>
            </w:r>
            <w:r>
              <w:rPr>
                <w:rFonts w:cs="Times New Roman"/>
                <w:color w:val="000000"/>
                <w:szCs w:val="21"/>
              </w:rPr>
              <w:t>/h</w:t>
            </w:r>
            <w:r>
              <w:rPr>
                <w:rFonts w:hint="eastAsia"/>
                <w:color w:val="000000"/>
                <w:szCs w:val="21"/>
              </w:rPr>
              <w:t>、扬程</w:t>
            </w:r>
            <w:r>
              <w:rPr>
                <w:rFonts w:cs="Times New Roman"/>
                <w:color w:val="000000"/>
                <w:szCs w:val="21"/>
              </w:rPr>
              <w:t>H=210m</w:t>
            </w:r>
            <w:r>
              <w:rPr>
                <w:rFonts w:hint="eastAsia"/>
                <w:color w:val="000000"/>
                <w:szCs w:val="21"/>
              </w:rPr>
              <w:t>、电机功率</w:t>
            </w:r>
            <w:r>
              <w:rPr>
                <w:rFonts w:cs="Times New Roman"/>
                <w:color w:val="000000"/>
                <w:szCs w:val="21"/>
              </w:rPr>
              <w:t>P=160kw</w:t>
            </w:r>
            <w:r>
              <w:rPr>
                <w:rFonts w:hint="eastAsia"/>
                <w:color w:val="000000"/>
                <w:szCs w:val="21"/>
              </w:rPr>
              <w:t>；新建泵房及配电室</w:t>
            </w:r>
            <w:r>
              <w:rPr>
                <w:rFonts w:cs="Times New Roman"/>
                <w:color w:val="000000"/>
                <w:szCs w:val="21"/>
              </w:rPr>
              <w:t>80</w:t>
            </w:r>
            <w:r>
              <w:rPr>
                <w:rFonts w:hint="eastAsia"/>
                <w:color w:val="000000"/>
                <w:szCs w:val="21"/>
              </w:rPr>
              <w:t>㎡；</w:t>
            </w:r>
            <w:r>
              <w:rPr>
                <w:rFonts w:cs="Times New Roman"/>
                <w:color w:val="000000"/>
                <w:szCs w:val="21"/>
              </w:rPr>
              <w:t>3.</w:t>
            </w:r>
            <w:r>
              <w:rPr>
                <w:rFonts w:hint="eastAsia"/>
                <w:color w:val="000000"/>
                <w:szCs w:val="21"/>
              </w:rPr>
              <w:t>水池工程。新建水池</w:t>
            </w:r>
            <w:r>
              <w:rPr>
                <w:rFonts w:cs="Times New Roman"/>
                <w:color w:val="000000"/>
                <w:szCs w:val="21"/>
              </w:rPr>
              <w:t>3</w:t>
            </w:r>
            <w:r>
              <w:rPr>
                <w:rFonts w:hint="eastAsia"/>
                <w:color w:val="000000"/>
                <w:szCs w:val="21"/>
              </w:rPr>
              <w:t>座。</w:t>
            </w:r>
            <w:r>
              <w:rPr>
                <w:rFonts w:cs="Times New Roman"/>
                <w:color w:val="000000"/>
                <w:szCs w:val="21"/>
              </w:rPr>
              <w:t>4.</w:t>
            </w:r>
            <w:r>
              <w:rPr>
                <w:rFonts w:hint="eastAsia"/>
                <w:color w:val="000000"/>
                <w:szCs w:val="21"/>
              </w:rPr>
              <w:t>管网工程。新建配水管网</w:t>
            </w:r>
            <w:r>
              <w:rPr>
                <w:rFonts w:cs="Times New Roman"/>
                <w:color w:val="000000"/>
                <w:szCs w:val="21"/>
              </w:rPr>
              <w:t>42.666km</w:t>
            </w:r>
            <w:r>
              <w:rPr>
                <w:rFonts w:hint="eastAsia"/>
                <w:color w:val="000000"/>
                <w:szCs w:val="21"/>
              </w:rPr>
              <w:t>。</w:t>
            </w:r>
            <w:r>
              <w:rPr>
                <w:rFonts w:cs="Times New Roman"/>
                <w:color w:val="000000"/>
                <w:szCs w:val="21"/>
              </w:rPr>
              <w:t>5.</w:t>
            </w:r>
            <w:r>
              <w:rPr>
                <w:rFonts w:hint="eastAsia"/>
                <w:color w:val="000000"/>
                <w:szCs w:val="21"/>
              </w:rPr>
              <w:t>计量及信息化工程。安装智能水表</w:t>
            </w:r>
            <w:r>
              <w:rPr>
                <w:rFonts w:cs="Times New Roman"/>
                <w:color w:val="000000"/>
                <w:szCs w:val="21"/>
              </w:rPr>
              <w:t>1215</w:t>
            </w:r>
            <w:r>
              <w:rPr>
                <w:rFonts w:hint="eastAsia"/>
                <w:color w:val="000000"/>
                <w:szCs w:val="21"/>
              </w:rPr>
              <w:t>套。</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2027</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澄江市北片区城乡供水一体化项目</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主要完成东至大湾、西至立昌以北片区的供水主管网及城镇管网改造扩建，完善水厂供水系统，实现抚仙湖北岸坝区供水一体化。具体建设内容为：在抚仙湖北片区新、改建</w:t>
            </w:r>
            <w:r>
              <w:rPr>
                <w:rFonts w:cs="Times New Roman"/>
                <w:color w:val="000000"/>
                <w:szCs w:val="21"/>
              </w:rPr>
              <w:t xml:space="preserve"> DN150-DN600 </w:t>
            </w:r>
            <w:r>
              <w:rPr>
                <w:rFonts w:hint="eastAsia"/>
                <w:color w:val="000000"/>
                <w:szCs w:val="21"/>
              </w:rPr>
              <w:t>给水主管长度总长</w:t>
            </w:r>
            <w:r>
              <w:rPr>
                <w:rFonts w:cs="Times New Roman"/>
                <w:color w:val="000000"/>
                <w:szCs w:val="21"/>
              </w:rPr>
              <w:t>82.36km</w:t>
            </w:r>
            <w:r>
              <w:rPr>
                <w:rFonts w:hint="eastAsia"/>
                <w:color w:val="000000"/>
                <w:szCs w:val="21"/>
              </w:rPr>
              <w:t>，其中，新建给水管道</w:t>
            </w:r>
            <w:r>
              <w:rPr>
                <w:rFonts w:cs="Times New Roman"/>
                <w:color w:val="000000"/>
                <w:szCs w:val="21"/>
              </w:rPr>
              <w:t xml:space="preserve"> 61.3km</w:t>
            </w:r>
            <w:r>
              <w:rPr>
                <w:rFonts w:hint="eastAsia"/>
                <w:color w:val="000000"/>
                <w:szCs w:val="21"/>
              </w:rPr>
              <w:t>，改造给水管道</w:t>
            </w:r>
            <w:r>
              <w:rPr>
                <w:rFonts w:cs="Times New Roman"/>
                <w:color w:val="000000"/>
                <w:szCs w:val="21"/>
              </w:rPr>
              <w:t xml:space="preserve"> 21.03km</w:t>
            </w:r>
            <w:r>
              <w:rPr>
                <w:rFonts w:hint="eastAsia"/>
                <w:color w:val="000000"/>
                <w:szCs w:val="21"/>
              </w:rPr>
              <w:t>；扩建二水厂，新增</w:t>
            </w:r>
            <w:r>
              <w:rPr>
                <w:rFonts w:cs="Times New Roman"/>
                <w:color w:val="000000"/>
                <w:szCs w:val="21"/>
              </w:rPr>
              <w:t xml:space="preserve">10000m3/d </w:t>
            </w:r>
            <w:r>
              <w:rPr>
                <w:rFonts w:hint="eastAsia"/>
                <w:color w:val="000000"/>
                <w:szCs w:val="21"/>
              </w:rPr>
              <w:t>处理能力，在二水厂内部新建絮凝沉淀池一座、滤池一座及配套设备。供水区域覆盖揽秀社区、仪凤社区、拥挥社区、澄波社区</w:t>
            </w:r>
            <w:r>
              <w:rPr>
                <w:rFonts w:cs="Times New Roman"/>
                <w:color w:val="000000"/>
                <w:szCs w:val="21"/>
              </w:rPr>
              <w:t xml:space="preserve"> </w:t>
            </w:r>
            <w:r>
              <w:rPr>
                <w:rFonts w:hint="eastAsia"/>
                <w:color w:val="000000"/>
                <w:szCs w:val="21"/>
              </w:rPr>
              <w:t>、鼎鑫社区、溪泉社区，提古工业园区、右所集镇、龙街集镇和九村集镇及工业园区，覆盖人口约</w:t>
            </w:r>
            <w:r>
              <w:rPr>
                <w:rFonts w:cs="Times New Roman"/>
                <w:color w:val="000000"/>
                <w:szCs w:val="21"/>
              </w:rPr>
              <w:t>14</w:t>
            </w:r>
            <w:r>
              <w:rPr>
                <w:rFonts w:hint="eastAsia"/>
                <w:color w:val="000000"/>
                <w:szCs w:val="21"/>
              </w:rPr>
              <w:t>万人。</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13834</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8"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澄江市产业园区基础设施配套工程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以七江冷水龙潭、鸡脖子水库为水源，建设提水泵站、自来水厂、供水管网等。</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11000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七江大沟修复工程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对现有的七江大沟进行修复和加固，起点为冷水龙潭、终点田坝，总长度</w:t>
            </w:r>
            <w:r>
              <w:rPr>
                <w:rFonts w:cs="Times New Roman"/>
                <w:color w:val="000000"/>
                <w:szCs w:val="21"/>
              </w:rPr>
              <w:t>12km</w:t>
            </w:r>
            <w:r>
              <w:rPr>
                <w:rFonts w:hint="eastAsia"/>
                <w:color w:val="000000"/>
                <w:szCs w:val="21"/>
              </w:rPr>
              <w:t>，保障基本口粮田</w:t>
            </w:r>
            <w:r>
              <w:rPr>
                <w:rFonts w:cs="Times New Roman"/>
                <w:color w:val="000000"/>
                <w:szCs w:val="21"/>
              </w:rPr>
              <w:t>0.25</w:t>
            </w:r>
            <w:r>
              <w:rPr>
                <w:rFonts w:hint="eastAsia"/>
                <w:color w:val="000000"/>
                <w:szCs w:val="21"/>
              </w:rPr>
              <w:t>万亩，抗旱供水量</w:t>
            </w:r>
            <w:r>
              <w:rPr>
                <w:rFonts w:cs="Times New Roman"/>
                <w:color w:val="000000"/>
                <w:szCs w:val="21"/>
              </w:rPr>
              <w:t>100</w:t>
            </w:r>
            <w:r>
              <w:rPr>
                <w:rFonts w:hint="eastAsia"/>
                <w:color w:val="000000"/>
                <w:szCs w:val="21"/>
              </w:rPr>
              <w:t>万</w:t>
            </w:r>
            <w:r>
              <w:rPr>
                <w:rFonts w:cs="Times New Roman"/>
                <w:color w:val="000000"/>
                <w:szCs w:val="21"/>
              </w:rPr>
              <w:t>m</w:t>
            </w:r>
            <w:r>
              <w:rPr>
                <w:rFonts w:cs="Times New Roman"/>
                <w:color w:val="000000"/>
                <w:szCs w:val="21"/>
                <w:vertAlign w:val="superscript"/>
              </w:rPr>
              <w:t>3</w:t>
            </w:r>
            <w:r>
              <w:rPr>
                <w:rFonts w:hint="eastAsia"/>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1500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澄江市水库清淤工程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对东大河、梁王河、山冲河、西大河、马槽地、万松寺等</w:t>
            </w:r>
            <w:r>
              <w:rPr>
                <w:rFonts w:cs="Times New Roman"/>
                <w:color w:val="000000"/>
                <w:szCs w:val="21"/>
              </w:rPr>
              <w:t>6</w:t>
            </w:r>
            <w:r>
              <w:rPr>
                <w:rFonts w:hint="eastAsia"/>
                <w:color w:val="000000"/>
                <w:szCs w:val="21"/>
              </w:rPr>
              <w:t>个水库</w:t>
            </w:r>
            <w:r>
              <w:rPr>
                <w:rFonts w:cs="Times New Roman"/>
                <w:color w:val="000000"/>
                <w:szCs w:val="21"/>
              </w:rPr>
              <w:t xml:space="preserve"> </w:t>
            </w:r>
            <w:r>
              <w:rPr>
                <w:rFonts w:hint="eastAsia"/>
                <w:color w:val="000000"/>
                <w:szCs w:val="21"/>
              </w:rPr>
              <w:t>清淤</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12117</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抚仙湖流域小（二）型水库扩建工程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对石门、席草田</w:t>
            </w:r>
            <w:r>
              <w:rPr>
                <w:rFonts w:cs="Times New Roman"/>
                <w:color w:val="000000"/>
                <w:szCs w:val="21"/>
              </w:rPr>
              <w:t>2</w:t>
            </w:r>
            <w:r>
              <w:rPr>
                <w:rFonts w:hint="eastAsia"/>
                <w:color w:val="000000"/>
                <w:szCs w:val="21"/>
              </w:rPr>
              <w:t>座小（二）型水库扩建</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5900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水资源配置</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澄江市三百亩村委会农业用水及森林防火抗旱应急工程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建设提水泵站</w:t>
            </w:r>
            <w:r>
              <w:rPr>
                <w:rFonts w:cs="Times New Roman"/>
                <w:color w:val="000000"/>
                <w:szCs w:val="21"/>
              </w:rPr>
              <w:t>1</w:t>
            </w:r>
            <w:r>
              <w:rPr>
                <w:rFonts w:hint="eastAsia"/>
                <w:color w:val="000000"/>
                <w:szCs w:val="21"/>
              </w:rPr>
              <w:t>座，管网</w:t>
            </w:r>
            <w:r>
              <w:rPr>
                <w:rFonts w:cs="Times New Roman"/>
                <w:color w:val="000000"/>
                <w:szCs w:val="21"/>
              </w:rPr>
              <w:t>15km</w:t>
            </w:r>
            <w:r>
              <w:rPr>
                <w:rFonts w:hint="eastAsia"/>
                <w:color w:val="000000"/>
                <w:szCs w:val="21"/>
              </w:rPr>
              <w:t>，</w:t>
            </w:r>
            <w:r>
              <w:rPr>
                <w:rFonts w:cs="Times New Roman"/>
                <w:color w:val="000000"/>
                <w:szCs w:val="21"/>
              </w:rPr>
              <w:t>2</w:t>
            </w:r>
            <w:r>
              <w:rPr>
                <w:rFonts w:hint="eastAsia"/>
                <w:color w:val="000000"/>
                <w:szCs w:val="21"/>
              </w:rPr>
              <w:t>个水池。</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210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highlight w:val="red"/>
                <w14:textFill>
                  <w14:solidFill>
                    <w14:schemeClr w14:val="tx1"/>
                  </w14:solidFill>
                </w14:textFill>
              </w:rPr>
            </w:pPr>
            <w:r>
              <w:rPr>
                <w:rFonts w:hint="eastAsia"/>
                <w:color w:val="000000" w:themeColor="text1"/>
                <w14:textFill>
                  <w14:solidFill>
                    <w14:schemeClr w14:val="tx1"/>
                  </w14:solidFill>
                </w14:textFill>
              </w:rPr>
              <w:t>18</w:t>
            </w:r>
          </w:p>
        </w:tc>
        <w:tc>
          <w:tcPr>
            <w:tcW w:w="289" w:type="pct"/>
            <w:shd w:val="clear" w:color="auto" w:fill="auto"/>
            <w:vAlign w:val="center"/>
          </w:tcPr>
          <w:p>
            <w:pPr>
              <w:pStyle w:val="85"/>
              <w:rPr>
                <w:color w:val="000000" w:themeColor="text1"/>
                <w:highlight w:val="red"/>
                <w14:textFill>
                  <w14:solidFill>
                    <w14:schemeClr w14:val="tx1"/>
                  </w14:solidFill>
                </w14:textFill>
              </w:rPr>
            </w:pPr>
            <w:r>
              <w:rPr>
                <w:rFonts w:hint="eastAsia"/>
                <w:color w:val="000000"/>
                <w:szCs w:val="21"/>
              </w:rPr>
              <w:t>水源地保护</w:t>
            </w:r>
          </w:p>
        </w:tc>
        <w:tc>
          <w:tcPr>
            <w:tcW w:w="663" w:type="pct"/>
            <w:shd w:val="clear" w:color="auto" w:fill="auto"/>
            <w:vAlign w:val="center"/>
          </w:tcPr>
          <w:p>
            <w:pPr>
              <w:pStyle w:val="85"/>
              <w:rPr>
                <w:color w:val="000000" w:themeColor="text1"/>
                <w:highlight w:val="red"/>
                <w14:textFill>
                  <w14:solidFill>
                    <w14:schemeClr w14:val="tx1"/>
                  </w14:solidFill>
                </w14:textFill>
              </w:rPr>
            </w:pPr>
            <w:r>
              <w:rPr>
                <w:rFonts w:hint="eastAsia"/>
                <w:color w:val="000000"/>
                <w:szCs w:val="21"/>
              </w:rPr>
              <w:t>东大河水库水源涵养工程</w:t>
            </w:r>
          </w:p>
        </w:tc>
        <w:tc>
          <w:tcPr>
            <w:tcW w:w="2566" w:type="pct"/>
            <w:shd w:val="clear" w:color="auto" w:fill="auto"/>
            <w:vAlign w:val="center"/>
          </w:tcPr>
          <w:p>
            <w:pPr>
              <w:pStyle w:val="85"/>
              <w:rPr>
                <w:color w:val="000000" w:themeColor="text1"/>
                <w:highlight w:val="red"/>
                <w14:textFill>
                  <w14:solidFill>
                    <w14:schemeClr w14:val="tx1"/>
                  </w14:solidFill>
                </w14:textFill>
              </w:rPr>
            </w:pPr>
            <w:r>
              <w:rPr>
                <w:rFonts w:hint="eastAsia"/>
                <w:color w:val="000000"/>
                <w:szCs w:val="21"/>
              </w:rPr>
              <w:t>水源涵养林</w:t>
            </w:r>
            <w:r>
              <w:rPr>
                <w:rFonts w:cs="Times New Roman"/>
                <w:color w:val="000000"/>
                <w:szCs w:val="21"/>
              </w:rPr>
              <w:t>13274</w:t>
            </w:r>
            <w:r>
              <w:rPr>
                <w:rFonts w:hint="eastAsia"/>
                <w:color w:val="000000"/>
                <w:szCs w:val="21"/>
              </w:rPr>
              <w:t>亩</w:t>
            </w:r>
          </w:p>
        </w:tc>
        <w:tc>
          <w:tcPr>
            <w:tcW w:w="279" w:type="pct"/>
            <w:shd w:val="clear" w:color="auto" w:fill="auto"/>
            <w:vAlign w:val="center"/>
          </w:tcPr>
          <w:p>
            <w:pPr>
              <w:pStyle w:val="85"/>
              <w:rPr>
                <w:color w:val="000000" w:themeColor="text1"/>
                <w:highlight w:val="red"/>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highlight w:val="red"/>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highlight w:val="red"/>
                <w14:textFill>
                  <w14:solidFill>
                    <w14:schemeClr w14:val="tx1"/>
                  </w14:solidFill>
                </w14:textFill>
              </w:rPr>
            </w:pPr>
            <w:r>
              <w:rPr>
                <w:rFonts w:eastAsia="等线" w:cs="Times New Roman"/>
                <w:color w:val="000000"/>
                <w:szCs w:val="21"/>
              </w:rPr>
              <w:t>2124</w:t>
            </w:r>
          </w:p>
        </w:tc>
        <w:tc>
          <w:tcPr>
            <w:tcW w:w="324" w:type="pct"/>
            <w:shd w:val="clear" w:color="auto" w:fill="auto"/>
            <w:noWrap/>
            <w:vAlign w:val="center"/>
          </w:tcPr>
          <w:p>
            <w:pPr>
              <w:pStyle w:val="85"/>
              <w:rPr>
                <w:color w:val="000000" w:themeColor="text1"/>
                <w:highlight w:val="red"/>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水源地保护</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梁王河水源涵养工程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水源涵养林</w:t>
            </w:r>
            <w:r>
              <w:rPr>
                <w:rFonts w:cs="Times New Roman"/>
                <w:color w:val="000000"/>
                <w:szCs w:val="21"/>
              </w:rPr>
              <w:t>20793</w:t>
            </w:r>
            <w:r>
              <w:rPr>
                <w:rFonts w:hint="eastAsia"/>
                <w:color w:val="000000"/>
                <w:szCs w:val="21"/>
              </w:rPr>
              <w:t>亩</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3327</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水源地保护</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澄江市甸垛龙潭泉水饮用水水源保护工程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取水口防护口隔离防护墙</w:t>
            </w:r>
            <w:r>
              <w:rPr>
                <w:rFonts w:cs="Times New Roman"/>
                <w:color w:val="000000"/>
                <w:szCs w:val="21"/>
              </w:rPr>
              <w:t>1.5km</w:t>
            </w:r>
            <w:r>
              <w:rPr>
                <w:rFonts w:hint="eastAsia"/>
                <w:color w:val="000000"/>
                <w:szCs w:val="21"/>
              </w:rPr>
              <w:t>；树墙、防护林建设</w:t>
            </w:r>
            <w:r>
              <w:rPr>
                <w:rFonts w:cs="Times New Roman"/>
                <w:color w:val="000000"/>
                <w:szCs w:val="21"/>
              </w:rPr>
              <w:t>30</w:t>
            </w:r>
            <w:r>
              <w:rPr>
                <w:rFonts w:hint="eastAsia"/>
                <w:color w:val="000000"/>
                <w:szCs w:val="21"/>
              </w:rPr>
              <w:t>亩；公告牌、标示牌</w:t>
            </w:r>
            <w:r>
              <w:rPr>
                <w:rFonts w:cs="Times New Roman"/>
                <w:color w:val="000000"/>
                <w:szCs w:val="21"/>
              </w:rPr>
              <w:t>5</w:t>
            </w:r>
            <w:r>
              <w:rPr>
                <w:rFonts w:hint="eastAsia"/>
                <w:color w:val="000000"/>
                <w:szCs w:val="21"/>
              </w:rPr>
              <w:t>块；水源涵养林</w:t>
            </w:r>
            <w:r>
              <w:rPr>
                <w:rFonts w:cs="Times New Roman"/>
                <w:color w:val="000000"/>
                <w:szCs w:val="21"/>
              </w:rPr>
              <w:t>1000</w:t>
            </w:r>
            <w:r>
              <w:rPr>
                <w:rFonts w:hint="eastAsia"/>
                <w:color w:val="000000"/>
                <w:szCs w:val="21"/>
              </w:rPr>
              <w:t>亩；</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343</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水环境治理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抚仙湖南岸大鲫鱼河水环境综合治理工程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一、新建改建污水管网</w:t>
            </w:r>
            <w:r>
              <w:rPr>
                <w:rFonts w:cs="Times New Roman"/>
                <w:color w:val="000000"/>
                <w:szCs w:val="21"/>
              </w:rPr>
              <w:t xml:space="preserve"> DN100~DN600 </w:t>
            </w:r>
            <w:r>
              <w:rPr>
                <w:rFonts w:hint="eastAsia"/>
                <w:color w:val="000000"/>
                <w:szCs w:val="21"/>
              </w:rPr>
              <w:t>污水管网</w:t>
            </w:r>
            <w:r>
              <w:rPr>
                <w:rFonts w:cs="Times New Roman"/>
                <w:color w:val="000000"/>
                <w:szCs w:val="21"/>
              </w:rPr>
              <w:t xml:space="preserve"> 33.27 </w:t>
            </w:r>
            <w:r>
              <w:rPr>
                <w:rFonts w:hint="eastAsia"/>
                <w:color w:val="000000"/>
                <w:szCs w:val="21"/>
              </w:rPr>
              <w:t>公里（其中</w:t>
            </w:r>
            <w:r>
              <w:rPr>
                <w:rFonts w:cs="Times New Roman"/>
                <w:color w:val="000000"/>
                <w:szCs w:val="21"/>
              </w:rPr>
              <w:t xml:space="preserve"> DN100 </w:t>
            </w:r>
            <w:r>
              <w:rPr>
                <w:rFonts w:hint="eastAsia"/>
                <w:color w:val="000000"/>
                <w:szCs w:val="21"/>
              </w:rPr>
              <w:t>为入户管），二、实施河道湖库垃圾清理</w:t>
            </w:r>
            <w:r>
              <w:rPr>
                <w:rFonts w:cs="Times New Roman"/>
                <w:color w:val="000000"/>
                <w:szCs w:val="21"/>
              </w:rPr>
              <w:t xml:space="preserve"> 0.8 </w:t>
            </w:r>
            <w:r>
              <w:rPr>
                <w:rFonts w:hint="eastAsia"/>
                <w:color w:val="000000"/>
                <w:szCs w:val="21"/>
              </w:rPr>
              <w:t>万吨，三、实施污染底泥清理</w:t>
            </w:r>
            <w:r>
              <w:rPr>
                <w:rFonts w:cs="Times New Roman"/>
                <w:color w:val="000000"/>
                <w:szCs w:val="21"/>
              </w:rPr>
              <w:t xml:space="preserve"> 10.51 </w:t>
            </w:r>
            <w:r>
              <w:rPr>
                <w:rFonts w:hint="eastAsia"/>
                <w:color w:val="000000"/>
                <w:szCs w:val="21"/>
              </w:rPr>
              <w:t>万立方米，四、实施生态沟渠工程</w:t>
            </w:r>
            <w:r>
              <w:rPr>
                <w:rFonts w:cs="Times New Roman"/>
                <w:color w:val="000000"/>
                <w:szCs w:val="21"/>
              </w:rPr>
              <w:t xml:space="preserve"> 8.0 </w:t>
            </w:r>
            <w:r>
              <w:rPr>
                <w:rFonts w:hint="eastAsia"/>
                <w:color w:val="000000"/>
                <w:szCs w:val="21"/>
              </w:rPr>
              <w:t>公里，五、实施生态护岸工程</w:t>
            </w:r>
            <w:r>
              <w:rPr>
                <w:rFonts w:cs="Times New Roman"/>
                <w:color w:val="000000"/>
                <w:szCs w:val="21"/>
              </w:rPr>
              <w:t xml:space="preserve"> 2.0 </w:t>
            </w:r>
            <w:r>
              <w:rPr>
                <w:rFonts w:hint="eastAsia"/>
                <w:color w:val="000000"/>
                <w:szCs w:val="21"/>
              </w:rPr>
              <w:t>公里，六、实施生态步道</w:t>
            </w:r>
            <w:r>
              <w:rPr>
                <w:rFonts w:cs="Times New Roman"/>
                <w:color w:val="000000"/>
                <w:szCs w:val="21"/>
              </w:rPr>
              <w:t xml:space="preserve"> 10.0 </w:t>
            </w:r>
            <w:r>
              <w:rPr>
                <w:rFonts w:hint="eastAsia"/>
                <w:color w:val="000000"/>
                <w:szCs w:val="21"/>
              </w:rPr>
              <w:t>公里。</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8154</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水环境治理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抚仙湖入湖河道水质提升一期工程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一）清水入湖通道整治。（二）强制脱劣河道（沟渠）。（三）调蓄带及湿地整治工程。</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7260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水环境治理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抚仙湖入湖河道水质提升二期工程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对</w:t>
            </w:r>
            <w:r>
              <w:rPr>
                <w:rFonts w:cs="Times New Roman"/>
                <w:color w:val="000000"/>
                <w:szCs w:val="21"/>
              </w:rPr>
              <w:t>15</w:t>
            </w:r>
            <w:r>
              <w:rPr>
                <w:rFonts w:hint="eastAsia"/>
                <w:color w:val="000000"/>
                <w:szCs w:val="21"/>
              </w:rPr>
              <w:t>条河道排污口进行封堵，对老马料河、中龙沟、路歧河、隔河、上村河</w:t>
            </w:r>
            <w:r>
              <w:rPr>
                <w:rFonts w:cs="Times New Roman"/>
                <w:color w:val="000000"/>
                <w:szCs w:val="21"/>
              </w:rPr>
              <w:t>5</w:t>
            </w:r>
            <w:r>
              <w:rPr>
                <w:rFonts w:hint="eastAsia"/>
                <w:color w:val="000000"/>
                <w:szCs w:val="21"/>
              </w:rPr>
              <w:t>条具备生态化改造的河道段进行生态化治理，对</w:t>
            </w:r>
            <w:r>
              <w:rPr>
                <w:rFonts w:cs="Times New Roman"/>
                <w:color w:val="000000"/>
                <w:szCs w:val="21"/>
              </w:rPr>
              <w:t>15</w:t>
            </w:r>
            <w:r>
              <w:rPr>
                <w:rFonts w:hint="eastAsia"/>
                <w:color w:val="000000"/>
                <w:szCs w:val="21"/>
              </w:rPr>
              <w:t>条河道两侧的湿地进行提升改造、破损河段进行修复，对路歧河、路居大河、五车河、矣马谷大河</w:t>
            </w:r>
            <w:r>
              <w:rPr>
                <w:rFonts w:cs="Times New Roman"/>
                <w:color w:val="000000"/>
                <w:szCs w:val="21"/>
              </w:rPr>
              <w:t>4</w:t>
            </w:r>
            <w:r>
              <w:rPr>
                <w:rFonts w:hint="eastAsia"/>
                <w:color w:val="000000"/>
                <w:szCs w:val="21"/>
              </w:rPr>
              <w:t>条河道径流区进行水土流失治理。</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前期</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3000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水环境治理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澄江市水库坝塘水环境综合治理工程</w:t>
            </w:r>
          </w:p>
        </w:tc>
        <w:tc>
          <w:tcPr>
            <w:tcW w:w="256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1.</w:t>
            </w:r>
            <w:r>
              <w:rPr>
                <w:rFonts w:hint="eastAsia" w:cs="Times New Roman"/>
                <w:color w:val="000000"/>
                <w:szCs w:val="21"/>
              </w:rPr>
              <w:t>小坝塘除险加固工程：对抚仙湖流域内</w:t>
            </w:r>
            <w:r>
              <w:rPr>
                <w:rFonts w:eastAsia="等线" w:cs="Times New Roman"/>
                <w:color w:val="000000"/>
                <w:szCs w:val="21"/>
              </w:rPr>
              <w:t>48</w:t>
            </w:r>
            <w:r>
              <w:rPr>
                <w:rFonts w:hint="eastAsia" w:cs="Times New Roman"/>
                <w:color w:val="000000"/>
                <w:szCs w:val="21"/>
              </w:rPr>
              <w:t>座小坝塘进行除险加固，及时消除病险小坝塘的安全隐患，使小坝塘功能得到有效发挥。</w:t>
            </w:r>
            <w:r>
              <w:rPr>
                <w:rFonts w:eastAsia="等线" w:cs="Times New Roman"/>
                <w:color w:val="000000"/>
                <w:szCs w:val="21"/>
              </w:rPr>
              <w:t>2.</w:t>
            </w:r>
            <w:r>
              <w:rPr>
                <w:rFonts w:hint="eastAsia" w:cs="Times New Roman"/>
                <w:color w:val="000000"/>
                <w:szCs w:val="21"/>
              </w:rPr>
              <w:t>水库增效清淤工程：完善</w:t>
            </w:r>
            <w:r>
              <w:rPr>
                <w:rFonts w:eastAsia="等线" w:cs="Times New Roman"/>
                <w:color w:val="000000"/>
                <w:szCs w:val="21"/>
              </w:rPr>
              <w:t>22</w:t>
            </w:r>
            <w:r>
              <w:rPr>
                <w:rFonts w:hint="eastAsia" w:cs="Times New Roman"/>
                <w:color w:val="000000"/>
                <w:szCs w:val="21"/>
              </w:rPr>
              <w:t>座水库的治污体系，实施周边污水管网、污水处理设施建设、水土流失防治、底泥清淤、监测系统建设工程等措施。</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23500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水环境治理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澄江市抚仙湖龙街片区水环境综合治理工程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主要针对尖山河流域进行综合治理修复，工程内容包括尖山河干流、支流蜈公箐河以及周边支流的治理。（</w:t>
            </w:r>
            <w:r>
              <w:rPr>
                <w:rFonts w:cs="Times New Roman"/>
                <w:color w:val="000000"/>
                <w:szCs w:val="21"/>
              </w:rPr>
              <w:t>1</w:t>
            </w:r>
            <w:r>
              <w:rPr>
                <w:rFonts w:hint="eastAsia"/>
                <w:color w:val="000000"/>
                <w:szCs w:val="21"/>
              </w:rPr>
              <w:t>）对破损、坍塌的主河道及其支流河道河段进行护岸修复共</w:t>
            </w:r>
            <w:r>
              <w:rPr>
                <w:rFonts w:cs="Times New Roman"/>
                <w:color w:val="000000"/>
                <w:szCs w:val="21"/>
              </w:rPr>
              <w:t>22.1km</w:t>
            </w:r>
            <w:r>
              <w:rPr>
                <w:rFonts w:hint="eastAsia"/>
                <w:color w:val="000000"/>
                <w:szCs w:val="21"/>
              </w:rPr>
              <w:t>；（</w:t>
            </w:r>
            <w:r>
              <w:rPr>
                <w:rFonts w:cs="Times New Roman"/>
                <w:color w:val="000000"/>
                <w:szCs w:val="21"/>
              </w:rPr>
              <w:t>2</w:t>
            </w:r>
            <w:r>
              <w:rPr>
                <w:rFonts w:hint="eastAsia"/>
                <w:color w:val="000000"/>
                <w:szCs w:val="21"/>
              </w:rPr>
              <w:t>）对主河道以及支流</w:t>
            </w:r>
            <w:r>
              <w:rPr>
                <w:rFonts w:cs="Times New Roman"/>
                <w:color w:val="000000"/>
                <w:szCs w:val="21"/>
              </w:rPr>
              <w:t>11.05km</w:t>
            </w:r>
            <w:r>
              <w:rPr>
                <w:rFonts w:hint="eastAsia"/>
                <w:color w:val="000000"/>
                <w:szCs w:val="21"/>
              </w:rPr>
              <w:t>河段进行污染底泥清理，清淤工程量</w:t>
            </w:r>
            <w:r>
              <w:rPr>
                <w:rFonts w:cs="Times New Roman"/>
                <w:color w:val="000000"/>
                <w:szCs w:val="21"/>
              </w:rPr>
              <w:t>13.115</w:t>
            </w:r>
            <w:r>
              <w:rPr>
                <w:rFonts w:hint="eastAsia"/>
                <w:color w:val="000000"/>
                <w:szCs w:val="21"/>
              </w:rPr>
              <w:t>万</w:t>
            </w:r>
            <w:r>
              <w:rPr>
                <w:rFonts w:cs="Times New Roman"/>
                <w:color w:val="000000"/>
                <w:szCs w:val="21"/>
              </w:rPr>
              <w:t>m</w:t>
            </w:r>
            <w:r>
              <w:rPr>
                <w:rFonts w:hint="eastAsia"/>
                <w:color w:val="000000"/>
                <w:szCs w:val="21"/>
              </w:rPr>
              <w:t>³；（</w:t>
            </w:r>
            <w:r>
              <w:rPr>
                <w:rFonts w:cs="Times New Roman"/>
                <w:color w:val="000000"/>
                <w:szCs w:val="21"/>
              </w:rPr>
              <w:t>3</w:t>
            </w:r>
            <w:r>
              <w:rPr>
                <w:rFonts w:hint="eastAsia"/>
                <w:color w:val="000000"/>
                <w:szCs w:val="21"/>
              </w:rPr>
              <w:t>）新建及修复管网</w:t>
            </w:r>
            <w:r>
              <w:rPr>
                <w:rFonts w:cs="Times New Roman"/>
                <w:color w:val="000000"/>
                <w:szCs w:val="21"/>
              </w:rPr>
              <w:t>16km</w:t>
            </w:r>
            <w:r>
              <w:rPr>
                <w:rFonts w:hint="eastAsia"/>
                <w:color w:val="000000"/>
                <w:szCs w:val="21"/>
              </w:rPr>
              <w:t>及相关附属设施；（</w:t>
            </w:r>
            <w:r>
              <w:rPr>
                <w:rFonts w:cs="Times New Roman"/>
                <w:color w:val="000000"/>
                <w:szCs w:val="21"/>
              </w:rPr>
              <w:t>4</w:t>
            </w:r>
            <w:r>
              <w:rPr>
                <w:rFonts w:hint="eastAsia"/>
                <w:color w:val="000000"/>
                <w:szCs w:val="21"/>
              </w:rPr>
              <w:t>）新建生态沟渠</w:t>
            </w:r>
            <w:r>
              <w:rPr>
                <w:rFonts w:cs="Times New Roman"/>
                <w:color w:val="000000"/>
                <w:szCs w:val="21"/>
              </w:rPr>
              <w:t>22.1km</w:t>
            </w:r>
            <w:r>
              <w:rPr>
                <w:rFonts w:hint="eastAsia"/>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7762</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水土保持</w:t>
            </w:r>
          </w:p>
        </w:tc>
        <w:tc>
          <w:tcPr>
            <w:tcW w:w="663" w:type="pct"/>
            <w:shd w:val="clear" w:color="auto" w:fill="auto"/>
            <w:vAlign w:val="center"/>
          </w:tcPr>
          <w:p>
            <w:pPr>
              <w:pStyle w:val="85"/>
            </w:pPr>
            <w:r>
              <w:rPr>
                <w:rFonts w:hint="eastAsia"/>
                <w:szCs w:val="21"/>
              </w:rPr>
              <w:t>澄江市梁王河沙坝生态清洁小流域综合治理工程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约治理</w:t>
            </w:r>
            <w:r>
              <w:rPr>
                <w:rFonts w:cs="Times New Roman"/>
                <w:color w:val="000000"/>
                <w:szCs w:val="21"/>
              </w:rPr>
              <w:t>30.5</w:t>
            </w:r>
            <w:r>
              <w:rPr>
                <w:rFonts w:hint="eastAsia"/>
                <w:color w:val="000000"/>
                <w:szCs w:val="21"/>
              </w:rPr>
              <w:t>～</w:t>
            </w:r>
            <w:r>
              <w:rPr>
                <w:rFonts w:cs="Times New Roman"/>
                <w:color w:val="000000"/>
                <w:szCs w:val="21"/>
              </w:rPr>
              <w:t>33</w:t>
            </w:r>
            <w:r>
              <w:rPr>
                <w:rFonts w:hint="eastAsia"/>
                <w:color w:val="000000"/>
                <w:szCs w:val="21"/>
              </w:rPr>
              <w:t>平方公里的水土流失面积。主要实施种植水土保持林和栽植经果林、田间道路工程、谷坊及拦沙坝建设、封禁治理，补植补种、保护性耕作、村落卫生环境整治、沿线建设水土保持科普长廊等内容。</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1586</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水土保持</w:t>
            </w:r>
          </w:p>
        </w:tc>
        <w:tc>
          <w:tcPr>
            <w:tcW w:w="663" w:type="pct"/>
            <w:shd w:val="clear" w:color="auto" w:fill="auto"/>
            <w:vAlign w:val="center"/>
          </w:tcPr>
          <w:p>
            <w:pPr>
              <w:pStyle w:val="85"/>
            </w:pPr>
            <w:r>
              <w:rPr>
                <w:rFonts w:hint="eastAsia"/>
                <w:szCs w:val="21"/>
              </w:rPr>
              <w:t>澄江市绿美河湖项目</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对抚仙湖流域因地制宜开展水体自然岸线和环湖原生植被保护及恢复，提升河湖沿岸景观及湿地植被景观，主要是对抚仙湖流域核心区花卉观赏性草坪整改、抚仙湖湖滨带恢复，</w:t>
            </w:r>
            <w:r>
              <w:rPr>
                <w:rFonts w:cs="Times New Roman"/>
                <w:color w:val="000000"/>
                <w:szCs w:val="21"/>
              </w:rPr>
              <w:t>7</w:t>
            </w:r>
            <w:r>
              <w:rPr>
                <w:rFonts w:hint="eastAsia"/>
                <w:color w:val="000000"/>
                <w:szCs w:val="21"/>
              </w:rPr>
              <w:t>条主要入湖河流及</w:t>
            </w:r>
            <w:r>
              <w:rPr>
                <w:rFonts w:cs="Times New Roman"/>
                <w:color w:val="000000"/>
                <w:szCs w:val="21"/>
              </w:rPr>
              <w:t>3</w:t>
            </w:r>
            <w:r>
              <w:rPr>
                <w:rFonts w:hint="eastAsia"/>
                <w:color w:val="000000"/>
                <w:szCs w:val="21"/>
              </w:rPr>
              <w:t>个水库流域进行植被恢复。</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254</w:t>
            </w:r>
          </w:p>
        </w:tc>
        <w:tc>
          <w:tcPr>
            <w:tcW w:w="324"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水土保持</w:t>
            </w:r>
          </w:p>
        </w:tc>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5"/>
            </w:pPr>
            <w:r>
              <w:rPr>
                <w:rFonts w:hint="eastAsia"/>
                <w:szCs w:val="21"/>
              </w:rPr>
              <w:t>澄江市松元小流域坡耕地水土流失综合治理工程</w:t>
            </w:r>
          </w:p>
        </w:tc>
        <w:tc>
          <w:tcPr>
            <w:tcW w:w="2566" w:type="pct"/>
            <w:tcBorders>
              <w:top w:val="single" w:color="auto" w:sz="4" w:space="0"/>
              <w:left w:val="nil"/>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color w:val="000000"/>
                <w:szCs w:val="21"/>
              </w:rPr>
              <w:t>治理面积248.48hm2，治理措施为：梯田工程248.48hm2、灌溉工程、道路工程及标志设施。灌溉工程包括：蓄水池17座，引水管道17.017km，道路工程包括修缮、新建机耕道路5.42km；小流域管护碑1座，管护牌4个。</w:t>
            </w:r>
          </w:p>
        </w:tc>
        <w:tc>
          <w:tcPr>
            <w:tcW w:w="279" w:type="pct"/>
            <w:tcBorders>
              <w:top w:val="single" w:color="auto" w:sz="4" w:space="0"/>
              <w:left w:val="nil"/>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tcBorders>
              <w:top w:val="single" w:color="auto" w:sz="4" w:space="0"/>
              <w:left w:val="nil"/>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2025</w:t>
            </w:r>
            <w:r>
              <w:rPr>
                <w:rFonts w:hint="eastAsia" w:cs="Times New Roman"/>
                <w:color w:val="000000"/>
                <w:szCs w:val="21"/>
              </w:rPr>
              <w:t>-</w:t>
            </w:r>
            <w:r>
              <w:rPr>
                <w:rFonts w:eastAsia="等线" w:cs="Times New Roman"/>
                <w:color w:val="000000"/>
                <w:szCs w:val="21"/>
              </w:rPr>
              <w:t>2026</w:t>
            </w:r>
          </w:p>
        </w:tc>
        <w:tc>
          <w:tcPr>
            <w:tcW w:w="439" w:type="pct"/>
            <w:tcBorders>
              <w:top w:val="single" w:color="auto" w:sz="4" w:space="0"/>
              <w:left w:val="nil"/>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1383</w:t>
            </w:r>
          </w:p>
        </w:tc>
        <w:tc>
          <w:tcPr>
            <w:tcW w:w="324" w:type="pct"/>
            <w:tcBorders>
              <w:top w:val="single" w:color="auto" w:sz="4" w:space="0"/>
              <w:left w:val="nil"/>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color w:val="000000"/>
                <w:szCs w:val="21"/>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水土保持</w:t>
            </w:r>
          </w:p>
        </w:tc>
        <w:tc>
          <w:tcPr>
            <w:tcW w:w="663" w:type="pct"/>
            <w:tcBorders>
              <w:top w:val="nil"/>
              <w:left w:val="single" w:color="auto" w:sz="4" w:space="0"/>
              <w:bottom w:val="single" w:color="auto" w:sz="4" w:space="0"/>
              <w:right w:val="single" w:color="auto" w:sz="4" w:space="0"/>
            </w:tcBorders>
            <w:shd w:val="clear" w:color="auto" w:fill="auto"/>
            <w:vAlign w:val="center"/>
          </w:tcPr>
          <w:p>
            <w:pPr>
              <w:pStyle w:val="85"/>
            </w:pPr>
            <w:r>
              <w:rPr>
                <w:rFonts w:hint="eastAsia"/>
                <w:szCs w:val="21"/>
              </w:rPr>
              <w:t>澄江市海口河生态清洁小流域综合治理项目</w:t>
            </w:r>
          </w:p>
        </w:tc>
        <w:tc>
          <w:tcPr>
            <w:tcW w:w="2566" w:type="pct"/>
            <w:tcBorders>
              <w:top w:val="nil"/>
              <w:left w:val="nil"/>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color w:val="000000"/>
                <w:szCs w:val="21"/>
              </w:rPr>
              <w:t>治理面积为20km2，具体措施为：坡改梯35.34hm2、封禁治理120.30hm2、水保林24hm2、保土耕作120.36hm2；水窖500口，配套沉砂池500口；机耕路1条，长3.20km；机耕道路排水3.20km；生态河道治理1.2km，谷坊5座；布设小流域标志碑1座、管护牌10块。</w:t>
            </w:r>
          </w:p>
        </w:tc>
        <w:tc>
          <w:tcPr>
            <w:tcW w:w="279" w:type="pct"/>
            <w:tcBorders>
              <w:top w:val="nil"/>
              <w:left w:val="nil"/>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tcBorders>
              <w:top w:val="nil"/>
              <w:left w:val="nil"/>
              <w:bottom w:val="single" w:color="auto" w:sz="4" w:space="0"/>
              <w:right w:val="single" w:color="auto" w:sz="4" w:space="0"/>
            </w:tcBorders>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2026</w:t>
            </w:r>
            <w:r>
              <w:rPr>
                <w:rFonts w:hint="eastAsia" w:cs="Times New Roman"/>
                <w:color w:val="000000"/>
                <w:szCs w:val="21"/>
              </w:rPr>
              <w:t>-</w:t>
            </w:r>
            <w:r>
              <w:rPr>
                <w:rFonts w:eastAsia="等线" w:cs="Times New Roman"/>
                <w:color w:val="000000"/>
                <w:szCs w:val="21"/>
              </w:rPr>
              <w:t>2027</w:t>
            </w:r>
          </w:p>
        </w:tc>
        <w:tc>
          <w:tcPr>
            <w:tcW w:w="439" w:type="pct"/>
            <w:tcBorders>
              <w:top w:val="nil"/>
              <w:left w:val="nil"/>
              <w:bottom w:val="single" w:color="auto" w:sz="4" w:space="0"/>
              <w:right w:val="single" w:color="auto" w:sz="4" w:space="0"/>
            </w:tcBorders>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1109</w:t>
            </w:r>
          </w:p>
        </w:tc>
        <w:tc>
          <w:tcPr>
            <w:tcW w:w="324" w:type="pct"/>
            <w:tcBorders>
              <w:top w:val="nil"/>
              <w:left w:val="nil"/>
              <w:bottom w:val="single" w:color="auto" w:sz="4" w:space="0"/>
              <w:right w:val="single" w:color="auto" w:sz="4" w:space="0"/>
            </w:tcBorders>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289" w:type="pct"/>
            <w:shd w:val="clear" w:color="auto" w:fill="auto"/>
            <w:vAlign w:val="center"/>
          </w:tcPr>
          <w:p>
            <w:pPr>
              <w:pStyle w:val="85"/>
              <w:rPr>
                <w:color w:val="000000"/>
                <w:szCs w:val="21"/>
              </w:rPr>
            </w:pPr>
            <w:r>
              <w:rPr>
                <w:rFonts w:hint="eastAsia"/>
                <w:color w:val="000000"/>
                <w:szCs w:val="21"/>
              </w:rPr>
              <w:t>水土保持</w:t>
            </w:r>
          </w:p>
        </w:tc>
        <w:tc>
          <w:tcPr>
            <w:tcW w:w="663" w:type="pct"/>
            <w:tcBorders>
              <w:top w:val="nil"/>
              <w:left w:val="single" w:color="auto" w:sz="4" w:space="0"/>
              <w:bottom w:val="single" w:color="auto" w:sz="4" w:space="0"/>
              <w:right w:val="single" w:color="auto" w:sz="4" w:space="0"/>
            </w:tcBorders>
            <w:shd w:val="clear" w:color="auto" w:fill="auto"/>
            <w:vAlign w:val="center"/>
          </w:tcPr>
          <w:p>
            <w:pPr>
              <w:pStyle w:val="85"/>
              <w:rPr>
                <w:szCs w:val="21"/>
              </w:rPr>
            </w:pPr>
            <w:r>
              <w:rPr>
                <w:rFonts w:hint="eastAsia"/>
                <w:szCs w:val="21"/>
              </w:rPr>
              <w:t>澄江市九村上七非小流域综合治理项目</w:t>
            </w:r>
          </w:p>
        </w:tc>
        <w:tc>
          <w:tcPr>
            <w:tcW w:w="2566" w:type="pct"/>
            <w:tcBorders>
              <w:top w:val="nil"/>
              <w:left w:val="nil"/>
              <w:bottom w:val="single" w:color="auto" w:sz="4" w:space="0"/>
              <w:right w:val="single" w:color="auto" w:sz="4" w:space="0"/>
            </w:tcBorders>
            <w:shd w:val="clear" w:color="auto" w:fill="auto"/>
            <w:vAlign w:val="center"/>
          </w:tcPr>
          <w:p>
            <w:pPr>
              <w:pStyle w:val="85"/>
              <w:rPr>
                <w:color w:val="000000"/>
                <w:szCs w:val="21"/>
              </w:rPr>
            </w:pPr>
            <w:r>
              <w:rPr>
                <w:rFonts w:hint="eastAsia"/>
                <w:color w:val="000000"/>
                <w:szCs w:val="21"/>
              </w:rPr>
              <w:t>治理面积为22.3km2，具体措施为：水保林130.5hm2、经果林8.52、封禁治理1750.60hm2、保土耕作340.36hm2；水窖500口，配套沉砂池500口；机耕路1条，长3.20km；机耕道路排水3.20km；生态河道治理1.2km，谷坊5座；布设小流域标志碑1座、管护牌11块。</w:t>
            </w:r>
          </w:p>
        </w:tc>
        <w:tc>
          <w:tcPr>
            <w:tcW w:w="279" w:type="pct"/>
            <w:tcBorders>
              <w:top w:val="nil"/>
              <w:left w:val="nil"/>
              <w:bottom w:val="single" w:color="auto" w:sz="4" w:space="0"/>
              <w:right w:val="single" w:color="auto" w:sz="4" w:space="0"/>
            </w:tcBorders>
            <w:shd w:val="clear" w:color="auto" w:fill="auto"/>
            <w:vAlign w:val="center"/>
          </w:tcPr>
          <w:p>
            <w:pPr>
              <w:pStyle w:val="85"/>
              <w:rPr>
                <w:color w:val="000000"/>
                <w:szCs w:val="21"/>
              </w:rPr>
            </w:pPr>
            <w:r>
              <w:rPr>
                <w:rFonts w:hint="eastAsia"/>
                <w:color w:val="000000"/>
                <w:szCs w:val="21"/>
              </w:rPr>
              <w:t>规划</w:t>
            </w:r>
          </w:p>
        </w:tc>
        <w:tc>
          <w:tcPr>
            <w:tcW w:w="276" w:type="pct"/>
            <w:tcBorders>
              <w:top w:val="nil"/>
              <w:left w:val="nil"/>
              <w:bottom w:val="single" w:color="auto" w:sz="4" w:space="0"/>
              <w:right w:val="single" w:color="auto" w:sz="4" w:space="0"/>
            </w:tcBorders>
            <w:shd w:val="clear" w:color="auto" w:fill="auto"/>
            <w:vAlign w:val="center"/>
          </w:tcPr>
          <w:p>
            <w:pPr>
              <w:pStyle w:val="85"/>
              <w:rPr>
                <w:rFonts w:eastAsia="等线" w:cs="Times New Roman"/>
                <w:color w:val="000000"/>
                <w:szCs w:val="21"/>
              </w:rPr>
            </w:pPr>
            <w:r>
              <w:rPr>
                <w:rFonts w:eastAsia="等线" w:cs="Times New Roman"/>
                <w:color w:val="000000"/>
                <w:szCs w:val="21"/>
              </w:rPr>
              <w:t>2027</w:t>
            </w:r>
            <w:r>
              <w:rPr>
                <w:rFonts w:hint="eastAsia" w:cs="Times New Roman"/>
                <w:color w:val="000000"/>
                <w:szCs w:val="21"/>
              </w:rPr>
              <w:t>-</w:t>
            </w:r>
            <w:r>
              <w:rPr>
                <w:rFonts w:eastAsia="等线" w:cs="Times New Roman"/>
                <w:color w:val="000000"/>
                <w:szCs w:val="21"/>
              </w:rPr>
              <w:t>2028</w:t>
            </w:r>
          </w:p>
        </w:tc>
        <w:tc>
          <w:tcPr>
            <w:tcW w:w="439" w:type="pct"/>
            <w:tcBorders>
              <w:top w:val="nil"/>
              <w:left w:val="nil"/>
              <w:bottom w:val="single" w:color="auto" w:sz="4" w:space="0"/>
              <w:right w:val="single" w:color="auto" w:sz="4" w:space="0"/>
            </w:tcBorders>
            <w:shd w:val="clear" w:color="auto" w:fill="auto"/>
            <w:noWrap/>
            <w:vAlign w:val="center"/>
          </w:tcPr>
          <w:p>
            <w:pPr>
              <w:pStyle w:val="85"/>
              <w:rPr>
                <w:rFonts w:eastAsia="等线" w:cs="Times New Roman"/>
                <w:color w:val="000000"/>
                <w:szCs w:val="21"/>
              </w:rPr>
            </w:pPr>
            <w:r>
              <w:rPr>
                <w:rFonts w:eastAsia="等线" w:cs="Times New Roman"/>
                <w:color w:val="000000"/>
                <w:szCs w:val="21"/>
              </w:rPr>
              <w:t>1260</w:t>
            </w:r>
          </w:p>
        </w:tc>
        <w:tc>
          <w:tcPr>
            <w:tcW w:w="324" w:type="pct"/>
            <w:tcBorders>
              <w:top w:val="nil"/>
              <w:left w:val="nil"/>
              <w:bottom w:val="single" w:color="auto" w:sz="4" w:space="0"/>
              <w:right w:val="single" w:color="auto" w:sz="4" w:space="0"/>
            </w:tcBorders>
            <w:shd w:val="clear" w:color="auto" w:fill="auto"/>
            <w:noWrap/>
            <w:vAlign w:val="center"/>
          </w:tcPr>
          <w:p>
            <w:pPr>
              <w:pStyle w:val="85"/>
              <w:rPr>
                <w:color w:val="000000"/>
                <w:szCs w:val="21"/>
              </w:rPr>
            </w:pPr>
            <w:r>
              <w:rPr>
                <w:rFonts w:hint="eastAsia"/>
                <w:color w:val="000000"/>
                <w:szCs w:val="21"/>
              </w:rPr>
              <w:t>南盘江流域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289" w:type="pct"/>
            <w:shd w:val="clear" w:color="auto" w:fill="auto"/>
            <w:vAlign w:val="center"/>
          </w:tcPr>
          <w:p>
            <w:pPr>
              <w:pStyle w:val="85"/>
              <w:rPr>
                <w:color w:val="000000"/>
                <w:szCs w:val="21"/>
              </w:rPr>
            </w:pPr>
            <w:r>
              <w:rPr>
                <w:rFonts w:hint="eastAsia"/>
                <w:color w:val="000000"/>
                <w:szCs w:val="21"/>
              </w:rPr>
              <w:t>水土保持</w:t>
            </w:r>
          </w:p>
        </w:tc>
        <w:tc>
          <w:tcPr>
            <w:tcW w:w="663" w:type="pct"/>
            <w:tcBorders>
              <w:top w:val="nil"/>
              <w:left w:val="single" w:color="auto" w:sz="4" w:space="0"/>
              <w:bottom w:val="single" w:color="auto" w:sz="4" w:space="0"/>
              <w:right w:val="single" w:color="auto" w:sz="4" w:space="0"/>
            </w:tcBorders>
            <w:shd w:val="clear" w:color="auto" w:fill="auto"/>
            <w:vAlign w:val="center"/>
          </w:tcPr>
          <w:p>
            <w:pPr>
              <w:pStyle w:val="85"/>
              <w:rPr>
                <w:szCs w:val="21"/>
              </w:rPr>
            </w:pPr>
            <w:r>
              <w:rPr>
                <w:rFonts w:hint="eastAsia"/>
                <w:szCs w:val="21"/>
              </w:rPr>
              <w:t>澄江市右所镇跨马龙潭生态清洁小流域综合治理项目</w:t>
            </w:r>
          </w:p>
        </w:tc>
        <w:tc>
          <w:tcPr>
            <w:tcW w:w="2566" w:type="pct"/>
            <w:tcBorders>
              <w:top w:val="nil"/>
              <w:left w:val="nil"/>
              <w:bottom w:val="single" w:color="auto" w:sz="4" w:space="0"/>
              <w:right w:val="single" w:color="auto" w:sz="4" w:space="0"/>
            </w:tcBorders>
            <w:shd w:val="clear" w:color="auto" w:fill="auto"/>
            <w:vAlign w:val="center"/>
          </w:tcPr>
          <w:p>
            <w:pPr>
              <w:pStyle w:val="85"/>
              <w:rPr>
                <w:color w:val="000000"/>
                <w:szCs w:val="21"/>
              </w:rPr>
            </w:pPr>
            <w:r>
              <w:rPr>
                <w:rFonts w:hint="eastAsia"/>
                <w:color w:val="000000"/>
                <w:szCs w:val="21"/>
              </w:rPr>
              <w:t>治理面积为15km2，具体措施为：水保林90.8hm2、经果林5.2、封禁治理115.62hm2、保土耕作88.38hm2；坑塘治理、清水沟改扩建设长8.5km；机耕路工程包括修缮机耕道路1条，长1.50km；机耕道路排水沟1.50km；生态河道治理1.2km，布设小流域标志碑1座、管护牌10块。</w:t>
            </w:r>
          </w:p>
        </w:tc>
        <w:tc>
          <w:tcPr>
            <w:tcW w:w="279" w:type="pct"/>
            <w:tcBorders>
              <w:top w:val="nil"/>
              <w:left w:val="nil"/>
              <w:bottom w:val="single" w:color="auto" w:sz="4" w:space="0"/>
              <w:right w:val="single" w:color="auto" w:sz="4" w:space="0"/>
            </w:tcBorders>
            <w:shd w:val="clear" w:color="auto" w:fill="auto"/>
            <w:vAlign w:val="center"/>
          </w:tcPr>
          <w:p>
            <w:pPr>
              <w:pStyle w:val="85"/>
              <w:rPr>
                <w:color w:val="000000"/>
                <w:szCs w:val="21"/>
              </w:rPr>
            </w:pPr>
            <w:r>
              <w:rPr>
                <w:rFonts w:hint="eastAsia"/>
                <w:color w:val="000000"/>
                <w:szCs w:val="21"/>
              </w:rPr>
              <w:t>规划</w:t>
            </w:r>
          </w:p>
        </w:tc>
        <w:tc>
          <w:tcPr>
            <w:tcW w:w="276" w:type="pct"/>
            <w:tcBorders>
              <w:top w:val="nil"/>
              <w:left w:val="nil"/>
              <w:bottom w:val="single" w:color="auto" w:sz="4" w:space="0"/>
              <w:right w:val="single" w:color="auto" w:sz="4" w:space="0"/>
            </w:tcBorders>
            <w:shd w:val="clear" w:color="auto" w:fill="auto"/>
            <w:vAlign w:val="center"/>
          </w:tcPr>
          <w:p>
            <w:pPr>
              <w:pStyle w:val="85"/>
              <w:rPr>
                <w:rFonts w:eastAsia="等线" w:cs="Times New Roman"/>
                <w:color w:val="000000"/>
                <w:szCs w:val="21"/>
              </w:rPr>
            </w:pPr>
            <w:r>
              <w:rPr>
                <w:rFonts w:eastAsia="等线" w:cs="Times New Roman"/>
                <w:color w:val="000000"/>
                <w:szCs w:val="21"/>
              </w:rPr>
              <w:t>2028</w:t>
            </w:r>
            <w:r>
              <w:rPr>
                <w:rFonts w:hint="eastAsia" w:cs="Times New Roman"/>
                <w:color w:val="000000"/>
                <w:szCs w:val="21"/>
              </w:rPr>
              <w:t>-</w:t>
            </w:r>
            <w:r>
              <w:rPr>
                <w:rFonts w:eastAsia="等线" w:cs="Times New Roman"/>
                <w:color w:val="000000"/>
                <w:szCs w:val="21"/>
              </w:rPr>
              <w:t>2030</w:t>
            </w:r>
          </w:p>
        </w:tc>
        <w:tc>
          <w:tcPr>
            <w:tcW w:w="439" w:type="pct"/>
            <w:tcBorders>
              <w:top w:val="nil"/>
              <w:left w:val="nil"/>
              <w:bottom w:val="single" w:color="auto" w:sz="4" w:space="0"/>
              <w:right w:val="single" w:color="auto" w:sz="4" w:space="0"/>
            </w:tcBorders>
            <w:shd w:val="clear" w:color="auto" w:fill="auto"/>
            <w:noWrap/>
            <w:vAlign w:val="center"/>
          </w:tcPr>
          <w:p>
            <w:pPr>
              <w:pStyle w:val="85"/>
              <w:rPr>
                <w:rFonts w:eastAsia="等线" w:cs="Times New Roman"/>
                <w:color w:val="000000"/>
                <w:szCs w:val="21"/>
              </w:rPr>
            </w:pPr>
            <w:r>
              <w:rPr>
                <w:rFonts w:eastAsia="等线" w:cs="Times New Roman"/>
                <w:color w:val="000000"/>
                <w:szCs w:val="21"/>
              </w:rPr>
              <w:t>1020</w:t>
            </w:r>
          </w:p>
        </w:tc>
        <w:tc>
          <w:tcPr>
            <w:tcW w:w="324" w:type="pct"/>
            <w:tcBorders>
              <w:top w:val="nil"/>
              <w:left w:val="nil"/>
              <w:bottom w:val="single" w:color="auto" w:sz="4" w:space="0"/>
              <w:right w:val="single" w:color="auto" w:sz="4" w:space="0"/>
            </w:tcBorders>
            <w:shd w:val="clear" w:color="auto" w:fill="auto"/>
            <w:noWrap/>
            <w:vAlign w:val="center"/>
          </w:tcPr>
          <w:p>
            <w:pPr>
              <w:pStyle w:val="85"/>
              <w:rPr>
                <w:color w:val="000000"/>
                <w:szCs w:val="21"/>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水生态修复</w:t>
            </w:r>
          </w:p>
        </w:tc>
        <w:tc>
          <w:tcPr>
            <w:tcW w:w="663" w:type="pct"/>
            <w:shd w:val="clear" w:color="auto" w:fill="auto"/>
            <w:vAlign w:val="center"/>
          </w:tcPr>
          <w:p>
            <w:pPr>
              <w:pStyle w:val="85"/>
            </w:pPr>
            <w:r>
              <w:rPr>
                <w:rFonts w:hint="eastAsia"/>
                <w:szCs w:val="21"/>
              </w:rPr>
              <w:t>幸福河湖项目</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主要包含二水厂扩建工程与东岸水厂出水管连通工程、牛市河水库扩容改造工程、入湖河道闸门智能化改造、抚仙湖信息化监管与智能决策平台研发及应用、长效管护机制构建、抚仙湖“两线”界定项目</w:t>
            </w:r>
            <w:r>
              <w:rPr>
                <w:rFonts w:cs="Times New Roman"/>
                <w:color w:val="000000"/>
                <w:szCs w:val="21"/>
              </w:rPr>
              <w:t>(</w:t>
            </w:r>
            <w:r>
              <w:rPr>
                <w:rFonts w:hint="eastAsia"/>
                <w:color w:val="000000"/>
                <w:szCs w:val="21"/>
              </w:rPr>
              <w:t>“两线”落地标识项目</w:t>
            </w:r>
            <w:r>
              <w:rPr>
                <w:rFonts w:cs="Times New Roman"/>
                <w:color w:val="000000"/>
                <w:szCs w:val="21"/>
              </w:rPr>
              <w:t>)</w:t>
            </w:r>
            <w:r>
              <w:rPr>
                <w:rFonts w:hint="eastAsia"/>
                <w:color w:val="000000"/>
                <w:szCs w:val="21"/>
              </w:rPr>
              <w:t>、幸福河湖综合提升阵地建设、抚仙湖生态产品价值实现试点工程、东西海边村乡村振兴示范项目。</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2023-2030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8110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水生态修复</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澄江市尖山河河侧湿地整治及临湖村落修复生态产品价值实现工程</w:t>
            </w:r>
          </w:p>
        </w:tc>
        <w:tc>
          <w:tcPr>
            <w:tcW w:w="256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1</w:t>
            </w:r>
            <w:r>
              <w:rPr>
                <w:rFonts w:hint="eastAsia" w:cs="Times New Roman"/>
                <w:color w:val="000000"/>
                <w:szCs w:val="21"/>
              </w:rPr>
              <w:t>、尖山河河侧湿地整治修复工程：整治修复河侧湿地</w:t>
            </w:r>
            <w:r>
              <w:rPr>
                <w:rFonts w:eastAsia="等线" w:cs="Times New Roman"/>
                <w:color w:val="000000"/>
                <w:szCs w:val="21"/>
              </w:rPr>
              <w:t>4</w:t>
            </w:r>
            <w:r>
              <w:rPr>
                <w:rFonts w:hint="eastAsia" w:cs="Times New Roman"/>
                <w:color w:val="000000"/>
                <w:szCs w:val="21"/>
              </w:rPr>
              <w:t>处，干冲新村湿地</w:t>
            </w:r>
            <w:r>
              <w:rPr>
                <w:rFonts w:eastAsia="等线" w:cs="Times New Roman"/>
                <w:color w:val="000000"/>
                <w:szCs w:val="21"/>
              </w:rPr>
              <w:t>38.91</w:t>
            </w:r>
            <w:r>
              <w:rPr>
                <w:rFonts w:hint="eastAsia" w:cs="Times New Roman"/>
                <w:color w:val="000000"/>
                <w:szCs w:val="21"/>
              </w:rPr>
              <w:t>亩、李头村湿地</w:t>
            </w:r>
            <w:r>
              <w:rPr>
                <w:rFonts w:eastAsia="等线" w:cs="Times New Roman"/>
                <w:color w:val="000000"/>
                <w:szCs w:val="21"/>
              </w:rPr>
              <w:t>28.10</w:t>
            </w:r>
            <w:r>
              <w:rPr>
                <w:rFonts w:hint="eastAsia" w:cs="Times New Roman"/>
                <w:color w:val="000000"/>
                <w:szCs w:val="21"/>
              </w:rPr>
              <w:t>亩、李官村湿地</w:t>
            </w:r>
            <w:r>
              <w:rPr>
                <w:rFonts w:eastAsia="等线" w:cs="Times New Roman"/>
                <w:color w:val="000000"/>
                <w:szCs w:val="21"/>
              </w:rPr>
              <w:t>5.23</w:t>
            </w:r>
            <w:r>
              <w:rPr>
                <w:rFonts w:hint="eastAsia" w:cs="Times New Roman"/>
                <w:color w:val="000000"/>
                <w:szCs w:val="21"/>
              </w:rPr>
              <w:t>亩、大冲村湿地</w:t>
            </w:r>
            <w:r>
              <w:rPr>
                <w:rFonts w:eastAsia="等线" w:cs="Times New Roman"/>
                <w:color w:val="000000"/>
                <w:szCs w:val="21"/>
              </w:rPr>
              <w:t>9.63</w:t>
            </w:r>
            <w:r>
              <w:rPr>
                <w:rFonts w:hint="eastAsia" w:cs="Times New Roman"/>
                <w:color w:val="000000"/>
                <w:szCs w:val="21"/>
              </w:rPr>
              <w:t>亩，共计</w:t>
            </w:r>
            <w:r>
              <w:rPr>
                <w:rFonts w:eastAsia="等线" w:cs="Times New Roman"/>
                <w:color w:val="000000"/>
                <w:szCs w:val="21"/>
              </w:rPr>
              <w:t>81.86</w:t>
            </w:r>
            <w:r>
              <w:rPr>
                <w:rFonts w:hint="eastAsia" w:cs="Times New Roman"/>
                <w:color w:val="000000"/>
                <w:szCs w:val="21"/>
              </w:rPr>
              <w:t>亩；</w:t>
            </w:r>
            <w:r>
              <w:rPr>
                <w:rFonts w:eastAsia="等线" w:cs="Times New Roman"/>
                <w:color w:val="000000"/>
                <w:szCs w:val="21"/>
              </w:rPr>
              <w:t>2</w:t>
            </w:r>
            <w:r>
              <w:rPr>
                <w:rFonts w:hint="eastAsia" w:cs="Times New Roman"/>
                <w:color w:val="000000"/>
                <w:szCs w:val="21"/>
              </w:rPr>
              <w:t>、临湖村落退地还绿工程：修复抚仙湖西岸</w:t>
            </w:r>
            <w:r>
              <w:rPr>
                <w:rFonts w:eastAsia="等线" w:cs="Times New Roman"/>
                <w:color w:val="000000"/>
                <w:szCs w:val="21"/>
              </w:rPr>
              <w:t>14</w:t>
            </w:r>
            <w:r>
              <w:rPr>
                <w:rFonts w:hint="eastAsia" w:cs="Times New Roman"/>
                <w:color w:val="000000"/>
                <w:szCs w:val="21"/>
              </w:rPr>
              <w:t>个自然村落，重点保护修复面积</w:t>
            </w:r>
            <w:r>
              <w:rPr>
                <w:rFonts w:eastAsia="等线" w:cs="Times New Roman"/>
                <w:color w:val="000000"/>
                <w:szCs w:val="21"/>
              </w:rPr>
              <w:t>586.46</w:t>
            </w:r>
            <w:r>
              <w:rPr>
                <w:rFonts w:hint="eastAsia" w:cs="Times New Roman"/>
                <w:color w:val="000000"/>
                <w:szCs w:val="21"/>
              </w:rPr>
              <w:t>亩（</w:t>
            </w:r>
            <w:r>
              <w:rPr>
                <w:rFonts w:eastAsia="等线" w:cs="Times New Roman"/>
                <w:color w:val="000000"/>
                <w:szCs w:val="21"/>
              </w:rPr>
              <w:t>390971.65</w:t>
            </w:r>
            <w:r>
              <w:rPr>
                <w:rFonts w:hint="eastAsia" w:cs="Times New Roman"/>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11599</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水生态修复</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抚仙湖北侧区域湿地保护和提升工程</w:t>
            </w:r>
          </w:p>
        </w:tc>
        <w:tc>
          <w:tcPr>
            <w:tcW w:w="256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45</w:t>
            </w:r>
            <w:r>
              <w:rPr>
                <w:rFonts w:hint="eastAsia" w:cs="Times New Roman"/>
                <w:color w:val="000000"/>
                <w:szCs w:val="21"/>
              </w:rPr>
              <w:t>亩调蓄带修复治理，调蓄带清淤、植物收割、水生植物补种及水生动物群落构建；调蓄带南北两侧湿地的生态提升，总面积</w:t>
            </w:r>
            <w:r>
              <w:rPr>
                <w:rFonts w:eastAsia="等线" w:cs="Times New Roman"/>
                <w:color w:val="000000"/>
                <w:szCs w:val="21"/>
              </w:rPr>
              <w:t>3063.7</w:t>
            </w:r>
            <w:r>
              <w:rPr>
                <w:rFonts w:hint="eastAsia" w:cs="Times New Roman"/>
                <w:color w:val="000000"/>
                <w:szCs w:val="21"/>
              </w:rPr>
              <w:t>亩，包含污泥清理</w:t>
            </w:r>
            <w:r>
              <w:rPr>
                <w:rFonts w:eastAsia="等线" w:cs="Times New Roman"/>
                <w:color w:val="000000"/>
                <w:szCs w:val="21"/>
              </w:rPr>
              <w:t>110000</w:t>
            </w:r>
            <w:r>
              <w:rPr>
                <w:rFonts w:hint="eastAsia" w:cs="Times New Roman"/>
                <w:color w:val="000000"/>
                <w:szCs w:val="21"/>
              </w:rPr>
              <w:t>㎡，基底改良</w:t>
            </w:r>
            <w:r>
              <w:rPr>
                <w:rFonts w:eastAsia="等线" w:cs="Times New Roman"/>
                <w:color w:val="000000"/>
                <w:szCs w:val="21"/>
              </w:rPr>
              <w:t>230000</w:t>
            </w:r>
            <w:r>
              <w:rPr>
                <w:rFonts w:hint="eastAsia" w:cs="Times New Roman"/>
                <w:color w:val="000000"/>
                <w:szCs w:val="21"/>
              </w:rPr>
              <w:t>㎡，植物收割</w:t>
            </w:r>
            <w:r>
              <w:rPr>
                <w:rFonts w:eastAsia="等线" w:cs="Times New Roman"/>
                <w:color w:val="000000"/>
                <w:szCs w:val="21"/>
              </w:rPr>
              <w:t>110000</w:t>
            </w:r>
            <w:r>
              <w:rPr>
                <w:rFonts w:hint="eastAsia" w:cs="Times New Roman"/>
                <w:color w:val="000000"/>
                <w:szCs w:val="21"/>
              </w:rPr>
              <w:t>㎡，水生植物种植</w:t>
            </w:r>
            <w:r>
              <w:rPr>
                <w:rFonts w:eastAsia="等线" w:cs="Times New Roman"/>
                <w:color w:val="000000"/>
                <w:szCs w:val="21"/>
              </w:rPr>
              <w:t>110000</w:t>
            </w:r>
            <w:r>
              <w:rPr>
                <w:rFonts w:hint="eastAsia" w:cs="Times New Roman"/>
                <w:color w:val="000000"/>
                <w:szCs w:val="21"/>
              </w:rPr>
              <w:t>㎡，水生动物群落构建</w:t>
            </w:r>
            <w:r>
              <w:rPr>
                <w:rFonts w:eastAsia="等线" w:cs="Times New Roman"/>
                <w:color w:val="000000"/>
                <w:szCs w:val="21"/>
              </w:rPr>
              <w:t>110000</w:t>
            </w:r>
            <w:r>
              <w:rPr>
                <w:rFonts w:hint="eastAsia" w:cs="Times New Roman"/>
                <w:color w:val="000000"/>
                <w:szCs w:val="21"/>
              </w:rPr>
              <w:t>㎡，以及生态维护</w:t>
            </w:r>
            <w:r>
              <w:rPr>
                <w:rFonts w:eastAsia="等线" w:cs="Times New Roman"/>
                <w:color w:val="000000"/>
                <w:szCs w:val="21"/>
              </w:rPr>
              <w:t>1166000</w:t>
            </w:r>
            <w:r>
              <w:rPr>
                <w:rFonts w:hint="eastAsia" w:cs="Times New Roman"/>
                <w:color w:val="000000"/>
                <w:szCs w:val="21"/>
              </w:rPr>
              <w:t>㎡。</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12423</w:t>
            </w:r>
          </w:p>
        </w:tc>
        <w:tc>
          <w:tcPr>
            <w:tcW w:w="324"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水资源管理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节水型社会建设</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建成节水型小区</w:t>
            </w:r>
            <w:r>
              <w:rPr>
                <w:rFonts w:cs="Times New Roman"/>
                <w:color w:val="000000"/>
                <w:szCs w:val="21"/>
              </w:rPr>
              <w:t>4</w:t>
            </w:r>
            <w:r>
              <w:rPr>
                <w:rFonts w:hint="eastAsia"/>
                <w:color w:val="000000"/>
                <w:szCs w:val="21"/>
              </w:rPr>
              <w:t>个，节水型机关事业单位</w:t>
            </w:r>
            <w:r>
              <w:rPr>
                <w:rFonts w:cs="Times New Roman"/>
                <w:color w:val="000000"/>
                <w:szCs w:val="21"/>
              </w:rPr>
              <w:t>15</w:t>
            </w:r>
            <w:r>
              <w:rPr>
                <w:rFonts w:hint="eastAsia"/>
                <w:color w:val="000000"/>
                <w:szCs w:val="21"/>
              </w:rPr>
              <w:t>个。节水型学校建设、加强节水器具和节水产品的推广普及，安装农业用水计量设施</w:t>
            </w:r>
            <w:r>
              <w:rPr>
                <w:rFonts w:cs="Times New Roman"/>
                <w:color w:val="000000"/>
                <w:szCs w:val="21"/>
              </w:rPr>
              <w:t>1200</w:t>
            </w:r>
            <w:r>
              <w:rPr>
                <w:rFonts w:hint="eastAsia"/>
                <w:color w:val="000000"/>
                <w:szCs w:val="21"/>
              </w:rPr>
              <w:t>处，工业用水计量设施</w:t>
            </w:r>
            <w:r>
              <w:rPr>
                <w:rFonts w:cs="Times New Roman"/>
                <w:color w:val="000000"/>
                <w:szCs w:val="21"/>
              </w:rPr>
              <w:t>20</w:t>
            </w:r>
            <w:r>
              <w:rPr>
                <w:rFonts w:hint="eastAsia"/>
                <w:color w:val="000000"/>
                <w:szCs w:val="21"/>
              </w:rPr>
              <w:t>处，农村生活用水计量设施</w:t>
            </w:r>
            <w:r>
              <w:rPr>
                <w:rFonts w:cs="Times New Roman"/>
                <w:color w:val="000000"/>
                <w:szCs w:val="21"/>
              </w:rPr>
              <w:t>2710</w:t>
            </w:r>
            <w:r>
              <w:rPr>
                <w:rFonts w:hint="eastAsia"/>
                <w:color w:val="000000"/>
                <w:szCs w:val="21"/>
              </w:rPr>
              <w:t>处。</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960</w:t>
            </w:r>
          </w:p>
        </w:tc>
        <w:tc>
          <w:tcPr>
            <w:tcW w:w="324"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全部规划区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水资源管理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抚仙湖流域取水在线计量设施建设</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流域取水计量设施安装。</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70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2"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水资源管理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健康水循环智慧管理工程</w:t>
            </w:r>
            <w:r>
              <w:rPr>
                <w:rFonts w:cs="Times New Roman"/>
                <w:color w:val="000000"/>
                <w:szCs w:val="21"/>
              </w:rPr>
              <w:t xml:space="preserve"> </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工程总体划分为智慧水务监管平台、水资源综合利用信息化和农业大数据平台三大模块，智慧水务监管平台实现污水管网监管、污水水量监测、水质监测、污水处理厂处理水量、终端计量设施等信息。</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2500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全部规划区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水资源管理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山洪灾害防治非工程措施</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补充完善监测系统，更换自动雨量站老化或损毁供电设备</w:t>
            </w:r>
            <w:r>
              <w:rPr>
                <w:rFonts w:cs="Times New Roman"/>
                <w:color w:val="000000"/>
                <w:szCs w:val="21"/>
              </w:rPr>
              <w:t>20</w:t>
            </w:r>
            <w:r>
              <w:rPr>
                <w:rFonts w:hint="eastAsia"/>
                <w:color w:val="000000"/>
                <w:szCs w:val="21"/>
              </w:rPr>
              <w:t>个，自动水位站更换老化损毁遥测终端、监测设备、供电设备各</w:t>
            </w:r>
            <w:r>
              <w:rPr>
                <w:rFonts w:cs="Times New Roman"/>
                <w:color w:val="000000"/>
                <w:szCs w:val="21"/>
              </w:rPr>
              <w:t>10</w:t>
            </w:r>
            <w:r>
              <w:rPr>
                <w:rFonts w:hint="eastAsia"/>
                <w:color w:val="000000"/>
                <w:szCs w:val="21"/>
              </w:rPr>
              <w:t>套，视频监测站升级提升传输网络</w:t>
            </w:r>
            <w:r>
              <w:rPr>
                <w:rFonts w:cs="Times New Roman"/>
                <w:color w:val="000000"/>
                <w:szCs w:val="21"/>
              </w:rPr>
              <w:t>50</w:t>
            </w:r>
            <w:r>
              <w:rPr>
                <w:rFonts w:hint="eastAsia"/>
                <w:color w:val="000000"/>
                <w:szCs w:val="21"/>
              </w:rPr>
              <w:t>个；补充完善预警系统，补充手摇警报器</w:t>
            </w:r>
            <w:r>
              <w:rPr>
                <w:rFonts w:cs="Times New Roman"/>
                <w:color w:val="000000"/>
                <w:szCs w:val="21"/>
              </w:rPr>
              <w:t>1500</w:t>
            </w:r>
            <w:r>
              <w:rPr>
                <w:rFonts w:hint="eastAsia"/>
                <w:color w:val="000000"/>
                <w:szCs w:val="21"/>
              </w:rPr>
              <w:t>套；完善群测群防体系，加强宣传，建立警示牌</w:t>
            </w:r>
            <w:r>
              <w:rPr>
                <w:rFonts w:cs="Times New Roman"/>
                <w:color w:val="000000"/>
                <w:szCs w:val="21"/>
              </w:rPr>
              <w:t>5</w:t>
            </w:r>
            <w:r>
              <w:rPr>
                <w:rFonts w:hint="eastAsia"/>
                <w:color w:val="000000"/>
                <w:szCs w:val="21"/>
              </w:rPr>
              <w:t>个，宣传栏</w:t>
            </w:r>
            <w:r>
              <w:rPr>
                <w:rFonts w:cs="Times New Roman"/>
                <w:color w:val="000000"/>
                <w:szCs w:val="21"/>
              </w:rPr>
              <w:t>5</w:t>
            </w:r>
            <w:r>
              <w:rPr>
                <w:rFonts w:hint="eastAsia"/>
                <w:color w:val="000000"/>
                <w:szCs w:val="21"/>
              </w:rPr>
              <w:t>个，发放宣传雨披</w:t>
            </w:r>
            <w:r>
              <w:rPr>
                <w:rFonts w:cs="Times New Roman"/>
                <w:color w:val="000000"/>
                <w:szCs w:val="21"/>
              </w:rPr>
              <w:t>1250</w:t>
            </w:r>
            <w:r>
              <w:rPr>
                <w:rFonts w:hint="eastAsia"/>
                <w:color w:val="000000"/>
                <w:szCs w:val="21"/>
              </w:rPr>
              <w:t>把，发放宣传围裙</w:t>
            </w:r>
            <w:r>
              <w:rPr>
                <w:rFonts w:cs="Times New Roman"/>
                <w:color w:val="000000"/>
                <w:szCs w:val="21"/>
              </w:rPr>
              <w:t>1250</w:t>
            </w:r>
            <w:r>
              <w:rPr>
                <w:rFonts w:hint="eastAsia"/>
                <w:color w:val="000000"/>
                <w:szCs w:val="21"/>
              </w:rPr>
              <w:t>条，完成村级预案</w:t>
            </w:r>
            <w:r>
              <w:rPr>
                <w:rFonts w:cs="Times New Roman"/>
                <w:color w:val="000000"/>
                <w:szCs w:val="21"/>
              </w:rPr>
              <w:t>250</w:t>
            </w:r>
            <w:r>
              <w:rPr>
                <w:rFonts w:hint="eastAsia"/>
                <w:color w:val="000000"/>
                <w:szCs w:val="21"/>
              </w:rPr>
              <w:t>个，完成培训</w:t>
            </w:r>
            <w:r>
              <w:rPr>
                <w:rFonts w:cs="Times New Roman"/>
                <w:color w:val="000000"/>
                <w:szCs w:val="21"/>
              </w:rPr>
              <w:t>380</w:t>
            </w:r>
            <w:r>
              <w:rPr>
                <w:rFonts w:hint="eastAsia"/>
                <w:color w:val="000000"/>
                <w:szCs w:val="21"/>
              </w:rPr>
              <w:t>人次，完成演练</w:t>
            </w:r>
            <w:r>
              <w:rPr>
                <w:rFonts w:cs="Times New Roman"/>
                <w:color w:val="000000"/>
                <w:szCs w:val="21"/>
              </w:rPr>
              <w:t>5</w:t>
            </w:r>
            <w:r>
              <w:rPr>
                <w:rFonts w:hint="eastAsia"/>
                <w:color w:val="000000"/>
                <w:szCs w:val="21"/>
              </w:rPr>
              <w:t>次，每年进行一次。</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125</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全部规划区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39</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水资源管理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河长制信息管理平台建设工程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建立能承载高速、高并发、海量、空间、智能、开放协议的设备接入物联网云平台，不仅够满足新建的接入水质、水生态流量、气象、视频、边坡、水土流失等监测设备，还能满足接入已建监测设备。</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2030-2035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800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全部规划区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水资源管理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河湖确权划界界桩埋设工程</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对澄江市主要河流、水库等水利工程确权划界及界桩埋设。</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100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全部规划区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水资源管理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已建工程项目运行管护</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抚仙湖流域内湿地、生态河道、调蓄带的运行管护。调蓄带及中水回用管护人员工资、泵站运行费用（电费、维修）。</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在建</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2024-2030</w:t>
            </w:r>
          </w:p>
        </w:tc>
        <w:tc>
          <w:tcPr>
            <w:tcW w:w="439"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5000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28" w:hRule="atLeast"/>
          <w:jc w:val="center"/>
        </w:trPr>
        <w:tc>
          <w:tcPr>
            <w:tcW w:w="164" w:type="pct"/>
            <w:shd w:val="clear" w:color="auto" w:fill="auto"/>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28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水资源管理</w:t>
            </w:r>
          </w:p>
        </w:tc>
        <w:tc>
          <w:tcPr>
            <w:tcW w:w="663"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基础研究类</w:t>
            </w:r>
          </w:p>
        </w:tc>
        <w:tc>
          <w:tcPr>
            <w:tcW w:w="2566"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外流域补水改善抚仙湖、非常规水利用对农业影响、流域降雨径流初期冲刷及面源污染防治等基础研究，为抚仙湖保护管理提供科技支撑</w:t>
            </w:r>
          </w:p>
        </w:tc>
        <w:tc>
          <w:tcPr>
            <w:tcW w:w="279" w:type="pct"/>
            <w:shd w:val="clear" w:color="auto" w:fill="auto"/>
            <w:vAlign w:val="center"/>
          </w:tcPr>
          <w:p>
            <w:pPr>
              <w:pStyle w:val="85"/>
              <w:rPr>
                <w:color w:val="000000" w:themeColor="text1"/>
                <w14:textFill>
                  <w14:solidFill>
                    <w14:schemeClr w14:val="tx1"/>
                  </w14:solidFill>
                </w14:textFill>
              </w:rPr>
            </w:pPr>
            <w:r>
              <w:rPr>
                <w:rFonts w:hint="eastAsia"/>
                <w:color w:val="000000"/>
                <w:szCs w:val="21"/>
              </w:rPr>
              <w:t>规划</w:t>
            </w:r>
          </w:p>
        </w:tc>
        <w:tc>
          <w:tcPr>
            <w:tcW w:w="276" w:type="pct"/>
            <w:shd w:val="clear" w:color="auto" w:fill="auto"/>
            <w:vAlign w:val="center"/>
          </w:tcPr>
          <w:p>
            <w:pPr>
              <w:pStyle w:val="85"/>
              <w:rPr>
                <w:color w:val="000000" w:themeColor="text1"/>
                <w14:textFill>
                  <w14:solidFill>
                    <w14:schemeClr w14:val="tx1"/>
                  </w14:solidFill>
                </w14:textFill>
              </w:rPr>
            </w:pPr>
            <w:r>
              <w:rPr>
                <w:rFonts w:eastAsia="等线" w:cs="Times New Roman"/>
                <w:color w:val="000000"/>
                <w:szCs w:val="21"/>
              </w:rPr>
              <w:t>2024-2035</w:t>
            </w:r>
          </w:p>
        </w:tc>
        <w:tc>
          <w:tcPr>
            <w:tcW w:w="439" w:type="pct"/>
            <w:shd w:val="clear" w:color="auto" w:fill="auto"/>
            <w:noWrap/>
            <w:vAlign w:val="center"/>
          </w:tcPr>
          <w:p>
            <w:pPr>
              <w:pStyle w:val="85"/>
              <w:rPr>
                <w:color w:val="000000" w:themeColor="text1"/>
                <w14:textFill>
                  <w14:solidFill>
                    <w14:schemeClr w14:val="tx1"/>
                  </w14:solidFill>
                </w14:textFill>
              </w:rPr>
            </w:pPr>
            <w:r>
              <w:rPr>
                <w:rFonts w:eastAsia="等线" w:cs="Times New Roman"/>
                <w:color w:val="000000"/>
                <w:szCs w:val="21"/>
              </w:rPr>
              <w:t>2000</w:t>
            </w:r>
          </w:p>
        </w:tc>
        <w:tc>
          <w:tcPr>
            <w:tcW w:w="324" w:type="pct"/>
            <w:shd w:val="clear" w:color="auto" w:fill="auto"/>
            <w:noWrap/>
            <w:vAlign w:val="center"/>
          </w:tcPr>
          <w:p>
            <w:pPr>
              <w:pStyle w:val="85"/>
              <w:rPr>
                <w:color w:val="000000" w:themeColor="text1"/>
                <w14:textFill>
                  <w14:solidFill>
                    <w14:schemeClr w14:val="tx1"/>
                  </w14:solidFill>
                </w14:textFill>
              </w:rPr>
            </w:pPr>
            <w:r>
              <w:rPr>
                <w:rFonts w:hint="eastAsia"/>
                <w:color w:val="000000"/>
                <w:szCs w:val="21"/>
              </w:rPr>
              <w:t>抚仙湖流域</w:t>
            </w:r>
          </w:p>
        </w:tc>
      </w:tr>
    </w:tbl>
    <w:p>
      <w:pPr>
        <w:pStyle w:val="4"/>
        <w:ind w:firstLine="0" w:firstLineChars="0"/>
        <w:sectPr>
          <w:pgSz w:w="16838" w:h="11906" w:orient="landscape"/>
          <w:pgMar w:top="1418" w:right="1440" w:bottom="1418" w:left="1440" w:header="851" w:footer="851" w:gutter="0"/>
          <w:cols w:space="425" w:num="1"/>
          <w:docGrid w:type="linesAndChars" w:linePitch="326" w:charSpace="0"/>
        </w:sectPr>
      </w:pPr>
    </w:p>
    <w:p>
      <w:pPr>
        <w:pStyle w:val="4"/>
        <w:spacing w:line="240" w:lineRule="auto"/>
        <w:ind w:firstLine="0" w:firstLineChars="0"/>
        <w:sectPr>
          <w:pgSz w:w="16838" w:h="23811"/>
          <w:pgMar w:top="1440" w:right="1418" w:bottom="1440" w:left="1418" w:header="851" w:footer="851" w:gutter="0"/>
          <w:cols w:space="425" w:num="1"/>
          <w:docGrid w:type="linesAndChars" w:linePitch="326" w:charSpace="0"/>
        </w:sectPr>
      </w:pPr>
      <w:r>
        <w:drawing>
          <wp:inline distT="0" distB="0" distL="0" distR="0">
            <wp:extent cx="8891270" cy="12567285"/>
            <wp:effectExtent l="0" t="0" r="5080" b="5715"/>
            <wp:docPr id="21395179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17917"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91270" cy="12567285"/>
                    </a:xfrm>
                    <a:prstGeom prst="rect">
                      <a:avLst/>
                    </a:prstGeom>
                  </pic:spPr>
                </pic:pic>
              </a:graphicData>
            </a:graphic>
          </wp:inline>
        </w:drawing>
      </w:r>
      <w:r>
        <w:drawing>
          <wp:inline distT="0" distB="0" distL="0" distR="0">
            <wp:extent cx="9511665" cy="12682855"/>
            <wp:effectExtent l="0" t="0" r="0" b="4445"/>
            <wp:docPr id="14886480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48027" name="图片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26999" cy="12702666"/>
                    </a:xfrm>
                    <a:prstGeom prst="rect">
                      <a:avLst/>
                    </a:prstGeom>
                  </pic:spPr>
                </pic:pic>
              </a:graphicData>
            </a:graphic>
          </wp:inline>
        </w:drawing>
      </w:r>
    </w:p>
    <w:p>
      <w:pPr>
        <w:pStyle w:val="4"/>
        <w:spacing w:line="240" w:lineRule="auto"/>
        <w:ind w:firstLine="0" w:firstLineChars="0"/>
      </w:pPr>
      <w:r>
        <w:drawing>
          <wp:inline distT="0" distB="0" distL="0" distR="0">
            <wp:extent cx="9502140" cy="11291570"/>
            <wp:effectExtent l="0" t="0" r="3810" b="5080"/>
            <wp:docPr id="2842555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5539" name="图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15069" cy="11307043"/>
                    </a:xfrm>
                    <a:prstGeom prst="rect">
                      <a:avLst/>
                    </a:prstGeom>
                  </pic:spPr>
                </pic:pic>
              </a:graphicData>
            </a:graphic>
          </wp:inline>
        </w:drawing>
      </w:r>
    </w:p>
    <w:sectPr>
      <w:pgSz w:w="16838" w:h="23811"/>
      <w:pgMar w:top="1440" w:right="1418" w:bottom="1440" w:left="1418" w:header="851" w:footer="851" w:gutter="0"/>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96"/>
      </w:pPr>
      <w:r>
        <w:separator/>
      </w:r>
    </w:p>
  </w:endnote>
  <w:endnote w:type="continuationSeparator" w:id="1">
    <w:p>
      <w:pPr>
        <w:spacing w:line="240" w:lineRule="auto"/>
        <w:ind w:firstLine="49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86"/>
    <w:family w:val="swiss"/>
    <w:pitch w:val="default"/>
    <w:sig w:usb0="00000000" w:usb1="00000000" w:usb2="0000007F" w:usb3="00000000" w:csb0="003F01FF" w:csb1="00000000"/>
  </w:font>
  <w:font w:name="Arial">
    <w:panose1 w:val="020B0604020202020204"/>
    <w:charset w:val="00"/>
    <w:family w:val="auto"/>
    <w:pitch w:val="default"/>
    <w:sig w:usb0="E0002EFF" w:usb1="C000785B" w:usb2="00000009" w:usb3="00000000" w:csb0="400001FF" w:csb1="FFFF0000"/>
  </w:font>
  <w:font w:name="华文彩云">
    <w:altName w:val="等线"/>
    <w:panose1 w:val="02010800040101010101"/>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Times New (W1)">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华康饰艺体W5">
    <w:panose1 w:val="04020509000000000000"/>
    <w:charset w:val="86"/>
    <w:family w:val="auto"/>
    <w:pitch w:val="default"/>
    <w:sig w:usb0="800002BF" w:usb1="184F6CFA"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41275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ind w:firstLine="456"/>
                            <w:rPr>
                              <w:rStyle w:val="56"/>
                              <w:sz w:val="22"/>
                              <w:szCs w:val="22"/>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3.25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IoHUT1AAAAAYBAAAPAAAAAAAAAAEAIAAAADgAAABkcnMv&#10;ZG93bnJldi54bWxQSwECFAAUAAAACACHTuJAjNcOfCoCAABVBAAADgAAAAAAAAABACAAAAA5AQAA&#10;ZHJzL2Uyb0RvYy54bWxQSwUGAAAAAAYABgBZAQAA1QUAAAAA&#10;">
              <v:fill on="f" focussize="0,0"/>
              <v:stroke on="f" weight="0.5pt"/>
              <v:imagedata o:title=""/>
              <o:lock v:ext="edit" aspectratio="f"/>
              <v:textbox inset="0mm,0mm,0mm,0mm" style="mso-fit-shape-to-text:t;">
                <w:txbxContent>
                  <w:p>
                    <w:pPr>
                      <w:pStyle w:val="34"/>
                      <w:ind w:firstLine="456"/>
                      <w:rPr>
                        <w:rStyle w:val="56"/>
                        <w:sz w:val="22"/>
                        <w:szCs w:val="22"/>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7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7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4369090"/>
    </w:sdtPr>
    <w:sdtContent>
      <w:p>
        <w:pPr>
          <w:pStyle w:val="34"/>
          <w:ind w:firstLine="360"/>
          <w:jc w:val="center"/>
        </w:pPr>
        <w:r>
          <w:fldChar w:fldCharType="begin"/>
        </w:r>
        <w:r>
          <w:instrText xml:space="preserve">PAGE   \* MERGEFORMAT</w:instrText>
        </w:r>
        <w:r>
          <w:fldChar w:fldCharType="separate"/>
        </w:r>
        <w: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2853013"/>
    </w:sdtPr>
    <w:sdtContent>
      <w:p>
        <w:pPr>
          <w:pStyle w:val="34"/>
          <w:ind w:firstLine="360"/>
          <w:jc w:val="center"/>
        </w:pPr>
        <w:r>
          <w:fldChar w:fldCharType="begin"/>
        </w:r>
        <w:r>
          <w:instrText xml:space="preserve">PAGE   \* MERGEFORMAT</w:instrText>
        </w:r>
        <w:r>
          <w:fldChar w:fldCharType="separate"/>
        </w:r>
        <w:r>
          <w:rPr>
            <w:lang w:val="zh-CN"/>
          </w:rPr>
          <w:t>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96"/>
      </w:pPr>
      <w:r>
        <w:separator/>
      </w:r>
    </w:p>
  </w:footnote>
  <w:footnote w:type="continuationSeparator" w:id="1">
    <w:p>
      <w:pPr>
        <w:spacing w:line="240" w:lineRule="auto"/>
        <w:ind w:firstLine="496"/>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96"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7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7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76"/>
    </w:pPr>
    <w:r>
      <w:rPr>
        <w:rFonts w:hint="eastAsia"/>
      </w:rPr>
      <w:t>澄江市水资源保护利用规划报告（202</w:t>
    </w:r>
    <w:r>
      <w:t>4</w:t>
    </w:r>
    <w:r>
      <w:rPr>
        <w:rFonts w:hint="eastAsia"/>
      </w:rPr>
      <w:t>-2035年）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D0F06"/>
    <w:multiLevelType w:val="multilevel"/>
    <w:tmpl w:val="0E7D0F06"/>
    <w:lvl w:ilvl="0" w:tentative="0">
      <w:start w:val="1"/>
      <w:numFmt w:val="decimal"/>
      <w:lvlText w:val="%1"/>
      <w:lvlJc w:val="left"/>
      <w:pPr>
        <w:ind w:left="425" w:hanging="425"/>
      </w:pPr>
      <w:rPr>
        <w:rFonts w:cs="Times New Roman"/>
      </w:rPr>
    </w:lvl>
    <w:lvl w:ilvl="1" w:tentative="0">
      <w:start w:val="1"/>
      <w:numFmt w:val="decimal"/>
      <w:lvlText w:val="%1.%2"/>
      <w:lvlJc w:val="left"/>
      <w:pPr>
        <w:ind w:left="992" w:hanging="567"/>
      </w:pPr>
      <w:rPr>
        <w:rFonts w:cs="Times New Roman"/>
      </w:rPr>
    </w:lvl>
    <w:lvl w:ilvl="2" w:tentative="0">
      <w:start w:val="1"/>
      <w:numFmt w:val="decimal"/>
      <w:pStyle w:val="258"/>
      <w:lvlText w:val="%1.%2.%3"/>
      <w:lvlJc w:val="left"/>
      <w:pPr>
        <w:ind w:left="1418" w:hanging="567"/>
      </w:pPr>
      <w:rPr>
        <w:rFonts w:cs="Times New Roman"/>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4"/>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1">
    <w:nsid w:val="16614813"/>
    <w:multiLevelType w:val="multilevel"/>
    <w:tmpl w:val="16614813"/>
    <w:lvl w:ilvl="0" w:tentative="0">
      <w:start w:val="1"/>
      <w:numFmt w:val="decimal"/>
      <w:lvlText w:val="%1."/>
      <w:lvlJc w:val="left"/>
      <w:pPr>
        <w:tabs>
          <w:tab w:val="left" w:pos="425"/>
        </w:tabs>
        <w:ind w:left="425" w:hanging="425"/>
      </w:pPr>
    </w:lvl>
    <w:lvl w:ilvl="1" w:tentative="0">
      <w:start w:val="1"/>
      <w:numFmt w:val="decimal"/>
      <w:pStyle w:val="273"/>
      <w:lvlText w:val="%1.%2."/>
      <w:lvlJc w:val="left"/>
      <w:pPr>
        <w:tabs>
          <w:tab w:val="left" w:pos="567"/>
        </w:tabs>
        <w:ind w:left="567" w:hanging="567"/>
      </w:pPr>
    </w:lvl>
    <w:lvl w:ilvl="2" w:tentative="0">
      <w:start w:val="1"/>
      <w:numFmt w:val="decimal"/>
      <w:pStyle w:val="40"/>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
    <w:nsid w:val="29EBB343"/>
    <w:multiLevelType w:val="singleLevel"/>
    <w:tmpl w:val="29EBB343"/>
    <w:lvl w:ilvl="0" w:tentative="0">
      <w:start w:val="1"/>
      <w:numFmt w:val="decimal"/>
      <w:suff w:val="nothing"/>
      <w:lvlText w:val="（%1）"/>
      <w:lvlJc w:val="left"/>
    </w:lvl>
  </w:abstractNum>
  <w:abstractNum w:abstractNumId="3">
    <w:nsid w:val="2FEA73A5"/>
    <w:multiLevelType w:val="multilevel"/>
    <w:tmpl w:val="2FEA73A5"/>
    <w:lvl w:ilvl="0" w:tentative="0">
      <w:start w:val="2"/>
      <w:numFmt w:val="decimal"/>
      <w:pStyle w:val="3"/>
      <w:isLgl/>
      <w:lvlText w:val="%1"/>
      <w:lvlJc w:val="left"/>
      <w:pPr>
        <w:tabs>
          <w:tab w:val="left" w:pos="431"/>
        </w:tabs>
        <w:ind w:left="432" w:hanging="432"/>
      </w:pPr>
      <w:rPr>
        <w:rFonts w:hint="default" w:ascii="Arial" w:hAnsi="Arial" w:eastAsia="黑体" w:cs="Times New Roman"/>
        <w:b w:val="0"/>
        <w:i w:val="0"/>
        <w:sz w:val="32"/>
        <w:szCs w:val="32"/>
      </w:rPr>
    </w:lvl>
    <w:lvl w:ilvl="1" w:tentative="0">
      <w:start w:val="1"/>
      <w:numFmt w:val="decimal"/>
      <w:pStyle w:val="5"/>
      <w:suff w:val="space"/>
      <w:lvlText w:val="%1.%2"/>
      <w:lvlJc w:val="left"/>
      <w:pPr>
        <w:ind w:left="1143" w:hanging="576"/>
      </w:pPr>
      <w:rPr>
        <w:rFonts w:hint="default" w:ascii="Arial" w:hAnsi="Arial" w:eastAsia="黑体"/>
        <w:b w:val="0"/>
        <w:bCs/>
        <w:i w:val="0"/>
        <w:sz w:val="30"/>
        <w:szCs w:val="30"/>
      </w:rPr>
    </w:lvl>
    <w:lvl w:ilvl="2" w:tentative="0">
      <w:start w:val="1"/>
      <w:numFmt w:val="decimal"/>
      <w:pStyle w:val="6"/>
      <w:suff w:val="space"/>
      <w:lvlText w:val="%1.%2.%3"/>
      <w:lvlJc w:val="left"/>
      <w:pPr>
        <w:ind w:left="1145" w:hanging="1145"/>
      </w:pPr>
      <w:rPr>
        <w:rFonts w:hint="default" w:ascii="Arial" w:hAnsi="Arial" w:eastAsia="黑体"/>
        <w:b w:val="0"/>
        <w:bCs/>
        <w:i w:val="0"/>
        <w:sz w:val="28"/>
        <w:szCs w:val="28"/>
      </w:rPr>
    </w:lvl>
    <w:lvl w:ilvl="3" w:tentative="0">
      <w:start w:val="1"/>
      <w:numFmt w:val="decimal"/>
      <w:pStyle w:val="7"/>
      <w:suff w:val="space"/>
      <w:lvlText w:val="%1.%2.%3.%4"/>
      <w:lvlJc w:val="left"/>
      <w:pPr>
        <w:ind w:left="1431" w:hanging="864"/>
      </w:pPr>
      <w:rPr>
        <w:rFonts w:hint="default" w:ascii="Arial" w:hAnsi="Arial" w:cs="Arial"/>
        <w:b w:val="0"/>
        <w:bCs/>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pStyle w:val="10"/>
      <w:lvlText w:val="%1.%2.%3.%4.%5.%6.%7"/>
      <w:lvlJc w:val="left"/>
      <w:pPr>
        <w:tabs>
          <w:tab w:val="left" w:pos="1296"/>
        </w:tabs>
        <w:ind w:left="1296" w:hanging="1296"/>
      </w:pPr>
      <w:rPr>
        <w:rFonts w:hint="eastAsia"/>
      </w:rPr>
    </w:lvl>
    <w:lvl w:ilvl="7" w:tentative="0">
      <w:start w:val="1"/>
      <w:numFmt w:val="decimal"/>
      <w:pStyle w:val="11"/>
      <w:lvlText w:val="%1.%2.%3.%4.%5.%6.%7.%8"/>
      <w:lvlJc w:val="left"/>
      <w:pPr>
        <w:tabs>
          <w:tab w:val="left" w:pos="1440"/>
        </w:tabs>
        <w:ind w:left="1440" w:hanging="1440"/>
      </w:pPr>
      <w:rPr>
        <w:rFonts w:hint="eastAsia"/>
      </w:rPr>
    </w:lvl>
    <w:lvl w:ilvl="8" w:tentative="0">
      <w:start w:val="1"/>
      <w:numFmt w:val="decimal"/>
      <w:pStyle w:val="12"/>
      <w:lvlText w:val="%1.%2.%3.%4.%5.%6.%7.%8.%9"/>
      <w:lvlJc w:val="left"/>
      <w:pPr>
        <w:tabs>
          <w:tab w:val="left" w:pos="1584"/>
        </w:tabs>
        <w:ind w:left="1584" w:hanging="1584"/>
      </w:pPr>
      <w:rPr>
        <w:rFonts w:hint="eastAsia"/>
      </w:rPr>
    </w:lvl>
  </w:abstractNum>
  <w:abstractNum w:abstractNumId="4">
    <w:nsid w:val="598D3F85"/>
    <w:multiLevelType w:val="singleLevel"/>
    <w:tmpl w:val="598D3F85"/>
    <w:lvl w:ilvl="0" w:tentative="0">
      <w:start w:val="1"/>
      <w:numFmt w:val="bullet"/>
      <w:lvlText w:val=""/>
      <w:lvlJc w:val="left"/>
      <w:pPr>
        <w:tabs>
          <w:tab w:val="left" w:pos="780"/>
        </w:tabs>
        <w:ind w:left="780" w:hanging="360"/>
      </w:pPr>
      <w:rPr>
        <w:rFonts w:hint="default" w:ascii="Wingdings" w:hAnsi="Wingdings"/>
      </w:rPr>
    </w:lvl>
  </w:abstractNum>
  <w:abstractNum w:abstractNumId="5">
    <w:nsid w:val="64056A55"/>
    <w:multiLevelType w:val="multilevel"/>
    <w:tmpl w:val="64056A55"/>
    <w:lvl w:ilvl="0" w:tentative="0">
      <w:start w:val="3"/>
      <w:numFmt w:val="decimal"/>
      <w:pStyle w:val="96"/>
      <w:suff w:val="space"/>
      <w:lvlText w:val="%1"/>
      <w:lvlJc w:val="left"/>
      <w:pPr>
        <w:ind w:left="0" w:firstLine="0"/>
      </w:pPr>
      <w:rPr>
        <w:rFonts w:hint="eastAsia"/>
      </w:rPr>
    </w:lvl>
    <w:lvl w:ilvl="1" w:tentative="0">
      <w:start w:val="1"/>
      <w:numFmt w:val="decimal"/>
      <w:pStyle w:val="105"/>
      <w:suff w:val="space"/>
      <w:lvlText w:val="%1.%2"/>
      <w:lvlJc w:val="left"/>
      <w:pPr>
        <w:ind w:left="0" w:firstLine="0"/>
      </w:pPr>
      <w:rPr>
        <w:rFonts w:hint="default" w:ascii="Times New Roman" w:hAnsi="Times New Roman" w:eastAsia="华文彩云"/>
      </w:rPr>
    </w:lvl>
    <w:lvl w:ilvl="2" w:tentative="0">
      <w:start w:val="1"/>
      <w:numFmt w:val="decimal"/>
      <w:pStyle w:val="106"/>
      <w:suff w:val="space"/>
      <w:lvlText w:val="%1.%2.%3"/>
      <w:lvlJc w:val="left"/>
      <w:pPr>
        <w:ind w:left="0" w:firstLine="0"/>
      </w:pPr>
      <w:rPr>
        <w:rFonts w:hint="eastAsia"/>
      </w:rPr>
    </w:lvl>
    <w:lvl w:ilvl="3" w:tentative="0">
      <w:start w:val="1"/>
      <w:numFmt w:val="decimal"/>
      <w:pStyle w:val="107"/>
      <w:suff w:val="space"/>
      <w:lvlText w:val="%1.%2.%3.%4"/>
      <w:lvlJc w:val="left"/>
      <w:pPr>
        <w:ind w:left="0" w:firstLine="0"/>
      </w:pPr>
      <w:rPr>
        <w:rFonts w:hint="default" w:ascii="Times New Roman" w:hAnsi="Times New Roman"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6618725E"/>
    <w:multiLevelType w:val="multilevel"/>
    <w:tmpl w:val="6618725E"/>
    <w:lvl w:ilvl="0" w:tentative="0">
      <w:start w:val="11"/>
      <w:numFmt w:val="decimal"/>
      <w:pStyle w:val="151"/>
      <w:lvlText w:val="%1"/>
      <w:lvlJc w:val="left"/>
      <w:pPr>
        <w:ind w:left="425" w:hanging="425"/>
      </w:pPr>
      <w:rPr>
        <w:rFonts w:hint="eastAsia"/>
      </w:rPr>
    </w:lvl>
    <w:lvl w:ilvl="1" w:tentative="0">
      <w:start w:val="1"/>
      <w:numFmt w:val="decimal"/>
      <w:pStyle w:val="152"/>
      <w:lvlText w:val="%1.%2"/>
      <w:lvlJc w:val="left"/>
      <w:pPr>
        <w:ind w:left="567" w:hanging="567"/>
      </w:pPr>
      <w:rPr>
        <w:rFonts w:hint="eastAsia"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53"/>
      <w:lvlText w:val="%1.%2.%3"/>
      <w:lvlJc w:val="left"/>
      <w:pPr>
        <w:ind w:left="567" w:hanging="567"/>
      </w:pPr>
      <w:rPr>
        <w:rFonts w:hint="eastAsia"/>
      </w:rPr>
    </w:lvl>
    <w:lvl w:ilvl="3" w:tentative="0">
      <w:start w:val="1"/>
      <w:numFmt w:val="decimal"/>
      <w:pStyle w:val="156"/>
      <w:lvlText w:val="%1.%2.%3.%4"/>
      <w:lvlJc w:val="left"/>
      <w:pPr>
        <w:ind w:left="708"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
  </w:num>
  <w:num w:numId="2">
    <w:abstractNumId w:val="1"/>
  </w:num>
  <w:num w:numId="3">
    <w:abstractNumId w:val="5"/>
  </w:num>
  <w:num w:numId="4">
    <w:abstractNumId w:val="6"/>
  </w:num>
  <w:num w:numId="5">
    <w:abstractNumId w:val="0"/>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hideSpellingErrors/>
  <w:documentProtection w:enforcement="0"/>
  <w:defaultTabStop w:val="420"/>
  <w:drawingGridHorizontalSpacing w:val="124"/>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BmYTdjNWM2ZjFmNjI4MzhlMjgzNDBlNmZmYjZjNTcifQ=="/>
  </w:docVars>
  <w:rsids>
    <w:rsidRoot w:val="00172A27"/>
    <w:rsid w:val="00001A21"/>
    <w:rsid w:val="0000230D"/>
    <w:rsid w:val="000028A8"/>
    <w:rsid w:val="000029E0"/>
    <w:rsid w:val="00003600"/>
    <w:rsid w:val="000051B7"/>
    <w:rsid w:val="00006BCC"/>
    <w:rsid w:val="000071DC"/>
    <w:rsid w:val="00010AFD"/>
    <w:rsid w:val="00010B24"/>
    <w:rsid w:val="00011938"/>
    <w:rsid w:val="0001399D"/>
    <w:rsid w:val="00013ABE"/>
    <w:rsid w:val="00013B1F"/>
    <w:rsid w:val="00014317"/>
    <w:rsid w:val="00014CE3"/>
    <w:rsid w:val="00015B81"/>
    <w:rsid w:val="000215EF"/>
    <w:rsid w:val="000220FB"/>
    <w:rsid w:val="00022B65"/>
    <w:rsid w:val="00023773"/>
    <w:rsid w:val="0002451D"/>
    <w:rsid w:val="0002565F"/>
    <w:rsid w:val="00026401"/>
    <w:rsid w:val="00026754"/>
    <w:rsid w:val="00031692"/>
    <w:rsid w:val="000348AE"/>
    <w:rsid w:val="000363C5"/>
    <w:rsid w:val="000374CD"/>
    <w:rsid w:val="0004183E"/>
    <w:rsid w:val="000422EC"/>
    <w:rsid w:val="0004279A"/>
    <w:rsid w:val="000438E4"/>
    <w:rsid w:val="000438E9"/>
    <w:rsid w:val="00044293"/>
    <w:rsid w:val="0004456C"/>
    <w:rsid w:val="000453C0"/>
    <w:rsid w:val="00047315"/>
    <w:rsid w:val="000504C0"/>
    <w:rsid w:val="00051C9A"/>
    <w:rsid w:val="00052E4B"/>
    <w:rsid w:val="000533C7"/>
    <w:rsid w:val="00053C49"/>
    <w:rsid w:val="00054E8A"/>
    <w:rsid w:val="0005571E"/>
    <w:rsid w:val="00060016"/>
    <w:rsid w:val="000607CE"/>
    <w:rsid w:val="000611B0"/>
    <w:rsid w:val="00061853"/>
    <w:rsid w:val="000619F0"/>
    <w:rsid w:val="00062C1F"/>
    <w:rsid w:val="00063476"/>
    <w:rsid w:val="00063652"/>
    <w:rsid w:val="00064D82"/>
    <w:rsid w:val="00065B29"/>
    <w:rsid w:val="00065E81"/>
    <w:rsid w:val="0006654B"/>
    <w:rsid w:val="00066FCD"/>
    <w:rsid w:val="000672C9"/>
    <w:rsid w:val="00067A55"/>
    <w:rsid w:val="000713E7"/>
    <w:rsid w:val="00071E06"/>
    <w:rsid w:val="00071E4F"/>
    <w:rsid w:val="0007211E"/>
    <w:rsid w:val="0007252C"/>
    <w:rsid w:val="000733F0"/>
    <w:rsid w:val="000739FB"/>
    <w:rsid w:val="000751D3"/>
    <w:rsid w:val="0007670C"/>
    <w:rsid w:val="00080DF4"/>
    <w:rsid w:val="00081A54"/>
    <w:rsid w:val="00081DF4"/>
    <w:rsid w:val="00082C57"/>
    <w:rsid w:val="00082D12"/>
    <w:rsid w:val="000832C5"/>
    <w:rsid w:val="00083F7A"/>
    <w:rsid w:val="00085E7C"/>
    <w:rsid w:val="0008695F"/>
    <w:rsid w:val="00086ADF"/>
    <w:rsid w:val="000871D7"/>
    <w:rsid w:val="00087883"/>
    <w:rsid w:val="00087DED"/>
    <w:rsid w:val="000914B4"/>
    <w:rsid w:val="0009244F"/>
    <w:rsid w:val="000926CA"/>
    <w:rsid w:val="00092C27"/>
    <w:rsid w:val="00092C2D"/>
    <w:rsid w:val="00092C32"/>
    <w:rsid w:val="00093009"/>
    <w:rsid w:val="00094E01"/>
    <w:rsid w:val="000A0AD6"/>
    <w:rsid w:val="000A102E"/>
    <w:rsid w:val="000A1ACF"/>
    <w:rsid w:val="000A3A53"/>
    <w:rsid w:val="000A4BF2"/>
    <w:rsid w:val="000A525F"/>
    <w:rsid w:val="000A5469"/>
    <w:rsid w:val="000A5CDB"/>
    <w:rsid w:val="000A6AA1"/>
    <w:rsid w:val="000A70F2"/>
    <w:rsid w:val="000A7531"/>
    <w:rsid w:val="000A7CE2"/>
    <w:rsid w:val="000B183C"/>
    <w:rsid w:val="000B3362"/>
    <w:rsid w:val="000B3729"/>
    <w:rsid w:val="000B3E90"/>
    <w:rsid w:val="000B550D"/>
    <w:rsid w:val="000C01C6"/>
    <w:rsid w:val="000C16A6"/>
    <w:rsid w:val="000C25EA"/>
    <w:rsid w:val="000C2CE5"/>
    <w:rsid w:val="000C3FA5"/>
    <w:rsid w:val="000C427C"/>
    <w:rsid w:val="000C5554"/>
    <w:rsid w:val="000C668A"/>
    <w:rsid w:val="000C69B6"/>
    <w:rsid w:val="000C7EC8"/>
    <w:rsid w:val="000C7FF9"/>
    <w:rsid w:val="000D0205"/>
    <w:rsid w:val="000D0502"/>
    <w:rsid w:val="000D09CC"/>
    <w:rsid w:val="000D10D7"/>
    <w:rsid w:val="000D21CA"/>
    <w:rsid w:val="000D22E6"/>
    <w:rsid w:val="000D2860"/>
    <w:rsid w:val="000D4BF9"/>
    <w:rsid w:val="000D5617"/>
    <w:rsid w:val="000D57A7"/>
    <w:rsid w:val="000D5847"/>
    <w:rsid w:val="000E0057"/>
    <w:rsid w:val="000E0F68"/>
    <w:rsid w:val="000E53B6"/>
    <w:rsid w:val="000E5CCF"/>
    <w:rsid w:val="000E622D"/>
    <w:rsid w:val="000E6F5B"/>
    <w:rsid w:val="000F20BD"/>
    <w:rsid w:val="000F21E4"/>
    <w:rsid w:val="000F2DA7"/>
    <w:rsid w:val="000F3A7E"/>
    <w:rsid w:val="000F4779"/>
    <w:rsid w:val="000F56B7"/>
    <w:rsid w:val="000F6B8A"/>
    <w:rsid w:val="000F7530"/>
    <w:rsid w:val="00100D3A"/>
    <w:rsid w:val="00101368"/>
    <w:rsid w:val="00101D0E"/>
    <w:rsid w:val="001035B7"/>
    <w:rsid w:val="00103672"/>
    <w:rsid w:val="00103A47"/>
    <w:rsid w:val="001043E4"/>
    <w:rsid w:val="001048A3"/>
    <w:rsid w:val="00104E0D"/>
    <w:rsid w:val="00105092"/>
    <w:rsid w:val="0010514D"/>
    <w:rsid w:val="0010546D"/>
    <w:rsid w:val="00105C93"/>
    <w:rsid w:val="001066A6"/>
    <w:rsid w:val="001106C4"/>
    <w:rsid w:val="001125C7"/>
    <w:rsid w:val="00112A68"/>
    <w:rsid w:val="00113783"/>
    <w:rsid w:val="00113E72"/>
    <w:rsid w:val="00115158"/>
    <w:rsid w:val="0011583D"/>
    <w:rsid w:val="00116219"/>
    <w:rsid w:val="0011622F"/>
    <w:rsid w:val="001179EC"/>
    <w:rsid w:val="001206F8"/>
    <w:rsid w:val="00120BB6"/>
    <w:rsid w:val="00121028"/>
    <w:rsid w:val="00124116"/>
    <w:rsid w:val="0012420E"/>
    <w:rsid w:val="00126871"/>
    <w:rsid w:val="00127886"/>
    <w:rsid w:val="00130D02"/>
    <w:rsid w:val="001312A2"/>
    <w:rsid w:val="001316FF"/>
    <w:rsid w:val="00132686"/>
    <w:rsid w:val="00132FF6"/>
    <w:rsid w:val="00133BEB"/>
    <w:rsid w:val="00135CA5"/>
    <w:rsid w:val="001360FF"/>
    <w:rsid w:val="001369D3"/>
    <w:rsid w:val="001378FC"/>
    <w:rsid w:val="001379E1"/>
    <w:rsid w:val="00137C2E"/>
    <w:rsid w:val="00137CDF"/>
    <w:rsid w:val="00137CE8"/>
    <w:rsid w:val="00141229"/>
    <w:rsid w:val="00141D9F"/>
    <w:rsid w:val="0014252D"/>
    <w:rsid w:val="0014360E"/>
    <w:rsid w:val="00144342"/>
    <w:rsid w:val="001447E7"/>
    <w:rsid w:val="00144BBD"/>
    <w:rsid w:val="00146795"/>
    <w:rsid w:val="00146BD4"/>
    <w:rsid w:val="001475D0"/>
    <w:rsid w:val="001501B7"/>
    <w:rsid w:val="001505FC"/>
    <w:rsid w:val="0015251E"/>
    <w:rsid w:val="001542C7"/>
    <w:rsid w:val="00155510"/>
    <w:rsid w:val="00155D61"/>
    <w:rsid w:val="00155DBE"/>
    <w:rsid w:val="00156B17"/>
    <w:rsid w:val="00156E20"/>
    <w:rsid w:val="0015724B"/>
    <w:rsid w:val="001578F6"/>
    <w:rsid w:val="001601F4"/>
    <w:rsid w:val="00160899"/>
    <w:rsid w:val="001612F5"/>
    <w:rsid w:val="00161587"/>
    <w:rsid w:val="00162416"/>
    <w:rsid w:val="00163167"/>
    <w:rsid w:val="001631B3"/>
    <w:rsid w:val="001638D1"/>
    <w:rsid w:val="00163AE2"/>
    <w:rsid w:val="00167E90"/>
    <w:rsid w:val="0017005B"/>
    <w:rsid w:val="001702DB"/>
    <w:rsid w:val="00170B6D"/>
    <w:rsid w:val="00170D4F"/>
    <w:rsid w:val="00172A27"/>
    <w:rsid w:val="00172CC4"/>
    <w:rsid w:val="001748D4"/>
    <w:rsid w:val="00174A07"/>
    <w:rsid w:val="00175037"/>
    <w:rsid w:val="001750C7"/>
    <w:rsid w:val="00175642"/>
    <w:rsid w:val="0017591B"/>
    <w:rsid w:val="00176D5E"/>
    <w:rsid w:val="00177CB8"/>
    <w:rsid w:val="00180BB1"/>
    <w:rsid w:val="0018132A"/>
    <w:rsid w:val="00181861"/>
    <w:rsid w:val="00182B87"/>
    <w:rsid w:val="0018377F"/>
    <w:rsid w:val="001838A4"/>
    <w:rsid w:val="001857D3"/>
    <w:rsid w:val="00185E41"/>
    <w:rsid w:val="0018780B"/>
    <w:rsid w:val="00187F82"/>
    <w:rsid w:val="00192517"/>
    <w:rsid w:val="001932E8"/>
    <w:rsid w:val="00193FB3"/>
    <w:rsid w:val="0019430F"/>
    <w:rsid w:val="0019443D"/>
    <w:rsid w:val="00194920"/>
    <w:rsid w:val="00195769"/>
    <w:rsid w:val="00197199"/>
    <w:rsid w:val="00197E3F"/>
    <w:rsid w:val="001A07F9"/>
    <w:rsid w:val="001A0D32"/>
    <w:rsid w:val="001A1E20"/>
    <w:rsid w:val="001A1E37"/>
    <w:rsid w:val="001A23AF"/>
    <w:rsid w:val="001A24D2"/>
    <w:rsid w:val="001A2CB8"/>
    <w:rsid w:val="001A3471"/>
    <w:rsid w:val="001A446F"/>
    <w:rsid w:val="001A6161"/>
    <w:rsid w:val="001A6EB6"/>
    <w:rsid w:val="001B1A27"/>
    <w:rsid w:val="001B6DC7"/>
    <w:rsid w:val="001B6FF2"/>
    <w:rsid w:val="001C026A"/>
    <w:rsid w:val="001C0525"/>
    <w:rsid w:val="001C0536"/>
    <w:rsid w:val="001C11F0"/>
    <w:rsid w:val="001C2036"/>
    <w:rsid w:val="001C2179"/>
    <w:rsid w:val="001C2DE2"/>
    <w:rsid w:val="001C355C"/>
    <w:rsid w:val="001C47B4"/>
    <w:rsid w:val="001C5138"/>
    <w:rsid w:val="001C64C6"/>
    <w:rsid w:val="001C6632"/>
    <w:rsid w:val="001C6A79"/>
    <w:rsid w:val="001C6B02"/>
    <w:rsid w:val="001D0529"/>
    <w:rsid w:val="001D1425"/>
    <w:rsid w:val="001D6583"/>
    <w:rsid w:val="001D6812"/>
    <w:rsid w:val="001D6CE4"/>
    <w:rsid w:val="001D7710"/>
    <w:rsid w:val="001E0C93"/>
    <w:rsid w:val="001E2151"/>
    <w:rsid w:val="001E23E2"/>
    <w:rsid w:val="001E2F25"/>
    <w:rsid w:val="001E35B1"/>
    <w:rsid w:val="001E49B2"/>
    <w:rsid w:val="001E4E12"/>
    <w:rsid w:val="001E5DD2"/>
    <w:rsid w:val="001F0242"/>
    <w:rsid w:val="001F05FB"/>
    <w:rsid w:val="001F1EC4"/>
    <w:rsid w:val="001F4B76"/>
    <w:rsid w:val="001F58B8"/>
    <w:rsid w:val="001F7941"/>
    <w:rsid w:val="002008B9"/>
    <w:rsid w:val="0020090E"/>
    <w:rsid w:val="00201A7E"/>
    <w:rsid w:val="00203592"/>
    <w:rsid w:val="00206F1C"/>
    <w:rsid w:val="0020771A"/>
    <w:rsid w:val="002115DB"/>
    <w:rsid w:val="0021192A"/>
    <w:rsid w:val="00211BFE"/>
    <w:rsid w:val="00213AA1"/>
    <w:rsid w:val="00213EC9"/>
    <w:rsid w:val="00215CD0"/>
    <w:rsid w:val="00216613"/>
    <w:rsid w:val="002168E0"/>
    <w:rsid w:val="00217B79"/>
    <w:rsid w:val="002202D5"/>
    <w:rsid w:val="00221FDB"/>
    <w:rsid w:val="0022287F"/>
    <w:rsid w:val="00225CB3"/>
    <w:rsid w:val="002268B6"/>
    <w:rsid w:val="00226E9D"/>
    <w:rsid w:val="00230D36"/>
    <w:rsid w:val="0023180F"/>
    <w:rsid w:val="00232E06"/>
    <w:rsid w:val="002337F8"/>
    <w:rsid w:val="002340CC"/>
    <w:rsid w:val="00234B77"/>
    <w:rsid w:val="00235EF2"/>
    <w:rsid w:val="002376DA"/>
    <w:rsid w:val="0024037D"/>
    <w:rsid w:val="00240AA4"/>
    <w:rsid w:val="0024224A"/>
    <w:rsid w:val="00242F1C"/>
    <w:rsid w:val="00243143"/>
    <w:rsid w:val="00244C48"/>
    <w:rsid w:val="00246989"/>
    <w:rsid w:val="00246D59"/>
    <w:rsid w:val="00247FE1"/>
    <w:rsid w:val="002503CF"/>
    <w:rsid w:val="00250783"/>
    <w:rsid w:val="00250BB7"/>
    <w:rsid w:val="00251C6D"/>
    <w:rsid w:val="00251EB0"/>
    <w:rsid w:val="00253537"/>
    <w:rsid w:val="00253EB6"/>
    <w:rsid w:val="00253FB0"/>
    <w:rsid w:val="00254A11"/>
    <w:rsid w:val="00257F45"/>
    <w:rsid w:val="00260376"/>
    <w:rsid w:val="002608AC"/>
    <w:rsid w:val="00262AF9"/>
    <w:rsid w:val="00263017"/>
    <w:rsid w:val="0026327D"/>
    <w:rsid w:val="002644B9"/>
    <w:rsid w:val="00264DC5"/>
    <w:rsid w:val="00266757"/>
    <w:rsid w:val="00266A05"/>
    <w:rsid w:val="00267AC2"/>
    <w:rsid w:val="00267AE8"/>
    <w:rsid w:val="00267C4D"/>
    <w:rsid w:val="00270C60"/>
    <w:rsid w:val="00271B6E"/>
    <w:rsid w:val="00271E10"/>
    <w:rsid w:val="0027273D"/>
    <w:rsid w:val="002732D9"/>
    <w:rsid w:val="00273A88"/>
    <w:rsid w:val="00273BE4"/>
    <w:rsid w:val="00274B38"/>
    <w:rsid w:val="002753E1"/>
    <w:rsid w:val="0027560A"/>
    <w:rsid w:val="0027567B"/>
    <w:rsid w:val="00275E10"/>
    <w:rsid w:val="00275EC5"/>
    <w:rsid w:val="002765C4"/>
    <w:rsid w:val="00276B9E"/>
    <w:rsid w:val="002771BB"/>
    <w:rsid w:val="00277CCC"/>
    <w:rsid w:val="00280757"/>
    <w:rsid w:val="00281C33"/>
    <w:rsid w:val="00281C56"/>
    <w:rsid w:val="00282485"/>
    <w:rsid w:val="002824DA"/>
    <w:rsid w:val="0028250E"/>
    <w:rsid w:val="00282B35"/>
    <w:rsid w:val="00284238"/>
    <w:rsid w:val="0028520A"/>
    <w:rsid w:val="00285500"/>
    <w:rsid w:val="00285B4D"/>
    <w:rsid w:val="00286C1C"/>
    <w:rsid w:val="00287984"/>
    <w:rsid w:val="00287F45"/>
    <w:rsid w:val="00290287"/>
    <w:rsid w:val="002909C0"/>
    <w:rsid w:val="00290D57"/>
    <w:rsid w:val="00291047"/>
    <w:rsid w:val="002912FC"/>
    <w:rsid w:val="00291C5B"/>
    <w:rsid w:val="00292B23"/>
    <w:rsid w:val="00292C1F"/>
    <w:rsid w:val="00292F3D"/>
    <w:rsid w:val="002936B1"/>
    <w:rsid w:val="002939EF"/>
    <w:rsid w:val="00293AAE"/>
    <w:rsid w:val="002951A1"/>
    <w:rsid w:val="0029662A"/>
    <w:rsid w:val="00296A48"/>
    <w:rsid w:val="00297CD9"/>
    <w:rsid w:val="002A1DBE"/>
    <w:rsid w:val="002A2FE5"/>
    <w:rsid w:val="002A454D"/>
    <w:rsid w:val="002A4DCF"/>
    <w:rsid w:val="002A508E"/>
    <w:rsid w:val="002A5986"/>
    <w:rsid w:val="002A5C36"/>
    <w:rsid w:val="002A6655"/>
    <w:rsid w:val="002A7865"/>
    <w:rsid w:val="002A7E0B"/>
    <w:rsid w:val="002B017E"/>
    <w:rsid w:val="002B0ADD"/>
    <w:rsid w:val="002B2990"/>
    <w:rsid w:val="002B346B"/>
    <w:rsid w:val="002B3693"/>
    <w:rsid w:val="002B3DEC"/>
    <w:rsid w:val="002B4957"/>
    <w:rsid w:val="002C02B3"/>
    <w:rsid w:val="002C1670"/>
    <w:rsid w:val="002C1BB6"/>
    <w:rsid w:val="002C32E4"/>
    <w:rsid w:val="002C39BA"/>
    <w:rsid w:val="002C5A9F"/>
    <w:rsid w:val="002C5B0B"/>
    <w:rsid w:val="002C5D66"/>
    <w:rsid w:val="002C6D83"/>
    <w:rsid w:val="002C6E8B"/>
    <w:rsid w:val="002C772F"/>
    <w:rsid w:val="002D080B"/>
    <w:rsid w:val="002D1B06"/>
    <w:rsid w:val="002D3597"/>
    <w:rsid w:val="002D4082"/>
    <w:rsid w:val="002D47DB"/>
    <w:rsid w:val="002D4DC4"/>
    <w:rsid w:val="002D7A81"/>
    <w:rsid w:val="002D7D87"/>
    <w:rsid w:val="002E04EC"/>
    <w:rsid w:val="002E0DC3"/>
    <w:rsid w:val="002E10C6"/>
    <w:rsid w:val="002E126A"/>
    <w:rsid w:val="002E34F7"/>
    <w:rsid w:val="002E3F49"/>
    <w:rsid w:val="002E427D"/>
    <w:rsid w:val="002E53A3"/>
    <w:rsid w:val="002E5847"/>
    <w:rsid w:val="002E5C1E"/>
    <w:rsid w:val="002F0C2D"/>
    <w:rsid w:val="002F18E2"/>
    <w:rsid w:val="002F1993"/>
    <w:rsid w:val="002F1B4B"/>
    <w:rsid w:val="002F229C"/>
    <w:rsid w:val="002F2D3C"/>
    <w:rsid w:val="002F34B3"/>
    <w:rsid w:val="002F38A2"/>
    <w:rsid w:val="002F4B9E"/>
    <w:rsid w:val="002F59FC"/>
    <w:rsid w:val="002F6C1B"/>
    <w:rsid w:val="002F714F"/>
    <w:rsid w:val="00300FEF"/>
    <w:rsid w:val="00301C34"/>
    <w:rsid w:val="00301C4D"/>
    <w:rsid w:val="00301E73"/>
    <w:rsid w:val="003029E8"/>
    <w:rsid w:val="00303A0D"/>
    <w:rsid w:val="0030403F"/>
    <w:rsid w:val="00304D17"/>
    <w:rsid w:val="003058A6"/>
    <w:rsid w:val="0031044A"/>
    <w:rsid w:val="0031089B"/>
    <w:rsid w:val="00310C3D"/>
    <w:rsid w:val="00311D11"/>
    <w:rsid w:val="003126DC"/>
    <w:rsid w:val="003134CE"/>
    <w:rsid w:val="00313B36"/>
    <w:rsid w:val="00313DC1"/>
    <w:rsid w:val="003142C2"/>
    <w:rsid w:val="00314FE9"/>
    <w:rsid w:val="00315269"/>
    <w:rsid w:val="00315CBD"/>
    <w:rsid w:val="00315CE4"/>
    <w:rsid w:val="00316850"/>
    <w:rsid w:val="00316FA0"/>
    <w:rsid w:val="00317548"/>
    <w:rsid w:val="003176BE"/>
    <w:rsid w:val="00321C36"/>
    <w:rsid w:val="00323712"/>
    <w:rsid w:val="00323FD8"/>
    <w:rsid w:val="00324ABE"/>
    <w:rsid w:val="003253A3"/>
    <w:rsid w:val="003254F3"/>
    <w:rsid w:val="00326475"/>
    <w:rsid w:val="00326B96"/>
    <w:rsid w:val="00327797"/>
    <w:rsid w:val="003329A0"/>
    <w:rsid w:val="00332CEE"/>
    <w:rsid w:val="003335BB"/>
    <w:rsid w:val="00335201"/>
    <w:rsid w:val="003358A4"/>
    <w:rsid w:val="003358FA"/>
    <w:rsid w:val="00335E21"/>
    <w:rsid w:val="00336789"/>
    <w:rsid w:val="00340394"/>
    <w:rsid w:val="00341740"/>
    <w:rsid w:val="003432AA"/>
    <w:rsid w:val="003439AB"/>
    <w:rsid w:val="00346B3B"/>
    <w:rsid w:val="00347D63"/>
    <w:rsid w:val="00350A26"/>
    <w:rsid w:val="00352930"/>
    <w:rsid w:val="00354251"/>
    <w:rsid w:val="00354A2A"/>
    <w:rsid w:val="0035500A"/>
    <w:rsid w:val="0035545D"/>
    <w:rsid w:val="00355D41"/>
    <w:rsid w:val="0035625D"/>
    <w:rsid w:val="00356810"/>
    <w:rsid w:val="003575F3"/>
    <w:rsid w:val="00360045"/>
    <w:rsid w:val="003608E7"/>
    <w:rsid w:val="00360A74"/>
    <w:rsid w:val="003614BA"/>
    <w:rsid w:val="003622A8"/>
    <w:rsid w:val="0036249C"/>
    <w:rsid w:val="00364348"/>
    <w:rsid w:val="00364985"/>
    <w:rsid w:val="00366BF7"/>
    <w:rsid w:val="0036707F"/>
    <w:rsid w:val="00371A6B"/>
    <w:rsid w:val="00371B08"/>
    <w:rsid w:val="0037270E"/>
    <w:rsid w:val="00375335"/>
    <w:rsid w:val="00376B5E"/>
    <w:rsid w:val="00377A76"/>
    <w:rsid w:val="00380020"/>
    <w:rsid w:val="00380380"/>
    <w:rsid w:val="00380B0C"/>
    <w:rsid w:val="003816C3"/>
    <w:rsid w:val="003821E4"/>
    <w:rsid w:val="00382723"/>
    <w:rsid w:val="00382935"/>
    <w:rsid w:val="00382F14"/>
    <w:rsid w:val="003832D3"/>
    <w:rsid w:val="00383EAC"/>
    <w:rsid w:val="00385C4B"/>
    <w:rsid w:val="00386057"/>
    <w:rsid w:val="0038660C"/>
    <w:rsid w:val="00386B26"/>
    <w:rsid w:val="00391422"/>
    <w:rsid w:val="003937D0"/>
    <w:rsid w:val="00394C27"/>
    <w:rsid w:val="00394CC0"/>
    <w:rsid w:val="00396476"/>
    <w:rsid w:val="00396E92"/>
    <w:rsid w:val="00396EC6"/>
    <w:rsid w:val="00396F76"/>
    <w:rsid w:val="003A0B1E"/>
    <w:rsid w:val="003A190D"/>
    <w:rsid w:val="003A1C0C"/>
    <w:rsid w:val="003A3A86"/>
    <w:rsid w:val="003A405C"/>
    <w:rsid w:val="003A4FD2"/>
    <w:rsid w:val="003A619B"/>
    <w:rsid w:val="003A746E"/>
    <w:rsid w:val="003B15EA"/>
    <w:rsid w:val="003B1E7D"/>
    <w:rsid w:val="003B4E26"/>
    <w:rsid w:val="003B4EA0"/>
    <w:rsid w:val="003B54E6"/>
    <w:rsid w:val="003B5888"/>
    <w:rsid w:val="003B6146"/>
    <w:rsid w:val="003B7230"/>
    <w:rsid w:val="003B73A6"/>
    <w:rsid w:val="003B75CD"/>
    <w:rsid w:val="003B7626"/>
    <w:rsid w:val="003C10D7"/>
    <w:rsid w:val="003C1E08"/>
    <w:rsid w:val="003C24A6"/>
    <w:rsid w:val="003C27BB"/>
    <w:rsid w:val="003C3177"/>
    <w:rsid w:val="003C3263"/>
    <w:rsid w:val="003C436B"/>
    <w:rsid w:val="003C468C"/>
    <w:rsid w:val="003C56D2"/>
    <w:rsid w:val="003C56E4"/>
    <w:rsid w:val="003C5F33"/>
    <w:rsid w:val="003C6118"/>
    <w:rsid w:val="003C626E"/>
    <w:rsid w:val="003C63D5"/>
    <w:rsid w:val="003C6513"/>
    <w:rsid w:val="003C692B"/>
    <w:rsid w:val="003D00F9"/>
    <w:rsid w:val="003D0AF8"/>
    <w:rsid w:val="003D261B"/>
    <w:rsid w:val="003D2CDB"/>
    <w:rsid w:val="003D2F63"/>
    <w:rsid w:val="003D3067"/>
    <w:rsid w:val="003D3A15"/>
    <w:rsid w:val="003D3CAD"/>
    <w:rsid w:val="003D5B7B"/>
    <w:rsid w:val="003D62EC"/>
    <w:rsid w:val="003E0505"/>
    <w:rsid w:val="003E064C"/>
    <w:rsid w:val="003E0B97"/>
    <w:rsid w:val="003E12A6"/>
    <w:rsid w:val="003E18B8"/>
    <w:rsid w:val="003E1F98"/>
    <w:rsid w:val="003E27A0"/>
    <w:rsid w:val="003E5898"/>
    <w:rsid w:val="003E5961"/>
    <w:rsid w:val="003E7670"/>
    <w:rsid w:val="003F047E"/>
    <w:rsid w:val="003F06F3"/>
    <w:rsid w:val="003F0C17"/>
    <w:rsid w:val="003F0DDF"/>
    <w:rsid w:val="003F114A"/>
    <w:rsid w:val="003F1F60"/>
    <w:rsid w:val="003F2D8B"/>
    <w:rsid w:val="003F31BC"/>
    <w:rsid w:val="003F3E86"/>
    <w:rsid w:val="003F4AE6"/>
    <w:rsid w:val="003F4C08"/>
    <w:rsid w:val="003F5BDB"/>
    <w:rsid w:val="003F640F"/>
    <w:rsid w:val="004009B5"/>
    <w:rsid w:val="00400B7B"/>
    <w:rsid w:val="00401C81"/>
    <w:rsid w:val="0040218E"/>
    <w:rsid w:val="00402B39"/>
    <w:rsid w:val="00402F96"/>
    <w:rsid w:val="00403539"/>
    <w:rsid w:val="00405503"/>
    <w:rsid w:val="00405CFE"/>
    <w:rsid w:val="00407BC8"/>
    <w:rsid w:val="00411DA1"/>
    <w:rsid w:val="0041211A"/>
    <w:rsid w:val="004129B7"/>
    <w:rsid w:val="00412F7C"/>
    <w:rsid w:val="004136D1"/>
    <w:rsid w:val="00413F51"/>
    <w:rsid w:val="00414A82"/>
    <w:rsid w:val="004151E5"/>
    <w:rsid w:val="004160E8"/>
    <w:rsid w:val="00416B53"/>
    <w:rsid w:val="00416F22"/>
    <w:rsid w:val="004174E6"/>
    <w:rsid w:val="004178FD"/>
    <w:rsid w:val="0042014F"/>
    <w:rsid w:val="004206A1"/>
    <w:rsid w:val="00420D49"/>
    <w:rsid w:val="00421156"/>
    <w:rsid w:val="00421950"/>
    <w:rsid w:val="004222C9"/>
    <w:rsid w:val="00422644"/>
    <w:rsid w:val="00423230"/>
    <w:rsid w:val="00423A6D"/>
    <w:rsid w:val="00423D43"/>
    <w:rsid w:val="00425D01"/>
    <w:rsid w:val="0042744E"/>
    <w:rsid w:val="0043054F"/>
    <w:rsid w:val="00431CEE"/>
    <w:rsid w:val="004332EE"/>
    <w:rsid w:val="00433AD4"/>
    <w:rsid w:val="004346ED"/>
    <w:rsid w:val="00434980"/>
    <w:rsid w:val="00434BFA"/>
    <w:rsid w:val="004358BF"/>
    <w:rsid w:val="00435E7A"/>
    <w:rsid w:val="004371F8"/>
    <w:rsid w:val="0044074A"/>
    <w:rsid w:val="00440825"/>
    <w:rsid w:val="00442036"/>
    <w:rsid w:val="0044237E"/>
    <w:rsid w:val="00442513"/>
    <w:rsid w:val="004426D6"/>
    <w:rsid w:val="00443996"/>
    <w:rsid w:val="00444101"/>
    <w:rsid w:val="004441C4"/>
    <w:rsid w:val="004449FF"/>
    <w:rsid w:val="00444F71"/>
    <w:rsid w:val="00445175"/>
    <w:rsid w:val="00445FBA"/>
    <w:rsid w:val="00446088"/>
    <w:rsid w:val="00447865"/>
    <w:rsid w:val="004504BD"/>
    <w:rsid w:val="00450A04"/>
    <w:rsid w:val="00450C45"/>
    <w:rsid w:val="00451313"/>
    <w:rsid w:val="00452767"/>
    <w:rsid w:val="004528AA"/>
    <w:rsid w:val="00453C1F"/>
    <w:rsid w:val="00454FF6"/>
    <w:rsid w:val="00455EBB"/>
    <w:rsid w:val="00457EF6"/>
    <w:rsid w:val="004606A8"/>
    <w:rsid w:val="00463008"/>
    <w:rsid w:val="004630EF"/>
    <w:rsid w:val="00463189"/>
    <w:rsid w:val="00463C16"/>
    <w:rsid w:val="00463EA3"/>
    <w:rsid w:val="00463EB8"/>
    <w:rsid w:val="00466B00"/>
    <w:rsid w:val="00466FED"/>
    <w:rsid w:val="0046757D"/>
    <w:rsid w:val="00467983"/>
    <w:rsid w:val="00470383"/>
    <w:rsid w:val="00470E1A"/>
    <w:rsid w:val="00471011"/>
    <w:rsid w:val="00471598"/>
    <w:rsid w:val="0047345A"/>
    <w:rsid w:val="00473488"/>
    <w:rsid w:val="00474448"/>
    <w:rsid w:val="0047646F"/>
    <w:rsid w:val="0047683B"/>
    <w:rsid w:val="00477E95"/>
    <w:rsid w:val="004800BE"/>
    <w:rsid w:val="00480C6C"/>
    <w:rsid w:val="004810B4"/>
    <w:rsid w:val="0048271A"/>
    <w:rsid w:val="00484F76"/>
    <w:rsid w:val="00485176"/>
    <w:rsid w:val="0048621A"/>
    <w:rsid w:val="00487228"/>
    <w:rsid w:val="00487475"/>
    <w:rsid w:val="0048769E"/>
    <w:rsid w:val="00490AE3"/>
    <w:rsid w:val="0049259E"/>
    <w:rsid w:val="00492A11"/>
    <w:rsid w:val="00494A48"/>
    <w:rsid w:val="00494AF6"/>
    <w:rsid w:val="004A0364"/>
    <w:rsid w:val="004A163B"/>
    <w:rsid w:val="004A224D"/>
    <w:rsid w:val="004A3FAA"/>
    <w:rsid w:val="004A4BB4"/>
    <w:rsid w:val="004A5CA3"/>
    <w:rsid w:val="004A6C77"/>
    <w:rsid w:val="004A7020"/>
    <w:rsid w:val="004A750C"/>
    <w:rsid w:val="004A79FC"/>
    <w:rsid w:val="004A7E47"/>
    <w:rsid w:val="004B1C5A"/>
    <w:rsid w:val="004B5AD3"/>
    <w:rsid w:val="004B629E"/>
    <w:rsid w:val="004B6E5C"/>
    <w:rsid w:val="004B74DE"/>
    <w:rsid w:val="004C043A"/>
    <w:rsid w:val="004C0528"/>
    <w:rsid w:val="004C172F"/>
    <w:rsid w:val="004C207F"/>
    <w:rsid w:val="004C23CE"/>
    <w:rsid w:val="004C2C9B"/>
    <w:rsid w:val="004C305A"/>
    <w:rsid w:val="004C4E49"/>
    <w:rsid w:val="004C5590"/>
    <w:rsid w:val="004C6DDF"/>
    <w:rsid w:val="004D00D8"/>
    <w:rsid w:val="004D0C09"/>
    <w:rsid w:val="004D3586"/>
    <w:rsid w:val="004D3F91"/>
    <w:rsid w:val="004D5BC1"/>
    <w:rsid w:val="004D6774"/>
    <w:rsid w:val="004D6843"/>
    <w:rsid w:val="004E075D"/>
    <w:rsid w:val="004E1C04"/>
    <w:rsid w:val="004E2184"/>
    <w:rsid w:val="004E2283"/>
    <w:rsid w:val="004E338A"/>
    <w:rsid w:val="004E4E05"/>
    <w:rsid w:val="004E535F"/>
    <w:rsid w:val="004E552A"/>
    <w:rsid w:val="004E7CE5"/>
    <w:rsid w:val="004F02E3"/>
    <w:rsid w:val="004F0EB3"/>
    <w:rsid w:val="004F159F"/>
    <w:rsid w:val="004F1A5E"/>
    <w:rsid w:val="004F34EA"/>
    <w:rsid w:val="004F41B6"/>
    <w:rsid w:val="004F556C"/>
    <w:rsid w:val="004F6717"/>
    <w:rsid w:val="00500A70"/>
    <w:rsid w:val="005032ED"/>
    <w:rsid w:val="00506AF0"/>
    <w:rsid w:val="00506BB7"/>
    <w:rsid w:val="00506C93"/>
    <w:rsid w:val="005070CD"/>
    <w:rsid w:val="00507144"/>
    <w:rsid w:val="0050722F"/>
    <w:rsid w:val="00507269"/>
    <w:rsid w:val="00507331"/>
    <w:rsid w:val="00507698"/>
    <w:rsid w:val="00507C79"/>
    <w:rsid w:val="00510765"/>
    <w:rsid w:val="00510A36"/>
    <w:rsid w:val="005111D5"/>
    <w:rsid w:val="00511659"/>
    <w:rsid w:val="005153CB"/>
    <w:rsid w:val="005165EA"/>
    <w:rsid w:val="005169E9"/>
    <w:rsid w:val="00516D85"/>
    <w:rsid w:val="005170BE"/>
    <w:rsid w:val="005171F0"/>
    <w:rsid w:val="005176B0"/>
    <w:rsid w:val="00517967"/>
    <w:rsid w:val="00520289"/>
    <w:rsid w:val="00520E0D"/>
    <w:rsid w:val="0052116A"/>
    <w:rsid w:val="00522B78"/>
    <w:rsid w:val="00522BBB"/>
    <w:rsid w:val="00525498"/>
    <w:rsid w:val="0052630C"/>
    <w:rsid w:val="00526369"/>
    <w:rsid w:val="00526E6A"/>
    <w:rsid w:val="00527CE0"/>
    <w:rsid w:val="0053011B"/>
    <w:rsid w:val="00531BD5"/>
    <w:rsid w:val="005332F7"/>
    <w:rsid w:val="00534A07"/>
    <w:rsid w:val="00534B4E"/>
    <w:rsid w:val="00536EF4"/>
    <w:rsid w:val="005419B5"/>
    <w:rsid w:val="00541A39"/>
    <w:rsid w:val="00541E9F"/>
    <w:rsid w:val="00544493"/>
    <w:rsid w:val="00546D86"/>
    <w:rsid w:val="005478C9"/>
    <w:rsid w:val="00551661"/>
    <w:rsid w:val="005521AA"/>
    <w:rsid w:val="0055292D"/>
    <w:rsid w:val="005532A5"/>
    <w:rsid w:val="005549C8"/>
    <w:rsid w:val="005552B8"/>
    <w:rsid w:val="00555761"/>
    <w:rsid w:val="00555A96"/>
    <w:rsid w:val="00555C56"/>
    <w:rsid w:val="00555F08"/>
    <w:rsid w:val="00556638"/>
    <w:rsid w:val="0055743B"/>
    <w:rsid w:val="00560E65"/>
    <w:rsid w:val="00561DAF"/>
    <w:rsid w:val="00562B4C"/>
    <w:rsid w:val="0056340C"/>
    <w:rsid w:val="00563594"/>
    <w:rsid w:val="00563AE4"/>
    <w:rsid w:val="00566126"/>
    <w:rsid w:val="00566B3A"/>
    <w:rsid w:val="00566BD3"/>
    <w:rsid w:val="00567D69"/>
    <w:rsid w:val="00570D1C"/>
    <w:rsid w:val="00571600"/>
    <w:rsid w:val="00571A8F"/>
    <w:rsid w:val="005728D1"/>
    <w:rsid w:val="00574470"/>
    <w:rsid w:val="0057615E"/>
    <w:rsid w:val="00576B67"/>
    <w:rsid w:val="00577057"/>
    <w:rsid w:val="00577731"/>
    <w:rsid w:val="00580471"/>
    <w:rsid w:val="00580A94"/>
    <w:rsid w:val="00580E71"/>
    <w:rsid w:val="0058160B"/>
    <w:rsid w:val="0058288B"/>
    <w:rsid w:val="005828B4"/>
    <w:rsid w:val="00582C80"/>
    <w:rsid w:val="00582D77"/>
    <w:rsid w:val="00582E67"/>
    <w:rsid w:val="005843E2"/>
    <w:rsid w:val="005851F1"/>
    <w:rsid w:val="00585A72"/>
    <w:rsid w:val="00585B43"/>
    <w:rsid w:val="00586F34"/>
    <w:rsid w:val="005900AF"/>
    <w:rsid w:val="005905F0"/>
    <w:rsid w:val="00590C3C"/>
    <w:rsid w:val="005910FF"/>
    <w:rsid w:val="0059201C"/>
    <w:rsid w:val="0059219C"/>
    <w:rsid w:val="00592467"/>
    <w:rsid w:val="00592639"/>
    <w:rsid w:val="00593B89"/>
    <w:rsid w:val="0059512E"/>
    <w:rsid w:val="00596E0F"/>
    <w:rsid w:val="005A07BB"/>
    <w:rsid w:val="005A13AA"/>
    <w:rsid w:val="005A1B76"/>
    <w:rsid w:val="005A3E4B"/>
    <w:rsid w:val="005A4B1B"/>
    <w:rsid w:val="005A6B6A"/>
    <w:rsid w:val="005A72C4"/>
    <w:rsid w:val="005A7D27"/>
    <w:rsid w:val="005B01F3"/>
    <w:rsid w:val="005B05C7"/>
    <w:rsid w:val="005B122B"/>
    <w:rsid w:val="005B1B1A"/>
    <w:rsid w:val="005B3633"/>
    <w:rsid w:val="005B5C8E"/>
    <w:rsid w:val="005B6686"/>
    <w:rsid w:val="005B7072"/>
    <w:rsid w:val="005C0442"/>
    <w:rsid w:val="005C2266"/>
    <w:rsid w:val="005C3BB3"/>
    <w:rsid w:val="005C3FCC"/>
    <w:rsid w:val="005C470C"/>
    <w:rsid w:val="005C4947"/>
    <w:rsid w:val="005C4FBB"/>
    <w:rsid w:val="005C5303"/>
    <w:rsid w:val="005C534C"/>
    <w:rsid w:val="005C62B5"/>
    <w:rsid w:val="005C71C1"/>
    <w:rsid w:val="005C7502"/>
    <w:rsid w:val="005D07BC"/>
    <w:rsid w:val="005D4090"/>
    <w:rsid w:val="005D5EA5"/>
    <w:rsid w:val="005D6BE7"/>
    <w:rsid w:val="005D6C8B"/>
    <w:rsid w:val="005D738F"/>
    <w:rsid w:val="005D7B3E"/>
    <w:rsid w:val="005D7B44"/>
    <w:rsid w:val="005D7C0C"/>
    <w:rsid w:val="005E0132"/>
    <w:rsid w:val="005E0C8B"/>
    <w:rsid w:val="005E1407"/>
    <w:rsid w:val="005E2267"/>
    <w:rsid w:val="005E3BFC"/>
    <w:rsid w:val="005E4858"/>
    <w:rsid w:val="005E5288"/>
    <w:rsid w:val="005E5959"/>
    <w:rsid w:val="005E5A2A"/>
    <w:rsid w:val="005E6C54"/>
    <w:rsid w:val="005F0922"/>
    <w:rsid w:val="005F0B2B"/>
    <w:rsid w:val="005F1B83"/>
    <w:rsid w:val="005F222C"/>
    <w:rsid w:val="005F2BA4"/>
    <w:rsid w:val="005F358C"/>
    <w:rsid w:val="005F4B4C"/>
    <w:rsid w:val="005F600D"/>
    <w:rsid w:val="005F6415"/>
    <w:rsid w:val="005F6491"/>
    <w:rsid w:val="005F6561"/>
    <w:rsid w:val="00600354"/>
    <w:rsid w:val="006005DE"/>
    <w:rsid w:val="00601787"/>
    <w:rsid w:val="00603140"/>
    <w:rsid w:val="00603FB4"/>
    <w:rsid w:val="0060439A"/>
    <w:rsid w:val="0060526F"/>
    <w:rsid w:val="00605B7A"/>
    <w:rsid w:val="00606ACF"/>
    <w:rsid w:val="006103DE"/>
    <w:rsid w:val="006119E1"/>
    <w:rsid w:val="00611FA0"/>
    <w:rsid w:val="006132B5"/>
    <w:rsid w:val="00614288"/>
    <w:rsid w:val="00614E4A"/>
    <w:rsid w:val="006164A1"/>
    <w:rsid w:val="006167D1"/>
    <w:rsid w:val="0061722C"/>
    <w:rsid w:val="006200CF"/>
    <w:rsid w:val="006206FE"/>
    <w:rsid w:val="00621889"/>
    <w:rsid w:val="0062385E"/>
    <w:rsid w:val="00623991"/>
    <w:rsid w:val="00625BD1"/>
    <w:rsid w:val="00625DEA"/>
    <w:rsid w:val="006260FB"/>
    <w:rsid w:val="006264A4"/>
    <w:rsid w:val="00626CC1"/>
    <w:rsid w:val="0062761B"/>
    <w:rsid w:val="00630B6E"/>
    <w:rsid w:val="0063204B"/>
    <w:rsid w:val="006346A1"/>
    <w:rsid w:val="006350B6"/>
    <w:rsid w:val="00635931"/>
    <w:rsid w:val="00635C61"/>
    <w:rsid w:val="00635F2D"/>
    <w:rsid w:val="006366D0"/>
    <w:rsid w:val="00636D09"/>
    <w:rsid w:val="00637241"/>
    <w:rsid w:val="00637B30"/>
    <w:rsid w:val="00637C48"/>
    <w:rsid w:val="00641455"/>
    <w:rsid w:val="0064151E"/>
    <w:rsid w:val="00642167"/>
    <w:rsid w:val="00642E09"/>
    <w:rsid w:val="00642E3E"/>
    <w:rsid w:val="00643129"/>
    <w:rsid w:val="00644386"/>
    <w:rsid w:val="0064461A"/>
    <w:rsid w:val="00645407"/>
    <w:rsid w:val="00645579"/>
    <w:rsid w:val="0064571E"/>
    <w:rsid w:val="00646552"/>
    <w:rsid w:val="00647B8F"/>
    <w:rsid w:val="00647C18"/>
    <w:rsid w:val="006506BF"/>
    <w:rsid w:val="00650EC2"/>
    <w:rsid w:val="00651956"/>
    <w:rsid w:val="006533D2"/>
    <w:rsid w:val="006533E3"/>
    <w:rsid w:val="006536D9"/>
    <w:rsid w:val="00653EF1"/>
    <w:rsid w:val="00654163"/>
    <w:rsid w:val="006551C2"/>
    <w:rsid w:val="00655278"/>
    <w:rsid w:val="006572FF"/>
    <w:rsid w:val="00657ECD"/>
    <w:rsid w:val="0066345A"/>
    <w:rsid w:val="0066457D"/>
    <w:rsid w:val="0066578A"/>
    <w:rsid w:val="0066700A"/>
    <w:rsid w:val="006712E4"/>
    <w:rsid w:val="00671D81"/>
    <w:rsid w:val="00672811"/>
    <w:rsid w:val="006729B4"/>
    <w:rsid w:val="006740A8"/>
    <w:rsid w:val="00674AB9"/>
    <w:rsid w:val="00675559"/>
    <w:rsid w:val="00675E33"/>
    <w:rsid w:val="00681DE2"/>
    <w:rsid w:val="006822C4"/>
    <w:rsid w:val="0068236B"/>
    <w:rsid w:val="00682AB8"/>
    <w:rsid w:val="00684367"/>
    <w:rsid w:val="0068504E"/>
    <w:rsid w:val="00685D94"/>
    <w:rsid w:val="00686CA3"/>
    <w:rsid w:val="00686F86"/>
    <w:rsid w:val="00687098"/>
    <w:rsid w:val="006876B0"/>
    <w:rsid w:val="00687AFA"/>
    <w:rsid w:val="00690147"/>
    <w:rsid w:val="0069021F"/>
    <w:rsid w:val="006919BB"/>
    <w:rsid w:val="00691F9F"/>
    <w:rsid w:val="00692CC2"/>
    <w:rsid w:val="00692CCD"/>
    <w:rsid w:val="00693507"/>
    <w:rsid w:val="006941E0"/>
    <w:rsid w:val="00694C63"/>
    <w:rsid w:val="006951AE"/>
    <w:rsid w:val="006951E5"/>
    <w:rsid w:val="006976B9"/>
    <w:rsid w:val="006A06D9"/>
    <w:rsid w:val="006A124E"/>
    <w:rsid w:val="006A1CAB"/>
    <w:rsid w:val="006A2E9B"/>
    <w:rsid w:val="006A657C"/>
    <w:rsid w:val="006A7C3A"/>
    <w:rsid w:val="006B0C4F"/>
    <w:rsid w:val="006B1059"/>
    <w:rsid w:val="006B26E5"/>
    <w:rsid w:val="006B2F97"/>
    <w:rsid w:val="006B2FAC"/>
    <w:rsid w:val="006B38B6"/>
    <w:rsid w:val="006B5538"/>
    <w:rsid w:val="006B5D87"/>
    <w:rsid w:val="006B6621"/>
    <w:rsid w:val="006B6D66"/>
    <w:rsid w:val="006C0F33"/>
    <w:rsid w:val="006C1079"/>
    <w:rsid w:val="006C13CC"/>
    <w:rsid w:val="006C31A6"/>
    <w:rsid w:val="006C35E4"/>
    <w:rsid w:val="006C4DE8"/>
    <w:rsid w:val="006C5861"/>
    <w:rsid w:val="006C6668"/>
    <w:rsid w:val="006D057D"/>
    <w:rsid w:val="006D09AA"/>
    <w:rsid w:val="006D0F61"/>
    <w:rsid w:val="006D235D"/>
    <w:rsid w:val="006D26F7"/>
    <w:rsid w:val="006D3BD9"/>
    <w:rsid w:val="006D7D92"/>
    <w:rsid w:val="006E09C0"/>
    <w:rsid w:val="006E0B44"/>
    <w:rsid w:val="006E0D0B"/>
    <w:rsid w:val="006E17E4"/>
    <w:rsid w:val="006E25D5"/>
    <w:rsid w:val="006E27CC"/>
    <w:rsid w:val="006E3A3D"/>
    <w:rsid w:val="006E4793"/>
    <w:rsid w:val="006E58FB"/>
    <w:rsid w:val="006E6948"/>
    <w:rsid w:val="006E71BB"/>
    <w:rsid w:val="006F0F6D"/>
    <w:rsid w:val="006F1D13"/>
    <w:rsid w:val="006F3ACF"/>
    <w:rsid w:val="006F3D31"/>
    <w:rsid w:val="006F3DBC"/>
    <w:rsid w:val="006F59DF"/>
    <w:rsid w:val="006F5F57"/>
    <w:rsid w:val="006F60F3"/>
    <w:rsid w:val="006F6169"/>
    <w:rsid w:val="006F7972"/>
    <w:rsid w:val="006F7C18"/>
    <w:rsid w:val="006F7C2E"/>
    <w:rsid w:val="00700101"/>
    <w:rsid w:val="00700997"/>
    <w:rsid w:val="0070131B"/>
    <w:rsid w:val="00702EBA"/>
    <w:rsid w:val="00706F95"/>
    <w:rsid w:val="00707DD7"/>
    <w:rsid w:val="00710143"/>
    <w:rsid w:val="00710DA1"/>
    <w:rsid w:val="00711131"/>
    <w:rsid w:val="0071174E"/>
    <w:rsid w:val="0071225C"/>
    <w:rsid w:val="00713444"/>
    <w:rsid w:val="007137E3"/>
    <w:rsid w:val="00714044"/>
    <w:rsid w:val="0071552B"/>
    <w:rsid w:val="00715805"/>
    <w:rsid w:val="007159AC"/>
    <w:rsid w:val="00716483"/>
    <w:rsid w:val="00716B5E"/>
    <w:rsid w:val="00716BEF"/>
    <w:rsid w:val="00717A9E"/>
    <w:rsid w:val="00720429"/>
    <w:rsid w:val="0072098F"/>
    <w:rsid w:val="007217FF"/>
    <w:rsid w:val="0072188E"/>
    <w:rsid w:val="00721D50"/>
    <w:rsid w:val="0072265D"/>
    <w:rsid w:val="00723FA3"/>
    <w:rsid w:val="0072537A"/>
    <w:rsid w:val="007255A8"/>
    <w:rsid w:val="00726851"/>
    <w:rsid w:val="0072792B"/>
    <w:rsid w:val="00727E80"/>
    <w:rsid w:val="0073014F"/>
    <w:rsid w:val="00730918"/>
    <w:rsid w:val="00731954"/>
    <w:rsid w:val="007325CF"/>
    <w:rsid w:val="007328DF"/>
    <w:rsid w:val="007330ED"/>
    <w:rsid w:val="0073342F"/>
    <w:rsid w:val="007342D9"/>
    <w:rsid w:val="00734874"/>
    <w:rsid w:val="00734C05"/>
    <w:rsid w:val="007370BF"/>
    <w:rsid w:val="00740133"/>
    <w:rsid w:val="00740285"/>
    <w:rsid w:val="00740637"/>
    <w:rsid w:val="007407E8"/>
    <w:rsid w:val="00741636"/>
    <w:rsid w:val="0074175F"/>
    <w:rsid w:val="007436D8"/>
    <w:rsid w:val="00743761"/>
    <w:rsid w:val="00743BAF"/>
    <w:rsid w:val="0074564D"/>
    <w:rsid w:val="00745716"/>
    <w:rsid w:val="00745BD1"/>
    <w:rsid w:val="00747F43"/>
    <w:rsid w:val="00750100"/>
    <w:rsid w:val="00750414"/>
    <w:rsid w:val="007544AC"/>
    <w:rsid w:val="007545BE"/>
    <w:rsid w:val="0075500A"/>
    <w:rsid w:val="00755058"/>
    <w:rsid w:val="00755B4B"/>
    <w:rsid w:val="00756461"/>
    <w:rsid w:val="00756AEB"/>
    <w:rsid w:val="007612D3"/>
    <w:rsid w:val="0076279E"/>
    <w:rsid w:val="007630E3"/>
    <w:rsid w:val="00763B27"/>
    <w:rsid w:val="00763CB6"/>
    <w:rsid w:val="0076555C"/>
    <w:rsid w:val="007659CB"/>
    <w:rsid w:val="0076647F"/>
    <w:rsid w:val="00770476"/>
    <w:rsid w:val="00770DEA"/>
    <w:rsid w:val="00772120"/>
    <w:rsid w:val="007724D4"/>
    <w:rsid w:val="00772799"/>
    <w:rsid w:val="00775046"/>
    <w:rsid w:val="0077556A"/>
    <w:rsid w:val="0077569A"/>
    <w:rsid w:val="0077586E"/>
    <w:rsid w:val="0077594F"/>
    <w:rsid w:val="00775F3B"/>
    <w:rsid w:val="007765B1"/>
    <w:rsid w:val="0077766D"/>
    <w:rsid w:val="007804BF"/>
    <w:rsid w:val="007807E4"/>
    <w:rsid w:val="00781483"/>
    <w:rsid w:val="00781CB2"/>
    <w:rsid w:val="00781EFE"/>
    <w:rsid w:val="00783748"/>
    <w:rsid w:val="00783D66"/>
    <w:rsid w:val="00784F32"/>
    <w:rsid w:val="007853DF"/>
    <w:rsid w:val="00791A12"/>
    <w:rsid w:val="00791D96"/>
    <w:rsid w:val="007935E9"/>
    <w:rsid w:val="007936D7"/>
    <w:rsid w:val="00793C82"/>
    <w:rsid w:val="00793D51"/>
    <w:rsid w:val="00796246"/>
    <w:rsid w:val="00796742"/>
    <w:rsid w:val="00796E24"/>
    <w:rsid w:val="0079792C"/>
    <w:rsid w:val="007A16BC"/>
    <w:rsid w:val="007A1C8D"/>
    <w:rsid w:val="007A1FB8"/>
    <w:rsid w:val="007A28A9"/>
    <w:rsid w:val="007A3A1B"/>
    <w:rsid w:val="007A73CA"/>
    <w:rsid w:val="007A7EB3"/>
    <w:rsid w:val="007B071C"/>
    <w:rsid w:val="007B31CA"/>
    <w:rsid w:val="007B389B"/>
    <w:rsid w:val="007B401A"/>
    <w:rsid w:val="007B464F"/>
    <w:rsid w:val="007B489E"/>
    <w:rsid w:val="007B6167"/>
    <w:rsid w:val="007B6193"/>
    <w:rsid w:val="007B6432"/>
    <w:rsid w:val="007B7550"/>
    <w:rsid w:val="007B783C"/>
    <w:rsid w:val="007B7C44"/>
    <w:rsid w:val="007C03BE"/>
    <w:rsid w:val="007C0BA4"/>
    <w:rsid w:val="007C1230"/>
    <w:rsid w:val="007C126F"/>
    <w:rsid w:val="007C3A1C"/>
    <w:rsid w:val="007C3D8B"/>
    <w:rsid w:val="007C62B3"/>
    <w:rsid w:val="007C7576"/>
    <w:rsid w:val="007D2B32"/>
    <w:rsid w:val="007D312F"/>
    <w:rsid w:val="007D43DD"/>
    <w:rsid w:val="007D4880"/>
    <w:rsid w:val="007D55DA"/>
    <w:rsid w:val="007D7106"/>
    <w:rsid w:val="007D7425"/>
    <w:rsid w:val="007E06D6"/>
    <w:rsid w:val="007E0876"/>
    <w:rsid w:val="007E0D52"/>
    <w:rsid w:val="007E1DA2"/>
    <w:rsid w:val="007E217E"/>
    <w:rsid w:val="007E300F"/>
    <w:rsid w:val="007E32F2"/>
    <w:rsid w:val="007E4856"/>
    <w:rsid w:val="007E4D9B"/>
    <w:rsid w:val="007E4F5F"/>
    <w:rsid w:val="007E4FE9"/>
    <w:rsid w:val="007E563F"/>
    <w:rsid w:val="007E66EC"/>
    <w:rsid w:val="007E6E3A"/>
    <w:rsid w:val="007E6E96"/>
    <w:rsid w:val="007E70D7"/>
    <w:rsid w:val="007F071E"/>
    <w:rsid w:val="007F0EBD"/>
    <w:rsid w:val="007F16DE"/>
    <w:rsid w:val="007F1A18"/>
    <w:rsid w:val="007F1CBA"/>
    <w:rsid w:val="007F2B29"/>
    <w:rsid w:val="007F3763"/>
    <w:rsid w:val="007F3A80"/>
    <w:rsid w:val="007F43A7"/>
    <w:rsid w:val="007F479A"/>
    <w:rsid w:val="007F4D60"/>
    <w:rsid w:val="007F53A1"/>
    <w:rsid w:val="007F5D40"/>
    <w:rsid w:val="00801471"/>
    <w:rsid w:val="0080160D"/>
    <w:rsid w:val="00803DC7"/>
    <w:rsid w:val="00803EA3"/>
    <w:rsid w:val="00807D0C"/>
    <w:rsid w:val="00811046"/>
    <w:rsid w:val="0081122F"/>
    <w:rsid w:val="00811644"/>
    <w:rsid w:val="00811D21"/>
    <w:rsid w:val="00812706"/>
    <w:rsid w:val="00812E2E"/>
    <w:rsid w:val="0081368F"/>
    <w:rsid w:val="00813D94"/>
    <w:rsid w:val="00814605"/>
    <w:rsid w:val="00814EE0"/>
    <w:rsid w:val="008170A3"/>
    <w:rsid w:val="0082208A"/>
    <w:rsid w:val="00822726"/>
    <w:rsid w:val="008227B1"/>
    <w:rsid w:val="0082293B"/>
    <w:rsid w:val="00822BA9"/>
    <w:rsid w:val="00822CCA"/>
    <w:rsid w:val="00823C4A"/>
    <w:rsid w:val="00824A9F"/>
    <w:rsid w:val="0082593F"/>
    <w:rsid w:val="0082611F"/>
    <w:rsid w:val="00826ED8"/>
    <w:rsid w:val="00830E3D"/>
    <w:rsid w:val="0083138C"/>
    <w:rsid w:val="008321A3"/>
    <w:rsid w:val="00834A50"/>
    <w:rsid w:val="00834D38"/>
    <w:rsid w:val="00835147"/>
    <w:rsid w:val="008351CD"/>
    <w:rsid w:val="008351E4"/>
    <w:rsid w:val="008363BD"/>
    <w:rsid w:val="00836801"/>
    <w:rsid w:val="00836F31"/>
    <w:rsid w:val="0083749E"/>
    <w:rsid w:val="0083764E"/>
    <w:rsid w:val="00837CB5"/>
    <w:rsid w:val="0084022D"/>
    <w:rsid w:val="00842DF8"/>
    <w:rsid w:val="0084394C"/>
    <w:rsid w:val="00843DF4"/>
    <w:rsid w:val="008448B6"/>
    <w:rsid w:val="00844A93"/>
    <w:rsid w:val="00845046"/>
    <w:rsid w:val="008454F9"/>
    <w:rsid w:val="0084551D"/>
    <w:rsid w:val="00845C0D"/>
    <w:rsid w:val="00847219"/>
    <w:rsid w:val="008475CA"/>
    <w:rsid w:val="0084782A"/>
    <w:rsid w:val="00847E08"/>
    <w:rsid w:val="00850F1F"/>
    <w:rsid w:val="008516B2"/>
    <w:rsid w:val="00851A7E"/>
    <w:rsid w:val="00851D5E"/>
    <w:rsid w:val="00852103"/>
    <w:rsid w:val="00852DAB"/>
    <w:rsid w:val="00854A8A"/>
    <w:rsid w:val="00857DDA"/>
    <w:rsid w:val="00857E8B"/>
    <w:rsid w:val="0086108F"/>
    <w:rsid w:val="00861C25"/>
    <w:rsid w:val="00861D27"/>
    <w:rsid w:val="008621DC"/>
    <w:rsid w:val="00863E72"/>
    <w:rsid w:val="0086406C"/>
    <w:rsid w:val="00864355"/>
    <w:rsid w:val="0086541E"/>
    <w:rsid w:val="008659FE"/>
    <w:rsid w:val="008664D1"/>
    <w:rsid w:val="008665E1"/>
    <w:rsid w:val="00867112"/>
    <w:rsid w:val="00870276"/>
    <w:rsid w:val="00870416"/>
    <w:rsid w:val="0087082C"/>
    <w:rsid w:val="008715B1"/>
    <w:rsid w:val="00871BAB"/>
    <w:rsid w:val="00871E43"/>
    <w:rsid w:val="00872878"/>
    <w:rsid w:val="00875B4E"/>
    <w:rsid w:val="00877FD1"/>
    <w:rsid w:val="00880176"/>
    <w:rsid w:val="008809BE"/>
    <w:rsid w:val="00880DD5"/>
    <w:rsid w:val="00881889"/>
    <w:rsid w:val="00882D99"/>
    <w:rsid w:val="0088312A"/>
    <w:rsid w:val="00883FC0"/>
    <w:rsid w:val="0088551E"/>
    <w:rsid w:val="00885774"/>
    <w:rsid w:val="00885B80"/>
    <w:rsid w:val="00885F03"/>
    <w:rsid w:val="008866F6"/>
    <w:rsid w:val="00890E59"/>
    <w:rsid w:val="0089136A"/>
    <w:rsid w:val="00891826"/>
    <w:rsid w:val="00892067"/>
    <w:rsid w:val="00893C10"/>
    <w:rsid w:val="00894FE8"/>
    <w:rsid w:val="008959BE"/>
    <w:rsid w:val="0089607F"/>
    <w:rsid w:val="00896C0F"/>
    <w:rsid w:val="008A16E0"/>
    <w:rsid w:val="008A272C"/>
    <w:rsid w:val="008A3012"/>
    <w:rsid w:val="008A36BB"/>
    <w:rsid w:val="008A3A0D"/>
    <w:rsid w:val="008A3FE6"/>
    <w:rsid w:val="008A4131"/>
    <w:rsid w:val="008A4973"/>
    <w:rsid w:val="008A63AD"/>
    <w:rsid w:val="008A651D"/>
    <w:rsid w:val="008A6972"/>
    <w:rsid w:val="008A70F2"/>
    <w:rsid w:val="008A7B10"/>
    <w:rsid w:val="008B0E57"/>
    <w:rsid w:val="008B14FA"/>
    <w:rsid w:val="008B3BCA"/>
    <w:rsid w:val="008B41FD"/>
    <w:rsid w:val="008B4AAD"/>
    <w:rsid w:val="008B5D09"/>
    <w:rsid w:val="008B6003"/>
    <w:rsid w:val="008C0246"/>
    <w:rsid w:val="008C0D86"/>
    <w:rsid w:val="008C1191"/>
    <w:rsid w:val="008C12AB"/>
    <w:rsid w:val="008C194D"/>
    <w:rsid w:val="008C2D18"/>
    <w:rsid w:val="008C393F"/>
    <w:rsid w:val="008C3FA0"/>
    <w:rsid w:val="008C5544"/>
    <w:rsid w:val="008C6958"/>
    <w:rsid w:val="008C6B6F"/>
    <w:rsid w:val="008C6FC4"/>
    <w:rsid w:val="008C7592"/>
    <w:rsid w:val="008C7708"/>
    <w:rsid w:val="008D0324"/>
    <w:rsid w:val="008D12A5"/>
    <w:rsid w:val="008D1B71"/>
    <w:rsid w:val="008D31FF"/>
    <w:rsid w:val="008D3406"/>
    <w:rsid w:val="008D496A"/>
    <w:rsid w:val="008D4A88"/>
    <w:rsid w:val="008D4AA0"/>
    <w:rsid w:val="008D5067"/>
    <w:rsid w:val="008D5D7C"/>
    <w:rsid w:val="008D6A62"/>
    <w:rsid w:val="008D6F1E"/>
    <w:rsid w:val="008D7B8A"/>
    <w:rsid w:val="008D7DF7"/>
    <w:rsid w:val="008E0318"/>
    <w:rsid w:val="008E0A1E"/>
    <w:rsid w:val="008E1E5A"/>
    <w:rsid w:val="008E3C9C"/>
    <w:rsid w:val="008E48D1"/>
    <w:rsid w:val="008E6B54"/>
    <w:rsid w:val="008E7BC7"/>
    <w:rsid w:val="008F0A21"/>
    <w:rsid w:val="008F17E6"/>
    <w:rsid w:val="008F18A3"/>
    <w:rsid w:val="008F2223"/>
    <w:rsid w:val="008F2272"/>
    <w:rsid w:val="008F2A10"/>
    <w:rsid w:val="008F2ABB"/>
    <w:rsid w:val="008F2ED3"/>
    <w:rsid w:val="008F3FCF"/>
    <w:rsid w:val="008F4E99"/>
    <w:rsid w:val="008F5D1E"/>
    <w:rsid w:val="008F69A3"/>
    <w:rsid w:val="008F7646"/>
    <w:rsid w:val="008F785E"/>
    <w:rsid w:val="008F7933"/>
    <w:rsid w:val="008F79FB"/>
    <w:rsid w:val="00901464"/>
    <w:rsid w:val="009024AC"/>
    <w:rsid w:val="009036F9"/>
    <w:rsid w:val="00906ECE"/>
    <w:rsid w:val="009071F7"/>
    <w:rsid w:val="0090752F"/>
    <w:rsid w:val="00907CBD"/>
    <w:rsid w:val="009105AB"/>
    <w:rsid w:val="009107E2"/>
    <w:rsid w:val="00910ED3"/>
    <w:rsid w:val="009119E7"/>
    <w:rsid w:val="00911B30"/>
    <w:rsid w:val="009149BB"/>
    <w:rsid w:val="00914FF3"/>
    <w:rsid w:val="00916F64"/>
    <w:rsid w:val="0091741F"/>
    <w:rsid w:val="00920690"/>
    <w:rsid w:val="0092090C"/>
    <w:rsid w:val="00921F09"/>
    <w:rsid w:val="00925076"/>
    <w:rsid w:val="00925EA9"/>
    <w:rsid w:val="009271BC"/>
    <w:rsid w:val="0092723E"/>
    <w:rsid w:val="009277A9"/>
    <w:rsid w:val="009277E3"/>
    <w:rsid w:val="00927D3D"/>
    <w:rsid w:val="0093008E"/>
    <w:rsid w:val="0093037A"/>
    <w:rsid w:val="00930D5F"/>
    <w:rsid w:val="0093216F"/>
    <w:rsid w:val="00932D2B"/>
    <w:rsid w:val="00933A5F"/>
    <w:rsid w:val="00933D7B"/>
    <w:rsid w:val="00936617"/>
    <w:rsid w:val="00936AE6"/>
    <w:rsid w:val="00936D68"/>
    <w:rsid w:val="00937326"/>
    <w:rsid w:val="0094034B"/>
    <w:rsid w:val="00940779"/>
    <w:rsid w:val="00941022"/>
    <w:rsid w:val="00941378"/>
    <w:rsid w:val="00941383"/>
    <w:rsid w:val="009425A7"/>
    <w:rsid w:val="00942922"/>
    <w:rsid w:val="00943241"/>
    <w:rsid w:val="00943582"/>
    <w:rsid w:val="00944B4B"/>
    <w:rsid w:val="00945080"/>
    <w:rsid w:val="009453D0"/>
    <w:rsid w:val="009466B8"/>
    <w:rsid w:val="00946741"/>
    <w:rsid w:val="009479D0"/>
    <w:rsid w:val="0095092B"/>
    <w:rsid w:val="0095100A"/>
    <w:rsid w:val="00951ED1"/>
    <w:rsid w:val="009520C0"/>
    <w:rsid w:val="0095345A"/>
    <w:rsid w:val="00953678"/>
    <w:rsid w:val="00957EB8"/>
    <w:rsid w:val="0096136C"/>
    <w:rsid w:val="009616FF"/>
    <w:rsid w:val="00963CA0"/>
    <w:rsid w:val="00965FB8"/>
    <w:rsid w:val="00966A07"/>
    <w:rsid w:val="00967A9A"/>
    <w:rsid w:val="00970C15"/>
    <w:rsid w:val="00972D61"/>
    <w:rsid w:val="009744E4"/>
    <w:rsid w:val="009747F2"/>
    <w:rsid w:val="009747F7"/>
    <w:rsid w:val="00975B78"/>
    <w:rsid w:val="00975C1C"/>
    <w:rsid w:val="00975C23"/>
    <w:rsid w:val="00975C3D"/>
    <w:rsid w:val="009768B7"/>
    <w:rsid w:val="00980367"/>
    <w:rsid w:val="009809E3"/>
    <w:rsid w:val="00981FBE"/>
    <w:rsid w:val="00982114"/>
    <w:rsid w:val="0098259F"/>
    <w:rsid w:val="00982AAF"/>
    <w:rsid w:val="00982AFE"/>
    <w:rsid w:val="00982D25"/>
    <w:rsid w:val="00982E98"/>
    <w:rsid w:val="00983252"/>
    <w:rsid w:val="00983F9E"/>
    <w:rsid w:val="00984245"/>
    <w:rsid w:val="00984DED"/>
    <w:rsid w:val="00984FE9"/>
    <w:rsid w:val="00987B4C"/>
    <w:rsid w:val="00987FCC"/>
    <w:rsid w:val="00990EE8"/>
    <w:rsid w:val="00993A50"/>
    <w:rsid w:val="00994E5D"/>
    <w:rsid w:val="0099560B"/>
    <w:rsid w:val="009974B0"/>
    <w:rsid w:val="00997C91"/>
    <w:rsid w:val="009A0D34"/>
    <w:rsid w:val="009A2758"/>
    <w:rsid w:val="009A320A"/>
    <w:rsid w:val="009A3710"/>
    <w:rsid w:val="009A3788"/>
    <w:rsid w:val="009A473C"/>
    <w:rsid w:val="009A5CE6"/>
    <w:rsid w:val="009A63D1"/>
    <w:rsid w:val="009A6F36"/>
    <w:rsid w:val="009A7A24"/>
    <w:rsid w:val="009A7E36"/>
    <w:rsid w:val="009B0C37"/>
    <w:rsid w:val="009B110F"/>
    <w:rsid w:val="009B1BC1"/>
    <w:rsid w:val="009B27FC"/>
    <w:rsid w:val="009B2E4D"/>
    <w:rsid w:val="009B3210"/>
    <w:rsid w:val="009B43E7"/>
    <w:rsid w:val="009B4BFD"/>
    <w:rsid w:val="009B679A"/>
    <w:rsid w:val="009C0453"/>
    <w:rsid w:val="009C5950"/>
    <w:rsid w:val="009C5DB1"/>
    <w:rsid w:val="009C6008"/>
    <w:rsid w:val="009C6252"/>
    <w:rsid w:val="009C689F"/>
    <w:rsid w:val="009C68F3"/>
    <w:rsid w:val="009C6E3E"/>
    <w:rsid w:val="009C784E"/>
    <w:rsid w:val="009C7D9B"/>
    <w:rsid w:val="009C7E01"/>
    <w:rsid w:val="009D1D7A"/>
    <w:rsid w:val="009D288F"/>
    <w:rsid w:val="009D2E85"/>
    <w:rsid w:val="009D33FC"/>
    <w:rsid w:val="009D3710"/>
    <w:rsid w:val="009D4C1D"/>
    <w:rsid w:val="009D5862"/>
    <w:rsid w:val="009D5E21"/>
    <w:rsid w:val="009D5F97"/>
    <w:rsid w:val="009D6B0F"/>
    <w:rsid w:val="009D6C03"/>
    <w:rsid w:val="009D7459"/>
    <w:rsid w:val="009D745A"/>
    <w:rsid w:val="009D74C9"/>
    <w:rsid w:val="009E0234"/>
    <w:rsid w:val="009E2A3D"/>
    <w:rsid w:val="009E3942"/>
    <w:rsid w:val="009E3ECB"/>
    <w:rsid w:val="009E5141"/>
    <w:rsid w:val="009E6194"/>
    <w:rsid w:val="009E6DE5"/>
    <w:rsid w:val="009E6E56"/>
    <w:rsid w:val="009E7748"/>
    <w:rsid w:val="009E7CEF"/>
    <w:rsid w:val="009F118E"/>
    <w:rsid w:val="009F13BD"/>
    <w:rsid w:val="009F25B1"/>
    <w:rsid w:val="009F31AB"/>
    <w:rsid w:val="009F3911"/>
    <w:rsid w:val="009F4DF5"/>
    <w:rsid w:val="009F604E"/>
    <w:rsid w:val="009F6598"/>
    <w:rsid w:val="009F713D"/>
    <w:rsid w:val="00A0202B"/>
    <w:rsid w:val="00A022E9"/>
    <w:rsid w:val="00A0405E"/>
    <w:rsid w:val="00A04555"/>
    <w:rsid w:val="00A053B3"/>
    <w:rsid w:val="00A05793"/>
    <w:rsid w:val="00A05AF1"/>
    <w:rsid w:val="00A06570"/>
    <w:rsid w:val="00A06CE7"/>
    <w:rsid w:val="00A10C02"/>
    <w:rsid w:val="00A10C08"/>
    <w:rsid w:val="00A1313B"/>
    <w:rsid w:val="00A136D6"/>
    <w:rsid w:val="00A145EF"/>
    <w:rsid w:val="00A147E5"/>
    <w:rsid w:val="00A14B3D"/>
    <w:rsid w:val="00A15E71"/>
    <w:rsid w:val="00A17917"/>
    <w:rsid w:val="00A208B8"/>
    <w:rsid w:val="00A20CF8"/>
    <w:rsid w:val="00A22B1E"/>
    <w:rsid w:val="00A233E7"/>
    <w:rsid w:val="00A2354E"/>
    <w:rsid w:val="00A23AE1"/>
    <w:rsid w:val="00A241EA"/>
    <w:rsid w:val="00A24231"/>
    <w:rsid w:val="00A25F3C"/>
    <w:rsid w:val="00A27B80"/>
    <w:rsid w:val="00A27EA7"/>
    <w:rsid w:val="00A30591"/>
    <w:rsid w:val="00A30717"/>
    <w:rsid w:val="00A31940"/>
    <w:rsid w:val="00A31B75"/>
    <w:rsid w:val="00A320C8"/>
    <w:rsid w:val="00A3250D"/>
    <w:rsid w:val="00A32FAE"/>
    <w:rsid w:val="00A33188"/>
    <w:rsid w:val="00A33E8B"/>
    <w:rsid w:val="00A346D4"/>
    <w:rsid w:val="00A35AED"/>
    <w:rsid w:val="00A35BC0"/>
    <w:rsid w:val="00A3762F"/>
    <w:rsid w:val="00A40CF9"/>
    <w:rsid w:val="00A42932"/>
    <w:rsid w:val="00A43799"/>
    <w:rsid w:val="00A44F62"/>
    <w:rsid w:val="00A45A98"/>
    <w:rsid w:val="00A4702F"/>
    <w:rsid w:val="00A5062A"/>
    <w:rsid w:val="00A5076F"/>
    <w:rsid w:val="00A51EF9"/>
    <w:rsid w:val="00A52724"/>
    <w:rsid w:val="00A52EED"/>
    <w:rsid w:val="00A54447"/>
    <w:rsid w:val="00A54856"/>
    <w:rsid w:val="00A559FA"/>
    <w:rsid w:val="00A55C7E"/>
    <w:rsid w:val="00A56DFB"/>
    <w:rsid w:val="00A6144D"/>
    <w:rsid w:val="00A64489"/>
    <w:rsid w:val="00A64571"/>
    <w:rsid w:val="00A666C3"/>
    <w:rsid w:val="00A66E09"/>
    <w:rsid w:val="00A700B7"/>
    <w:rsid w:val="00A709D1"/>
    <w:rsid w:val="00A715CE"/>
    <w:rsid w:val="00A717D1"/>
    <w:rsid w:val="00A71A31"/>
    <w:rsid w:val="00A7248F"/>
    <w:rsid w:val="00A72AB8"/>
    <w:rsid w:val="00A7525A"/>
    <w:rsid w:val="00A7585C"/>
    <w:rsid w:val="00A76AD2"/>
    <w:rsid w:val="00A774EE"/>
    <w:rsid w:val="00A825E9"/>
    <w:rsid w:val="00A82777"/>
    <w:rsid w:val="00A8427C"/>
    <w:rsid w:val="00A85A9C"/>
    <w:rsid w:val="00A86408"/>
    <w:rsid w:val="00A86488"/>
    <w:rsid w:val="00A871EF"/>
    <w:rsid w:val="00A87618"/>
    <w:rsid w:val="00A90988"/>
    <w:rsid w:val="00A934ED"/>
    <w:rsid w:val="00A935F8"/>
    <w:rsid w:val="00A94EFC"/>
    <w:rsid w:val="00A95242"/>
    <w:rsid w:val="00A956FE"/>
    <w:rsid w:val="00A96824"/>
    <w:rsid w:val="00A96A49"/>
    <w:rsid w:val="00A96AB1"/>
    <w:rsid w:val="00A9758D"/>
    <w:rsid w:val="00A97DD5"/>
    <w:rsid w:val="00A97FBB"/>
    <w:rsid w:val="00AA1C0C"/>
    <w:rsid w:val="00AA32FC"/>
    <w:rsid w:val="00AA4F3B"/>
    <w:rsid w:val="00AA5101"/>
    <w:rsid w:val="00AA5B67"/>
    <w:rsid w:val="00AA65A1"/>
    <w:rsid w:val="00AA75C7"/>
    <w:rsid w:val="00AA77B4"/>
    <w:rsid w:val="00AB126A"/>
    <w:rsid w:val="00AB17DB"/>
    <w:rsid w:val="00AB206B"/>
    <w:rsid w:val="00AB263C"/>
    <w:rsid w:val="00AB296C"/>
    <w:rsid w:val="00AB3753"/>
    <w:rsid w:val="00AB6108"/>
    <w:rsid w:val="00AB734B"/>
    <w:rsid w:val="00AC01DF"/>
    <w:rsid w:val="00AC25A0"/>
    <w:rsid w:val="00AC279B"/>
    <w:rsid w:val="00AC3CD7"/>
    <w:rsid w:val="00AC41C2"/>
    <w:rsid w:val="00AC4714"/>
    <w:rsid w:val="00AC569E"/>
    <w:rsid w:val="00AC5B1F"/>
    <w:rsid w:val="00AC5FF5"/>
    <w:rsid w:val="00AD1196"/>
    <w:rsid w:val="00AD146A"/>
    <w:rsid w:val="00AD255F"/>
    <w:rsid w:val="00AD2FA7"/>
    <w:rsid w:val="00AD359E"/>
    <w:rsid w:val="00AD4CB1"/>
    <w:rsid w:val="00AD4EA8"/>
    <w:rsid w:val="00AD5111"/>
    <w:rsid w:val="00AD6033"/>
    <w:rsid w:val="00AD7588"/>
    <w:rsid w:val="00AD7CBD"/>
    <w:rsid w:val="00AE042C"/>
    <w:rsid w:val="00AE0AA7"/>
    <w:rsid w:val="00AE24BF"/>
    <w:rsid w:val="00AE2A13"/>
    <w:rsid w:val="00AE2A1F"/>
    <w:rsid w:val="00AE439B"/>
    <w:rsid w:val="00AE4961"/>
    <w:rsid w:val="00AE51D7"/>
    <w:rsid w:val="00AE55EB"/>
    <w:rsid w:val="00AE5E39"/>
    <w:rsid w:val="00AE671E"/>
    <w:rsid w:val="00AE68F7"/>
    <w:rsid w:val="00AE6E1A"/>
    <w:rsid w:val="00AE7F0F"/>
    <w:rsid w:val="00AF0089"/>
    <w:rsid w:val="00AF29B7"/>
    <w:rsid w:val="00AF388A"/>
    <w:rsid w:val="00AF3CDE"/>
    <w:rsid w:val="00AF40C8"/>
    <w:rsid w:val="00AF4C50"/>
    <w:rsid w:val="00AF53DE"/>
    <w:rsid w:val="00AF5A8B"/>
    <w:rsid w:val="00AF696E"/>
    <w:rsid w:val="00AF6E93"/>
    <w:rsid w:val="00B0054A"/>
    <w:rsid w:val="00B007E3"/>
    <w:rsid w:val="00B00AD8"/>
    <w:rsid w:val="00B012D3"/>
    <w:rsid w:val="00B0204D"/>
    <w:rsid w:val="00B02D03"/>
    <w:rsid w:val="00B0330D"/>
    <w:rsid w:val="00B03342"/>
    <w:rsid w:val="00B03808"/>
    <w:rsid w:val="00B03B78"/>
    <w:rsid w:val="00B04425"/>
    <w:rsid w:val="00B052A4"/>
    <w:rsid w:val="00B078D4"/>
    <w:rsid w:val="00B07D97"/>
    <w:rsid w:val="00B10402"/>
    <w:rsid w:val="00B10506"/>
    <w:rsid w:val="00B11FF8"/>
    <w:rsid w:val="00B13250"/>
    <w:rsid w:val="00B135F7"/>
    <w:rsid w:val="00B1466C"/>
    <w:rsid w:val="00B14AE2"/>
    <w:rsid w:val="00B15AFD"/>
    <w:rsid w:val="00B16781"/>
    <w:rsid w:val="00B16D51"/>
    <w:rsid w:val="00B2005D"/>
    <w:rsid w:val="00B20280"/>
    <w:rsid w:val="00B206D8"/>
    <w:rsid w:val="00B237DD"/>
    <w:rsid w:val="00B23B11"/>
    <w:rsid w:val="00B240E0"/>
    <w:rsid w:val="00B24338"/>
    <w:rsid w:val="00B2533B"/>
    <w:rsid w:val="00B26117"/>
    <w:rsid w:val="00B2673A"/>
    <w:rsid w:val="00B268FA"/>
    <w:rsid w:val="00B26E7A"/>
    <w:rsid w:val="00B271A2"/>
    <w:rsid w:val="00B27D77"/>
    <w:rsid w:val="00B30B5D"/>
    <w:rsid w:val="00B30E20"/>
    <w:rsid w:val="00B31999"/>
    <w:rsid w:val="00B31BE6"/>
    <w:rsid w:val="00B349FB"/>
    <w:rsid w:val="00B34C0E"/>
    <w:rsid w:val="00B37E5C"/>
    <w:rsid w:val="00B40616"/>
    <w:rsid w:val="00B41195"/>
    <w:rsid w:val="00B41BE7"/>
    <w:rsid w:val="00B42053"/>
    <w:rsid w:val="00B42560"/>
    <w:rsid w:val="00B429E7"/>
    <w:rsid w:val="00B443F3"/>
    <w:rsid w:val="00B453D5"/>
    <w:rsid w:val="00B45658"/>
    <w:rsid w:val="00B45FB6"/>
    <w:rsid w:val="00B46CFB"/>
    <w:rsid w:val="00B46EF1"/>
    <w:rsid w:val="00B47D76"/>
    <w:rsid w:val="00B47E16"/>
    <w:rsid w:val="00B5103C"/>
    <w:rsid w:val="00B518A4"/>
    <w:rsid w:val="00B51E77"/>
    <w:rsid w:val="00B535EC"/>
    <w:rsid w:val="00B5413B"/>
    <w:rsid w:val="00B541B0"/>
    <w:rsid w:val="00B5430F"/>
    <w:rsid w:val="00B54B4C"/>
    <w:rsid w:val="00B54DD3"/>
    <w:rsid w:val="00B565E1"/>
    <w:rsid w:val="00B56D0B"/>
    <w:rsid w:val="00B603B8"/>
    <w:rsid w:val="00B615E6"/>
    <w:rsid w:val="00B61AC4"/>
    <w:rsid w:val="00B63A18"/>
    <w:rsid w:val="00B6694A"/>
    <w:rsid w:val="00B676D0"/>
    <w:rsid w:val="00B678D5"/>
    <w:rsid w:val="00B703ED"/>
    <w:rsid w:val="00B7105E"/>
    <w:rsid w:val="00B713F6"/>
    <w:rsid w:val="00B71A19"/>
    <w:rsid w:val="00B71A27"/>
    <w:rsid w:val="00B72221"/>
    <w:rsid w:val="00B7274A"/>
    <w:rsid w:val="00B733F9"/>
    <w:rsid w:val="00B75366"/>
    <w:rsid w:val="00B758BA"/>
    <w:rsid w:val="00B7731D"/>
    <w:rsid w:val="00B77D3A"/>
    <w:rsid w:val="00B80E37"/>
    <w:rsid w:val="00B80E3F"/>
    <w:rsid w:val="00B81582"/>
    <w:rsid w:val="00B81771"/>
    <w:rsid w:val="00B83744"/>
    <w:rsid w:val="00B85281"/>
    <w:rsid w:val="00B862B6"/>
    <w:rsid w:val="00B8771D"/>
    <w:rsid w:val="00B9283F"/>
    <w:rsid w:val="00B94BC6"/>
    <w:rsid w:val="00B94EBD"/>
    <w:rsid w:val="00B96F22"/>
    <w:rsid w:val="00BA05B1"/>
    <w:rsid w:val="00BA0903"/>
    <w:rsid w:val="00BA0B70"/>
    <w:rsid w:val="00BA1DF5"/>
    <w:rsid w:val="00BA393C"/>
    <w:rsid w:val="00BA53EB"/>
    <w:rsid w:val="00BA5564"/>
    <w:rsid w:val="00BA5571"/>
    <w:rsid w:val="00BA570D"/>
    <w:rsid w:val="00BA5714"/>
    <w:rsid w:val="00BA59CC"/>
    <w:rsid w:val="00BA5A05"/>
    <w:rsid w:val="00BA5F40"/>
    <w:rsid w:val="00BA6582"/>
    <w:rsid w:val="00BA6979"/>
    <w:rsid w:val="00BA7A85"/>
    <w:rsid w:val="00BB0940"/>
    <w:rsid w:val="00BB12C8"/>
    <w:rsid w:val="00BB167C"/>
    <w:rsid w:val="00BB171B"/>
    <w:rsid w:val="00BB1EC9"/>
    <w:rsid w:val="00BB2C6F"/>
    <w:rsid w:val="00BB455B"/>
    <w:rsid w:val="00BB4857"/>
    <w:rsid w:val="00BB4E00"/>
    <w:rsid w:val="00BB5939"/>
    <w:rsid w:val="00BB6100"/>
    <w:rsid w:val="00BB68C4"/>
    <w:rsid w:val="00BC0229"/>
    <w:rsid w:val="00BC029F"/>
    <w:rsid w:val="00BC0964"/>
    <w:rsid w:val="00BC0BFD"/>
    <w:rsid w:val="00BC31DB"/>
    <w:rsid w:val="00BC3257"/>
    <w:rsid w:val="00BC3CA5"/>
    <w:rsid w:val="00BC512B"/>
    <w:rsid w:val="00BC5D62"/>
    <w:rsid w:val="00BC610F"/>
    <w:rsid w:val="00BC61EA"/>
    <w:rsid w:val="00BC64AA"/>
    <w:rsid w:val="00BC7396"/>
    <w:rsid w:val="00BC777E"/>
    <w:rsid w:val="00BD035D"/>
    <w:rsid w:val="00BD052E"/>
    <w:rsid w:val="00BD3247"/>
    <w:rsid w:val="00BD341F"/>
    <w:rsid w:val="00BD443C"/>
    <w:rsid w:val="00BD454D"/>
    <w:rsid w:val="00BD5FBF"/>
    <w:rsid w:val="00BD6610"/>
    <w:rsid w:val="00BD72B1"/>
    <w:rsid w:val="00BE0198"/>
    <w:rsid w:val="00BE0B0B"/>
    <w:rsid w:val="00BE1D0E"/>
    <w:rsid w:val="00BE3052"/>
    <w:rsid w:val="00BE314E"/>
    <w:rsid w:val="00BE31AD"/>
    <w:rsid w:val="00BE354A"/>
    <w:rsid w:val="00BE39A6"/>
    <w:rsid w:val="00BE4719"/>
    <w:rsid w:val="00BE56D3"/>
    <w:rsid w:val="00BE5C2C"/>
    <w:rsid w:val="00BE6A45"/>
    <w:rsid w:val="00BE6DD4"/>
    <w:rsid w:val="00BE7375"/>
    <w:rsid w:val="00BE743E"/>
    <w:rsid w:val="00BE7D67"/>
    <w:rsid w:val="00BF1ADD"/>
    <w:rsid w:val="00BF1F16"/>
    <w:rsid w:val="00BF3A20"/>
    <w:rsid w:val="00BF3DA5"/>
    <w:rsid w:val="00BF4C07"/>
    <w:rsid w:val="00BF5E23"/>
    <w:rsid w:val="00BF714F"/>
    <w:rsid w:val="00BF7592"/>
    <w:rsid w:val="00C00C0C"/>
    <w:rsid w:val="00C01AF0"/>
    <w:rsid w:val="00C02346"/>
    <w:rsid w:val="00C0304C"/>
    <w:rsid w:val="00C03557"/>
    <w:rsid w:val="00C044BF"/>
    <w:rsid w:val="00C0538F"/>
    <w:rsid w:val="00C06257"/>
    <w:rsid w:val="00C07AD9"/>
    <w:rsid w:val="00C07F3D"/>
    <w:rsid w:val="00C10523"/>
    <w:rsid w:val="00C110A2"/>
    <w:rsid w:val="00C11501"/>
    <w:rsid w:val="00C12097"/>
    <w:rsid w:val="00C125D2"/>
    <w:rsid w:val="00C14599"/>
    <w:rsid w:val="00C14881"/>
    <w:rsid w:val="00C15617"/>
    <w:rsid w:val="00C16232"/>
    <w:rsid w:val="00C166CB"/>
    <w:rsid w:val="00C176B5"/>
    <w:rsid w:val="00C17709"/>
    <w:rsid w:val="00C20222"/>
    <w:rsid w:val="00C209D6"/>
    <w:rsid w:val="00C20BFB"/>
    <w:rsid w:val="00C21A6E"/>
    <w:rsid w:val="00C2237C"/>
    <w:rsid w:val="00C22841"/>
    <w:rsid w:val="00C2285C"/>
    <w:rsid w:val="00C22D7D"/>
    <w:rsid w:val="00C23385"/>
    <w:rsid w:val="00C236E1"/>
    <w:rsid w:val="00C23BEE"/>
    <w:rsid w:val="00C25055"/>
    <w:rsid w:val="00C252D1"/>
    <w:rsid w:val="00C25B3F"/>
    <w:rsid w:val="00C25F6E"/>
    <w:rsid w:val="00C25FE9"/>
    <w:rsid w:val="00C2654D"/>
    <w:rsid w:val="00C26BC7"/>
    <w:rsid w:val="00C2791F"/>
    <w:rsid w:val="00C30E05"/>
    <w:rsid w:val="00C31595"/>
    <w:rsid w:val="00C3184E"/>
    <w:rsid w:val="00C3389A"/>
    <w:rsid w:val="00C34545"/>
    <w:rsid w:val="00C350B7"/>
    <w:rsid w:val="00C35299"/>
    <w:rsid w:val="00C354B1"/>
    <w:rsid w:val="00C35695"/>
    <w:rsid w:val="00C367C8"/>
    <w:rsid w:val="00C37E6D"/>
    <w:rsid w:val="00C43E00"/>
    <w:rsid w:val="00C43E29"/>
    <w:rsid w:val="00C44ACC"/>
    <w:rsid w:val="00C44F96"/>
    <w:rsid w:val="00C45DBE"/>
    <w:rsid w:val="00C505A7"/>
    <w:rsid w:val="00C51020"/>
    <w:rsid w:val="00C510B2"/>
    <w:rsid w:val="00C537C9"/>
    <w:rsid w:val="00C54A96"/>
    <w:rsid w:val="00C54BDF"/>
    <w:rsid w:val="00C54DBB"/>
    <w:rsid w:val="00C54E0D"/>
    <w:rsid w:val="00C54F2E"/>
    <w:rsid w:val="00C55F02"/>
    <w:rsid w:val="00C56BBE"/>
    <w:rsid w:val="00C56D5E"/>
    <w:rsid w:val="00C5763E"/>
    <w:rsid w:val="00C6172D"/>
    <w:rsid w:val="00C62CC0"/>
    <w:rsid w:val="00C632B0"/>
    <w:rsid w:val="00C6491B"/>
    <w:rsid w:val="00C64CCD"/>
    <w:rsid w:val="00C64D9F"/>
    <w:rsid w:val="00C6515C"/>
    <w:rsid w:val="00C65F78"/>
    <w:rsid w:val="00C66028"/>
    <w:rsid w:val="00C66538"/>
    <w:rsid w:val="00C66DEB"/>
    <w:rsid w:val="00C67A72"/>
    <w:rsid w:val="00C67BAB"/>
    <w:rsid w:val="00C71912"/>
    <w:rsid w:val="00C71C0A"/>
    <w:rsid w:val="00C73F5B"/>
    <w:rsid w:val="00C741CC"/>
    <w:rsid w:val="00C75029"/>
    <w:rsid w:val="00C75737"/>
    <w:rsid w:val="00C75AB2"/>
    <w:rsid w:val="00C76F45"/>
    <w:rsid w:val="00C7700F"/>
    <w:rsid w:val="00C80858"/>
    <w:rsid w:val="00C8161E"/>
    <w:rsid w:val="00C81D90"/>
    <w:rsid w:val="00C820FB"/>
    <w:rsid w:val="00C82275"/>
    <w:rsid w:val="00C83C7E"/>
    <w:rsid w:val="00C83E17"/>
    <w:rsid w:val="00C8498C"/>
    <w:rsid w:val="00C861C7"/>
    <w:rsid w:val="00C86A54"/>
    <w:rsid w:val="00C87A94"/>
    <w:rsid w:val="00C90C8A"/>
    <w:rsid w:val="00C91E88"/>
    <w:rsid w:val="00C94031"/>
    <w:rsid w:val="00C96250"/>
    <w:rsid w:val="00C96D00"/>
    <w:rsid w:val="00C97605"/>
    <w:rsid w:val="00CA0228"/>
    <w:rsid w:val="00CA0B8D"/>
    <w:rsid w:val="00CA13BF"/>
    <w:rsid w:val="00CA247B"/>
    <w:rsid w:val="00CA3BFE"/>
    <w:rsid w:val="00CA4794"/>
    <w:rsid w:val="00CA4A5D"/>
    <w:rsid w:val="00CA4B90"/>
    <w:rsid w:val="00CA4E7F"/>
    <w:rsid w:val="00CA507A"/>
    <w:rsid w:val="00CA5958"/>
    <w:rsid w:val="00CA7A7C"/>
    <w:rsid w:val="00CB09D5"/>
    <w:rsid w:val="00CB0FF1"/>
    <w:rsid w:val="00CB36EC"/>
    <w:rsid w:val="00CB3BDD"/>
    <w:rsid w:val="00CB4F94"/>
    <w:rsid w:val="00CB5847"/>
    <w:rsid w:val="00CB59E9"/>
    <w:rsid w:val="00CB6F46"/>
    <w:rsid w:val="00CC13E1"/>
    <w:rsid w:val="00CC2A6D"/>
    <w:rsid w:val="00CC3A1E"/>
    <w:rsid w:val="00CC3B76"/>
    <w:rsid w:val="00CC3BB8"/>
    <w:rsid w:val="00CC4362"/>
    <w:rsid w:val="00CC4FD9"/>
    <w:rsid w:val="00CC586D"/>
    <w:rsid w:val="00CC6CCF"/>
    <w:rsid w:val="00CC6F67"/>
    <w:rsid w:val="00CC72BB"/>
    <w:rsid w:val="00CD1510"/>
    <w:rsid w:val="00CD1726"/>
    <w:rsid w:val="00CD2986"/>
    <w:rsid w:val="00CD2D2F"/>
    <w:rsid w:val="00CD3C19"/>
    <w:rsid w:val="00CD3F64"/>
    <w:rsid w:val="00CD4F0B"/>
    <w:rsid w:val="00CD60BA"/>
    <w:rsid w:val="00CD6DFF"/>
    <w:rsid w:val="00CD7AB9"/>
    <w:rsid w:val="00CE1845"/>
    <w:rsid w:val="00CE1F02"/>
    <w:rsid w:val="00CE2933"/>
    <w:rsid w:val="00CE2A5A"/>
    <w:rsid w:val="00CE2F84"/>
    <w:rsid w:val="00CE42AB"/>
    <w:rsid w:val="00CE4A96"/>
    <w:rsid w:val="00CE588B"/>
    <w:rsid w:val="00CE6B7E"/>
    <w:rsid w:val="00CE75A8"/>
    <w:rsid w:val="00CF0F46"/>
    <w:rsid w:val="00CF0FA4"/>
    <w:rsid w:val="00CF2393"/>
    <w:rsid w:val="00CF2F68"/>
    <w:rsid w:val="00CF3625"/>
    <w:rsid w:val="00CF3689"/>
    <w:rsid w:val="00CF6E71"/>
    <w:rsid w:val="00CF6F2E"/>
    <w:rsid w:val="00CF702B"/>
    <w:rsid w:val="00D00750"/>
    <w:rsid w:val="00D00C87"/>
    <w:rsid w:val="00D01A42"/>
    <w:rsid w:val="00D023A3"/>
    <w:rsid w:val="00D02478"/>
    <w:rsid w:val="00D0302C"/>
    <w:rsid w:val="00D0333E"/>
    <w:rsid w:val="00D0389A"/>
    <w:rsid w:val="00D05AE0"/>
    <w:rsid w:val="00D05C6C"/>
    <w:rsid w:val="00D06F92"/>
    <w:rsid w:val="00D076BA"/>
    <w:rsid w:val="00D100F9"/>
    <w:rsid w:val="00D10EF1"/>
    <w:rsid w:val="00D1115D"/>
    <w:rsid w:val="00D126F9"/>
    <w:rsid w:val="00D12D9D"/>
    <w:rsid w:val="00D132DF"/>
    <w:rsid w:val="00D13A46"/>
    <w:rsid w:val="00D148E1"/>
    <w:rsid w:val="00D17ED0"/>
    <w:rsid w:val="00D200D4"/>
    <w:rsid w:val="00D201C4"/>
    <w:rsid w:val="00D20AF7"/>
    <w:rsid w:val="00D20E2B"/>
    <w:rsid w:val="00D213B4"/>
    <w:rsid w:val="00D22AAF"/>
    <w:rsid w:val="00D241DA"/>
    <w:rsid w:val="00D24840"/>
    <w:rsid w:val="00D24C8B"/>
    <w:rsid w:val="00D2519D"/>
    <w:rsid w:val="00D25BC4"/>
    <w:rsid w:val="00D260D0"/>
    <w:rsid w:val="00D27D49"/>
    <w:rsid w:val="00D30328"/>
    <w:rsid w:val="00D3192E"/>
    <w:rsid w:val="00D31991"/>
    <w:rsid w:val="00D328A4"/>
    <w:rsid w:val="00D32CF5"/>
    <w:rsid w:val="00D33724"/>
    <w:rsid w:val="00D33ABE"/>
    <w:rsid w:val="00D33F9B"/>
    <w:rsid w:val="00D37CB3"/>
    <w:rsid w:val="00D40975"/>
    <w:rsid w:val="00D409AD"/>
    <w:rsid w:val="00D412E4"/>
    <w:rsid w:val="00D4156A"/>
    <w:rsid w:val="00D42019"/>
    <w:rsid w:val="00D421DE"/>
    <w:rsid w:val="00D4348C"/>
    <w:rsid w:val="00D4386D"/>
    <w:rsid w:val="00D44466"/>
    <w:rsid w:val="00D452B1"/>
    <w:rsid w:val="00D452DC"/>
    <w:rsid w:val="00D4603F"/>
    <w:rsid w:val="00D46829"/>
    <w:rsid w:val="00D5257A"/>
    <w:rsid w:val="00D527D1"/>
    <w:rsid w:val="00D537AE"/>
    <w:rsid w:val="00D552AA"/>
    <w:rsid w:val="00D55B91"/>
    <w:rsid w:val="00D56400"/>
    <w:rsid w:val="00D578A0"/>
    <w:rsid w:val="00D60CBB"/>
    <w:rsid w:val="00D613A3"/>
    <w:rsid w:val="00D6324C"/>
    <w:rsid w:val="00D636D0"/>
    <w:rsid w:val="00D644DD"/>
    <w:rsid w:val="00D64EB9"/>
    <w:rsid w:val="00D65882"/>
    <w:rsid w:val="00D71094"/>
    <w:rsid w:val="00D71143"/>
    <w:rsid w:val="00D71EA1"/>
    <w:rsid w:val="00D72A9F"/>
    <w:rsid w:val="00D72C9E"/>
    <w:rsid w:val="00D73204"/>
    <w:rsid w:val="00D733F3"/>
    <w:rsid w:val="00D737B1"/>
    <w:rsid w:val="00D73FDE"/>
    <w:rsid w:val="00D75C16"/>
    <w:rsid w:val="00D77607"/>
    <w:rsid w:val="00D80020"/>
    <w:rsid w:val="00D80D8C"/>
    <w:rsid w:val="00D81F32"/>
    <w:rsid w:val="00D82592"/>
    <w:rsid w:val="00D83F41"/>
    <w:rsid w:val="00D84D0A"/>
    <w:rsid w:val="00D86230"/>
    <w:rsid w:val="00D91932"/>
    <w:rsid w:val="00D922D4"/>
    <w:rsid w:val="00D93B1A"/>
    <w:rsid w:val="00D94865"/>
    <w:rsid w:val="00D94897"/>
    <w:rsid w:val="00D94F56"/>
    <w:rsid w:val="00D97B69"/>
    <w:rsid w:val="00D97C5D"/>
    <w:rsid w:val="00DA1D2B"/>
    <w:rsid w:val="00DA21BC"/>
    <w:rsid w:val="00DA43C6"/>
    <w:rsid w:val="00DA5279"/>
    <w:rsid w:val="00DA6AC4"/>
    <w:rsid w:val="00DA7BF4"/>
    <w:rsid w:val="00DB3797"/>
    <w:rsid w:val="00DB4143"/>
    <w:rsid w:val="00DB72F5"/>
    <w:rsid w:val="00DB7B77"/>
    <w:rsid w:val="00DC07ED"/>
    <w:rsid w:val="00DC0A14"/>
    <w:rsid w:val="00DC1747"/>
    <w:rsid w:val="00DC1A3E"/>
    <w:rsid w:val="00DC401B"/>
    <w:rsid w:val="00DC468A"/>
    <w:rsid w:val="00DC6A89"/>
    <w:rsid w:val="00DC7010"/>
    <w:rsid w:val="00DD041E"/>
    <w:rsid w:val="00DD0761"/>
    <w:rsid w:val="00DD196D"/>
    <w:rsid w:val="00DD1EAD"/>
    <w:rsid w:val="00DD515F"/>
    <w:rsid w:val="00DD78EA"/>
    <w:rsid w:val="00DE1DFC"/>
    <w:rsid w:val="00DE21DE"/>
    <w:rsid w:val="00DE223E"/>
    <w:rsid w:val="00DE378F"/>
    <w:rsid w:val="00DE3838"/>
    <w:rsid w:val="00DE39B8"/>
    <w:rsid w:val="00DE3E6B"/>
    <w:rsid w:val="00DE466F"/>
    <w:rsid w:val="00DE5071"/>
    <w:rsid w:val="00DE5A1D"/>
    <w:rsid w:val="00DE6A4C"/>
    <w:rsid w:val="00DE6D31"/>
    <w:rsid w:val="00DE7838"/>
    <w:rsid w:val="00DE7A84"/>
    <w:rsid w:val="00DF0565"/>
    <w:rsid w:val="00DF0D58"/>
    <w:rsid w:val="00DF1BBF"/>
    <w:rsid w:val="00DF245E"/>
    <w:rsid w:val="00DF2F36"/>
    <w:rsid w:val="00DF3E77"/>
    <w:rsid w:val="00DF47DB"/>
    <w:rsid w:val="00DF4B7A"/>
    <w:rsid w:val="00DF50E9"/>
    <w:rsid w:val="00DF6060"/>
    <w:rsid w:val="00DF617A"/>
    <w:rsid w:val="00DF6B0B"/>
    <w:rsid w:val="00DF7365"/>
    <w:rsid w:val="00DF7E10"/>
    <w:rsid w:val="00E01CDC"/>
    <w:rsid w:val="00E021D2"/>
    <w:rsid w:val="00E02EA5"/>
    <w:rsid w:val="00E039EA"/>
    <w:rsid w:val="00E03A52"/>
    <w:rsid w:val="00E03D80"/>
    <w:rsid w:val="00E040E5"/>
    <w:rsid w:val="00E04DBA"/>
    <w:rsid w:val="00E0550C"/>
    <w:rsid w:val="00E0552C"/>
    <w:rsid w:val="00E07480"/>
    <w:rsid w:val="00E100A2"/>
    <w:rsid w:val="00E12728"/>
    <w:rsid w:val="00E127DE"/>
    <w:rsid w:val="00E132A6"/>
    <w:rsid w:val="00E136F6"/>
    <w:rsid w:val="00E15B43"/>
    <w:rsid w:val="00E17E5C"/>
    <w:rsid w:val="00E20BA5"/>
    <w:rsid w:val="00E20EFB"/>
    <w:rsid w:val="00E21715"/>
    <w:rsid w:val="00E217AC"/>
    <w:rsid w:val="00E21AAC"/>
    <w:rsid w:val="00E22765"/>
    <w:rsid w:val="00E22C9F"/>
    <w:rsid w:val="00E238E7"/>
    <w:rsid w:val="00E24EB3"/>
    <w:rsid w:val="00E25600"/>
    <w:rsid w:val="00E25CBD"/>
    <w:rsid w:val="00E26514"/>
    <w:rsid w:val="00E27192"/>
    <w:rsid w:val="00E3008D"/>
    <w:rsid w:val="00E3116F"/>
    <w:rsid w:val="00E3152A"/>
    <w:rsid w:val="00E315FD"/>
    <w:rsid w:val="00E31984"/>
    <w:rsid w:val="00E31CF6"/>
    <w:rsid w:val="00E32141"/>
    <w:rsid w:val="00E32349"/>
    <w:rsid w:val="00E32B58"/>
    <w:rsid w:val="00E33EC8"/>
    <w:rsid w:val="00E36367"/>
    <w:rsid w:val="00E406E5"/>
    <w:rsid w:val="00E41FE4"/>
    <w:rsid w:val="00E428B7"/>
    <w:rsid w:val="00E4390A"/>
    <w:rsid w:val="00E44CE2"/>
    <w:rsid w:val="00E4508B"/>
    <w:rsid w:val="00E45BFD"/>
    <w:rsid w:val="00E466FB"/>
    <w:rsid w:val="00E46FF0"/>
    <w:rsid w:val="00E5066D"/>
    <w:rsid w:val="00E5067E"/>
    <w:rsid w:val="00E508E7"/>
    <w:rsid w:val="00E51467"/>
    <w:rsid w:val="00E517F6"/>
    <w:rsid w:val="00E51AEA"/>
    <w:rsid w:val="00E51EB9"/>
    <w:rsid w:val="00E53836"/>
    <w:rsid w:val="00E545C1"/>
    <w:rsid w:val="00E550C4"/>
    <w:rsid w:val="00E564C6"/>
    <w:rsid w:val="00E56572"/>
    <w:rsid w:val="00E56F44"/>
    <w:rsid w:val="00E61C7A"/>
    <w:rsid w:val="00E61C95"/>
    <w:rsid w:val="00E63584"/>
    <w:rsid w:val="00E63EC9"/>
    <w:rsid w:val="00E64113"/>
    <w:rsid w:val="00E64B0D"/>
    <w:rsid w:val="00E66282"/>
    <w:rsid w:val="00E66608"/>
    <w:rsid w:val="00E66E4E"/>
    <w:rsid w:val="00E67EF7"/>
    <w:rsid w:val="00E70E41"/>
    <w:rsid w:val="00E70FEC"/>
    <w:rsid w:val="00E71DFD"/>
    <w:rsid w:val="00E720EE"/>
    <w:rsid w:val="00E7345C"/>
    <w:rsid w:val="00E73819"/>
    <w:rsid w:val="00E73EEB"/>
    <w:rsid w:val="00E747F2"/>
    <w:rsid w:val="00E74AE4"/>
    <w:rsid w:val="00E75C4D"/>
    <w:rsid w:val="00E77259"/>
    <w:rsid w:val="00E779D5"/>
    <w:rsid w:val="00E8024E"/>
    <w:rsid w:val="00E8097D"/>
    <w:rsid w:val="00E80DF6"/>
    <w:rsid w:val="00E81914"/>
    <w:rsid w:val="00E82099"/>
    <w:rsid w:val="00E8405B"/>
    <w:rsid w:val="00E8415A"/>
    <w:rsid w:val="00E8440A"/>
    <w:rsid w:val="00E85C1E"/>
    <w:rsid w:val="00E85E37"/>
    <w:rsid w:val="00E8656F"/>
    <w:rsid w:val="00E865A3"/>
    <w:rsid w:val="00E87556"/>
    <w:rsid w:val="00E87749"/>
    <w:rsid w:val="00E87E30"/>
    <w:rsid w:val="00E92BCF"/>
    <w:rsid w:val="00E92D7D"/>
    <w:rsid w:val="00E9310F"/>
    <w:rsid w:val="00E9348B"/>
    <w:rsid w:val="00E9420B"/>
    <w:rsid w:val="00E94DDA"/>
    <w:rsid w:val="00E94F9B"/>
    <w:rsid w:val="00E95C02"/>
    <w:rsid w:val="00E9635B"/>
    <w:rsid w:val="00E96831"/>
    <w:rsid w:val="00E97D02"/>
    <w:rsid w:val="00EA0BB6"/>
    <w:rsid w:val="00EA1E95"/>
    <w:rsid w:val="00EA1F98"/>
    <w:rsid w:val="00EA2CF2"/>
    <w:rsid w:val="00EA39B7"/>
    <w:rsid w:val="00EA3B79"/>
    <w:rsid w:val="00EA55A4"/>
    <w:rsid w:val="00EA6013"/>
    <w:rsid w:val="00EA6193"/>
    <w:rsid w:val="00EA6F22"/>
    <w:rsid w:val="00EA7477"/>
    <w:rsid w:val="00EB0687"/>
    <w:rsid w:val="00EB1D57"/>
    <w:rsid w:val="00EB26A7"/>
    <w:rsid w:val="00EB3772"/>
    <w:rsid w:val="00EB3D74"/>
    <w:rsid w:val="00EB409D"/>
    <w:rsid w:val="00EB4409"/>
    <w:rsid w:val="00EB6EE8"/>
    <w:rsid w:val="00EC39EA"/>
    <w:rsid w:val="00EC5BE7"/>
    <w:rsid w:val="00EC6D7B"/>
    <w:rsid w:val="00EC7681"/>
    <w:rsid w:val="00ED1473"/>
    <w:rsid w:val="00ED1A3A"/>
    <w:rsid w:val="00ED478C"/>
    <w:rsid w:val="00ED4D0F"/>
    <w:rsid w:val="00ED5F5D"/>
    <w:rsid w:val="00ED68BB"/>
    <w:rsid w:val="00ED6FA3"/>
    <w:rsid w:val="00ED7441"/>
    <w:rsid w:val="00ED7CDD"/>
    <w:rsid w:val="00EE02DC"/>
    <w:rsid w:val="00EE05FF"/>
    <w:rsid w:val="00EE1C8C"/>
    <w:rsid w:val="00EE1DBD"/>
    <w:rsid w:val="00EE245E"/>
    <w:rsid w:val="00EE3164"/>
    <w:rsid w:val="00EE4C1D"/>
    <w:rsid w:val="00EE4E7D"/>
    <w:rsid w:val="00EE4F98"/>
    <w:rsid w:val="00EE52FD"/>
    <w:rsid w:val="00EE5B87"/>
    <w:rsid w:val="00EE5B95"/>
    <w:rsid w:val="00EE5E8A"/>
    <w:rsid w:val="00EE63DD"/>
    <w:rsid w:val="00EE64CC"/>
    <w:rsid w:val="00EE74CE"/>
    <w:rsid w:val="00EE7BA5"/>
    <w:rsid w:val="00EF09B6"/>
    <w:rsid w:val="00EF3D80"/>
    <w:rsid w:val="00EF474C"/>
    <w:rsid w:val="00EF4F7F"/>
    <w:rsid w:val="00EF6E6A"/>
    <w:rsid w:val="00EF73D9"/>
    <w:rsid w:val="00EF7B2B"/>
    <w:rsid w:val="00F001A9"/>
    <w:rsid w:val="00F01301"/>
    <w:rsid w:val="00F0206E"/>
    <w:rsid w:val="00F02C5F"/>
    <w:rsid w:val="00F03796"/>
    <w:rsid w:val="00F04F97"/>
    <w:rsid w:val="00F06BCB"/>
    <w:rsid w:val="00F06DBD"/>
    <w:rsid w:val="00F0703F"/>
    <w:rsid w:val="00F10312"/>
    <w:rsid w:val="00F1090F"/>
    <w:rsid w:val="00F1286B"/>
    <w:rsid w:val="00F130DF"/>
    <w:rsid w:val="00F143EE"/>
    <w:rsid w:val="00F14A9E"/>
    <w:rsid w:val="00F14AE1"/>
    <w:rsid w:val="00F15D5B"/>
    <w:rsid w:val="00F15FC7"/>
    <w:rsid w:val="00F16BAD"/>
    <w:rsid w:val="00F17407"/>
    <w:rsid w:val="00F17477"/>
    <w:rsid w:val="00F17926"/>
    <w:rsid w:val="00F17F06"/>
    <w:rsid w:val="00F20197"/>
    <w:rsid w:val="00F20D30"/>
    <w:rsid w:val="00F2116A"/>
    <w:rsid w:val="00F212F4"/>
    <w:rsid w:val="00F220EE"/>
    <w:rsid w:val="00F225F9"/>
    <w:rsid w:val="00F22FC1"/>
    <w:rsid w:val="00F25EFA"/>
    <w:rsid w:val="00F26075"/>
    <w:rsid w:val="00F26585"/>
    <w:rsid w:val="00F270B1"/>
    <w:rsid w:val="00F3153A"/>
    <w:rsid w:val="00F3319C"/>
    <w:rsid w:val="00F33623"/>
    <w:rsid w:val="00F338FB"/>
    <w:rsid w:val="00F33D60"/>
    <w:rsid w:val="00F34479"/>
    <w:rsid w:val="00F34CD7"/>
    <w:rsid w:val="00F353BC"/>
    <w:rsid w:val="00F357DA"/>
    <w:rsid w:val="00F35A2C"/>
    <w:rsid w:val="00F367C9"/>
    <w:rsid w:val="00F36A0A"/>
    <w:rsid w:val="00F40100"/>
    <w:rsid w:val="00F41A24"/>
    <w:rsid w:val="00F421C6"/>
    <w:rsid w:val="00F42E83"/>
    <w:rsid w:val="00F430DB"/>
    <w:rsid w:val="00F43F69"/>
    <w:rsid w:val="00F4487E"/>
    <w:rsid w:val="00F44DC8"/>
    <w:rsid w:val="00F46DCF"/>
    <w:rsid w:val="00F50FE6"/>
    <w:rsid w:val="00F526B4"/>
    <w:rsid w:val="00F53180"/>
    <w:rsid w:val="00F53391"/>
    <w:rsid w:val="00F53960"/>
    <w:rsid w:val="00F53996"/>
    <w:rsid w:val="00F547B1"/>
    <w:rsid w:val="00F553F5"/>
    <w:rsid w:val="00F6012B"/>
    <w:rsid w:val="00F62F32"/>
    <w:rsid w:val="00F64909"/>
    <w:rsid w:val="00F654F8"/>
    <w:rsid w:val="00F65847"/>
    <w:rsid w:val="00F65A9C"/>
    <w:rsid w:val="00F66AD8"/>
    <w:rsid w:val="00F675BC"/>
    <w:rsid w:val="00F679A8"/>
    <w:rsid w:val="00F67FB8"/>
    <w:rsid w:val="00F70BAB"/>
    <w:rsid w:val="00F718CC"/>
    <w:rsid w:val="00F738F8"/>
    <w:rsid w:val="00F73A0E"/>
    <w:rsid w:val="00F74615"/>
    <w:rsid w:val="00F75C3D"/>
    <w:rsid w:val="00F76D44"/>
    <w:rsid w:val="00F77065"/>
    <w:rsid w:val="00F811E2"/>
    <w:rsid w:val="00F816BC"/>
    <w:rsid w:val="00F81E16"/>
    <w:rsid w:val="00F82B18"/>
    <w:rsid w:val="00F82F7C"/>
    <w:rsid w:val="00F83E12"/>
    <w:rsid w:val="00F83E54"/>
    <w:rsid w:val="00F8723C"/>
    <w:rsid w:val="00F87440"/>
    <w:rsid w:val="00F9030A"/>
    <w:rsid w:val="00F914A9"/>
    <w:rsid w:val="00F9254C"/>
    <w:rsid w:val="00F92E84"/>
    <w:rsid w:val="00F934BB"/>
    <w:rsid w:val="00F93D96"/>
    <w:rsid w:val="00F93DC1"/>
    <w:rsid w:val="00F9467B"/>
    <w:rsid w:val="00F95E7B"/>
    <w:rsid w:val="00F96288"/>
    <w:rsid w:val="00F96C9D"/>
    <w:rsid w:val="00FA2255"/>
    <w:rsid w:val="00FA236A"/>
    <w:rsid w:val="00FA23C4"/>
    <w:rsid w:val="00FA2521"/>
    <w:rsid w:val="00FA39C3"/>
    <w:rsid w:val="00FA4016"/>
    <w:rsid w:val="00FA45D5"/>
    <w:rsid w:val="00FA64E3"/>
    <w:rsid w:val="00FA7BE1"/>
    <w:rsid w:val="00FB0906"/>
    <w:rsid w:val="00FB2904"/>
    <w:rsid w:val="00FB3776"/>
    <w:rsid w:val="00FB4726"/>
    <w:rsid w:val="00FB4C3C"/>
    <w:rsid w:val="00FB57F5"/>
    <w:rsid w:val="00FC158F"/>
    <w:rsid w:val="00FC1D4F"/>
    <w:rsid w:val="00FC1FB2"/>
    <w:rsid w:val="00FC3680"/>
    <w:rsid w:val="00FC6105"/>
    <w:rsid w:val="00FC61E8"/>
    <w:rsid w:val="00FC7ADE"/>
    <w:rsid w:val="00FD0C1F"/>
    <w:rsid w:val="00FD181D"/>
    <w:rsid w:val="00FD192D"/>
    <w:rsid w:val="00FD1C1C"/>
    <w:rsid w:val="00FD1EF2"/>
    <w:rsid w:val="00FD1EFE"/>
    <w:rsid w:val="00FD2363"/>
    <w:rsid w:val="00FD39D6"/>
    <w:rsid w:val="00FD4086"/>
    <w:rsid w:val="00FD6F24"/>
    <w:rsid w:val="00FD73AD"/>
    <w:rsid w:val="00FD7547"/>
    <w:rsid w:val="00FE1925"/>
    <w:rsid w:val="00FE20E5"/>
    <w:rsid w:val="00FE35E2"/>
    <w:rsid w:val="00FE3FBE"/>
    <w:rsid w:val="00FE55F9"/>
    <w:rsid w:val="00FE5FE8"/>
    <w:rsid w:val="00FE64D4"/>
    <w:rsid w:val="00FE6678"/>
    <w:rsid w:val="00FE679D"/>
    <w:rsid w:val="00FE6EBF"/>
    <w:rsid w:val="00FE7F50"/>
    <w:rsid w:val="00FF0B6E"/>
    <w:rsid w:val="00FF0DF5"/>
    <w:rsid w:val="00FF1AC1"/>
    <w:rsid w:val="00FF1E3A"/>
    <w:rsid w:val="00FF1FF4"/>
    <w:rsid w:val="00FF31BF"/>
    <w:rsid w:val="00FF4B58"/>
    <w:rsid w:val="00FF61F2"/>
    <w:rsid w:val="00FF677E"/>
    <w:rsid w:val="00FF754C"/>
    <w:rsid w:val="039447DF"/>
    <w:rsid w:val="05AB03CA"/>
    <w:rsid w:val="063510C4"/>
    <w:rsid w:val="079E0B3F"/>
    <w:rsid w:val="0A240EB7"/>
    <w:rsid w:val="0A4374AD"/>
    <w:rsid w:val="0BA913B1"/>
    <w:rsid w:val="0C1D6EB0"/>
    <w:rsid w:val="0E686F94"/>
    <w:rsid w:val="100D5E2B"/>
    <w:rsid w:val="113F7B26"/>
    <w:rsid w:val="18534811"/>
    <w:rsid w:val="19E95261"/>
    <w:rsid w:val="1C6519A7"/>
    <w:rsid w:val="1CBE271F"/>
    <w:rsid w:val="1CDB7D57"/>
    <w:rsid w:val="1DCA2E80"/>
    <w:rsid w:val="1E924FCE"/>
    <w:rsid w:val="1F9B0345"/>
    <w:rsid w:val="2007297F"/>
    <w:rsid w:val="222F3155"/>
    <w:rsid w:val="23565ACA"/>
    <w:rsid w:val="236230AF"/>
    <w:rsid w:val="23B75D06"/>
    <w:rsid w:val="23D565AB"/>
    <w:rsid w:val="243B73B2"/>
    <w:rsid w:val="263F29DD"/>
    <w:rsid w:val="267A1600"/>
    <w:rsid w:val="28520641"/>
    <w:rsid w:val="29475C09"/>
    <w:rsid w:val="2A1738F0"/>
    <w:rsid w:val="2A577318"/>
    <w:rsid w:val="2BE10A4C"/>
    <w:rsid w:val="2E1C51E1"/>
    <w:rsid w:val="2F024BCF"/>
    <w:rsid w:val="311021BC"/>
    <w:rsid w:val="31C76A95"/>
    <w:rsid w:val="33C35EF4"/>
    <w:rsid w:val="34273865"/>
    <w:rsid w:val="358F6C85"/>
    <w:rsid w:val="36266D5B"/>
    <w:rsid w:val="364A2376"/>
    <w:rsid w:val="36DA5F02"/>
    <w:rsid w:val="3B3658EC"/>
    <w:rsid w:val="3B7F2F27"/>
    <w:rsid w:val="3C0B68C3"/>
    <w:rsid w:val="3CA447B8"/>
    <w:rsid w:val="3CFE7620"/>
    <w:rsid w:val="3F846771"/>
    <w:rsid w:val="3FD90D1D"/>
    <w:rsid w:val="4002609B"/>
    <w:rsid w:val="41D53769"/>
    <w:rsid w:val="430E10E2"/>
    <w:rsid w:val="45503A70"/>
    <w:rsid w:val="47F26C3E"/>
    <w:rsid w:val="482252DB"/>
    <w:rsid w:val="487565D5"/>
    <w:rsid w:val="49D0711C"/>
    <w:rsid w:val="49D40A5E"/>
    <w:rsid w:val="4A437D46"/>
    <w:rsid w:val="4AFA5DBB"/>
    <w:rsid w:val="4B3B4DE8"/>
    <w:rsid w:val="4BD4642E"/>
    <w:rsid w:val="4D386F9E"/>
    <w:rsid w:val="4E011C11"/>
    <w:rsid w:val="50004B71"/>
    <w:rsid w:val="50233C03"/>
    <w:rsid w:val="5137354B"/>
    <w:rsid w:val="52136AD4"/>
    <w:rsid w:val="54AF476A"/>
    <w:rsid w:val="54C84BC6"/>
    <w:rsid w:val="57284E69"/>
    <w:rsid w:val="57A60838"/>
    <w:rsid w:val="57EA786B"/>
    <w:rsid w:val="58EE1266"/>
    <w:rsid w:val="59CD16DC"/>
    <w:rsid w:val="5D8A02C7"/>
    <w:rsid w:val="5F63182B"/>
    <w:rsid w:val="5FFF8AD5"/>
    <w:rsid w:val="610D06A5"/>
    <w:rsid w:val="62C87BD0"/>
    <w:rsid w:val="645F323D"/>
    <w:rsid w:val="65A43583"/>
    <w:rsid w:val="66822FA9"/>
    <w:rsid w:val="674B1135"/>
    <w:rsid w:val="6BE31D6D"/>
    <w:rsid w:val="6D8C0420"/>
    <w:rsid w:val="6E075989"/>
    <w:rsid w:val="6E5E4E1D"/>
    <w:rsid w:val="6EAD03ED"/>
    <w:rsid w:val="6EFC4743"/>
    <w:rsid w:val="6EFD4501"/>
    <w:rsid w:val="70F1597F"/>
    <w:rsid w:val="713C1352"/>
    <w:rsid w:val="7392791A"/>
    <w:rsid w:val="73FF76A9"/>
    <w:rsid w:val="74240859"/>
    <w:rsid w:val="75721D13"/>
    <w:rsid w:val="75880624"/>
    <w:rsid w:val="7591545C"/>
    <w:rsid w:val="76854D0B"/>
    <w:rsid w:val="76CA6A6D"/>
    <w:rsid w:val="777E1927"/>
    <w:rsid w:val="7AA52F0F"/>
    <w:rsid w:val="7B4C72FA"/>
    <w:rsid w:val="7B8D4823"/>
    <w:rsid w:val="7CFE63D3"/>
    <w:rsid w:val="7D015494"/>
    <w:rsid w:val="7DEE1713"/>
    <w:rsid w:val="CFBF44A5"/>
    <w:rsid w:val="ED927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99"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qFormat="1" w:uiPriority="99" w:semiHidden="0" w:name="List 3"/>
    <w:lsdException w:unhideWhenUsed="0" w:uiPriority="0" w:semiHidden="0" w:name="List 4"/>
    <w:lsdException w:unhideWhenUsed="0" w:uiPriority="0" w:semiHidden="0" w:name="List 5"/>
    <w:lsdException w:qFormat="1"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iPriority="99" w:semiHidden="0" w:name="List Continue"/>
    <w:lsdException w:qFormat="1" w:uiPriority="99" w:semiHidden="0" w:name="List Continue 2"/>
    <w:lsdException w:qFormat="1" w:uiPriority="99"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qFormat="1" w:uiPriority="99"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qFormat="1"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496" w:firstLineChars="200"/>
      <w:jc w:val="both"/>
    </w:pPr>
    <w:rPr>
      <w:rFonts w:ascii="Times New Roman" w:hAnsi="Times New Roman" w:cs="Times New Roman" w:eastAsiaTheme="minorEastAsia"/>
      <w:color w:val="000000" w:themeColor="text1"/>
      <w:spacing w:val="4"/>
      <w:kern w:val="2"/>
      <w:sz w:val="24"/>
      <w:szCs w:val="28"/>
      <w:lang w:val="en-US" w:eastAsia="zh-CN" w:bidi="ar-SA"/>
      <w14:textFill>
        <w14:solidFill>
          <w14:schemeClr w14:val="tx1"/>
        </w14:solidFill>
      </w14:textFill>
    </w:rPr>
  </w:style>
  <w:style w:type="paragraph" w:styleId="3">
    <w:name w:val="heading 1"/>
    <w:next w:val="4"/>
    <w:link w:val="68"/>
    <w:qFormat/>
    <w:uiPriority w:val="0"/>
    <w:pPr>
      <w:pageBreakBefore/>
      <w:widowControl w:val="0"/>
      <w:numPr>
        <w:ilvl w:val="0"/>
        <w:numId w:val="1"/>
      </w:numPr>
      <w:spacing w:before="120" w:line="360" w:lineRule="auto"/>
      <w:outlineLvl w:val="0"/>
    </w:pPr>
    <w:rPr>
      <w:rFonts w:ascii="Arial" w:hAnsi="Arial" w:eastAsia="黑体" w:cs="Times New Roman"/>
      <w:kern w:val="44"/>
      <w:sz w:val="32"/>
      <w:szCs w:val="36"/>
      <w:lang w:val="en-US" w:eastAsia="zh-CN" w:bidi="ar-SA"/>
    </w:rPr>
  </w:style>
  <w:style w:type="paragraph" w:styleId="5">
    <w:name w:val="heading 2"/>
    <w:next w:val="4"/>
    <w:link w:val="69"/>
    <w:qFormat/>
    <w:uiPriority w:val="9"/>
    <w:pPr>
      <w:widowControl w:val="0"/>
      <w:numPr>
        <w:ilvl w:val="1"/>
        <w:numId w:val="1"/>
      </w:numPr>
      <w:spacing w:before="240" w:line="360" w:lineRule="auto"/>
      <w:ind w:left="0" w:firstLine="0"/>
      <w:outlineLvl w:val="1"/>
    </w:pPr>
    <w:rPr>
      <w:rFonts w:ascii="Times New Roman" w:hAnsi="Times New Roman" w:eastAsia="黑体" w:cs="Times New Roman"/>
      <w:kern w:val="2"/>
      <w:sz w:val="30"/>
      <w:szCs w:val="32"/>
      <w:lang w:val="en-US" w:eastAsia="zh-CN" w:bidi="ar-SA"/>
    </w:rPr>
  </w:style>
  <w:style w:type="paragraph" w:styleId="6">
    <w:name w:val="heading 3"/>
    <w:next w:val="4"/>
    <w:link w:val="70"/>
    <w:qFormat/>
    <w:uiPriority w:val="9"/>
    <w:pPr>
      <w:widowControl w:val="0"/>
      <w:numPr>
        <w:ilvl w:val="2"/>
        <w:numId w:val="1"/>
      </w:numPr>
      <w:tabs>
        <w:tab w:val="left" w:pos="431"/>
      </w:tabs>
      <w:spacing w:before="120" w:after="120" w:line="360" w:lineRule="auto"/>
      <w:ind w:left="0" w:firstLine="0"/>
      <w:jc w:val="both"/>
      <w:outlineLvl w:val="2"/>
    </w:pPr>
    <w:rPr>
      <w:rFonts w:ascii="Times New Roman" w:hAnsi="Times New Roman" w:eastAsia="黑体" w:cs="Times New Roman"/>
      <w:color w:val="000000" w:themeColor="text1"/>
      <w:kern w:val="2"/>
      <w:sz w:val="28"/>
      <w:szCs w:val="32"/>
      <w:lang w:val="en-US" w:eastAsia="zh-CN" w:bidi="ar-SA"/>
      <w14:textFill>
        <w14:solidFill>
          <w14:schemeClr w14:val="tx1"/>
        </w14:solidFill>
      </w14:textFill>
    </w:rPr>
  </w:style>
  <w:style w:type="paragraph" w:styleId="7">
    <w:name w:val="heading 4"/>
    <w:next w:val="4"/>
    <w:link w:val="71"/>
    <w:qFormat/>
    <w:uiPriority w:val="9"/>
    <w:pPr>
      <w:keepNext/>
      <w:keepLines/>
      <w:numPr>
        <w:ilvl w:val="3"/>
        <w:numId w:val="1"/>
      </w:numPr>
      <w:spacing w:before="240" w:line="360" w:lineRule="auto"/>
      <w:outlineLvl w:val="3"/>
    </w:pPr>
    <w:rPr>
      <w:rFonts w:ascii="Arial" w:hAnsi="Arial" w:eastAsia="宋体" w:cs="Times New Roman"/>
      <w:kern w:val="2"/>
      <w:sz w:val="24"/>
      <w:szCs w:val="28"/>
      <w:lang w:val="en-US" w:eastAsia="zh-CN" w:bidi="ar-SA"/>
    </w:rPr>
  </w:style>
  <w:style w:type="paragraph" w:styleId="8">
    <w:name w:val="heading 5"/>
    <w:basedOn w:val="1"/>
    <w:next w:val="1"/>
    <w:link w:val="72"/>
    <w:qFormat/>
    <w:uiPriority w:val="9"/>
    <w:pPr>
      <w:keepNext/>
      <w:keepLines/>
      <w:numPr>
        <w:ilvl w:val="4"/>
        <w:numId w:val="1"/>
      </w:numPr>
      <w:tabs>
        <w:tab w:val="left" w:pos="431"/>
      </w:tabs>
      <w:spacing w:before="280" w:after="290" w:line="376" w:lineRule="auto"/>
      <w:ind w:firstLine="0" w:firstLineChars="0"/>
      <w:outlineLvl w:val="4"/>
    </w:pPr>
    <w:rPr>
      <w:sz w:val="20"/>
      <w:szCs w:val="20"/>
    </w:rPr>
  </w:style>
  <w:style w:type="paragraph" w:styleId="9">
    <w:name w:val="heading 6"/>
    <w:basedOn w:val="1"/>
    <w:next w:val="1"/>
    <w:link w:val="73"/>
    <w:qFormat/>
    <w:uiPriority w:val="9"/>
    <w:pPr>
      <w:keepNext/>
      <w:keepLines/>
      <w:numPr>
        <w:ilvl w:val="5"/>
        <w:numId w:val="1"/>
      </w:numPr>
      <w:tabs>
        <w:tab w:val="left" w:pos="431"/>
      </w:tabs>
      <w:spacing w:before="240" w:after="64" w:line="320" w:lineRule="auto"/>
      <w:ind w:firstLine="0" w:firstLineChars="0"/>
      <w:outlineLvl w:val="5"/>
    </w:pPr>
    <w:rPr>
      <w:sz w:val="16"/>
      <w:szCs w:val="16"/>
    </w:rPr>
  </w:style>
  <w:style w:type="paragraph" w:styleId="10">
    <w:name w:val="heading 7"/>
    <w:basedOn w:val="1"/>
    <w:next w:val="1"/>
    <w:link w:val="74"/>
    <w:qFormat/>
    <w:uiPriority w:val="9"/>
    <w:pPr>
      <w:keepNext/>
      <w:keepLines/>
      <w:numPr>
        <w:ilvl w:val="6"/>
        <w:numId w:val="1"/>
      </w:numPr>
      <w:tabs>
        <w:tab w:val="left" w:pos="431"/>
      </w:tabs>
      <w:spacing w:before="240" w:after="64" w:line="320" w:lineRule="auto"/>
      <w:ind w:firstLine="0" w:firstLineChars="0"/>
      <w:outlineLvl w:val="6"/>
    </w:pPr>
    <w:rPr>
      <w:b/>
      <w:bCs/>
      <w:szCs w:val="24"/>
    </w:rPr>
  </w:style>
  <w:style w:type="paragraph" w:styleId="11">
    <w:name w:val="heading 8"/>
    <w:basedOn w:val="1"/>
    <w:next w:val="1"/>
    <w:link w:val="75"/>
    <w:qFormat/>
    <w:uiPriority w:val="9"/>
    <w:pPr>
      <w:keepNext/>
      <w:keepLines/>
      <w:numPr>
        <w:ilvl w:val="7"/>
        <w:numId w:val="1"/>
      </w:numPr>
      <w:tabs>
        <w:tab w:val="left" w:pos="431"/>
      </w:tabs>
      <w:spacing w:before="240" w:after="64" w:line="320" w:lineRule="auto"/>
      <w:ind w:firstLine="0" w:firstLineChars="0"/>
      <w:outlineLvl w:val="7"/>
    </w:pPr>
    <w:rPr>
      <w:rFonts w:ascii="Arial" w:hAnsi="Arial" w:eastAsia="黑体"/>
      <w:szCs w:val="24"/>
    </w:rPr>
  </w:style>
  <w:style w:type="paragraph" w:styleId="12">
    <w:name w:val="heading 9"/>
    <w:basedOn w:val="1"/>
    <w:next w:val="1"/>
    <w:link w:val="76"/>
    <w:qFormat/>
    <w:uiPriority w:val="9"/>
    <w:pPr>
      <w:keepNext/>
      <w:keepLines/>
      <w:numPr>
        <w:ilvl w:val="8"/>
        <w:numId w:val="1"/>
      </w:numPr>
      <w:tabs>
        <w:tab w:val="left" w:pos="431"/>
      </w:tabs>
      <w:spacing w:before="240" w:after="64" w:line="320" w:lineRule="auto"/>
      <w:ind w:firstLine="0" w:firstLineChars="0"/>
      <w:outlineLvl w:val="8"/>
    </w:pPr>
    <w:rPr>
      <w:rFonts w:ascii="Arial" w:hAnsi="Arial" w:eastAsia="黑体"/>
    </w:rPr>
  </w:style>
  <w:style w:type="character" w:default="1" w:styleId="54">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macro"/>
    <w:link w:val="161"/>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kern w:val="2"/>
      <w:sz w:val="24"/>
      <w:szCs w:val="24"/>
      <w:lang w:val="en-US" w:eastAsia="zh-CN" w:bidi="ar-SA"/>
    </w:rPr>
  </w:style>
  <w:style w:type="paragraph" w:styleId="4">
    <w:name w:val="Body Text First Indent 2"/>
    <w:link w:val="67"/>
    <w:qFormat/>
    <w:uiPriority w:val="0"/>
    <w:pPr>
      <w:widowControl w:val="0"/>
      <w:spacing w:line="560" w:lineRule="exact"/>
      <w:ind w:firstLine="496" w:firstLineChars="200"/>
      <w:jc w:val="both"/>
    </w:pPr>
    <w:rPr>
      <w:rFonts w:ascii="Times New Roman" w:hAnsi="Times New Roman" w:cs="Times New Roman" w:eastAsiaTheme="minorEastAsia"/>
      <w:color w:val="000000" w:themeColor="text1"/>
      <w:spacing w:val="4"/>
      <w:kern w:val="2"/>
      <w:sz w:val="24"/>
      <w:szCs w:val="28"/>
      <w:lang w:val="en-US" w:eastAsia="zh-CN" w:bidi="ar-SA"/>
      <w14:textFill>
        <w14:solidFill>
          <w14:schemeClr w14:val="tx1"/>
        </w14:solidFill>
      </w14:textFill>
    </w:rPr>
  </w:style>
  <w:style w:type="paragraph" w:styleId="13">
    <w:name w:val="List 3"/>
    <w:basedOn w:val="1"/>
    <w:unhideWhenUsed/>
    <w:qFormat/>
    <w:uiPriority w:val="99"/>
    <w:pPr>
      <w:spacing w:beforeLines="20" w:afterLines="20" w:line="240" w:lineRule="auto"/>
      <w:ind w:left="100" w:leftChars="400" w:hanging="200" w:hangingChars="200"/>
    </w:pPr>
    <w:rPr>
      <w:rFonts w:eastAsia="宋体"/>
      <w:color w:val="auto"/>
      <w:spacing w:val="0"/>
      <w:sz w:val="28"/>
      <w:szCs w:val="24"/>
    </w:rPr>
  </w:style>
  <w:style w:type="paragraph" w:styleId="14">
    <w:name w:val="toc 7"/>
    <w:basedOn w:val="1"/>
    <w:next w:val="1"/>
    <w:qFormat/>
    <w:uiPriority w:val="39"/>
    <w:pPr>
      <w:jc w:val="left"/>
    </w:pPr>
    <w:rPr>
      <w:sz w:val="22"/>
      <w:szCs w:val="22"/>
    </w:rPr>
  </w:style>
  <w:style w:type="paragraph" w:styleId="15">
    <w:name w:val="Note Heading"/>
    <w:basedOn w:val="1"/>
    <w:next w:val="1"/>
    <w:link w:val="331"/>
    <w:unhideWhenUsed/>
    <w:qFormat/>
    <w:uiPriority w:val="99"/>
    <w:pPr>
      <w:spacing w:line="240" w:lineRule="auto"/>
      <w:ind w:firstLine="0" w:firstLineChars="0"/>
      <w:jc w:val="center"/>
    </w:pPr>
    <w:rPr>
      <w:rFonts w:eastAsia="宋体"/>
      <w:color w:val="auto"/>
      <w:spacing w:val="0"/>
      <w:sz w:val="21"/>
      <w:szCs w:val="24"/>
      <w:lang w:val="zh-CN" w:eastAsia="zh-CN"/>
    </w:rPr>
  </w:style>
  <w:style w:type="paragraph" w:styleId="16">
    <w:name w:val="Normal Indent"/>
    <w:basedOn w:val="1"/>
    <w:next w:val="1"/>
    <w:unhideWhenUsed/>
    <w:qFormat/>
    <w:uiPriority w:val="99"/>
    <w:pPr>
      <w:spacing w:line="360" w:lineRule="auto"/>
      <w:ind w:firstLine="420"/>
    </w:pPr>
    <w:rPr>
      <w:rFonts w:eastAsia="仿宋_GB2312"/>
      <w:color w:val="auto"/>
      <w:kern w:val="0"/>
      <w:sz w:val="28"/>
      <w:szCs w:val="20"/>
    </w:rPr>
  </w:style>
  <w:style w:type="paragraph" w:styleId="17">
    <w:name w:val="caption"/>
    <w:next w:val="4"/>
    <w:link w:val="77"/>
    <w:qFormat/>
    <w:uiPriority w:val="0"/>
    <w:pPr>
      <w:spacing w:before="120" w:after="60"/>
      <w:jc w:val="center"/>
    </w:pPr>
    <w:rPr>
      <w:rFonts w:ascii="Times New Roman" w:hAnsi="Times New Roman" w:eastAsia="黑体" w:cs="Times New Roman"/>
      <w:kern w:val="2"/>
      <w:sz w:val="24"/>
      <w:szCs w:val="28"/>
      <w:lang w:val="en-US" w:eastAsia="zh-CN" w:bidi="ar-SA"/>
    </w:rPr>
  </w:style>
  <w:style w:type="paragraph" w:styleId="18">
    <w:name w:val="Document Map"/>
    <w:basedOn w:val="1"/>
    <w:link w:val="166"/>
    <w:semiHidden/>
    <w:qFormat/>
    <w:uiPriority w:val="0"/>
    <w:pPr>
      <w:shd w:val="clear" w:color="auto" w:fill="000080"/>
    </w:pPr>
  </w:style>
  <w:style w:type="paragraph" w:styleId="19">
    <w:name w:val="toa heading"/>
    <w:basedOn w:val="1"/>
    <w:next w:val="1"/>
    <w:unhideWhenUsed/>
    <w:qFormat/>
    <w:uiPriority w:val="99"/>
    <w:pPr>
      <w:spacing w:before="120" w:line="240" w:lineRule="auto"/>
      <w:ind w:firstLine="0" w:firstLineChars="0"/>
    </w:pPr>
    <w:rPr>
      <w:rFonts w:ascii="Arial" w:hAnsi="Arial" w:eastAsia="宋体" w:cs="Arial"/>
      <w:color w:val="auto"/>
      <w:spacing w:val="0"/>
      <w:szCs w:val="24"/>
    </w:rPr>
  </w:style>
  <w:style w:type="paragraph" w:styleId="20">
    <w:name w:val="annotation text"/>
    <w:basedOn w:val="1"/>
    <w:link w:val="92"/>
    <w:qFormat/>
    <w:uiPriority w:val="0"/>
    <w:pPr>
      <w:jc w:val="left"/>
    </w:pPr>
  </w:style>
  <w:style w:type="paragraph" w:styleId="21">
    <w:name w:val="Body Text 3"/>
    <w:basedOn w:val="1"/>
    <w:link w:val="346"/>
    <w:unhideWhenUsed/>
    <w:qFormat/>
    <w:uiPriority w:val="99"/>
    <w:pPr>
      <w:spacing w:line="240" w:lineRule="auto"/>
      <w:ind w:firstLine="0" w:firstLineChars="0"/>
      <w:jc w:val="center"/>
    </w:pPr>
    <w:rPr>
      <w:rFonts w:eastAsia="宋体"/>
      <w:color w:val="auto"/>
      <w:spacing w:val="0"/>
      <w:sz w:val="28"/>
      <w:szCs w:val="24"/>
      <w:lang w:val="zh-CN" w:eastAsia="zh-CN"/>
    </w:rPr>
  </w:style>
  <w:style w:type="paragraph" w:styleId="22">
    <w:name w:val="Body Text"/>
    <w:basedOn w:val="1"/>
    <w:link w:val="167"/>
    <w:qFormat/>
    <w:uiPriority w:val="0"/>
    <w:pPr>
      <w:spacing w:after="120" w:line="240" w:lineRule="auto"/>
      <w:ind w:firstLine="200"/>
    </w:pPr>
    <w:rPr>
      <w:rFonts w:eastAsia="宋体"/>
      <w:color w:val="auto"/>
      <w:spacing w:val="0"/>
      <w:szCs w:val="24"/>
    </w:rPr>
  </w:style>
  <w:style w:type="paragraph" w:styleId="23">
    <w:name w:val="Body Text Indent"/>
    <w:basedOn w:val="1"/>
    <w:link w:val="176"/>
    <w:qFormat/>
    <w:uiPriority w:val="0"/>
    <w:pPr>
      <w:ind w:firstLine="885"/>
    </w:pPr>
    <w:rPr>
      <w:color w:val="auto"/>
      <w:sz w:val="28"/>
      <w:szCs w:val="24"/>
    </w:rPr>
  </w:style>
  <w:style w:type="paragraph" w:styleId="24">
    <w:name w:val="List 2"/>
    <w:basedOn w:val="1"/>
    <w:unhideWhenUsed/>
    <w:qFormat/>
    <w:uiPriority w:val="99"/>
    <w:pPr>
      <w:spacing w:beforeLines="20" w:afterLines="20" w:line="240" w:lineRule="auto"/>
      <w:ind w:left="100" w:leftChars="200" w:hanging="200" w:hangingChars="200"/>
    </w:pPr>
    <w:rPr>
      <w:rFonts w:eastAsia="宋体"/>
      <w:color w:val="auto"/>
      <w:spacing w:val="0"/>
      <w:sz w:val="28"/>
      <w:szCs w:val="24"/>
    </w:rPr>
  </w:style>
  <w:style w:type="paragraph" w:styleId="25">
    <w:name w:val="List Continue"/>
    <w:basedOn w:val="1"/>
    <w:unhideWhenUsed/>
    <w:qFormat/>
    <w:uiPriority w:val="99"/>
    <w:pPr>
      <w:spacing w:beforeLines="20" w:afterLines="20" w:line="240" w:lineRule="auto"/>
      <w:ind w:left="420" w:leftChars="200" w:firstLine="0" w:firstLineChars="0"/>
    </w:pPr>
    <w:rPr>
      <w:rFonts w:eastAsia="宋体"/>
      <w:color w:val="auto"/>
      <w:spacing w:val="0"/>
      <w:sz w:val="28"/>
      <w:szCs w:val="24"/>
    </w:rPr>
  </w:style>
  <w:style w:type="paragraph" w:styleId="26">
    <w:name w:val="List Bullet 2"/>
    <w:basedOn w:val="1"/>
    <w:unhideWhenUsed/>
    <w:qFormat/>
    <w:uiPriority w:val="99"/>
    <w:pPr>
      <w:tabs>
        <w:tab w:val="left" w:pos="780"/>
      </w:tabs>
      <w:spacing w:line="312" w:lineRule="exact"/>
      <w:ind w:firstLine="0" w:firstLineChars="0"/>
    </w:pPr>
    <w:rPr>
      <w:rFonts w:eastAsia="宋体"/>
      <w:color w:val="auto"/>
      <w:spacing w:val="0"/>
      <w:sz w:val="21"/>
      <w:szCs w:val="20"/>
    </w:rPr>
  </w:style>
  <w:style w:type="paragraph" w:styleId="27">
    <w:name w:val="toc 5"/>
    <w:basedOn w:val="1"/>
    <w:next w:val="1"/>
    <w:qFormat/>
    <w:uiPriority w:val="39"/>
    <w:pPr>
      <w:jc w:val="left"/>
    </w:pPr>
    <w:rPr>
      <w:sz w:val="22"/>
      <w:szCs w:val="22"/>
    </w:rPr>
  </w:style>
  <w:style w:type="paragraph" w:styleId="28">
    <w:name w:val="toc 3"/>
    <w:basedOn w:val="1"/>
    <w:next w:val="1"/>
    <w:qFormat/>
    <w:uiPriority w:val="39"/>
    <w:pPr>
      <w:spacing w:line="400" w:lineRule="exact"/>
      <w:ind w:left="100" w:leftChars="100"/>
      <w:jc w:val="left"/>
    </w:pPr>
    <w:rPr>
      <w:smallCaps/>
      <w:szCs w:val="22"/>
    </w:rPr>
  </w:style>
  <w:style w:type="paragraph" w:styleId="29">
    <w:name w:val="Plain Text"/>
    <w:basedOn w:val="1"/>
    <w:link w:val="169"/>
    <w:qFormat/>
    <w:uiPriority w:val="0"/>
    <w:pPr>
      <w:spacing w:line="240" w:lineRule="auto"/>
      <w:ind w:firstLine="0" w:firstLineChars="0"/>
    </w:pPr>
    <w:rPr>
      <w:rFonts w:ascii="宋体" w:hAnsi="Courier New" w:eastAsia="宋体"/>
      <w:color w:val="auto"/>
      <w:spacing w:val="0"/>
      <w:sz w:val="28"/>
      <w:szCs w:val="20"/>
    </w:rPr>
  </w:style>
  <w:style w:type="paragraph" w:styleId="30">
    <w:name w:val="toc 8"/>
    <w:basedOn w:val="1"/>
    <w:next w:val="1"/>
    <w:qFormat/>
    <w:uiPriority w:val="39"/>
    <w:pPr>
      <w:jc w:val="left"/>
    </w:pPr>
    <w:rPr>
      <w:sz w:val="22"/>
      <w:szCs w:val="22"/>
    </w:rPr>
  </w:style>
  <w:style w:type="paragraph" w:styleId="31">
    <w:name w:val="Date"/>
    <w:basedOn w:val="1"/>
    <w:next w:val="1"/>
    <w:link w:val="340"/>
    <w:unhideWhenUsed/>
    <w:qFormat/>
    <w:uiPriority w:val="99"/>
    <w:pPr>
      <w:spacing w:beforeLines="20" w:afterLines="20" w:line="240" w:lineRule="auto"/>
      <w:ind w:left="100" w:leftChars="2500" w:firstLine="0" w:firstLineChars="0"/>
    </w:pPr>
    <w:rPr>
      <w:rFonts w:eastAsia="宋体"/>
      <w:color w:val="auto"/>
      <w:spacing w:val="0"/>
      <w:sz w:val="28"/>
      <w:szCs w:val="24"/>
      <w:lang w:val="zh-CN" w:eastAsia="zh-CN"/>
    </w:rPr>
  </w:style>
  <w:style w:type="paragraph" w:styleId="32">
    <w:name w:val="Body Text Indent 2"/>
    <w:basedOn w:val="1"/>
    <w:link w:val="339"/>
    <w:unhideWhenUsed/>
    <w:qFormat/>
    <w:uiPriority w:val="99"/>
    <w:pPr>
      <w:spacing w:beforeLines="20" w:afterLines="20" w:line="240" w:lineRule="auto"/>
      <w:ind w:firstLine="648"/>
    </w:pPr>
    <w:rPr>
      <w:rFonts w:eastAsia="宋体"/>
      <w:color w:val="auto"/>
      <w:spacing w:val="0"/>
      <w:sz w:val="28"/>
      <w:szCs w:val="24"/>
      <w:lang w:val="zh-CN" w:eastAsia="zh-CN"/>
    </w:rPr>
  </w:style>
  <w:style w:type="paragraph" w:styleId="33">
    <w:name w:val="Balloon Text"/>
    <w:basedOn w:val="1"/>
    <w:link w:val="175"/>
    <w:semiHidden/>
    <w:qFormat/>
    <w:uiPriority w:val="0"/>
    <w:rPr>
      <w:sz w:val="18"/>
      <w:szCs w:val="18"/>
    </w:rPr>
  </w:style>
  <w:style w:type="paragraph" w:styleId="34">
    <w:name w:val="footer"/>
    <w:basedOn w:val="1"/>
    <w:link w:val="78"/>
    <w:qFormat/>
    <w:uiPriority w:val="99"/>
    <w:pPr>
      <w:tabs>
        <w:tab w:val="center" w:pos="4153"/>
        <w:tab w:val="right" w:pos="8306"/>
      </w:tabs>
      <w:snapToGrid w:val="0"/>
      <w:jc w:val="left"/>
    </w:pPr>
    <w:rPr>
      <w:sz w:val="18"/>
      <w:szCs w:val="18"/>
    </w:rPr>
  </w:style>
  <w:style w:type="paragraph" w:styleId="35">
    <w:name w:val="header"/>
    <w:basedOn w:val="1"/>
    <w:link w:val="79"/>
    <w:qFormat/>
    <w:uiPriority w:val="0"/>
    <w:pPr>
      <w:pBdr>
        <w:bottom w:val="double" w:color="auto" w:sz="4" w:space="1"/>
      </w:pBdr>
      <w:tabs>
        <w:tab w:val="center" w:pos="4153"/>
        <w:tab w:val="right" w:pos="8306"/>
      </w:tabs>
      <w:snapToGrid w:val="0"/>
      <w:jc w:val="center"/>
    </w:pPr>
    <w:rPr>
      <w:sz w:val="18"/>
      <w:szCs w:val="18"/>
    </w:rPr>
  </w:style>
  <w:style w:type="paragraph" w:styleId="36">
    <w:name w:val="toc 1"/>
    <w:basedOn w:val="1"/>
    <w:next w:val="1"/>
    <w:qFormat/>
    <w:uiPriority w:val="39"/>
    <w:pPr>
      <w:spacing w:before="120" w:line="400" w:lineRule="exact"/>
      <w:jc w:val="left"/>
    </w:pPr>
    <w:rPr>
      <w:rFonts w:ascii="Arial" w:hAnsi="Arial" w:eastAsia="黑体"/>
      <w:bCs/>
      <w:caps/>
      <w:sz w:val="28"/>
      <w:szCs w:val="22"/>
    </w:rPr>
  </w:style>
  <w:style w:type="paragraph" w:styleId="37">
    <w:name w:val="toc 4"/>
    <w:basedOn w:val="1"/>
    <w:next w:val="1"/>
    <w:qFormat/>
    <w:uiPriority w:val="39"/>
    <w:pPr>
      <w:jc w:val="left"/>
    </w:pPr>
    <w:rPr>
      <w:sz w:val="22"/>
      <w:szCs w:val="22"/>
    </w:rPr>
  </w:style>
  <w:style w:type="paragraph" w:styleId="38">
    <w:name w:val="footnote text"/>
    <w:basedOn w:val="1"/>
    <w:link w:val="231"/>
    <w:unhideWhenUsed/>
    <w:qFormat/>
    <w:uiPriority w:val="99"/>
    <w:pPr>
      <w:snapToGrid w:val="0"/>
      <w:spacing w:line="240" w:lineRule="auto"/>
      <w:ind w:firstLine="200"/>
      <w:jc w:val="left"/>
    </w:pPr>
    <w:rPr>
      <w:rFonts w:eastAsia="宋体"/>
      <w:color w:val="auto"/>
      <w:spacing w:val="0"/>
      <w:sz w:val="18"/>
      <w:szCs w:val="18"/>
    </w:rPr>
  </w:style>
  <w:style w:type="paragraph" w:styleId="39">
    <w:name w:val="toc 6"/>
    <w:basedOn w:val="1"/>
    <w:next w:val="1"/>
    <w:qFormat/>
    <w:uiPriority w:val="39"/>
    <w:pPr>
      <w:jc w:val="left"/>
    </w:pPr>
    <w:rPr>
      <w:sz w:val="22"/>
      <w:szCs w:val="22"/>
    </w:rPr>
  </w:style>
  <w:style w:type="paragraph" w:styleId="40">
    <w:name w:val="Body Text Indent 3"/>
    <w:basedOn w:val="1"/>
    <w:link w:val="341"/>
    <w:unhideWhenUsed/>
    <w:qFormat/>
    <w:uiPriority w:val="99"/>
    <w:pPr>
      <w:numPr>
        <w:ilvl w:val="2"/>
        <w:numId w:val="2"/>
      </w:numPr>
      <w:spacing w:beforeLines="20" w:afterLines="20" w:line="240" w:lineRule="auto"/>
      <w:ind w:left="420" w:leftChars="200" w:firstLine="0" w:firstLineChars="0"/>
    </w:pPr>
    <w:rPr>
      <w:rFonts w:eastAsia="宋体"/>
      <w:color w:val="auto"/>
      <w:spacing w:val="0"/>
      <w:sz w:val="16"/>
      <w:szCs w:val="16"/>
      <w:lang w:val="zh-CN" w:eastAsia="zh-CN"/>
    </w:rPr>
  </w:style>
  <w:style w:type="paragraph" w:styleId="41">
    <w:name w:val="toc 2"/>
    <w:basedOn w:val="1"/>
    <w:next w:val="1"/>
    <w:qFormat/>
    <w:uiPriority w:val="39"/>
    <w:pPr>
      <w:spacing w:line="400" w:lineRule="exact"/>
      <w:ind w:left="50" w:leftChars="50"/>
      <w:jc w:val="left"/>
    </w:pPr>
    <w:rPr>
      <w:rFonts w:ascii="Arial" w:hAnsi="Arial" w:eastAsia="黑体"/>
      <w:bCs/>
      <w:smallCaps/>
      <w:szCs w:val="22"/>
    </w:rPr>
  </w:style>
  <w:style w:type="paragraph" w:styleId="42">
    <w:name w:val="toc 9"/>
    <w:basedOn w:val="1"/>
    <w:next w:val="1"/>
    <w:qFormat/>
    <w:uiPriority w:val="39"/>
    <w:pPr>
      <w:jc w:val="left"/>
    </w:pPr>
    <w:rPr>
      <w:sz w:val="22"/>
      <w:szCs w:val="22"/>
    </w:rPr>
  </w:style>
  <w:style w:type="paragraph" w:styleId="43">
    <w:name w:val="Body Text 2"/>
    <w:basedOn w:val="1"/>
    <w:link w:val="345"/>
    <w:unhideWhenUsed/>
    <w:qFormat/>
    <w:uiPriority w:val="99"/>
    <w:pPr>
      <w:autoSpaceDE w:val="0"/>
      <w:autoSpaceDN w:val="0"/>
      <w:adjustRightInd w:val="0"/>
      <w:spacing w:line="360" w:lineRule="exact"/>
      <w:ind w:firstLine="0" w:firstLineChars="0"/>
      <w:jc w:val="center"/>
    </w:pPr>
    <w:rPr>
      <w:rFonts w:ascii="黑体" w:eastAsia="黑体"/>
      <w:color w:val="000000"/>
      <w:spacing w:val="0"/>
      <w:sz w:val="28"/>
      <w:szCs w:val="24"/>
      <w:lang w:val="zh-CN" w:eastAsia="zh-CN"/>
    </w:rPr>
  </w:style>
  <w:style w:type="paragraph" w:styleId="44">
    <w:name w:val="List Continue 2"/>
    <w:basedOn w:val="1"/>
    <w:unhideWhenUsed/>
    <w:qFormat/>
    <w:uiPriority w:val="99"/>
    <w:pPr>
      <w:spacing w:beforeLines="20" w:afterLines="20" w:line="240" w:lineRule="auto"/>
      <w:ind w:left="840" w:leftChars="400" w:firstLine="0" w:firstLineChars="0"/>
    </w:pPr>
    <w:rPr>
      <w:rFonts w:eastAsia="宋体"/>
      <w:color w:val="auto"/>
      <w:spacing w:val="0"/>
      <w:sz w:val="28"/>
      <w:szCs w:val="24"/>
    </w:rPr>
  </w:style>
  <w:style w:type="paragraph" w:styleId="45">
    <w:name w:val="HTML Preformatted"/>
    <w:basedOn w:val="1"/>
    <w:link w:val="34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eastAsia="宋体"/>
      <w:color w:val="auto"/>
      <w:spacing w:val="0"/>
      <w:kern w:val="0"/>
      <w:szCs w:val="24"/>
      <w:lang w:val="zh-CN" w:eastAsia="zh-CN"/>
    </w:rPr>
  </w:style>
  <w:style w:type="paragraph" w:styleId="46">
    <w:name w:val="Normal (Web)"/>
    <w:basedOn w:val="1"/>
    <w:unhideWhenUsed/>
    <w:qFormat/>
    <w:uiPriority w:val="0"/>
    <w:pPr>
      <w:widowControl/>
      <w:spacing w:before="100" w:beforeAutospacing="1" w:after="100" w:afterAutospacing="1"/>
      <w:jc w:val="left"/>
    </w:pPr>
    <w:rPr>
      <w:rFonts w:cs="宋体"/>
      <w:color w:val="auto"/>
      <w:kern w:val="0"/>
      <w:szCs w:val="24"/>
    </w:rPr>
  </w:style>
  <w:style w:type="paragraph" w:styleId="47">
    <w:name w:val="List Continue 3"/>
    <w:basedOn w:val="1"/>
    <w:unhideWhenUsed/>
    <w:qFormat/>
    <w:uiPriority w:val="99"/>
    <w:pPr>
      <w:spacing w:beforeLines="20" w:afterLines="20" w:line="240" w:lineRule="auto"/>
      <w:ind w:left="1260" w:leftChars="600" w:firstLine="0" w:firstLineChars="0"/>
    </w:pPr>
    <w:rPr>
      <w:rFonts w:eastAsia="宋体"/>
      <w:color w:val="auto"/>
      <w:spacing w:val="0"/>
      <w:sz w:val="28"/>
      <w:szCs w:val="24"/>
    </w:rPr>
  </w:style>
  <w:style w:type="paragraph" w:styleId="48">
    <w:name w:val="Title"/>
    <w:next w:val="4"/>
    <w:link w:val="232"/>
    <w:qFormat/>
    <w:uiPriority w:val="0"/>
    <w:pPr>
      <w:spacing w:before="240" w:after="60"/>
      <w:jc w:val="center"/>
      <w:outlineLvl w:val="0"/>
    </w:pPr>
    <w:rPr>
      <w:rFonts w:ascii="Arial" w:hAnsi="Arial" w:eastAsia="黑体" w:cs="Arial"/>
      <w:bCs/>
      <w:color w:val="000000"/>
      <w:kern w:val="2"/>
      <w:sz w:val="32"/>
      <w:szCs w:val="32"/>
      <w:lang w:val="en-US" w:eastAsia="zh-CN" w:bidi="ar-SA"/>
    </w:rPr>
  </w:style>
  <w:style w:type="paragraph" w:styleId="49">
    <w:name w:val="annotation subject"/>
    <w:basedOn w:val="20"/>
    <w:next w:val="20"/>
    <w:link w:val="93"/>
    <w:qFormat/>
    <w:uiPriority w:val="0"/>
    <w:rPr>
      <w:b/>
      <w:bCs/>
    </w:rPr>
  </w:style>
  <w:style w:type="paragraph" w:styleId="50">
    <w:name w:val="Body Text First Indent"/>
    <w:basedOn w:val="22"/>
    <w:link w:val="168"/>
    <w:qFormat/>
    <w:uiPriority w:val="0"/>
    <w:pPr>
      <w:spacing w:line="460" w:lineRule="exact"/>
      <w:ind w:firstLine="420" w:firstLineChars="100"/>
    </w:pPr>
    <w:rPr>
      <w:color w:val="000000"/>
      <w:spacing w:val="10"/>
      <w:kern w:val="28"/>
      <w:position w:val="6"/>
      <w:sz w:val="28"/>
      <w:szCs w:val="20"/>
    </w:rPr>
  </w:style>
  <w:style w:type="table" w:styleId="52">
    <w:name w:val="Table Grid"/>
    <w:basedOn w:val="5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3">
    <w:name w:val="Table Theme"/>
    <w:basedOn w:val="51"/>
    <w:qFormat/>
    <w:uiPriority w:val="0"/>
    <w:pPr>
      <w:widowControl w:val="0"/>
      <w:adjustRightInd w:val="0"/>
      <w:snapToGrid w:val="0"/>
      <w:jc w:val="center"/>
    </w:pPr>
    <w:rPr>
      <w:sz w:val="24"/>
      <w:szCs w:val="24"/>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tcMar>
        <w:left w:w="28" w:type="dxa"/>
        <w:right w:w="28" w:type="dxa"/>
      </w:tcMar>
      <w:vAlign w:val="center"/>
    </w:tcPr>
    <w:tblStylePr w:type="firstRow">
      <w:pPr>
        <w:wordWrap/>
        <w:spacing w:before="40" w:beforeLines="0" w:beforeAutospacing="0" w:after="40" w:afterLines="0" w:afterAutospacing="0" w:line="240" w:lineRule="auto"/>
        <w:ind w:left="0" w:leftChars="0" w:right="0" w:rightChars="0"/>
      </w:pPr>
      <w:rPr>
        <w:rFonts w:ascii="Times New Roman" w:hAnsi="Times New Roman" w:eastAsia="宋体"/>
        <w:sz w:val="21"/>
      </w:rPr>
      <w:tcPr>
        <w:tcBorders>
          <w:top w:val="single" w:color="auto" w:sz="12" w:space="0"/>
          <w:left w:val="single" w:color="auto" w:sz="12" w:space="0"/>
          <w:bottom w:val="single" w:color="auto" w:sz="4" w:space="0"/>
          <w:right w:val="single" w:color="auto" w:sz="12" w:space="0"/>
          <w:insideH w:val="single" w:sz="4" w:space="0"/>
          <w:insideV w:val="single" w:sz="4" w:space="0"/>
        </w:tcBorders>
      </w:tcPr>
    </w:tblStylePr>
    <w:tblStylePr w:type="firstCol">
      <w:pPr>
        <w:keepNext w:val="0"/>
        <w:keepLines w:val="0"/>
        <w:pageBreakBefore w:val="0"/>
        <w:widowControl w:val="0"/>
        <w:suppressLineNumbers w:val="0"/>
        <w:suppressAutoHyphens w:val="0"/>
        <w:wordWrap/>
        <w:spacing w:before="40" w:beforeLines="0" w:beforeAutospacing="0" w:after="40" w:afterLines="0" w:afterAutospacing="0" w:line="240" w:lineRule="auto"/>
        <w:ind w:left="0" w:leftChars="0" w:right="0" w:rightChars="0"/>
      </w:pPr>
      <w:rPr>
        <w:rFonts w:ascii="Times New Roman" w:hAnsi="Times New Roman" w:eastAsia="宋体"/>
        <w:b w:val="0"/>
        <w:sz w:val="21"/>
      </w:rPr>
    </w:tblStylePr>
  </w:style>
  <w:style w:type="character" w:styleId="55">
    <w:name w:val="Strong"/>
    <w:basedOn w:val="54"/>
    <w:qFormat/>
    <w:uiPriority w:val="0"/>
  </w:style>
  <w:style w:type="character" w:styleId="56">
    <w:name w:val="page number"/>
    <w:basedOn w:val="54"/>
    <w:qFormat/>
    <w:uiPriority w:val="0"/>
  </w:style>
  <w:style w:type="character" w:styleId="57">
    <w:name w:val="FollowedHyperlink"/>
    <w:basedOn w:val="54"/>
    <w:unhideWhenUsed/>
    <w:qFormat/>
    <w:uiPriority w:val="99"/>
    <w:rPr>
      <w:color w:val="954F72"/>
      <w:u w:val="single"/>
    </w:rPr>
  </w:style>
  <w:style w:type="character" w:styleId="58">
    <w:name w:val="Emphasis"/>
    <w:qFormat/>
    <w:uiPriority w:val="0"/>
    <w:rPr>
      <w:rFonts w:ascii="Times New Roman" w:hAnsi="Times New Roman" w:eastAsia="宋体"/>
      <w:kern w:val="21"/>
      <w:sz w:val="21"/>
      <w:szCs w:val="21"/>
    </w:rPr>
  </w:style>
  <w:style w:type="character" w:styleId="59">
    <w:name w:val="HTML Definition"/>
    <w:basedOn w:val="54"/>
    <w:qFormat/>
    <w:uiPriority w:val="0"/>
  </w:style>
  <w:style w:type="character" w:styleId="60">
    <w:name w:val="HTML Variable"/>
    <w:basedOn w:val="54"/>
    <w:qFormat/>
    <w:uiPriority w:val="0"/>
  </w:style>
  <w:style w:type="character" w:styleId="61">
    <w:name w:val="Hyperlink"/>
    <w:basedOn w:val="54"/>
    <w:qFormat/>
    <w:uiPriority w:val="99"/>
    <w:rPr>
      <w:color w:val="0000FF"/>
      <w:u w:val="single"/>
    </w:rPr>
  </w:style>
  <w:style w:type="character" w:styleId="62">
    <w:name w:val="HTML Code"/>
    <w:basedOn w:val="54"/>
    <w:qFormat/>
    <w:uiPriority w:val="0"/>
    <w:rPr>
      <w:rFonts w:ascii="Courier New" w:hAnsi="Courier New"/>
      <w:sz w:val="20"/>
    </w:rPr>
  </w:style>
  <w:style w:type="character" w:styleId="63">
    <w:name w:val="annotation reference"/>
    <w:basedOn w:val="54"/>
    <w:qFormat/>
    <w:uiPriority w:val="0"/>
    <w:rPr>
      <w:sz w:val="21"/>
      <w:szCs w:val="21"/>
    </w:rPr>
  </w:style>
  <w:style w:type="character" w:styleId="64">
    <w:name w:val="HTML Cite"/>
    <w:basedOn w:val="54"/>
    <w:qFormat/>
    <w:uiPriority w:val="0"/>
  </w:style>
  <w:style w:type="character" w:styleId="65">
    <w:name w:val="footnote reference"/>
    <w:unhideWhenUsed/>
    <w:qFormat/>
    <w:uiPriority w:val="0"/>
    <w:rPr>
      <w:vertAlign w:val="superscript"/>
    </w:rPr>
  </w:style>
  <w:style w:type="character" w:styleId="66">
    <w:name w:val="HTML Sample"/>
    <w:basedOn w:val="54"/>
    <w:qFormat/>
    <w:uiPriority w:val="0"/>
    <w:rPr>
      <w:rFonts w:ascii="Courier New" w:hAnsi="Courier New" w:eastAsia="Courier New" w:cs="Courier New"/>
    </w:rPr>
  </w:style>
  <w:style w:type="character" w:customStyle="1" w:styleId="67">
    <w:name w:val="正文文本首行缩进 2 字符"/>
    <w:basedOn w:val="54"/>
    <w:link w:val="4"/>
    <w:qFormat/>
    <w:uiPriority w:val="0"/>
    <w:rPr>
      <w:rFonts w:eastAsiaTheme="minorEastAsia"/>
      <w:color w:val="000000" w:themeColor="text1"/>
      <w:spacing w:val="4"/>
      <w:kern w:val="2"/>
      <w:sz w:val="24"/>
      <w:szCs w:val="28"/>
      <w14:textFill>
        <w14:solidFill>
          <w14:schemeClr w14:val="tx1"/>
        </w14:solidFill>
      </w14:textFill>
    </w:rPr>
  </w:style>
  <w:style w:type="character" w:customStyle="1" w:styleId="68">
    <w:name w:val="标题 1 字符"/>
    <w:basedOn w:val="54"/>
    <w:link w:val="3"/>
    <w:qFormat/>
    <w:uiPriority w:val="9"/>
    <w:rPr>
      <w:rFonts w:ascii="Arial" w:hAnsi="Arial" w:eastAsia="黑体"/>
      <w:kern w:val="44"/>
      <w:sz w:val="32"/>
      <w:szCs w:val="36"/>
    </w:rPr>
  </w:style>
  <w:style w:type="character" w:customStyle="1" w:styleId="69">
    <w:name w:val="标题 2 字符"/>
    <w:basedOn w:val="54"/>
    <w:link w:val="5"/>
    <w:qFormat/>
    <w:uiPriority w:val="9"/>
    <w:rPr>
      <w:rFonts w:eastAsia="黑体"/>
      <w:kern w:val="2"/>
      <w:sz w:val="30"/>
      <w:szCs w:val="32"/>
    </w:rPr>
  </w:style>
  <w:style w:type="character" w:customStyle="1" w:styleId="70">
    <w:name w:val="标题 3 字符"/>
    <w:basedOn w:val="54"/>
    <w:link w:val="6"/>
    <w:qFormat/>
    <w:uiPriority w:val="9"/>
    <w:rPr>
      <w:rFonts w:eastAsia="黑体"/>
      <w:color w:val="000000" w:themeColor="text1"/>
      <w:kern w:val="2"/>
      <w:sz w:val="28"/>
      <w:szCs w:val="32"/>
      <w14:textFill>
        <w14:solidFill>
          <w14:schemeClr w14:val="tx1"/>
        </w14:solidFill>
      </w14:textFill>
    </w:rPr>
  </w:style>
  <w:style w:type="character" w:customStyle="1" w:styleId="71">
    <w:name w:val="标题 4 字符"/>
    <w:basedOn w:val="54"/>
    <w:link w:val="7"/>
    <w:qFormat/>
    <w:uiPriority w:val="9"/>
    <w:rPr>
      <w:rFonts w:ascii="Arial" w:hAnsi="Arial"/>
      <w:kern w:val="2"/>
      <w:sz w:val="24"/>
      <w:szCs w:val="28"/>
    </w:rPr>
  </w:style>
  <w:style w:type="character" w:customStyle="1" w:styleId="72">
    <w:name w:val="标题 5 字符"/>
    <w:basedOn w:val="54"/>
    <w:link w:val="8"/>
    <w:qFormat/>
    <w:uiPriority w:val="9"/>
    <w:rPr>
      <w:rFonts w:eastAsiaTheme="minorEastAsia"/>
      <w:color w:val="000000" w:themeColor="text1"/>
      <w:spacing w:val="4"/>
      <w:kern w:val="2"/>
      <w14:textFill>
        <w14:solidFill>
          <w14:schemeClr w14:val="tx1"/>
        </w14:solidFill>
      </w14:textFill>
    </w:rPr>
  </w:style>
  <w:style w:type="character" w:customStyle="1" w:styleId="73">
    <w:name w:val="标题 6 字符"/>
    <w:basedOn w:val="54"/>
    <w:link w:val="9"/>
    <w:qFormat/>
    <w:uiPriority w:val="9"/>
    <w:rPr>
      <w:rFonts w:eastAsiaTheme="minorEastAsia"/>
      <w:color w:val="000000" w:themeColor="text1"/>
      <w:spacing w:val="4"/>
      <w:kern w:val="2"/>
      <w:sz w:val="16"/>
      <w:szCs w:val="16"/>
      <w14:textFill>
        <w14:solidFill>
          <w14:schemeClr w14:val="tx1"/>
        </w14:solidFill>
      </w14:textFill>
    </w:rPr>
  </w:style>
  <w:style w:type="character" w:customStyle="1" w:styleId="74">
    <w:name w:val="标题 7 字符"/>
    <w:basedOn w:val="54"/>
    <w:link w:val="10"/>
    <w:qFormat/>
    <w:uiPriority w:val="9"/>
    <w:rPr>
      <w:rFonts w:eastAsiaTheme="minorEastAsia"/>
      <w:b/>
      <w:bCs/>
      <w:color w:val="000000" w:themeColor="text1"/>
      <w:spacing w:val="4"/>
      <w:kern w:val="2"/>
      <w:sz w:val="24"/>
      <w:szCs w:val="24"/>
      <w14:textFill>
        <w14:solidFill>
          <w14:schemeClr w14:val="tx1"/>
        </w14:solidFill>
      </w14:textFill>
    </w:rPr>
  </w:style>
  <w:style w:type="character" w:customStyle="1" w:styleId="75">
    <w:name w:val="标题 8 字符"/>
    <w:basedOn w:val="54"/>
    <w:link w:val="11"/>
    <w:qFormat/>
    <w:uiPriority w:val="9"/>
    <w:rPr>
      <w:rFonts w:ascii="Arial" w:hAnsi="Arial" w:eastAsia="黑体"/>
      <w:color w:val="000000" w:themeColor="text1"/>
      <w:spacing w:val="4"/>
      <w:kern w:val="2"/>
      <w:sz w:val="24"/>
      <w:szCs w:val="24"/>
      <w14:textFill>
        <w14:solidFill>
          <w14:schemeClr w14:val="tx1"/>
        </w14:solidFill>
      </w14:textFill>
    </w:rPr>
  </w:style>
  <w:style w:type="character" w:customStyle="1" w:styleId="76">
    <w:name w:val="标题 9 字符"/>
    <w:basedOn w:val="54"/>
    <w:link w:val="12"/>
    <w:qFormat/>
    <w:uiPriority w:val="9"/>
    <w:rPr>
      <w:rFonts w:ascii="Arial" w:hAnsi="Arial" w:eastAsia="黑体"/>
      <w:color w:val="000000" w:themeColor="text1"/>
      <w:spacing w:val="4"/>
      <w:kern w:val="2"/>
      <w:sz w:val="24"/>
      <w:szCs w:val="28"/>
      <w14:textFill>
        <w14:solidFill>
          <w14:schemeClr w14:val="tx1"/>
        </w14:solidFill>
      </w14:textFill>
    </w:rPr>
  </w:style>
  <w:style w:type="character" w:customStyle="1" w:styleId="77">
    <w:name w:val="题注 字符"/>
    <w:basedOn w:val="54"/>
    <w:link w:val="17"/>
    <w:qFormat/>
    <w:uiPriority w:val="0"/>
    <w:rPr>
      <w:rFonts w:eastAsia="黑体" w:cs="Times New Roman"/>
      <w:kern w:val="2"/>
      <w:sz w:val="24"/>
      <w:szCs w:val="28"/>
    </w:rPr>
  </w:style>
  <w:style w:type="character" w:customStyle="1" w:styleId="78">
    <w:name w:val="页脚 字符1"/>
    <w:basedOn w:val="54"/>
    <w:link w:val="34"/>
    <w:qFormat/>
    <w:uiPriority w:val="99"/>
    <w:rPr>
      <w:rFonts w:ascii="宋体" w:hAnsi="宋体"/>
      <w:color w:val="000000"/>
      <w:kern w:val="2"/>
      <w:sz w:val="18"/>
      <w:szCs w:val="18"/>
    </w:rPr>
  </w:style>
  <w:style w:type="character" w:customStyle="1" w:styleId="79">
    <w:name w:val="页眉 字符1"/>
    <w:link w:val="35"/>
    <w:qFormat/>
    <w:uiPriority w:val="0"/>
    <w:rPr>
      <w:rFonts w:ascii="宋体" w:hAnsi="宋体"/>
      <w:color w:val="000000"/>
      <w:kern w:val="2"/>
      <w:sz w:val="18"/>
      <w:szCs w:val="18"/>
    </w:rPr>
  </w:style>
  <w:style w:type="paragraph" w:customStyle="1" w:styleId="80">
    <w:name w:val="说明或注释"/>
    <w:next w:val="4"/>
    <w:qFormat/>
    <w:uiPriority w:val="0"/>
    <w:pPr>
      <w:adjustRightInd w:val="0"/>
      <w:snapToGrid w:val="0"/>
      <w:ind w:firstLine="200" w:firstLineChars="200"/>
    </w:pPr>
    <w:rPr>
      <w:rFonts w:ascii="Times New Roman" w:hAnsi="Times New Roman" w:eastAsia="楷体_GB2312" w:cs="Times New Roman"/>
      <w:kern w:val="2"/>
      <w:sz w:val="18"/>
      <w:szCs w:val="24"/>
      <w:lang w:val="en-US" w:eastAsia="zh-CN" w:bidi="ar-SA"/>
    </w:rPr>
  </w:style>
  <w:style w:type="paragraph" w:customStyle="1" w:styleId="81">
    <w:name w:val="单位"/>
    <w:next w:val="4"/>
    <w:link w:val="82"/>
    <w:qFormat/>
    <w:uiPriority w:val="0"/>
    <w:pPr>
      <w:keepNext/>
      <w:adjustRightInd w:val="0"/>
      <w:snapToGrid w:val="0"/>
      <w:spacing w:line="360" w:lineRule="auto"/>
      <w:ind w:right="50" w:rightChars="50"/>
      <w:jc w:val="right"/>
    </w:pPr>
    <w:rPr>
      <w:rFonts w:ascii="Times New Roman" w:hAnsi="Times New Roman" w:eastAsia="宋体" w:cs="Arial"/>
      <w:kern w:val="2"/>
      <w:sz w:val="21"/>
      <w:szCs w:val="24"/>
      <w:lang w:val="en-US" w:eastAsia="zh-CN" w:bidi="ar-SA"/>
    </w:rPr>
  </w:style>
  <w:style w:type="character" w:customStyle="1" w:styleId="82">
    <w:name w:val="单位 Char"/>
    <w:basedOn w:val="54"/>
    <w:link w:val="81"/>
    <w:qFormat/>
    <w:uiPriority w:val="0"/>
    <w:rPr>
      <w:rFonts w:eastAsia="宋体" w:cs="Arial"/>
      <w:kern w:val="2"/>
      <w:sz w:val="21"/>
      <w:szCs w:val="24"/>
      <w:lang w:val="en-US" w:eastAsia="zh-CN" w:bidi="ar-SA"/>
    </w:rPr>
  </w:style>
  <w:style w:type="paragraph" w:customStyle="1" w:styleId="83">
    <w:name w:val="需要修改"/>
    <w:basedOn w:val="4"/>
    <w:next w:val="4"/>
    <w:link w:val="84"/>
    <w:qFormat/>
    <w:uiPriority w:val="0"/>
    <w:rPr>
      <w:rFonts w:ascii="宋体" w:hAnsi="宋体"/>
      <w:color w:val="FF0000"/>
    </w:rPr>
  </w:style>
  <w:style w:type="character" w:customStyle="1" w:styleId="84">
    <w:name w:val="需要修改 Char Char"/>
    <w:basedOn w:val="67"/>
    <w:link w:val="83"/>
    <w:qFormat/>
    <w:uiPriority w:val="0"/>
    <w:rPr>
      <w:rFonts w:ascii="宋体" w:hAnsi="宋体" w:eastAsia="宋体"/>
      <w:color w:val="FF0000"/>
      <w:spacing w:val="4"/>
      <w:kern w:val="2"/>
      <w:sz w:val="24"/>
      <w:szCs w:val="28"/>
      <w:lang w:val="en-US" w:eastAsia="zh-CN" w:bidi="ar-SA"/>
    </w:rPr>
  </w:style>
  <w:style w:type="paragraph" w:customStyle="1" w:styleId="85">
    <w:name w:val="表中文字"/>
    <w:next w:val="1"/>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paragraph" w:customStyle="1" w:styleId="86">
    <w:name w:val="编章标题"/>
    <w:next w:val="4"/>
    <w:qFormat/>
    <w:uiPriority w:val="0"/>
    <w:pPr>
      <w:spacing w:before="300" w:after="300"/>
      <w:jc w:val="center"/>
    </w:pPr>
    <w:rPr>
      <w:rFonts w:ascii="Arial" w:hAnsi="Arial" w:eastAsia="黑体" w:cs="Times New Roman"/>
      <w:b/>
      <w:spacing w:val="20"/>
      <w:kern w:val="2"/>
      <w:sz w:val="52"/>
      <w:szCs w:val="44"/>
      <w:lang w:val="en-US" w:eastAsia="zh-CN" w:bidi="ar-SA"/>
    </w:rPr>
  </w:style>
  <w:style w:type="paragraph" w:customStyle="1" w:styleId="87">
    <w:name w:val="10图片"/>
    <w:basedOn w:val="1"/>
    <w:link w:val="88"/>
    <w:qFormat/>
    <w:uiPriority w:val="0"/>
    <w:pPr>
      <w:widowControl/>
      <w:jc w:val="center"/>
    </w:pPr>
    <w:rPr>
      <w:rFonts w:eastAsia="黑体" w:cstheme="minorBidi"/>
      <w:color w:val="auto"/>
      <w:szCs w:val="22"/>
    </w:rPr>
  </w:style>
  <w:style w:type="character" w:customStyle="1" w:styleId="88">
    <w:name w:val="10图片 字符"/>
    <w:basedOn w:val="54"/>
    <w:link w:val="87"/>
    <w:qFormat/>
    <w:uiPriority w:val="0"/>
    <w:rPr>
      <w:rFonts w:eastAsia="黑体" w:cstheme="minorBidi"/>
      <w:kern w:val="2"/>
      <w:sz w:val="21"/>
      <w:szCs w:val="22"/>
    </w:rPr>
  </w:style>
  <w:style w:type="paragraph" w:customStyle="1" w:styleId="89">
    <w:name w:val="13表下注"/>
    <w:basedOn w:val="1"/>
    <w:link w:val="90"/>
    <w:qFormat/>
    <w:uiPriority w:val="0"/>
    <w:pPr>
      <w:widowControl/>
      <w:jc w:val="left"/>
    </w:pPr>
    <w:rPr>
      <w:rFonts w:eastAsia="仿宋_GB2312" w:cstheme="minorBidi"/>
      <w:color w:val="auto"/>
      <w:szCs w:val="22"/>
    </w:rPr>
  </w:style>
  <w:style w:type="character" w:customStyle="1" w:styleId="90">
    <w:name w:val="13表下注 字符"/>
    <w:basedOn w:val="54"/>
    <w:link w:val="89"/>
    <w:qFormat/>
    <w:uiPriority w:val="0"/>
    <w:rPr>
      <w:rFonts w:eastAsia="仿宋_GB2312" w:cstheme="minorBidi"/>
      <w:kern w:val="2"/>
      <w:sz w:val="21"/>
      <w:szCs w:val="22"/>
    </w:rPr>
  </w:style>
  <w:style w:type="paragraph" w:customStyle="1" w:styleId="91">
    <w:name w:val="Default"/>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character" w:customStyle="1" w:styleId="92">
    <w:name w:val="批注文字 字符"/>
    <w:basedOn w:val="54"/>
    <w:link w:val="20"/>
    <w:qFormat/>
    <w:uiPriority w:val="0"/>
    <w:rPr>
      <w:rFonts w:ascii="宋体" w:hAnsi="宋体"/>
      <w:color w:val="000000"/>
      <w:kern w:val="2"/>
      <w:sz w:val="21"/>
      <w:szCs w:val="21"/>
    </w:rPr>
  </w:style>
  <w:style w:type="character" w:customStyle="1" w:styleId="93">
    <w:name w:val="批注主题 字符"/>
    <w:basedOn w:val="92"/>
    <w:link w:val="49"/>
    <w:qFormat/>
    <w:uiPriority w:val="0"/>
    <w:rPr>
      <w:rFonts w:ascii="宋体" w:hAnsi="宋体"/>
      <w:b/>
      <w:bCs/>
      <w:color w:val="000000"/>
      <w:kern w:val="2"/>
      <w:sz w:val="21"/>
      <w:szCs w:val="21"/>
    </w:rPr>
  </w:style>
  <w:style w:type="paragraph" w:customStyle="1" w:styleId="94">
    <w:name w:val="09表格文字"/>
    <w:basedOn w:val="1"/>
    <w:next w:val="1"/>
    <w:qFormat/>
    <w:uiPriority w:val="0"/>
    <w:pPr>
      <w:jc w:val="center"/>
    </w:pPr>
    <w:rPr>
      <w:color w:val="auto"/>
      <w:spacing w:val="6"/>
    </w:rPr>
  </w:style>
  <w:style w:type="paragraph" w:styleId="95">
    <w:name w:val="List Paragraph"/>
    <w:basedOn w:val="1"/>
    <w:qFormat/>
    <w:uiPriority w:val="34"/>
    <w:pPr>
      <w:ind w:firstLine="420"/>
    </w:pPr>
  </w:style>
  <w:style w:type="paragraph" w:customStyle="1" w:styleId="96">
    <w:name w:val="1级标题"/>
    <w:basedOn w:val="1"/>
    <w:next w:val="97"/>
    <w:link w:val="104"/>
    <w:qFormat/>
    <w:uiPriority w:val="0"/>
    <w:pPr>
      <w:numPr>
        <w:ilvl w:val="0"/>
        <w:numId w:val="3"/>
      </w:numPr>
      <w:spacing w:line="360" w:lineRule="auto"/>
      <w:jc w:val="left"/>
      <w:outlineLvl w:val="0"/>
    </w:pPr>
    <w:rPr>
      <w:rFonts w:eastAsia="黑体" w:cstheme="minorBidi"/>
      <w:color w:val="auto"/>
      <w:sz w:val="32"/>
    </w:rPr>
  </w:style>
  <w:style w:type="paragraph" w:customStyle="1" w:styleId="97">
    <w:name w:val="文本正文"/>
    <w:basedOn w:val="1"/>
    <w:link w:val="98"/>
    <w:qFormat/>
    <w:uiPriority w:val="0"/>
    <w:pPr>
      <w:spacing w:line="360" w:lineRule="auto"/>
      <w:ind w:firstLine="200"/>
    </w:pPr>
    <w:rPr>
      <w:rFonts w:eastAsia="黑体" w:cstheme="minorBidi"/>
      <w:color w:val="auto"/>
    </w:rPr>
  </w:style>
  <w:style w:type="character" w:customStyle="1" w:styleId="98">
    <w:name w:val="文本正文 字符"/>
    <w:basedOn w:val="99"/>
    <w:link w:val="97"/>
    <w:qFormat/>
    <w:uiPriority w:val="0"/>
    <w:rPr>
      <w:rFonts w:eastAsia="黑体" w:cstheme="minorBidi"/>
      <w:b w:val="0"/>
      <w:spacing w:val="4"/>
      <w:kern w:val="2"/>
      <w:sz w:val="24"/>
      <w:szCs w:val="21"/>
    </w:rPr>
  </w:style>
  <w:style w:type="character" w:customStyle="1" w:styleId="99">
    <w:name w:val="图片尾 字符"/>
    <w:basedOn w:val="100"/>
    <w:link w:val="109"/>
    <w:qFormat/>
    <w:uiPriority w:val="0"/>
    <w:rPr>
      <w:rFonts w:eastAsia="黑体" w:cstheme="minorBidi"/>
      <w:spacing w:val="4"/>
      <w:kern w:val="2"/>
      <w:sz w:val="24"/>
      <w:szCs w:val="21"/>
    </w:rPr>
  </w:style>
  <w:style w:type="character" w:customStyle="1" w:styleId="100">
    <w:name w:val="表头 字符"/>
    <w:basedOn w:val="101"/>
    <w:link w:val="108"/>
    <w:qFormat/>
    <w:uiPriority w:val="0"/>
    <w:rPr>
      <w:rFonts w:eastAsia="黑体" w:cstheme="minorBidi"/>
      <w:b/>
      <w:spacing w:val="4"/>
      <w:kern w:val="2"/>
      <w:sz w:val="24"/>
      <w:szCs w:val="21"/>
    </w:rPr>
  </w:style>
  <w:style w:type="character" w:customStyle="1" w:styleId="101">
    <w:name w:val="4级标题 字符"/>
    <w:basedOn w:val="102"/>
    <w:link w:val="107"/>
    <w:qFormat/>
    <w:uiPriority w:val="0"/>
    <w:rPr>
      <w:rFonts w:eastAsia="黑体" w:cstheme="minorBidi"/>
      <w:spacing w:val="4"/>
      <w:kern w:val="2"/>
      <w:sz w:val="24"/>
      <w:szCs w:val="28"/>
    </w:rPr>
  </w:style>
  <w:style w:type="character" w:customStyle="1" w:styleId="102">
    <w:name w:val="3级标题 字符"/>
    <w:basedOn w:val="103"/>
    <w:link w:val="106"/>
    <w:qFormat/>
    <w:uiPriority w:val="0"/>
    <w:rPr>
      <w:rFonts w:eastAsia="黑体" w:cstheme="minorBidi"/>
      <w:spacing w:val="4"/>
      <w:kern w:val="2"/>
      <w:sz w:val="24"/>
      <w:szCs w:val="28"/>
    </w:rPr>
  </w:style>
  <w:style w:type="character" w:customStyle="1" w:styleId="103">
    <w:name w:val="2级标题 字符"/>
    <w:basedOn w:val="104"/>
    <w:link w:val="105"/>
    <w:qFormat/>
    <w:uiPriority w:val="0"/>
    <w:rPr>
      <w:rFonts w:eastAsia="黑体" w:cstheme="minorBidi"/>
      <w:spacing w:val="4"/>
      <w:kern w:val="2"/>
      <w:sz w:val="30"/>
      <w:szCs w:val="28"/>
    </w:rPr>
  </w:style>
  <w:style w:type="character" w:customStyle="1" w:styleId="104">
    <w:name w:val="1级标题 字符"/>
    <w:basedOn w:val="54"/>
    <w:link w:val="96"/>
    <w:qFormat/>
    <w:uiPriority w:val="0"/>
    <w:rPr>
      <w:rFonts w:eastAsia="黑体" w:cstheme="minorBidi"/>
      <w:spacing w:val="4"/>
      <w:kern w:val="2"/>
      <w:sz w:val="32"/>
      <w:szCs w:val="28"/>
    </w:rPr>
  </w:style>
  <w:style w:type="paragraph" w:customStyle="1" w:styleId="105">
    <w:name w:val="2级标题"/>
    <w:basedOn w:val="1"/>
    <w:next w:val="97"/>
    <w:link w:val="103"/>
    <w:qFormat/>
    <w:uiPriority w:val="0"/>
    <w:pPr>
      <w:numPr>
        <w:ilvl w:val="1"/>
        <w:numId w:val="3"/>
      </w:numPr>
      <w:spacing w:before="120" w:after="120"/>
      <w:jc w:val="left"/>
      <w:outlineLvl w:val="1"/>
    </w:pPr>
    <w:rPr>
      <w:rFonts w:eastAsia="黑体" w:cstheme="minorBidi"/>
      <w:color w:val="auto"/>
      <w:sz w:val="30"/>
    </w:rPr>
  </w:style>
  <w:style w:type="paragraph" w:customStyle="1" w:styleId="106">
    <w:name w:val="3级标题"/>
    <w:basedOn w:val="1"/>
    <w:next w:val="97"/>
    <w:link w:val="102"/>
    <w:qFormat/>
    <w:uiPriority w:val="0"/>
    <w:pPr>
      <w:numPr>
        <w:ilvl w:val="2"/>
        <w:numId w:val="3"/>
      </w:numPr>
      <w:spacing w:line="360" w:lineRule="auto"/>
      <w:jc w:val="left"/>
      <w:outlineLvl w:val="2"/>
    </w:pPr>
    <w:rPr>
      <w:rFonts w:eastAsia="黑体" w:cstheme="minorBidi"/>
      <w:color w:val="auto"/>
    </w:rPr>
  </w:style>
  <w:style w:type="paragraph" w:customStyle="1" w:styleId="107">
    <w:name w:val="4级标题"/>
    <w:basedOn w:val="1"/>
    <w:next w:val="97"/>
    <w:link w:val="101"/>
    <w:qFormat/>
    <w:uiPriority w:val="0"/>
    <w:pPr>
      <w:numPr>
        <w:ilvl w:val="3"/>
        <w:numId w:val="3"/>
      </w:numPr>
      <w:spacing w:line="360" w:lineRule="auto"/>
      <w:jc w:val="left"/>
      <w:outlineLvl w:val="3"/>
    </w:pPr>
    <w:rPr>
      <w:rFonts w:eastAsia="黑体" w:cstheme="minorBidi"/>
      <w:color w:val="auto"/>
    </w:rPr>
  </w:style>
  <w:style w:type="paragraph" w:customStyle="1" w:styleId="108">
    <w:name w:val="表头"/>
    <w:basedOn w:val="1"/>
    <w:next w:val="97"/>
    <w:link w:val="100"/>
    <w:qFormat/>
    <w:uiPriority w:val="0"/>
    <w:pPr>
      <w:spacing w:before="50" w:beforeLines="50"/>
      <w:jc w:val="center"/>
    </w:pPr>
    <w:rPr>
      <w:rFonts w:eastAsia="黑体" w:cstheme="minorBidi"/>
      <w:b/>
      <w:color w:val="auto"/>
    </w:rPr>
  </w:style>
  <w:style w:type="paragraph" w:customStyle="1" w:styleId="109">
    <w:name w:val="图片尾"/>
    <w:basedOn w:val="108"/>
    <w:link w:val="99"/>
    <w:qFormat/>
    <w:uiPriority w:val="0"/>
  </w:style>
  <w:style w:type="paragraph" w:customStyle="1" w:styleId="110">
    <w:name w:val="表格头"/>
    <w:basedOn w:val="108"/>
    <w:link w:val="111"/>
    <w:qFormat/>
    <w:uiPriority w:val="0"/>
  </w:style>
  <w:style w:type="character" w:customStyle="1" w:styleId="111">
    <w:name w:val="表格头 字符"/>
    <w:basedOn w:val="100"/>
    <w:link w:val="110"/>
    <w:qFormat/>
    <w:uiPriority w:val="0"/>
    <w:rPr>
      <w:rFonts w:eastAsia="黑体" w:cstheme="minorBidi"/>
      <w:spacing w:val="4"/>
      <w:kern w:val="2"/>
      <w:sz w:val="24"/>
      <w:szCs w:val="21"/>
    </w:rPr>
  </w:style>
  <w:style w:type="paragraph" w:customStyle="1" w:styleId="112">
    <w:name w:val="图片文字"/>
    <w:basedOn w:val="1"/>
    <w:next w:val="97"/>
    <w:link w:val="113"/>
    <w:qFormat/>
    <w:uiPriority w:val="0"/>
    <w:pPr>
      <w:jc w:val="center"/>
    </w:pPr>
    <w:rPr>
      <w:rFonts w:eastAsia="黑体" w:cstheme="minorBidi"/>
      <w:b/>
      <w:color w:val="auto"/>
    </w:rPr>
  </w:style>
  <w:style w:type="character" w:customStyle="1" w:styleId="113">
    <w:name w:val="图片文字 字符"/>
    <w:basedOn w:val="111"/>
    <w:link w:val="112"/>
    <w:qFormat/>
    <w:uiPriority w:val="0"/>
    <w:rPr>
      <w:rFonts w:eastAsia="黑体" w:cstheme="minorBidi"/>
      <w:spacing w:val="4"/>
      <w:kern w:val="2"/>
      <w:sz w:val="24"/>
      <w:szCs w:val="21"/>
    </w:rPr>
  </w:style>
  <w:style w:type="character" w:customStyle="1" w:styleId="114">
    <w:name w:val="页眉 字符"/>
    <w:basedOn w:val="54"/>
    <w:qFormat/>
    <w:uiPriority w:val="99"/>
    <w:rPr>
      <w:sz w:val="18"/>
      <w:szCs w:val="18"/>
    </w:rPr>
  </w:style>
  <w:style w:type="character" w:customStyle="1" w:styleId="115">
    <w:name w:val="页脚 字符"/>
    <w:basedOn w:val="54"/>
    <w:qFormat/>
    <w:uiPriority w:val="99"/>
    <w:rPr>
      <w:sz w:val="18"/>
      <w:szCs w:val="18"/>
    </w:rPr>
  </w:style>
  <w:style w:type="paragraph" w:customStyle="1" w:styleId="116">
    <w:name w:val="KZ 签字页"/>
    <w:basedOn w:val="1"/>
    <w:link w:val="117"/>
    <w:qFormat/>
    <w:uiPriority w:val="0"/>
    <w:pPr>
      <w:tabs>
        <w:tab w:val="left" w:pos="6521"/>
        <w:tab w:val="left" w:pos="6663"/>
      </w:tabs>
      <w:adjustRightInd w:val="0"/>
      <w:snapToGrid w:val="0"/>
      <w:spacing w:line="360" w:lineRule="auto"/>
      <w:ind w:firstLine="1511" w:firstLineChars="600"/>
    </w:pPr>
    <w:rPr>
      <w:rFonts w:eastAsia="黑体"/>
      <w:color w:val="auto"/>
      <w:sz w:val="28"/>
      <w:lang w:val="zh-CN"/>
    </w:rPr>
  </w:style>
  <w:style w:type="character" w:customStyle="1" w:styleId="117">
    <w:name w:val="KZ 签字页 Char"/>
    <w:link w:val="116"/>
    <w:qFormat/>
    <w:uiPriority w:val="0"/>
    <w:rPr>
      <w:rFonts w:ascii="宋体" w:hAnsi="宋体" w:eastAsia="黑体"/>
      <w:kern w:val="2"/>
      <w:sz w:val="28"/>
      <w:szCs w:val="28"/>
      <w:lang w:val="zh-CN" w:eastAsia="zh-CN"/>
    </w:rPr>
  </w:style>
  <w:style w:type="paragraph" w:customStyle="1" w:styleId="118">
    <w:name w:val="正文1"/>
    <w:basedOn w:val="1"/>
    <w:link w:val="119"/>
    <w:qFormat/>
    <w:uiPriority w:val="0"/>
    <w:pPr>
      <w:ind w:firstLine="504"/>
    </w:pPr>
    <w:rPr>
      <w:color w:val="auto"/>
      <w:lang w:val="zh-CN"/>
    </w:rPr>
  </w:style>
  <w:style w:type="character" w:customStyle="1" w:styleId="119">
    <w:name w:val="正文1 Char"/>
    <w:link w:val="118"/>
    <w:qFormat/>
    <w:uiPriority w:val="0"/>
    <w:rPr>
      <w:kern w:val="2"/>
      <w:sz w:val="24"/>
      <w:szCs w:val="21"/>
      <w:lang w:val="zh-CN" w:eastAsia="zh-CN"/>
    </w:rPr>
  </w:style>
  <w:style w:type="paragraph" w:customStyle="1" w:styleId="120">
    <w:name w:val="TOC 标题1"/>
    <w:basedOn w:val="3"/>
    <w:next w:val="1"/>
    <w:unhideWhenUsed/>
    <w:qFormat/>
    <w:uiPriority w:val="39"/>
    <w:pPr>
      <w:keepNext/>
      <w:keepLines/>
      <w:pageBreakBefore w:val="0"/>
      <w:widowControl/>
      <w:numPr>
        <w:numId w:val="0"/>
      </w:numPr>
      <w:spacing w:before="240" w:line="259" w:lineRule="auto"/>
      <w:outlineLvl w:val="9"/>
    </w:pPr>
    <w:rPr>
      <w:rFonts w:asciiTheme="majorHAnsi" w:hAnsiTheme="majorHAnsi" w:eastAsiaTheme="majorEastAsia" w:cstheme="majorBidi"/>
      <w:color w:val="376092" w:themeColor="accent1" w:themeShade="BF"/>
      <w:kern w:val="0"/>
      <w:szCs w:val="32"/>
    </w:rPr>
  </w:style>
  <w:style w:type="paragraph" w:customStyle="1" w:styleId="121">
    <w:name w:val="表格内容"/>
    <w:basedOn w:val="97"/>
    <w:link w:val="122"/>
    <w:qFormat/>
    <w:uiPriority w:val="0"/>
    <w:pPr>
      <w:widowControl/>
      <w:adjustRightInd w:val="0"/>
      <w:snapToGrid w:val="0"/>
      <w:spacing w:line="240" w:lineRule="auto"/>
      <w:ind w:firstLine="0" w:firstLineChars="0"/>
      <w:jc w:val="center"/>
    </w:pPr>
    <w:rPr>
      <w:rFonts w:cs="宋体"/>
      <w:color w:val="000000"/>
      <w:sz w:val="21"/>
      <w:szCs w:val="22"/>
    </w:rPr>
  </w:style>
  <w:style w:type="character" w:customStyle="1" w:styleId="122">
    <w:name w:val="表格内容 字符"/>
    <w:basedOn w:val="98"/>
    <w:link w:val="121"/>
    <w:qFormat/>
    <w:uiPriority w:val="0"/>
    <w:rPr>
      <w:rFonts w:eastAsia="黑体" w:cs="宋体"/>
      <w:color w:val="000000"/>
      <w:spacing w:val="4"/>
      <w:kern w:val="2"/>
      <w:sz w:val="21"/>
      <w:szCs w:val="22"/>
    </w:rPr>
  </w:style>
  <w:style w:type="paragraph" w:customStyle="1" w:styleId="123">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auto"/>
      <w:spacing w:val="0"/>
      <w:kern w:val="0"/>
      <w:szCs w:val="24"/>
    </w:rPr>
  </w:style>
  <w:style w:type="paragraph" w:customStyle="1" w:styleId="124">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color w:val="auto"/>
      <w:spacing w:val="0"/>
      <w:kern w:val="0"/>
      <w:sz w:val="18"/>
      <w:szCs w:val="18"/>
    </w:rPr>
  </w:style>
  <w:style w:type="paragraph" w:customStyle="1" w:styleId="12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auto"/>
      <w:spacing w:val="0"/>
      <w:kern w:val="0"/>
      <w:szCs w:val="24"/>
    </w:rPr>
  </w:style>
  <w:style w:type="paragraph" w:customStyle="1" w:styleId="12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auto"/>
      <w:spacing w:val="0"/>
      <w:kern w:val="0"/>
      <w:szCs w:val="24"/>
    </w:rPr>
  </w:style>
  <w:style w:type="paragraph" w:customStyle="1" w:styleId="12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auto"/>
      <w:spacing w:val="0"/>
      <w:kern w:val="0"/>
      <w:szCs w:val="24"/>
    </w:rPr>
  </w:style>
  <w:style w:type="paragraph" w:customStyle="1" w:styleId="12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auto"/>
      <w:spacing w:val="0"/>
      <w:kern w:val="0"/>
      <w:szCs w:val="24"/>
    </w:rPr>
  </w:style>
  <w:style w:type="paragraph" w:customStyle="1" w:styleId="12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auto"/>
      <w:spacing w:val="0"/>
      <w:kern w:val="0"/>
      <w:szCs w:val="24"/>
    </w:rPr>
  </w:style>
  <w:style w:type="paragraph" w:customStyle="1" w:styleId="13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auto"/>
      <w:spacing w:val="0"/>
      <w:kern w:val="0"/>
      <w:szCs w:val="24"/>
    </w:rPr>
  </w:style>
  <w:style w:type="paragraph" w:customStyle="1" w:styleId="1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auto"/>
      <w:spacing w:val="0"/>
      <w:kern w:val="0"/>
      <w:szCs w:val="24"/>
    </w:rPr>
  </w:style>
  <w:style w:type="paragraph" w:customStyle="1" w:styleId="13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auto"/>
      <w:spacing w:val="0"/>
      <w:kern w:val="0"/>
      <w:szCs w:val="24"/>
    </w:rPr>
  </w:style>
  <w:style w:type="paragraph" w:customStyle="1" w:styleId="13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auto"/>
      <w:spacing w:val="0"/>
      <w:kern w:val="0"/>
      <w:szCs w:val="24"/>
    </w:rPr>
  </w:style>
  <w:style w:type="paragraph" w:customStyle="1" w:styleId="13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auto"/>
      <w:spacing w:val="0"/>
      <w:kern w:val="0"/>
      <w:szCs w:val="24"/>
    </w:rPr>
  </w:style>
  <w:style w:type="paragraph" w:customStyle="1" w:styleId="13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auto"/>
      <w:spacing w:val="0"/>
      <w:kern w:val="0"/>
      <w:szCs w:val="24"/>
    </w:rPr>
  </w:style>
  <w:style w:type="paragraph" w:customStyle="1" w:styleId="136">
    <w:name w:val="TOC 标题11"/>
    <w:basedOn w:val="3"/>
    <w:next w:val="1"/>
    <w:unhideWhenUsed/>
    <w:qFormat/>
    <w:uiPriority w:val="39"/>
    <w:pPr>
      <w:keepNext/>
      <w:keepLines/>
      <w:pageBreakBefore w:val="0"/>
      <w:widowControl/>
      <w:numPr>
        <w:numId w:val="0"/>
      </w:numPr>
      <w:spacing w:before="240" w:line="259" w:lineRule="auto"/>
      <w:outlineLvl w:val="9"/>
    </w:pPr>
    <w:rPr>
      <w:rFonts w:asciiTheme="majorHAnsi" w:hAnsiTheme="majorHAnsi" w:eastAsiaTheme="majorEastAsia" w:cstheme="majorBidi"/>
      <w:color w:val="376092" w:themeColor="accent1" w:themeShade="BF"/>
      <w:kern w:val="0"/>
      <w:szCs w:val="32"/>
    </w:rPr>
  </w:style>
  <w:style w:type="character" w:customStyle="1" w:styleId="137">
    <w:name w:val="font21"/>
    <w:basedOn w:val="54"/>
    <w:qFormat/>
    <w:uiPriority w:val="0"/>
    <w:rPr>
      <w:rFonts w:hint="eastAsia" w:ascii="宋体" w:hAnsi="宋体" w:eastAsia="宋体" w:cs="宋体"/>
      <w:color w:val="000000"/>
      <w:sz w:val="20"/>
      <w:szCs w:val="20"/>
      <w:u w:val="none"/>
      <w:vertAlign w:val="superscript"/>
    </w:rPr>
  </w:style>
  <w:style w:type="character" w:customStyle="1" w:styleId="138">
    <w:name w:val="font01"/>
    <w:basedOn w:val="54"/>
    <w:qFormat/>
    <w:uiPriority w:val="0"/>
    <w:rPr>
      <w:rFonts w:hint="eastAsia" w:ascii="宋体" w:hAnsi="宋体" w:eastAsia="宋体" w:cs="宋体"/>
      <w:color w:val="000000"/>
      <w:sz w:val="20"/>
      <w:szCs w:val="20"/>
      <w:u w:val="none"/>
    </w:rPr>
  </w:style>
  <w:style w:type="character" w:customStyle="1" w:styleId="139">
    <w:name w:val="font51"/>
    <w:basedOn w:val="54"/>
    <w:qFormat/>
    <w:uiPriority w:val="0"/>
    <w:rPr>
      <w:rFonts w:hint="eastAsia" w:ascii="宋体" w:hAnsi="宋体" w:eastAsia="宋体" w:cs="宋体"/>
      <w:color w:val="000000"/>
      <w:sz w:val="22"/>
      <w:szCs w:val="22"/>
      <w:u w:val="none"/>
    </w:rPr>
  </w:style>
  <w:style w:type="character" w:customStyle="1" w:styleId="140">
    <w:name w:val="font61"/>
    <w:basedOn w:val="54"/>
    <w:qFormat/>
    <w:uiPriority w:val="0"/>
    <w:rPr>
      <w:rFonts w:hint="default" w:ascii="Times New Roman" w:hAnsi="Times New Roman" w:cs="Times New Roman"/>
      <w:color w:val="000000"/>
      <w:sz w:val="22"/>
      <w:szCs w:val="22"/>
      <w:u w:val="none"/>
    </w:rPr>
  </w:style>
  <w:style w:type="character" w:customStyle="1" w:styleId="141">
    <w:name w:val="x-tab-strip-text"/>
    <w:basedOn w:val="54"/>
    <w:qFormat/>
    <w:uiPriority w:val="0"/>
    <w:rPr>
      <w:b/>
      <w:color w:val="15428B"/>
    </w:rPr>
  </w:style>
  <w:style w:type="character" w:customStyle="1" w:styleId="142">
    <w:name w:val="x-tab-strip-text1"/>
    <w:basedOn w:val="54"/>
    <w:qFormat/>
    <w:uiPriority w:val="0"/>
    <w:rPr>
      <w:rFonts w:ascii="Tahoma" w:hAnsi="Tahoma" w:eastAsia="Tahoma" w:cs="Tahoma"/>
      <w:color w:val="416AA3"/>
      <w:sz w:val="12"/>
      <w:szCs w:val="12"/>
    </w:rPr>
  </w:style>
  <w:style w:type="character" w:customStyle="1" w:styleId="143">
    <w:name w:val="x-tab-strip-text2"/>
    <w:basedOn w:val="54"/>
    <w:qFormat/>
    <w:uiPriority w:val="0"/>
  </w:style>
  <w:style w:type="character" w:customStyle="1" w:styleId="144">
    <w:name w:val="x-tab-strip-text3"/>
    <w:basedOn w:val="54"/>
    <w:qFormat/>
    <w:uiPriority w:val="0"/>
  </w:style>
  <w:style w:type="character" w:customStyle="1" w:styleId="145">
    <w:name w:val="x-tab-strip-text4"/>
    <w:basedOn w:val="54"/>
    <w:qFormat/>
    <w:uiPriority w:val="0"/>
  </w:style>
  <w:style w:type="character" w:customStyle="1" w:styleId="146">
    <w:name w:val="x-tab-strip-text5"/>
    <w:basedOn w:val="54"/>
    <w:qFormat/>
    <w:uiPriority w:val="0"/>
    <w:rPr>
      <w:color w:val="15428B"/>
    </w:rPr>
  </w:style>
  <w:style w:type="character" w:customStyle="1" w:styleId="147">
    <w:name w:val="ui-icon20"/>
    <w:basedOn w:val="54"/>
    <w:qFormat/>
    <w:uiPriority w:val="0"/>
  </w:style>
  <w:style w:type="character" w:customStyle="1" w:styleId="148">
    <w:name w:val="font31"/>
    <w:basedOn w:val="54"/>
    <w:qFormat/>
    <w:uiPriority w:val="0"/>
    <w:rPr>
      <w:rFonts w:hint="default" w:ascii="Times New Roman" w:hAnsi="Times New Roman" w:cs="Times New Roman"/>
      <w:color w:val="000000"/>
      <w:sz w:val="22"/>
      <w:szCs w:val="22"/>
      <w:u w:val="none"/>
    </w:rPr>
  </w:style>
  <w:style w:type="character" w:customStyle="1" w:styleId="149">
    <w:name w:val="font11"/>
    <w:basedOn w:val="54"/>
    <w:qFormat/>
    <w:uiPriority w:val="0"/>
    <w:rPr>
      <w:rFonts w:hint="eastAsia" w:ascii="宋体" w:hAnsi="宋体" w:eastAsia="宋体" w:cs="宋体"/>
      <w:color w:val="000000"/>
      <w:sz w:val="18"/>
      <w:szCs w:val="18"/>
      <w:u w:val="none"/>
    </w:rPr>
  </w:style>
  <w:style w:type="character" w:customStyle="1" w:styleId="150">
    <w:name w:val="font71"/>
    <w:basedOn w:val="54"/>
    <w:qFormat/>
    <w:uiPriority w:val="0"/>
    <w:rPr>
      <w:rFonts w:hint="default" w:ascii="Times New Roman" w:hAnsi="Times New Roman" w:cs="Times New Roman"/>
      <w:color w:val="000000"/>
      <w:sz w:val="18"/>
      <w:szCs w:val="18"/>
      <w:u w:val="none"/>
    </w:rPr>
  </w:style>
  <w:style w:type="paragraph" w:customStyle="1" w:styleId="151">
    <w:name w:val="SB标题1-lxy"/>
    <w:basedOn w:val="95"/>
    <w:qFormat/>
    <w:uiPriority w:val="0"/>
    <w:pPr>
      <w:numPr>
        <w:ilvl w:val="0"/>
        <w:numId w:val="4"/>
      </w:numPr>
      <w:spacing w:before="240" w:after="240" w:line="240" w:lineRule="auto"/>
      <w:ind w:firstLine="0" w:firstLineChars="0"/>
      <w:jc w:val="center"/>
      <w:outlineLvl w:val="0"/>
    </w:pPr>
    <w:rPr>
      <w:rFonts w:eastAsia="黑体" w:cstheme="minorBidi"/>
      <w:color w:val="auto"/>
      <w:spacing w:val="0"/>
      <w:sz w:val="32"/>
      <w:szCs w:val="22"/>
    </w:rPr>
  </w:style>
  <w:style w:type="paragraph" w:customStyle="1" w:styleId="152">
    <w:name w:val="SB标题2-lxy"/>
    <w:basedOn w:val="151"/>
    <w:qFormat/>
    <w:uiPriority w:val="0"/>
    <w:pPr>
      <w:numPr>
        <w:ilvl w:val="1"/>
      </w:numPr>
      <w:jc w:val="left"/>
      <w:outlineLvl w:val="1"/>
    </w:pPr>
    <w:rPr>
      <w:rFonts w:eastAsia="宋体"/>
      <w:b/>
      <w:sz w:val="28"/>
    </w:rPr>
  </w:style>
  <w:style w:type="paragraph" w:customStyle="1" w:styleId="153">
    <w:name w:val="SB标题3-lxy"/>
    <w:basedOn w:val="152"/>
    <w:qFormat/>
    <w:uiPriority w:val="0"/>
    <w:pPr>
      <w:numPr>
        <w:ilvl w:val="2"/>
      </w:numPr>
      <w:outlineLvl w:val="2"/>
    </w:pPr>
    <w:rPr>
      <w:sz w:val="24"/>
    </w:rPr>
  </w:style>
  <w:style w:type="paragraph" w:customStyle="1" w:styleId="154">
    <w:name w:val="SB正文"/>
    <w:basedOn w:val="1"/>
    <w:link w:val="155"/>
    <w:qFormat/>
    <w:uiPriority w:val="0"/>
    <w:pPr>
      <w:spacing w:before="62" w:after="62" w:line="360" w:lineRule="auto"/>
      <w:ind w:firstLine="480"/>
    </w:pPr>
    <w:rPr>
      <w:rFonts w:eastAsia="宋体" w:cs="宋体"/>
      <w:color w:val="auto"/>
      <w:spacing w:val="0"/>
      <w:szCs w:val="20"/>
    </w:rPr>
  </w:style>
  <w:style w:type="character" w:customStyle="1" w:styleId="155">
    <w:name w:val="SB正文 Char"/>
    <w:basedOn w:val="54"/>
    <w:link w:val="154"/>
    <w:qFormat/>
    <w:uiPriority w:val="0"/>
    <w:rPr>
      <w:rFonts w:cs="宋体"/>
      <w:kern w:val="2"/>
      <w:sz w:val="24"/>
    </w:rPr>
  </w:style>
  <w:style w:type="paragraph" w:customStyle="1" w:styleId="156">
    <w:name w:val="SB标题4"/>
    <w:basedOn w:val="153"/>
    <w:qFormat/>
    <w:uiPriority w:val="0"/>
    <w:pPr>
      <w:numPr>
        <w:ilvl w:val="3"/>
      </w:numPr>
      <w:ind w:left="0" w:hanging="709" w:hangingChars="338"/>
      <w:outlineLvl w:val="3"/>
    </w:pPr>
    <w:rPr>
      <w:b w:val="0"/>
      <w:szCs w:val="24"/>
    </w:rPr>
  </w:style>
  <w:style w:type="paragraph" w:customStyle="1" w:styleId="157">
    <w:name w:val="YRG表格内容"/>
    <w:basedOn w:val="1"/>
    <w:link w:val="158"/>
    <w:qFormat/>
    <w:uiPriority w:val="0"/>
    <w:pPr>
      <w:widowControl/>
      <w:adjustRightInd w:val="0"/>
      <w:snapToGrid w:val="0"/>
      <w:spacing w:line="240" w:lineRule="auto"/>
      <w:ind w:firstLine="0" w:firstLineChars="0"/>
      <w:jc w:val="center"/>
    </w:pPr>
    <w:rPr>
      <w:rFonts w:eastAsia="宋体"/>
      <w:snapToGrid w:val="0"/>
      <w:color w:val="auto"/>
      <w:spacing w:val="0"/>
      <w:kern w:val="0"/>
      <w:sz w:val="20"/>
      <w:szCs w:val="20"/>
    </w:rPr>
  </w:style>
  <w:style w:type="character" w:customStyle="1" w:styleId="158">
    <w:name w:val="YRG表格内容 Char"/>
    <w:link w:val="157"/>
    <w:qFormat/>
    <w:uiPriority w:val="0"/>
    <w:rPr>
      <w:snapToGrid w:val="0"/>
    </w:rPr>
  </w:style>
  <w:style w:type="paragraph" w:customStyle="1" w:styleId="159">
    <w:name w:val="Char Char Char Char Char Char Char Char"/>
    <w:basedOn w:val="1"/>
    <w:next w:val="2"/>
    <w:qFormat/>
    <w:uiPriority w:val="0"/>
    <w:pPr>
      <w:spacing w:line="240" w:lineRule="auto"/>
      <w:ind w:firstLine="0" w:firstLineChars="0"/>
    </w:pPr>
    <w:rPr>
      <w:rFonts w:eastAsia="宋体"/>
      <w:color w:val="auto"/>
      <w:spacing w:val="0"/>
      <w:sz w:val="28"/>
    </w:rPr>
  </w:style>
  <w:style w:type="character" w:customStyle="1" w:styleId="160">
    <w:name w:val="宏文本 字符"/>
    <w:basedOn w:val="54"/>
    <w:qFormat/>
    <w:uiPriority w:val="99"/>
    <w:rPr>
      <w:rFonts w:ascii="Courier New" w:hAnsi="Courier New" w:cs="Courier New"/>
      <w:color w:val="000000" w:themeColor="text1"/>
      <w:spacing w:val="4"/>
      <w:kern w:val="2"/>
      <w:sz w:val="24"/>
      <w:szCs w:val="24"/>
      <w14:textFill>
        <w14:solidFill>
          <w14:schemeClr w14:val="tx1"/>
        </w14:solidFill>
      </w14:textFill>
    </w:rPr>
  </w:style>
  <w:style w:type="character" w:customStyle="1" w:styleId="161">
    <w:name w:val="宏文本 字符1"/>
    <w:link w:val="2"/>
    <w:qFormat/>
    <w:uiPriority w:val="99"/>
    <w:rPr>
      <w:rFonts w:ascii="Courier New" w:hAnsi="Courier New" w:cs="Courier New"/>
      <w:kern w:val="2"/>
      <w:sz w:val="24"/>
      <w:szCs w:val="24"/>
    </w:rPr>
  </w:style>
  <w:style w:type="paragraph" w:customStyle="1" w:styleId="162">
    <w:name w:val="审签"/>
    <w:basedOn w:val="1"/>
    <w:next w:val="1"/>
    <w:qFormat/>
    <w:uiPriority w:val="0"/>
    <w:pPr>
      <w:spacing w:line="240" w:lineRule="auto"/>
      <w:ind w:firstLine="0" w:firstLineChars="0"/>
      <w:jc w:val="center"/>
    </w:pPr>
    <w:rPr>
      <w:rFonts w:eastAsia="黑体" w:cs="宋体"/>
      <w:color w:val="auto"/>
      <w:spacing w:val="0"/>
      <w:szCs w:val="24"/>
    </w:rPr>
  </w:style>
  <w:style w:type="paragraph" w:customStyle="1" w:styleId="163">
    <w:name w:val="普通文字"/>
    <w:basedOn w:val="1"/>
    <w:next w:val="1"/>
    <w:qFormat/>
    <w:uiPriority w:val="0"/>
    <w:pPr>
      <w:spacing w:line="240" w:lineRule="auto"/>
      <w:ind w:firstLine="0" w:firstLineChars="0"/>
    </w:pPr>
    <w:rPr>
      <w:rFonts w:eastAsia="宋体"/>
      <w:color w:val="auto"/>
      <w:spacing w:val="0"/>
      <w:szCs w:val="24"/>
    </w:rPr>
  </w:style>
  <w:style w:type="paragraph" w:customStyle="1" w:styleId="164">
    <w:name w:val="目录标题"/>
    <w:basedOn w:val="163"/>
    <w:next w:val="1"/>
    <w:qFormat/>
    <w:uiPriority w:val="0"/>
    <w:pPr>
      <w:jc w:val="center"/>
    </w:pPr>
    <w:rPr>
      <w:rFonts w:eastAsia="黑体" w:cs="宋体"/>
      <w:sz w:val="32"/>
      <w:szCs w:val="32"/>
    </w:rPr>
  </w:style>
  <w:style w:type="paragraph" w:customStyle="1" w:styleId="165">
    <w:name w:val="表格"/>
    <w:basedOn w:val="1"/>
    <w:next w:val="1"/>
    <w:link w:val="263"/>
    <w:qFormat/>
    <w:uiPriority w:val="0"/>
    <w:pPr>
      <w:spacing w:line="240" w:lineRule="exact"/>
      <w:ind w:firstLine="0" w:firstLineChars="0"/>
      <w:jc w:val="center"/>
    </w:pPr>
    <w:rPr>
      <w:rFonts w:eastAsia="宋体"/>
      <w:color w:val="auto"/>
      <w:spacing w:val="0"/>
      <w:sz w:val="18"/>
      <w:szCs w:val="18"/>
    </w:rPr>
  </w:style>
  <w:style w:type="character" w:customStyle="1" w:styleId="166">
    <w:name w:val="文档结构图 字符"/>
    <w:basedOn w:val="54"/>
    <w:link w:val="18"/>
    <w:semiHidden/>
    <w:qFormat/>
    <w:uiPriority w:val="0"/>
    <w:rPr>
      <w:rFonts w:eastAsiaTheme="minorEastAsia"/>
      <w:color w:val="000000" w:themeColor="text1"/>
      <w:spacing w:val="4"/>
      <w:kern w:val="2"/>
      <w:sz w:val="24"/>
      <w:szCs w:val="28"/>
      <w:shd w:val="clear" w:color="auto" w:fill="000080"/>
      <w14:textFill>
        <w14:solidFill>
          <w14:schemeClr w14:val="tx1"/>
        </w14:solidFill>
      </w14:textFill>
    </w:rPr>
  </w:style>
  <w:style w:type="character" w:customStyle="1" w:styleId="167">
    <w:name w:val="正文文本 字符"/>
    <w:basedOn w:val="54"/>
    <w:link w:val="22"/>
    <w:qFormat/>
    <w:uiPriority w:val="0"/>
    <w:rPr>
      <w:kern w:val="2"/>
      <w:sz w:val="24"/>
      <w:szCs w:val="24"/>
    </w:rPr>
  </w:style>
  <w:style w:type="character" w:customStyle="1" w:styleId="168">
    <w:name w:val="正文文本首行缩进 字符"/>
    <w:basedOn w:val="167"/>
    <w:link w:val="50"/>
    <w:qFormat/>
    <w:uiPriority w:val="0"/>
    <w:rPr>
      <w:color w:val="000000"/>
      <w:spacing w:val="10"/>
      <w:kern w:val="28"/>
      <w:position w:val="6"/>
      <w:sz w:val="28"/>
      <w:szCs w:val="24"/>
    </w:rPr>
  </w:style>
  <w:style w:type="character" w:customStyle="1" w:styleId="169">
    <w:name w:val="纯文本 字符"/>
    <w:basedOn w:val="54"/>
    <w:link w:val="29"/>
    <w:qFormat/>
    <w:uiPriority w:val="0"/>
    <w:rPr>
      <w:rFonts w:ascii="宋体" w:hAnsi="Courier New"/>
      <w:kern w:val="2"/>
      <w:sz w:val="28"/>
    </w:rPr>
  </w:style>
  <w:style w:type="paragraph" w:customStyle="1" w:styleId="170">
    <w:name w:val="样式 正文（首行缩进两字） + 两端对齐"/>
    <w:basedOn w:val="16"/>
    <w:qFormat/>
    <w:uiPriority w:val="0"/>
    <w:pPr>
      <w:spacing w:line="460" w:lineRule="exact"/>
      <w:ind w:firstLine="601"/>
    </w:pPr>
    <w:rPr>
      <w:rFonts w:eastAsia="宋体" w:cs="宋体"/>
      <w:b/>
      <w:color w:val="000000"/>
      <w:spacing w:val="10"/>
      <w:kern w:val="28"/>
      <w:position w:val="6"/>
      <w:szCs w:val="28"/>
    </w:rPr>
  </w:style>
  <w:style w:type="paragraph" w:customStyle="1" w:styleId="171">
    <w:name w:val="Char"/>
    <w:basedOn w:val="1"/>
    <w:qFormat/>
    <w:uiPriority w:val="0"/>
    <w:pPr>
      <w:spacing w:line="240" w:lineRule="auto"/>
      <w:ind w:firstLine="0" w:firstLineChars="0"/>
      <w:jc w:val="center"/>
    </w:pPr>
    <w:rPr>
      <w:rFonts w:eastAsia="宋体"/>
      <w:color w:val="auto"/>
      <w:spacing w:val="0"/>
      <w:sz w:val="21"/>
      <w:szCs w:val="24"/>
    </w:rPr>
  </w:style>
  <w:style w:type="paragraph" w:customStyle="1" w:styleId="172">
    <w:name w:val="样式 首行缩进:  1.1 厘米"/>
    <w:basedOn w:val="1"/>
    <w:next w:val="1"/>
    <w:qFormat/>
    <w:uiPriority w:val="0"/>
    <w:pPr>
      <w:spacing w:line="460" w:lineRule="exact"/>
      <w:ind w:firstLine="626" w:firstLineChars="0"/>
    </w:pPr>
    <w:rPr>
      <w:rFonts w:eastAsia="宋体" w:cs="宋体"/>
      <w:color w:val="000000"/>
      <w:spacing w:val="10"/>
      <w:kern w:val="28"/>
      <w:position w:val="6"/>
      <w:szCs w:val="20"/>
    </w:rPr>
  </w:style>
  <w:style w:type="paragraph" w:customStyle="1" w:styleId="173">
    <w:name w:val="Char Char Char Char Char Char Char"/>
    <w:basedOn w:val="1"/>
    <w:semiHidden/>
    <w:qFormat/>
    <w:uiPriority w:val="0"/>
    <w:pPr>
      <w:spacing w:line="520" w:lineRule="exact"/>
      <w:ind w:firstLine="0" w:firstLineChars="0"/>
    </w:pPr>
    <w:rPr>
      <w:rFonts w:ascii="宋体" w:hAnsi="宋体" w:eastAsia="宋体"/>
      <w:color w:val="auto"/>
      <w:spacing w:val="0"/>
      <w:sz w:val="21"/>
      <w:szCs w:val="24"/>
    </w:rPr>
  </w:style>
  <w:style w:type="paragraph" w:customStyle="1" w:styleId="174">
    <w:name w:val="Char1"/>
    <w:basedOn w:val="1"/>
    <w:semiHidden/>
    <w:qFormat/>
    <w:uiPriority w:val="0"/>
    <w:pPr>
      <w:spacing w:line="520" w:lineRule="exact"/>
      <w:ind w:firstLine="0" w:firstLineChars="0"/>
    </w:pPr>
    <w:rPr>
      <w:rFonts w:ascii="宋体" w:hAnsi="宋体" w:eastAsia="宋体"/>
      <w:color w:val="auto"/>
      <w:spacing w:val="0"/>
      <w:sz w:val="21"/>
      <w:szCs w:val="24"/>
    </w:rPr>
  </w:style>
  <w:style w:type="character" w:customStyle="1" w:styleId="175">
    <w:name w:val="批注框文本 字符"/>
    <w:basedOn w:val="54"/>
    <w:link w:val="33"/>
    <w:semiHidden/>
    <w:qFormat/>
    <w:uiPriority w:val="0"/>
    <w:rPr>
      <w:rFonts w:eastAsiaTheme="minorEastAsia"/>
      <w:color w:val="000000" w:themeColor="text1"/>
      <w:spacing w:val="4"/>
      <w:kern w:val="2"/>
      <w:sz w:val="18"/>
      <w:szCs w:val="18"/>
      <w14:textFill>
        <w14:solidFill>
          <w14:schemeClr w14:val="tx1"/>
        </w14:solidFill>
      </w14:textFill>
    </w:rPr>
  </w:style>
  <w:style w:type="character" w:customStyle="1" w:styleId="176">
    <w:name w:val="正文文本缩进 字符"/>
    <w:basedOn w:val="54"/>
    <w:link w:val="23"/>
    <w:qFormat/>
    <w:uiPriority w:val="0"/>
    <w:rPr>
      <w:rFonts w:eastAsiaTheme="minorEastAsia"/>
      <w:spacing w:val="4"/>
      <w:kern w:val="2"/>
      <w:sz w:val="28"/>
      <w:szCs w:val="24"/>
    </w:rPr>
  </w:style>
  <w:style w:type="paragraph" w:customStyle="1" w:styleId="177">
    <w:name w:val="Char Char Char Char Char Char Char Char Char Char Char Char"/>
    <w:basedOn w:val="1"/>
    <w:qFormat/>
    <w:uiPriority w:val="0"/>
    <w:pPr>
      <w:autoSpaceDE w:val="0"/>
      <w:autoSpaceDN w:val="0"/>
      <w:adjustRightInd w:val="0"/>
      <w:spacing w:line="240" w:lineRule="auto"/>
      <w:ind w:firstLine="480"/>
    </w:pPr>
    <w:rPr>
      <w:rFonts w:eastAsia="宋体"/>
      <w:color w:val="auto"/>
      <w:spacing w:val="0"/>
      <w:szCs w:val="24"/>
    </w:rPr>
  </w:style>
  <w:style w:type="paragraph" w:customStyle="1" w:styleId="178">
    <w:name w:val="Char Char Char Char Char Char Char Char Char Char Char Char Char Char Char Char Char Char Char Char Char Char Char Char Char Char Char Char Char Char Char Char Char Char"/>
    <w:basedOn w:val="1"/>
    <w:semiHidden/>
    <w:qFormat/>
    <w:uiPriority w:val="0"/>
    <w:pPr>
      <w:spacing w:line="240" w:lineRule="auto"/>
      <w:ind w:firstLine="0" w:firstLineChars="0"/>
    </w:pPr>
    <w:rPr>
      <w:rFonts w:eastAsia="宋体"/>
      <w:color w:val="auto"/>
      <w:spacing w:val="0"/>
      <w:sz w:val="21"/>
      <w:szCs w:val="24"/>
    </w:rPr>
  </w:style>
  <w:style w:type="paragraph" w:customStyle="1" w:styleId="179">
    <w:name w:val="Char Char Char"/>
    <w:basedOn w:val="1"/>
    <w:qFormat/>
    <w:uiPriority w:val="0"/>
    <w:pPr>
      <w:spacing w:line="240" w:lineRule="auto"/>
      <w:ind w:firstLine="0" w:firstLineChars="0"/>
    </w:pPr>
    <w:rPr>
      <w:rFonts w:eastAsia="宋体"/>
      <w:color w:val="auto"/>
      <w:spacing w:val="0"/>
      <w:sz w:val="21"/>
      <w:szCs w:val="24"/>
    </w:rPr>
  </w:style>
  <w:style w:type="paragraph" w:customStyle="1" w:styleId="180">
    <w:name w:val="Char Char Char Char Char Char Char Char Char"/>
    <w:basedOn w:val="1"/>
    <w:qFormat/>
    <w:uiPriority w:val="0"/>
    <w:pPr>
      <w:spacing w:line="240" w:lineRule="auto"/>
      <w:ind w:firstLine="0" w:firstLineChars="0"/>
    </w:pPr>
    <w:rPr>
      <w:rFonts w:eastAsia="宋体"/>
      <w:color w:val="auto"/>
      <w:spacing w:val="0"/>
      <w:sz w:val="21"/>
      <w:szCs w:val="24"/>
    </w:rPr>
  </w:style>
  <w:style w:type="paragraph" w:customStyle="1" w:styleId="181">
    <w:name w:val="样式 标题 4 + 左侧:  0 厘米"/>
    <w:basedOn w:val="6"/>
    <w:qFormat/>
    <w:uiPriority w:val="0"/>
    <w:pPr>
      <w:keepNext/>
      <w:keepLines/>
      <w:spacing w:line="60" w:lineRule="auto"/>
    </w:pPr>
    <w:rPr>
      <w:rFonts w:eastAsia="宋体" w:cs="宋体"/>
      <w:b/>
      <w:color w:val="auto"/>
      <w:sz w:val="24"/>
      <w:szCs w:val="20"/>
    </w:rPr>
  </w:style>
  <w:style w:type="paragraph" w:customStyle="1" w:styleId="182">
    <w:name w:val="font0"/>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spacing w:val="0"/>
      <w:kern w:val="0"/>
      <w:sz w:val="22"/>
      <w:szCs w:val="22"/>
    </w:rPr>
  </w:style>
  <w:style w:type="paragraph" w:customStyle="1" w:styleId="183">
    <w:name w:val="font6"/>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auto"/>
      <w:spacing w:val="0"/>
      <w:kern w:val="0"/>
      <w:sz w:val="18"/>
      <w:szCs w:val="18"/>
    </w:rPr>
  </w:style>
  <w:style w:type="paragraph" w:customStyle="1" w:styleId="184">
    <w:name w:val="font7"/>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spacing w:val="0"/>
      <w:kern w:val="0"/>
      <w:sz w:val="18"/>
      <w:szCs w:val="18"/>
    </w:rPr>
  </w:style>
  <w:style w:type="paragraph" w:customStyle="1" w:styleId="185">
    <w:name w:val="font8"/>
    <w:basedOn w:val="1"/>
    <w:qFormat/>
    <w:uiPriority w:val="0"/>
    <w:pPr>
      <w:widowControl/>
      <w:spacing w:before="100" w:beforeAutospacing="1" w:after="100" w:afterAutospacing="1" w:line="240" w:lineRule="auto"/>
      <w:ind w:firstLine="0" w:firstLineChars="0"/>
      <w:jc w:val="left"/>
    </w:pPr>
    <w:rPr>
      <w:rFonts w:ascii="宋体" w:hAnsi="宋体" w:eastAsia="宋体" w:cs="宋体"/>
      <w:b/>
      <w:bCs/>
      <w:color w:val="000000"/>
      <w:spacing w:val="0"/>
      <w:kern w:val="0"/>
      <w:sz w:val="18"/>
      <w:szCs w:val="18"/>
    </w:rPr>
  </w:style>
  <w:style w:type="paragraph" w:customStyle="1" w:styleId="186">
    <w:name w:val="font9"/>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spacing w:val="0"/>
      <w:kern w:val="0"/>
      <w:sz w:val="18"/>
      <w:szCs w:val="18"/>
    </w:rPr>
  </w:style>
  <w:style w:type="paragraph" w:customStyle="1" w:styleId="187">
    <w:name w:val="font10"/>
    <w:basedOn w:val="1"/>
    <w:qFormat/>
    <w:uiPriority w:val="0"/>
    <w:pPr>
      <w:widowControl/>
      <w:spacing w:before="100" w:beforeAutospacing="1" w:after="100" w:afterAutospacing="1" w:line="240" w:lineRule="auto"/>
      <w:ind w:firstLine="0" w:firstLineChars="0"/>
      <w:jc w:val="left"/>
    </w:pPr>
    <w:rPr>
      <w:rFonts w:ascii="宋体" w:hAnsi="宋体" w:eastAsia="宋体" w:cs="宋体"/>
      <w:b/>
      <w:bCs/>
      <w:color w:val="000000"/>
      <w:spacing w:val="0"/>
      <w:kern w:val="0"/>
      <w:sz w:val="18"/>
      <w:szCs w:val="18"/>
    </w:rPr>
  </w:style>
  <w:style w:type="paragraph" w:customStyle="1" w:styleId="188">
    <w:name w:val="xl77"/>
    <w:basedOn w:val="1"/>
    <w:qFormat/>
    <w:uiPriority w:val="0"/>
    <w:pPr>
      <w:widowControl/>
      <w:spacing w:before="100" w:beforeAutospacing="1" w:after="100" w:afterAutospacing="1" w:line="240" w:lineRule="auto"/>
      <w:ind w:firstLine="0" w:firstLineChars="0"/>
      <w:jc w:val="left"/>
    </w:pPr>
    <w:rPr>
      <w:rFonts w:eastAsia="宋体"/>
      <w:color w:val="auto"/>
      <w:spacing w:val="0"/>
      <w:kern w:val="0"/>
      <w:szCs w:val="24"/>
    </w:rPr>
  </w:style>
  <w:style w:type="paragraph" w:customStyle="1" w:styleId="18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olor w:val="auto"/>
      <w:spacing w:val="0"/>
      <w:kern w:val="0"/>
      <w:sz w:val="21"/>
      <w:szCs w:val="21"/>
    </w:rPr>
  </w:style>
  <w:style w:type="paragraph" w:customStyle="1" w:styleId="19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olor w:val="auto"/>
      <w:spacing w:val="0"/>
      <w:kern w:val="0"/>
      <w:sz w:val="21"/>
      <w:szCs w:val="21"/>
    </w:rPr>
  </w:style>
  <w:style w:type="paragraph" w:customStyle="1" w:styleId="19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auto"/>
      <w:spacing w:val="0"/>
      <w:kern w:val="0"/>
      <w:sz w:val="21"/>
      <w:szCs w:val="21"/>
    </w:rPr>
  </w:style>
  <w:style w:type="paragraph" w:customStyle="1" w:styleId="19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olor w:val="auto"/>
      <w:spacing w:val="0"/>
      <w:kern w:val="0"/>
      <w:sz w:val="21"/>
      <w:szCs w:val="21"/>
    </w:rPr>
  </w:style>
  <w:style w:type="paragraph" w:customStyle="1" w:styleId="19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color w:val="auto"/>
      <w:spacing w:val="0"/>
      <w:kern w:val="0"/>
      <w:szCs w:val="24"/>
    </w:rPr>
  </w:style>
  <w:style w:type="paragraph" w:customStyle="1" w:styleId="19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b/>
      <w:bCs/>
      <w:color w:val="auto"/>
      <w:spacing w:val="0"/>
      <w:kern w:val="0"/>
      <w:szCs w:val="24"/>
    </w:rPr>
  </w:style>
  <w:style w:type="paragraph" w:customStyle="1" w:styleId="19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b/>
      <w:bCs/>
      <w:color w:val="auto"/>
      <w:spacing w:val="0"/>
      <w:kern w:val="0"/>
      <w:szCs w:val="24"/>
    </w:rPr>
  </w:style>
  <w:style w:type="paragraph" w:customStyle="1" w:styleId="196">
    <w:name w:val="段"/>
    <w:basedOn w:val="1"/>
    <w:qFormat/>
    <w:uiPriority w:val="0"/>
    <w:pPr>
      <w:overflowPunct w:val="0"/>
      <w:topLinePunct/>
      <w:spacing w:line="500" w:lineRule="exact"/>
      <w:ind w:right="210" w:firstLine="480"/>
    </w:pPr>
    <w:rPr>
      <w:rFonts w:eastAsia="宋体"/>
      <w:color w:val="auto"/>
      <w:spacing w:val="0"/>
      <w:szCs w:val="24"/>
    </w:rPr>
  </w:style>
  <w:style w:type="paragraph" w:customStyle="1" w:styleId="197">
    <w:name w:val="Char Char Char Char Char Char"/>
    <w:basedOn w:val="1"/>
    <w:next w:val="2"/>
    <w:qFormat/>
    <w:uiPriority w:val="0"/>
    <w:pPr>
      <w:spacing w:line="240" w:lineRule="auto"/>
      <w:ind w:firstLine="0" w:firstLineChars="0"/>
    </w:pPr>
    <w:rPr>
      <w:rFonts w:eastAsia="宋体"/>
      <w:color w:val="auto"/>
      <w:spacing w:val="0"/>
      <w:sz w:val="28"/>
    </w:rPr>
  </w:style>
  <w:style w:type="paragraph" w:customStyle="1" w:styleId="19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olor w:val="auto"/>
      <w:spacing w:val="0"/>
      <w:kern w:val="0"/>
      <w:szCs w:val="24"/>
    </w:rPr>
  </w:style>
  <w:style w:type="paragraph" w:customStyle="1" w:styleId="19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olor w:val="auto"/>
      <w:spacing w:val="0"/>
      <w:kern w:val="0"/>
      <w:szCs w:val="24"/>
    </w:rPr>
  </w:style>
  <w:style w:type="paragraph" w:customStyle="1" w:styleId="200">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eastAsia="宋体"/>
      <w:b/>
      <w:bCs/>
      <w:color w:val="auto"/>
      <w:spacing w:val="0"/>
      <w:kern w:val="0"/>
      <w:szCs w:val="24"/>
    </w:rPr>
  </w:style>
  <w:style w:type="paragraph" w:customStyle="1" w:styleId="201">
    <w:name w:val="font12"/>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auto"/>
      <w:spacing w:val="0"/>
      <w:kern w:val="0"/>
      <w:sz w:val="21"/>
      <w:szCs w:val="21"/>
    </w:rPr>
  </w:style>
  <w:style w:type="character" w:customStyle="1" w:styleId="202">
    <w:name w:val="书籍标题1"/>
    <w:qFormat/>
    <w:uiPriority w:val="33"/>
    <w:rPr>
      <w:rFonts w:ascii="Times New Roman" w:hAnsi="Times New Roman" w:eastAsia="黑体"/>
      <w:bCs/>
      <w:smallCaps/>
      <w:spacing w:val="5"/>
      <w:sz w:val="24"/>
    </w:rPr>
  </w:style>
  <w:style w:type="paragraph" w:customStyle="1" w:styleId="203">
    <w:name w:val="xl85"/>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color w:val="000000"/>
      <w:spacing w:val="0"/>
      <w:kern w:val="0"/>
      <w:sz w:val="20"/>
      <w:szCs w:val="20"/>
    </w:rPr>
  </w:style>
  <w:style w:type="paragraph" w:customStyle="1" w:styleId="204">
    <w:name w:val="xl86"/>
    <w:basedOn w:val="1"/>
    <w:qFormat/>
    <w:uiPriority w:val="0"/>
    <w:pPr>
      <w:widowControl/>
      <w:pBdr>
        <w:top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color w:val="000000"/>
      <w:spacing w:val="0"/>
      <w:kern w:val="0"/>
      <w:sz w:val="20"/>
      <w:szCs w:val="20"/>
    </w:rPr>
  </w:style>
  <w:style w:type="paragraph" w:customStyle="1" w:styleId="205">
    <w:name w:val="xl87"/>
    <w:basedOn w:val="1"/>
    <w:qFormat/>
    <w:uiPriority w:val="0"/>
    <w:pPr>
      <w:widowControl/>
      <w:pBdr>
        <w:right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color w:val="000000"/>
      <w:spacing w:val="0"/>
      <w:kern w:val="0"/>
      <w:sz w:val="20"/>
      <w:szCs w:val="20"/>
    </w:rPr>
  </w:style>
  <w:style w:type="paragraph" w:customStyle="1" w:styleId="206">
    <w:name w:val="xl88"/>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color w:val="000000"/>
      <w:spacing w:val="0"/>
      <w:kern w:val="0"/>
      <w:sz w:val="20"/>
      <w:szCs w:val="20"/>
    </w:rPr>
  </w:style>
  <w:style w:type="paragraph" w:customStyle="1" w:styleId="20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spacing w:val="0"/>
      <w:kern w:val="0"/>
      <w:sz w:val="20"/>
      <w:szCs w:val="20"/>
    </w:rPr>
  </w:style>
  <w:style w:type="paragraph" w:customStyle="1" w:styleId="20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000000"/>
      <w:spacing w:val="0"/>
      <w:kern w:val="0"/>
      <w:sz w:val="20"/>
      <w:szCs w:val="20"/>
    </w:rPr>
  </w:style>
  <w:style w:type="character" w:customStyle="1" w:styleId="209">
    <w:name w:val="题注 Char"/>
    <w:qFormat/>
    <w:uiPriority w:val="0"/>
    <w:rPr>
      <w:rFonts w:eastAsia="黑体" w:cs="Arial"/>
      <w:kern w:val="2"/>
      <w:sz w:val="24"/>
      <w:szCs w:val="28"/>
    </w:rPr>
  </w:style>
  <w:style w:type="paragraph" w:customStyle="1" w:styleId="210">
    <w:name w:val="小四正文"/>
    <w:basedOn w:val="1"/>
    <w:link w:val="211"/>
    <w:qFormat/>
    <w:uiPriority w:val="0"/>
    <w:pPr>
      <w:adjustRightInd w:val="0"/>
      <w:snapToGrid w:val="0"/>
      <w:spacing w:line="360" w:lineRule="auto"/>
      <w:ind w:firstLine="200"/>
      <w:textAlignment w:val="center"/>
    </w:pPr>
    <w:rPr>
      <w:rFonts w:eastAsia="宋体"/>
      <w:snapToGrid w:val="0"/>
      <w:color w:val="auto"/>
      <w:spacing w:val="0"/>
      <w:kern w:val="0"/>
      <w:szCs w:val="20"/>
    </w:rPr>
  </w:style>
  <w:style w:type="character" w:customStyle="1" w:styleId="211">
    <w:name w:val="小四正文 Char"/>
    <w:link w:val="210"/>
    <w:qFormat/>
    <w:uiPriority w:val="0"/>
    <w:rPr>
      <w:snapToGrid w:val="0"/>
      <w:sz w:val="24"/>
    </w:rPr>
  </w:style>
  <w:style w:type="character" w:customStyle="1" w:styleId="212">
    <w:name w:val="1报告正文 Char"/>
    <w:link w:val="213"/>
    <w:qFormat/>
    <w:uiPriority w:val="0"/>
    <w:rPr>
      <w:rFonts w:ascii="宋体"/>
      <w:kern w:val="24"/>
      <w:sz w:val="24"/>
    </w:rPr>
  </w:style>
  <w:style w:type="paragraph" w:customStyle="1" w:styleId="213">
    <w:name w:val="1报告正文"/>
    <w:basedOn w:val="1"/>
    <w:link w:val="212"/>
    <w:qFormat/>
    <w:uiPriority w:val="0"/>
    <w:pPr>
      <w:spacing w:line="240" w:lineRule="auto"/>
      <w:ind w:firstLine="480"/>
    </w:pPr>
    <w:rPr>
      <w:rFonts w:ascii="宋体" w:eastAsia="宋体"/>
      <w:color w:val="auto"/>
      <w:spacing w:val="0"/>
      <w:kern w:val="24"/>
      <w:szCs w:val="20"/>
    </w:rPr>
  </w:style>
  <w:style w:type="character" w:customStyle="1" w:styleId="214">
    <w:name w:val="标题 3 字符1"/>
    <w:qFormat/>
    <w:uiPriority w:val="9"/>
    <w:rPr>
      <w:b/>
      <w:bCs/>
      <w:kern w:val="2"/>
      <w:sz w:val="24"/>
      <w:szCs w:val="24"/>
    </w:rPr>
  </w:style>
  <w:style w:type="paragraph" w:customStyle="1" w:styleId="215">
    <w:name w:val="KY5 标题 5"/>
    <w:basedOn w:val="8"/>
    <w:qFormat/>
    <w:uiPriority w:val="0"/>
    <w:pPr>
      <w:numPr>
        <w:ilvl w:val="0"/>
        <w:numId w:val="0"/>
      </w:numPr>
      <w:tabs>
        <w:tab w:val="clear" w:pos="1008"/>
      </w:tabs>
      <w:spacing w:beforeLines="50" w:afterLines="50" w:line="240" w:lineRule="auto"/>
    </w:pPr>
    <w:rPr>
      <w:rFonts w:ascii="仿宋_GB2312" w:hAnsi="宋体" w:eastAsia="仿宋"/>
      <w:b/>
      <w:color w:val="000000"/>
      <w:spacing w:val="0"/>
      <w:sz w:val="24"/>
      <w:szCs w:val="24"/>
    </w:rPr>
  </w:style>
  <w:style w:type="paragraph" w:customStyle="1" w:styleId="216">
    <w:name w:val="表名"/>
    <w:basedOn w:val="1"/>
    <w:link w:val="289"/>
    <w:qFormat/>
    <w:uiPriority w:val="0"/>
    <w:pPr>
      <w:adjustRightInd w:val="0"/>
      <w:spacing w:line="240" w:lineRule="auto"/>
      <w:ind w:firstLine="0" w:firstLineChars="0"/>
      <w:jc w:val="center"/>
    </w:pPr>
    <w:rPr>
      <w:rFonts w:eastAsia="黑体"/>
      <w:color w:val="auto"/>
      <w:spacing w:val="0"/>
      <w:szCs w:val="24"/>
    </w:rPr>
  </w:style>
  <w:style w:type="character" w:customStyle="1" w:styleId="217">
    <w:name w:val="标题 4 字符1"/>
    <w:qFormat/>
    <w:uiPriority w:val="9"/>
    <w:rPr>
      <w:bCs/>
      <w:kern w:val="2"/>
      <w:sz w:val="24"/>
      <w:szCs w:val="24"/>
    </w:rPr>
  </w:style>
  <w:style w:type="character" w:customStyle="1" w:styleId="218">
    <w:name w:val="表格内容 Char"/>
    <w:qFormat/>
    <w:uiPriority w:val="0"/>
    <w:rPr>
      <w:kern w:val="2"/>
      <w:szCs w:val="24"/>
    </w:rPr>
  </w:style>
  <w:style w:type="paragraph" w:customStyle="1" w:styleId="219">
    <w:name w:val="正文使用"/>
    <w:basedOn w:val="1"/>
    <w:qFormat/>
    <w:uiPriority w:val="0"/>
    <w:pPr>
      <w:spacing w:line="500" w:lineRule="exact"/>
      <w:ind w:firstLine="493"/>
      <w:jc w:val="left"/>
    </w:pPr>
    <w:rPr>
      <w:color w:val="auto"/>
      <w:kern w:val="0"/>
      <w:szCs w:val="24"/>
    </w:rPr>
  </w:style>
  <w:style w:type="paragraph" w:customStyle="1" w:styleId="220">
    <w:name w:val="KY8 图名"/>
    <w:basedOn w:val="1"/>
    <w:qFormat/>
    <w:uiPriority w:val="0"/>
    <w:pPr>
      <w:widowControl/>
      <w:ind w:firstLine="479"/>
      <w:jc w:val="center"/>
    </w:pPr>
    <w:rPr>
      <w:b/>
      <w:color w:val="auto"/>
    </w:rPr>
  </w:style>
  <w:style w:type="paragraph" w:customStyle="1" w:styleId="221">
    <w:name w:val="KY8 表头"/>
    <w:basedOn w:val="108"/>
    <w:next w:val="1"/>
    <w:qFormat/>
    <w:uiPriority w:val="0"/>
    <w:pPr>
      <w:widowControl/>
      <w:spacing w:before="0" w:beforeLines="0"/>
    </w:pPr>
    <w:rPr>
      <w:rFonts w:ascii="黑体" w:hAnsi="黑体" w:cs="Times New Roman"/>
      <w:b w:val="0"/>
    </w:rPr>
  </w:style>
  <w:style w:type="paragraph" w:customStyle="1" w:styleId="222">
    <w:name w:val="KY8 表格"/>
    <w:basedOn w:val="1"/>
    <w:next w:val="1"/>
    <w:qFormat/>
    <w:uiPriority w:val="0"/>
    <w:pPr>
      <w:widowControl/>
      <w:adjustRightInd w:val="0"/>
      <w:snapToGrid w:val="0"/>
      <w:jc w:val="left"/>
    </w:pPr>
    <w:rPr>
      <w:color w:val="auto"/>
      <w:szCs w:val="18"/>
    </w:rPr>
  </w:style>
  <w:style w:type="paragraph" w:customStyle="1" w:styleId="223">
    <w:name w:val="csw正文"/>
    <w:basedOn w:val="1"/>
    <w:qFormat/>
    <w:uiPriority w:val="0"/>
    <w:pPr>
      <w:adjustRightInd w:val="0"/>
      <w:snapToGrid w:val="0"/>
      <w:spacing w:line="500" w:lineRule="exact"/>
      <w:ind w:firstLine="200"/>
    </w:pPr>
    <w:rPr>
      <w:color w:val="auto"/>
      <w:szCs w:val="24"/>
    </w:rPr>
  </w:style>
  <w:style w:type="character" w:customStyle="1" w:styleId="224">
    <w:name w:val="font41"/>
    <w:basedOn w:val="54"/>
    <w:qFormat/>
    <w:uiPriority w:val="0"/>
    <w:rPr>
      <w:rFonts w:hint="eastAsia" w:ascii="宋体" w:hAnsi="宋体" w:eastAsia="宋体" w:cs="宋体"/>
      <w:color w:val="000000"/>
      <w:sz w:val="18"/>
      <w:szCs w:val="18"/>
      <w:u w:val="none"/>
    </w:rPr>
  </w:style>
  <w:style w:type="paragraph" w:customStyle="1" w:styleId="225">
    <w:name w:val="修订1"/>
    <w:hidden/>
    <w:semiHidden/>
    <w:qFormat/>
    <w:uiPriority w:val="99"/>
    <w:rPr>
      <w:rFonts w:ascii="Times New Roman" w:hAnsi="Times New Roman" w:cs="Times New Roman" w:eastAsiaTheme="minorEastAsia"/>
      <w:color w:val="000000" w:themeColor="text1"/>
      <w:spacing w:val="4"/>
      <w:kern w:val="2"/>
      <w:sz w:val="24"/>
      <w:szCs w:val="28"/>
      <w:lang w:val="en-US" w:eastAsia="zh-CN" w:bidi="ar-SA"/>
      <w14:textFill>
        <w14:solidFill>
          <w14:schemeClr w14:val="tx1"/>
        </w14:solidFill>
      </w14:textFill>
    </w:rPr>
  </w:style>
  <w:style w:type="character" w:customStyle="1" w:styleId="226">
    <w:name w:val="表头 Char"/>
    <w:qFormat/>
    <w:uiPriority w:val="0"/>
    <w:rPr>
      <w:rFonts w:ascii="Times New Roman" w:hAnsi="Times New Roman" w:eastAsia="黑体"/>
      <w:kern w:val="2"/>
      <w:sz w:val="24"/>
      <w:szCs w:val="24"/>
    </w:rPr>
  </w:style>
  <w:style w:type="character" w:customStyle="1" w:styleId="227">
    <w:name w:val="未处理的提及1"/>
    <w:basedOn w:val="54"/>
    <w:semiHidden/>
    <w:unhideWhenUsed/>
    <w:qFormat/>
    <w:uiPriority w:val="99"/>
    <w:rPr>
      <w:color w:val="605E5C"/>
      <w:shd w:val="clear" w:color="auto" w:fill="E1DFDD"/>
    </w:rPr>
  </w:style>
  <w:style w:type="character" w:customStyle="1" w:styleId="228">
    <w:name w:val="标题 1 字符1"/>
    <w:qFormat/>
    <w:locked/>
    <w:uiPriority w:val="0"/>
    <w:rPr>
      <w:rFonts w:ascii="Calibri" w:hAnsi="Calibri"/>
      <w:b/>
      <w:bCs/>
      <w:kern w:val="44"/>
      <w:sz w:val="44"/>
      <w:szCs w:val="44"/>
      <w:lang w:val="zh-CN" w:eastAsia="zh-CN"/>
    </w:rPr>
  </w:style>
  <w:style w:type="character" w:customStyle="1" w:styleId="229">
    <w:name w:val="标题 2 字符1"/>
    <w:semiHidden/>
    <w:qFormat/>
    <w:locked/>
    <w:uiPriority w:val="0"/>
    <w:rPr>
      <w:rFonts w:ascii="Cambria" w:hAnsi="Cambria"/>
      <w:b/>
      <w:bCs/>
      <w:kern w:val="2"/>
      <w:sz w:val="32"/>
      <w:szCs w:val="32"/>
      <w:lang w:val="zh-CN" w:eastAsia="zh-CN"/>
    </w:rPr>
  </w:style>
  <w:style w:type="character" w:customStyle="1" w:styleId="230">
    <w:name w:val="HTML 预设格式 字符"/>
    <w:basedOn w:val="54"/>
    <w:qFormat/>
    <w:uiPriority w:val="0"/>
    <w:rPr>
      <w:rFonts w:ascii="Courier New" w:hAnsi="Courier New" w:cs="Courier New" w:eastAsiaTheme="minorEastAsia"/>
      <w:color w:val="000000" w:themeColor="text1"/>
      <w:spacing w:val="4"/>
      <w:kern w:val="2"/>
      <w14:textFill>
        <w14:solidFill>
          <w14:schemeClr w14:val="tx1"/>
        </w14:solidFill>
      </w14:textFill>
    </w:rPr>
  </w:style>
  <w:style w:type="character" w:customStyle="1" w:styleId="231">
    <w:name w:val="脚注文本 字符"/>
    <w:basedOn w:val="54"/>
    <w:link w:val="38"/>
    <w:qFormat/>
    <w:uiPriority w:val="99"/>
    <w:rPr>
      <w:kern w:val="2"/>
      <w:sz w:val="18"/>
      <w:szCs w:val="18"/>
    </w:rPr>
  </w:style>
  <w:style w:type="character" w:customStyle="1" w:styleId="232">
    <w:name w:val="标题 字符1"/>
    <w:link w:val="48"/>
    <w:qFormat/>
    <w:locked/>
    <w:uiPriority w:val="10"/>
    <w:rPr>
      <w:rFonts w:ascii="Arial" w:hAnsi="Arial" w:eastAsia="黑体" w:cs="Arial"/>
      <w:bCs/>
      <w:color w:val="000000"/>
      <w:kern w:val="2"/>
      <w:sz w:val="32"/>
      <w:szCs w:val="32"/>
    </w:rPr>
  </w:style>
  <w:style w:type="character" w:customStyle="1" w:styleId="233">
    <w:name w:val="标题 字符"/>
    <w:basedOn w:val="54"/>
    <w:qFormat/>
    <w:uiPriority w:val="10"/>
    <w:rPr>
      <w:rFonts w:ascii="等线 Light" w:hAnsi="等线 Light" w:eastAsia="等线 Light" w:cs="Times New Roman"/>
      <w:b/>
      <w:bCs/>
      <w:kern w:val="2"/>
      <w:sz w:val="32"/>
      <w:szCs w:val="32"/>
    </w:rPr>
  </w:style>
  <w:style w:type="character" w:customStyle="1" w:styleId="234">
    <w:name w:val="正文文本缩进 字符1"/>
    <w:semiHidden/>
    <w:qFormat/>
    <w:locked/>
    <w:uiPriority w:val="0"/>
    <w:rPr>
      <w:kern w:val="2"/>
      <w:sz w:val="21"/>
      <w:lang w:val="zh-CN" w:eastAsia="zh-CN"/>
    </w:rPr>
  </w:style>
  <w:style w:type="character" w:customStyle="1" w:styleId="235">
    <w:name w:val="日期 字符"/>
    <w:basedOn w:val="54"/>
    <w:qFormat/>
    <w:uiPriority w:val="0"/>
    <w:rPr>
      <w:rFonts w:eastAsiaTheme="minorEastAsia"/>
      <w:color w:val="000000" w:themeColor="text1"/>
      <w:spacing w:val="4"/>
      <w:kern w:val="2"/>
      <w:sz w:val="24"/>
      <w:szCs w:val="28"/>
      <w14:textFill>
        <w14:solidFill>
          <w14:schemeClr w14:val="tx1"/>
        </w14:solidFill>
      </w14:textFill>
    </w:rPr>
  </w:style>
  <w:style w:type="character" w:customStyle="1" w:styleId="236">
    <w:name w:val="注释标题 字符"/>
    <w:basedOn w:val="54"/>
    <w:qFormat/>
    <w:uiPriority w:val="0"/>
    <w:rPr>
      <w:rFonts w:eastAsiaTheme="minorEastAsia"/>
      <w:color w:val="000000" w:themeColor="text1"/>
      <w:spacing w:val="4"/>
      <w:kern w:val="2"/>
      <w:sz w:val="24"/>
      <w:szCs w:val="28"/>
      <w14:textFill>
        <w14:solidFill>
          <w14:schemeClr w14:val="tx1"/>
        </w14:solidFill>
      </w14:textFill>
    </w:rPr>
  </w:style>
  <w:style w:type="character" w:customStyle="1" w:styleId="237">
    <w:name w:val="正文文本 2 字符"/>
    <w:basedOn w:val="54"/>
    <w:qFormat/>
    <w:uiPriority w:val="0"/>
    <w:rPr>
      <w:rFonts w:eastAsiaTheme="minorEastAsia"/>
      <w:color w:val="000000" w:themeColor="text1"/>
      <w:spacing w:val="4"/>
      <w:kern w:val="2"/>
      <w:sz w:val="24"/>
      <w:szCs w:val="28"/>
      <w14:textFill>
        <w14:solidFill>
          <w14:schemeClr w14:val="tx1"/>
        </w14:solidFill>
      </w14:textFill>
    </w:rPr>
  </w:style>
  <w:style w:type="character" w:customStyle="1" w:styleId="238">
    <w:name w:val="正文文本 3 字符"/>
    <w:basedOn w:val="54"/>
    <w:qFormat/>
    <w:uiPriority w:val="0"/>
    <w:rPr>
      <w:rFonts w:eastAsiaTheme="minorEastAsia"/>
      <w:color w:val="000000" w:themeColor="text1"/>
      <w:spacing w:val="4"/>
      <w:kern w:val="2"/>
      <w:sz w:val="16"/>
      <w:szCs w:val="16"/>
      <w14:textFill>
        <w14:solidFill>
          <w14:schemeClr w14:val="tx1"/>
        </w14:solidFill>
      </w14:textFill>
    </w:rPr>
  </w:style>
  <w:style w:type="character" w:customStyle="1" w:styleId="239">
    <w:name w:val="正文文本缩进 2 字符"/>
    <w:basedOn w:val="54"/>
    <w:qFormat/>
    <w:uiPriority w:val="0"/>
    <w:rPr>
      <w:rFonts w:eastAsiaTheme="minorEastAsia"/>
      <w:color w:val="000000" w:themeColor="text1"/>
      <w:spacing w:val="4"/>
      <w:kern w:val="2"/>
      <w:sz w:val="24"/>
      <w:szCs w:val="28"/>
      <w14:textFill>
        <w14:solidFill>
          <w14:schemeClr w14:val="tx1"/>
        </w14:solidFill>
      </w14:textFill>
    </w:rPr>
  </w:style>
  <w:style w:type="character" w:customStyle="1" w:styleId="240">
    <w:name w:val="正文文本缩进 3 字符"/>
    <w:basedOn w:val="54"/>
    <w:qFormat/>
    <w:uiPriority w:val="0"/>
    <w:rPr>
      <w:rFonts w:eastAsiaTheme="minorEastAsia"/>
      <w:color w:val="000000" w:themeColor="text1"/>
      <w:spacing w:val="4"/>
      <w:kern w:val="2"/>
      <w:sz w:val="16"/>
      <w:szCs w:val="16"/>
      <w14:textFill>
        <w14:solidFill>
          <w14:schemeClr w14:val="tx1"/>
        </w14:solidFill>
      </w14:textFill>
    </w:rPr>
  </w:style>
  <w:style w:type="character" w:customStyle="1" w:styleId="241">
    <w:name w:val="纯文本 字符1"/>
    <w:semiHidden/>
    <w:qFormat/>
    <w:locked/>
    <w:uiPriority w:val="0"/>
    <w:rPr>
      <w:rFonts w:ascii="宋体" w:hAnsi="Courier New"/>
      <w:kern w:val="2"/>
      <w:sz w:val="21"/>
      <w:szCs w:val="21"/>
      <w:lang w:val="zh-CN" w:eastAsia="zh-CN"/>
    </w:rPr>
  </w:style>
  <w:style w:type="paragraph" w:styleId="24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43">
    <w:name w:val="Revision"/>
    <w:semiHidden/>
    <w:qFormat/>
    <w:uiPriority w:val="99"/>
    <w:rPr>
      <w:rFonts w:ascii="Calibri" w:hAnsi="Calibri" w:eastAsia="宋体" w:cs="Times New Roman"/>
      <w:kern w:val="2"/>
      <w:sz w:val="21"/>
      <w:szCs w:val="22"/>
      <w:lang w:val="en-US" w:eastAsia="zh-CN" w:bidi="ar-SA"/>
    </w:rPr>
  </w:style>
  <w:style w:type="paragraph" w:customStyle="1" w:styleId="244">
    <w:name w:val="TOC Heading"/>
    <w:basedOn w:val="3"/>
    <w:next w:val="1"/>
    <w:semiHidden/>
    <w:unhideWhenUsed/>
    <w:qFormat/>
    <w:uiPriority w:val="39"/>
    <w:pPr>
      <w:keepNext/>
      <w:keepLines/>
      <w:pageBreakBefore w:val="0"/>
      <w:widowControl/>
      <w:numPr>
        <w:numId w:val="0"/>
      </w:numPr>
      <w:tabs>
        <w:tab w:val="left" w:pos="780"/>
      </w:tabs>
      <w:spacing w:before="480" w:line="276" w:lineRule="auto"/>
      <w:outlineLvl w:val="9"/>
    </w:pPr>
    <w:rPr>
      <w:rFonts w:ascii="Cambria" w:hAnsi="Cambria" w:eastAsia="宋体"/>
      <w:b/>
      <w:bCs/>
      <w:color w:val="365F91"/>
      <w:kern w:val="0"/>
      <w:sz w:val="28"/>
      <w:szCs w:val="28"/>
      <w:lang w:val="zh-CN" w:eastAsia="zh-CN"/>
    </w:rPr>
  </w:style>
  <w:style w:type="paragraph" w:customStyle="1" w:styleId="245">
    <w:name w:val="p0"/>
    <w:basedOn w:val="1"/>
    <w:qFormat/>
    <w:uiPriority w:val="99"/>
    <w:pPr>
      <w:widowControl/>
      <w:spacing w:line="240" w:lineRule="auto"/>
      <w:ind w:firstLine="0" w:firstLineChars="0"/>
    </w:pPr>
    <w:rPr>
      <w:rFonts w:ascii="Calibri" w:hAnsi="Calibri" w:eastAsia="宋体" w:cs="宋体"/>
      <w:color w:val="auto"/>
      <w:spacing w:val="0"/>
      <w:kern w:val="0"/>
      <w:sz w:val="21"/>
      <w:szCs w:val="21"/>
    </w:rPr>
  </w:style>
  <w:style w:type="character" w:customStyle="1" w:styleId="246">
    <w:name w:val="正文李 Char Char"/>
    <w:link w:val="247"/>
    <w:qFormat/>
    <w:locked/>
    <w:uiPriority w:val="0"/>
    <w:rPr>
      <w:sz w:val="24"/>
      <w:szCs w:val="24"/>
    </w:rPr>
  </w:style>
  <w:style w:type="paragraph" w:customStyle="1" w:styleId="247">
    <w:name w:val="正文李"/>
    <w:basedOn w:val="1"/>
    <w:link w:val="246"/>
    <w:qFormat/>
    <w:uiPriority w:val="0"/>
    <w:pPr>
      <w:adjustRightInd w:val="0"/>
      <w:snapToGrid w:val="0"/>
      <w:spacing w:line="360" w:lineRule="auto"/>
      <w:ind w:firstLine="480"/>
      <w:jc w:val="left"/>
    </w:pPr>
    <w:rPr>
      <w:rFonts w:eastAsia="宋体"/>
      <w:color w:val="auto"/>
      <w:spacing w:val="0"/>
      <w:kern w:val="0"/>
      <w:szCs w:val="24"/>
    </w:rPr>
  </w:style>
  <w:style w:type="character" w:customStyle="1" w:styleId="248">
    <w:name w:val="W图表名 Char"/>
    <w:link w:val="249"/>
    <w:qFormat/>
    <w:locked/>
    <w:uiPriority w:val="0"/>
    <w:rPr>
      <w:rFonts w:ascii="黑体" w:hAnsi="宋体" w:eastAsia="黑体" w:cs="宋体"/>
      <w:sz w:val="24"/>
      <w:szCs w:val="21"/>
    </w:rPr>
  </w:style>
  <w:style w:type="paragraph" w:customStyle="1" w:styleId="249">
    <w:name w:val="W图表名"/>
    <w:basedOn w:val="23"/>
    <w:link w:val="248"/>
    <w:qFormat/>
    <w:uiPriority w:val="0"/>
    <w:pPr>
      <w:widowControl/>
      <w:adjustRightInd w:val="0"/>
      <w:snapToGrid w:val="0"/>
      <w:spacing w:afterLines="50" w:line="240" w:lineRule="auto"/>
      <w:ind w:firstLine="0" w:firstLineChars="0"/>
      <w:jc w:val="center"/>
    </w:pPr>
    <w:rPr>
      <w:rFonts w:ascii="黑体" w:hAnsi="宋体" w:eastAsia="黑体" w:cs="宋体"/>
      <w:spacing w:val="0"/>
      <w:kern w:val="0"/>
      <w:sz w:val="24"/>
      <w:szCs w:val="21"/>
    </w:rPr>
  </w:style>
  <w:style w:type="paragraph" w:customStyle="1" w:styleId="250">
    <w:name w:val="正文小四"/>
    <w:qFormat/>
    <w:uiPriority w:val="99"/>
    <w:pPr>
      <w:spacing w:line="560" w:lineRule="atLeast"/>
      <w:ind w:firstLine="200" w:firstLineChars="200"/>
      <w:jc w:val="both"/>
    </w:pPr>
    <w:rPr>
      <w:rFonts w:ascii="Times New Roman" w:hAnsi="Times New Roman" w:eastAsia="仿宋_GB2312" w:cs="Times New Roman"/>
      <w:sz w:val="32"/>
      <w:lang w:val="en-US" w:eastAsia="zh-CN" w:bidi="ar-SA"/>
    </w:rPr>
  </w:style>
  <w:style w:type="paragraph" w:customStyle="1" w:styleId="251">
    <w:name w:val="公式"/>
    <w:basedOn w:val="1"/>
    <w:semiHidden/>
    <w:qFormat/>
    <w:uiPriority w:val="99"/>
    <w:pPr>
      <w:widowControl/>
      <w:spacing w:line="312" w:lineRule="auto"/>
      <w:ind w:firstLine="0" w:firstLineChars="0"/>
      <w:jc w:val="right"/>
    </w:pPr>
    <w:rPr>
      <w:rFonts w:ascii="宋体" w:hAnsi="宋体" w:eastAsia="宋体" w:cs="宋体"/>
      <w:color w:val="auto"/>
      <w:spacing w:val="0"/>
      <w:kern w:val="0"/>
      <w:szCs w:val="24"/>
    </w:rPr>
  </w:style>
  <w:style w:type="paragraph" w:customStyle="1" w:styleId="252">
    <w:name w:val="正文11"/>
    <w:basedOn w:val="1"/>
    <w:qFormat/>
    <w:uiPriority w:val="99"/>
    <w:pPr>
      <w:spacing w:line="320" w:lineRule="exact"/>
      <w:ind w:right="-143" w:firstLine="180" w:firstLineChars="64"/>
      <w:jc w:val="center"/>
    </w:pPr>
    <w:rPr>
      <w:rFonts w:ascii="宋体" w:hAnsi="宋体" w:eastAsia="宋体"/>
      <w:b/>
      <w:color w:val="000000"/>
      <w:spacing w:val="0"/>
      <w:sz w:val="28"/>
    </w:rPr>
  </w:style>
  <w:style w:type="paragraph" w:customStyle="1" w:styleId="253">
    <w:name w:val="正文（首行缩进）"/>
    <w:basedOn w:val="1"/>
    <w:qFormat/>
    <w:uiPriority w:val="99"/>
    <w:pPr>
      <w:spacing w:line="360" w:lineRule="auto"/>
      <w:ind w:firstLine="560"/>
    </w:pPr>
    <w:rPr>
      <w:rFonts w:eastAsia="宋体"/>
      <w:bCs/>
      <w:color w:val="auto"/>
      <w:spacing w:val="0"/>
      <w:kern w:val="0"/>
      <w:sz w:val="28"/>
    </w:rPr>
  </w:style>
  <w:style w:type="character" w:customStyle="1" w:styleId="254">
    <w:name w:val="标题3 Char"/>
    <w:link w:val="255"/>
    <w:qFormat/>
    <w:locked/>
    <w:uiPriority w:val="0"/>
    <w:rPr>
      <w:b/>
      <w:bCs/>
      <w:kern w:val="44"/>
      <w:sz w:val="28"/>
      <w:szCs w:val="32"/>
      <w:lang w:val="zh-CN" w:eastAsia="zh-CN"/>
    </w:rPr>
  </w:style>
  <w:style w:type="paragraph" w:customStyle="1" w:styleId="255">
    <w:name w:val="标题3"/>
    <w:basedOn w:val="3"/>
    <w:next w:val="1"/>
    <w:link w:val="254"/>
    <w:qFormat/>
    <w:uiPriority w:val="0"/>
    <w:pPr>
      <w:keepNext/>
      <w:keepLines/>
      <w:pageBreakBefore w:val="0"/>
      <w:numPr>
        <w:numId w:val="0"/>
      </w:numPr>
      <w:tabs>
        <w:tab w:val="left" w:pos="780"/>
      </w:tabs>
      <w:spacing w:before="240" w:after="240"/>
      <w:jc w:val="both"/>
      <w:outlineLvl w:val="2"/>
    </w:pPr>
    <w:rPr>
      <w:rFonts w:ascii="Times New Roman" w:hAnsi="Times New Roman" w:eastAsia="宋体"/>
      <w:b/>
      <w:bCs/>
      <w:sz w:val="28"/>
      <w:szCs w:val="32"/>
      <w:lang w:val="zh-CN" w:eastAsia="zh-CN"/>
    </w:rPr>
  </w:style>
  <w:style w:type="paragraph" w:customStyle="1" w:styleId="256">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0000FF"/>
      <w:spacing w:val="0"/>
      <w:kern w:val="0"/>
      <w:sz w:val="12"/>
      <w:szCs w:val="12"/>
    </w:rPr>
  </w:style>
  <w:style w:type="paragraph" w:customStyle="1" w:styleId="257">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olor w:val="auto"/>
      <w:spacing w:val="0"/>
      <w:kern w:val="0"/>
      <w:sz w:val="12"/>
      <w:szCs w:val="12"/>
    </w:rPr>
  </w:style>
  <w:style w:type="paragraph" w:customStyle="1" w:styleId="258">
    <w:name w:val="xl93"/>
    <w:basedOn w:val="1"/>
    <w:qFormat/>
    <w:uiPriority w:val="99"/>
    <w:pPr>
      <w:widowControl/>
      <w:numPr>
        <w:ilvl w:val="2"/>
        <w:numId w:val="5"/>
      </w:num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firstLineChars="0"/>
      <w:jc w:val="center"/>
    </w:pPr>
    <w:rPr>
      <w:rFonts w:ascii="宋体" w:hAnsi="宋体" w:eastAsia="宋体" w:cs="宋体"/>
      <w:color w:val="auto"/>
      <w:spacing w:val="0"/>
      <w:kern w:val="0"/>
      <w:sz w:val="12"/>
      <w:szCs w:val="12"/>
    </w:rPr>
  </w:style>
  <w:style w:type="paragraph" w:customStyle="1" w:styleId="259">
    <w:name w:val="xl94"/>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auto"/>
      <w:spacing w:val="0"/>
      <w:kern w:val="0"/>
      <w:sz w:val="12"/>
      <w:szCs w:val="12"/>
    </w:rPr>
  </w:style>
  <w:style w:type="paragraph" w:customStyle="1" w:styleId="260">
    <w:name w:val="xl95"/>
    <w:basedOn w:val="1"/>
    <w:qFormat/>
    <w:uiPriority w:val="99"/>
    <w:pPr>
      <w:widowControl/>
      <w:spacing w:before="100" w:beforeAutospacing="1" w:after="100" w:afterAutospacing="1" w:line="240" w:lineRule="auto"/>
      <w:ind w:firstLine="0" w:firstLineChars="0"/>
      <w:jc w:val="center"/>
    </w:pPr>
    <w:rPr>
      <w:rFonts w:eastAsia="宋体"/>
      <w:color w:val="auto"/>
      <w:spacing w:val="0"/>
      <w:kern w:val="0"/>
      <w:sz w:val="12"/>
      <w:szCs w:val="12"/>
    </w:rPr>
  </w:style>
  <w:style w:type="paragraph" w:customStyle="1" w:styleId="261">
    <w:name w:val="DM3"/>
    <w:basedOn w:val="8"/>
    <w:qFormat/>
    <w:uiPriority w:val="99"/>
    <w:pPr>
      <w:numPr>
        <w:ilvl w:val="0"/>
        <w:numId w:val="0"/>
      </w:numPr>
      <w:tabs>
        <w:tab w:val="clear" w:pos="1008"/>
      </w:tabs>
      <w:spacing w:before="0" w:after="0" w:line="360" w:lineRule="auto"/>
      <w:jc w:val="left"/>
      <w:outlineLvl w:val="2"/>
    </w:pPr>
    <w:rPr>
      <w:rFonts w:eastAsia="宋体"/>
      <w:b/>
      <w:bCs/>
      <w:color w:val="auto"/>
      <w:spacing w:val="0"/>
      <w:kern w:val="0"/>
      <w:sz w:val="28"/>
      <w:szCs w:val="28"/>
      <w:lang w:val="zh-CN" w:eastAsia="zh-CN"/>
    </w:rPr>
  </w:style>
  <w:style w:type="paragraph" w:customStyle="1" w:styleId="262">
    <w:name w:val="样式 标题 3 + 宋体 小四 段前: 9 磅 段后: 9 磅 行距: 固定值 25 磅"/>
    <w:basedOn w:val="6"/>
    <w:qFormat/>
    <w:uiPriority w:val="99"/>
    <w:pPr>
      <w:keepNext/>
      <w:keepLines/>
      <w:numPr>
        <w:ilvl w:val="0"/>
        <w:numId w:val="0"/>
      </w:numPr>
      <w:snapToGrid w:val="0"/>
      <w:spacing w:before="0" w:after="0"/>
      <w:ind w:left="1145" w:hanging="720"/>
    </w:pPr>
    <w:rPr>
      <w:rFonts w:eastAsia="宋体"/>
      <w:b/>
      <w:bCs/>
      <w:color w:val="auto"/>
      <w:szCs w:val="24"/>
      <w:lang w:val="zh-CN" w:eastAsia="zh-CN"/>
    </w:rPr>
  </w:style>
  <w:style w:type="character" w:customStyle="1" w:styleId="263">
    <w:name w:val="表格 Char Char"/>
    <w:link w:val="165"/>
    <w:qFormat/>
    <w:locked/>
    <w:uiPriority w:val="0"/>
    <w:rPr>
      <w:kern w:val="2"/>
      <w:sz w:val="18"/>
      <w:szCs w:val="18"/>
    </w:rPr>
  </w:style>
  <w:style w:type="character" w:customStyle="1" w:styleId="264">
    <w:name w:val="样式1 Char"/>
    <w:link w:val="265"/>
    <w:qFormat/>
    <w:locked/>
    <w:uiPriority w:val="0"/>
    <w:rPr>
      <w:rFonts w:ascii="宋体" w:hAnsi="宋体"/>
      <w:b/>
      <w:color w:val="000000"/>
      <w:kern w:val="44"/>
      <w:sz w:val="44"/>
      <w:lang w:val="zh-CN" w:eastAsia="zh-CN"/>
    </w:rPr>
  </w:style>
  <w:style w:type="paragraph" w:customStyle="1" w:styleId="265">
    <w:name w:val="样式1"/>
    <w:basedOn w:val="3"/>
    <w:link w:val="264"/>
    <w:qFormat/>
    <w:uiPriority w:val="0"/>
    <w:pPr>
      <w:keepNext/>
      <w:keepLines/>
      <w:pageBreakBefore w:val="0"/>
      <w:numPr>
        <w:numId w:val="0"/>
      </w:numPr>
      <w:tabs>
        <w:tab w:val="left" w:pos="780"/>
      </w:tabs>
      <w:autoSpaceDE w:val="0"/>
      <w:autoSpaceDN w:val="0"/>
      <w:adjustRightInd w:val="0"/>
      <w:spacing w:before="0" w:beforeLines="30" w:afterLines="30" w:line="240" w:lineRule="auto"/>
    </w:pPr>
    <w:rPr>
      <w:rFonts w:ascii="宋体" w:hAnsi="宋体" w:eastAsia="宋体"/>
      <w:b/>
      <w:color w:val="000000"/>
      <w:sz w:val="44"/>
      <w:szCs w:val="20"/>
      <w:lang w:val="zh-CN" w:eastAsia="zh-CN"/>
    </w:rPr>
  </w:style>
  <w:style w:type="paragraph" w:customStyle="1" w:styleId="266">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olor w:val="auto"/>
      <w:spacing w:val="0"/>
      <w:kern w:val="0"/>
      <w:sz w:val="20"/>
      <w:szCs w:val="20"/>
    </w:rPr>
  </w:style>
  <w:style w:type="paragraph" w:customStyle="1" w:styleId="267">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olor w:val="auto"/>
      <w:spacing w:val="0"/>
      <w:kern w:val="0"/>
      <w:sz w:val="20"/>
      <w:szCs w:val="20"/>
    </w:rPr>
  </w:style>
  <w:style w:type="paragraph" w:customStyle="1" w:styleId="268">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olor w:val="FF0000"/>
      <w:spacing w:val="0"/>
      <w:kern w:val="0"/>
      <w:sz w:val="20"/>
      <w:szCs w:val="20"/>
    </w:rPr>
  </w:style>
  <w:style w:type="paragraph" w:customStyle="1" w:styleId="269">
    <w:name w:val="表题"/>
    <w:basedOn w:val="1"/>
    <w:next w:val="1"/>
    <w:qFormat/>
    <w:uiPriority w:val="99"/>
    <w:pPr>
      <w:spacing w:line="240" w:lineRule="auto"/>
      <w:ind w:firstLine="0" w:firstLineChars="0"/>
      <w:jc w:val="center"/>
    </w:pPr>
    <w:rPr>
      <w:rFonts w:eastAsia="黑体"/>
      <w:color w:val="auto"/>
      <w:spacing w:val="0"/>
      <w:sz w:val="28"/>
      <w:szCs w:val="20"/>
    </w:rPr>
  </w:style>
  <w:style w:type="paragraph" w:customStyle="1" w:styleId="270">
    <w:name w:val="样式 样式 样式 正文首行缩进 + 首行缩进:  2 字符 + 首行缩进:  2 字符 + 首行缩进:  2 字符"/>
    <w:basedOn w:val="1"/>
    <w:qFormat/>
    <w:uiPriority w:val="99"/>
    <w:pPr>
      <w:spacing w:line="240" w:lineRule="auto"/>
      <w:ind w:firstLine="605"/>
    </w:pPr>
    <w:rPr>
      <w:rFonts w:eastAsia="宋体" w:cs="宋体"/>
      <w:color w:val="auto"/>
      <w:spacing w:val="0"/>
      <w:sz w:val="28"/>
      <w:szCs w:val="20"/>
    </w:rPr>
  </w:style>
  <w:style w:type="paragraph" w:customStyle="1" w:styleId="271">
    <w:name w:val="样式 标题 4 + 段前: 0.2 行 段后: 0.2 行"/>
    <w:basedOn w:val="7"/>
    <w:qFormat/>
    <w:uiPriority w:val="99"/>
    <w:pPr>
      <w:widowControl w:val="0"/>
      <w:numPr>
        <w:numId w:val="6"/>
      </w:numPr>
      <w:tabs>
        <w:tab w:val="left" w:pos="780"/>
      </w:tabs>
      <w:spacing w:before="0" w:beforeLines="20" w:afterLines="20" w:line="374" w:lineRule="auto"/>
      <w:ind w:left="0" w:firstLine="0"/>
      <w:jc w:val="both"/>
    </w:pPr>
    <w:rPr>
      <w:rFonts w:cs="宋体"/>
      <w:b/>
      <w:bCs/>
      <w:sz w:val="28"/>
      <w:szCs w:val="20"/>
      <w:lang w:val="zh-CN" w:eastAsia="zh-CN"/>
    </w:rPr>
  </w:style>
  <w:style w:type="paragraph" w:customStyle="1" w:styleId="272">
    <w:name w:val="样式2"/>
    <w:basedOn w:val="5"/>
    <w:qFormat/>
    <w:uiPriority w:val="99"/>
    <w:pPr>
      <w:keepNext/>
      <w:keepLines/>
      <w:numPr>
        <w:ilvl w:val="0"/>
        <w:numId w:val="0"/>
      </w:numPr>
      <w:spacing w:before="260" w:after="260" w:line="412" w:lineRule="auto"/>
      <w:ind w:left="1143" w:hanging="576"/>
      <w:jc w:val="both"/>
    </w:pPr>
    <w:rPr>
      <w:rFonts w:ascii="宋体" w:hAnsi="宋体" w:eastAsia="仿宋_GB2312"/>
      <w:b/>
      <w:bCs/>
      <w:sz w:val="32"/>
      <w:lang w:val="zh-CN" w:eastAsia="zh-CN"/>
    </w:rPr>
  </w:style>
  <w:style w:type="paragraph" w:customStyle="1" w:styleId="273">
    <w:name w:val="样式 首行缩进:  1.13 厘米"/>
    <w:basedOn w:val="1"/>
    <w:qFormat/>
    <w:uiPriority w:val="99"/>
    <w:pPr>
      <w:numPr>
        <w:ilvl w:val="1"/>
        <w:numId w:val="2"/>
      </w:numPr>
      <w:spacing w:line="240" w:lineRule="auto"/>
      <w:ind w:left="0" w:firstLine="640" w:firstLineChars="0"/>
    </w:pPr>
    <w:rPr>
      <w:rFonts w:eastAsia="仿宋_GB2312" w:cs="宋体"/>
      <w:color w:val="auto"/>
      <w:spacing w:val="0"/>
      <w:szCs w:val="24"/>
    </w:rPr>
  </w:style>
  <w:style w:type="paragraph" w:customStyle="1" w:styleId="274">
    <w:name w:val="样式3"/>
    <w:basedOn w:val="6"/>
    <w:qFormat/>
    <w:uiPriority w:val="99"/>
    <w:pPr>
      <w:keepNext/>
      <w:keepLines/>
      <w:numPr>
        <w:numId w:val="6"/>
      </w:numPr>
      <w:tabs>
        <w:tab w:val="left" w:pos="780"/>
      </w:tabs>
      <w:spacing w:before="0" w:beforeLines="50" w:after="0" w:afterLines="50" w:line="240" w:lineRule="auto"/>
      <w:ind w:left="720" w:firstLine="0"/>
    </w:pPr>
    <w:rPr>
      <w:rFonts w:ascii="宋体" w:hAnsi="宋体" w:eastAsia="仿宋_GB2312"/>
      <w:b/>
      <w:bCs/>
      <w:color w:val="auto"/>
      <w:sz w:val="30"/>
      <w:lang w:val="zh-CN" w:eastAsia="zh-CN"/>
    </w:rPr>
  </w:style>
  <w:style w:type="paragraph" w:customStyle="1" w:styleId="275">
    <w:name w:val="样式4"/>
    <w:basedOn w:val="6"/>
    <w:qFormat/>
    <w:uiPriority w:val="99"/>
    <w:pPr>
      <w:keepNext/>
      <w:keepLines/>
      <w:numPr>
        <w:numId w:val="6"/>
      </w:numPr>
      <w:tabs>
        <w:tab w:val="left" w:pos="780"/>
        <w:tab w:val="left" w:pos="1418"/>
      </w:tabs>
      <w:spacing w:before="0" w:beforeLines="50" w:after="0" w:afterLines="50" w:line="240" w:lineRule="auto"/>
      <w:ind w:left="720" w:firstLine="0"/>
    </w:pPr>
    <w:rPr>
      <w:rFonts w:ascii="宋体" w:hAnsi="宋体" w:eastAsia="仿宋_GB2312"/>
      <w:b/>
      <w:bCs/>
      <w:color w:val="auto"/>
      <w:sz w:val="32"/>
      <w:lang w:val="zh-CN" w:eastAsia="zh-CN"/>
    </w:rPr>
  </w:style>
  <w:style w:type="paragraph" w:customStyle="1" w:styleId="276">
    <w:name w:val="样式5"/>
    <w:basedOn w:val="6"/>
    <w:qFormat/>
    <w:uiPriority w:val="99"/>
    <w:pPr>
      <w:keepNext/>
      <w:keepLines/>
      <w:numPr>
        <w:numId w:val="6"/>
      </w:numPr>
      <w:tabs>
        <w:tab w:val="left" w:pos="780"/>
      </w:tabs>
      <w:spacing w:before="0" w:beforeLines="50" w:after="0" w:afterLines="50" w:line="240" w:lineRule="auto"/>
      <w:ind w:left="720" w:firstLine="0"/>
    </w:pPr>
    <w:rPr>
      <w:rFonts w:ascii="宋体" w:hAnsi="宋体" w:eastAsia="仿宋_GB2312"/>
      <w:b/>
      <w:bCs/>
      <w:color w:val="auto"/>
      <w:sz w:val="30"/>
      <w:lang w:val="zh-CN" w:eastAsia="zh-CN"/>
    </w:rPr>
  </w:style>
  <w:style w:type="paragraph" w:customStyle="1" w:styleId="277">
    <w:name w:val="样式6"/>
    <w:basedOn w:val="6"/>
    <w:qFormat/>
    <w:uiPriority w:val="99"/>
    <w:pPr>
      <w:keepNext/>
      <w:keepLines/>
      <w:numPr>
        <w:numId w:val="6"/>
      </w:numPr>
      <w:tabs>
        <w:tab w:val="left" w:pos="780"/>
      </w:tabs>
      <w:spacing w:before="0" w:beforeLines="50" w:after="0" w:afterLines="50" w:line="240" w:lineRule="auto"/>
      <w:ind w:left="720" w:firstLine="0"/>
    </w:pPr>
    <w:rPr>
      <w:rFonts w:ascii="宋体" w:hAnsi="宋体" w:eastAsia="仿宋_GB2312"/>
      <w:b/>
      <w:bCs/>
      <w:color w:val="auto"/>
      <w:sz w:val="30"/>
      <w:lang w:val="zh-CN" w:eastAsia="zh-CN"/>
    </w:rPr>
  </w:style>
  <w:style w:type="paragraph" w:customStyle="1" w:styleId="278">
    <w:name w:val="样式7"/>
    <w:basedOn w:val="6"/>
    <w:qFormat/>
    <w:uiPriority w:val="99"/>
    <w:pPr>
      <w:keepNext/>
      <w:keepLines/>
      <w:numPr>
        <w:numId w:val="6"/>
      </w:numPr>
      <w:tabs>
        <w:tab w:val="left" w:pos="780"/>
      </w:tabs>
      <w:spacing w:before="0" w:beforeLines="50" w:after="0" w:afterLines="50" w:line="240" w:lineRule="auto"/>
      <w:ind w:left="720" w:firstLine="0"/>
    </w:pPr>
    <w:rPr>
      <w:rFonts w:ascii="宋体" w:hAnsi="宋体" w:eastAsia="仿宋_GB2312"/>
      <w:b/>
      <w:bCs/>
      <w:color w:val="auto"/>
      <w:sz w:val="30"/>
      <w:lang w:val="zh-CN" w:eastAsia="zh-CN"/>
    </w:rPr>
  </w:style>
  <w:style w:type="paragraph" w:customStyle="1" w:styleId="279">
    <w:name w:val="简单回函地址"/>
    <w:basedOn w:val="1"/>
    <w:qFormat/>
    <w:uiPriority w:val="99"/>
    <w:pPr>
      <w:spacing w:beforeLines="20" w:afterLines="20" w:line="240" w:lineRule="auto"/>
      <w:ind w:firstLine="0" w:firstLineChars="0"/>
    </w:pPr>
    <w:rPr>
      <w:rFonts w:eastAsia="宋体"/>
      <w:color w:val="auto"/>
      <w:spacing w:val="0"/>
      <w:sz w:val="28"/>
      <w:szCs w:val="24"/>
    </w:rPr>
  </w:style>
  <w:style w:type="paragraph" w:customStyle="1" w:styleId="280">
    <w:name w:val="样式8"/>
    <w:basedOn w:val="6"/>
    <w:qFormat/>
    <w:uiPriority w:val="99"/>
    <w:pPr>
      <w:keepNext/>
      <w:keepLines/>
      <w:numPr>
        <w:ilvl w:val="0"/>
        <w:numId w:val="0"/>
      </w:numPr>
      <w:spacing w:before="0" w:beforeLines="50" w:after="0" w:afterLines="50" w:line="240" w:lineRule="auto"/>
      <w:ind w:left="1418" w:hanging="720"/>
    </w:pPr>
    <w:rPr>
      <w:rFonts w:ascii="宋体" w:hAnsi="宋体" w:eastAsia="仿宋_GB2312"/>
      <w:b/>
      <w:bCs/>
      <w:color w:val="auto"/>
      <w:sz w:val="30"/>
      <w:szCs w:val="30"/>
      <w:lang w:val="zh-CN" w:eastAsia="zh-CN"/>
    </w:rPr>
  </w:style>
  <w:style w:type="paragraph" w:customStyle="1" w:styleId="281">
    <w:name w:val="正文首行缩进 + 首行缩进:  2 字符"/>
    <w:basedOn w:val="1"/>
    <w:qFormat/>
    <w:uiPriority w:val="99"/>
    <w:pPr>
      <w:spacing w:after="60" w:line="240" w:lineRule="auto"/>
      <w:ind w:firstLine="626"/>
    </w:pPr>
    <w:rPr>
      <w:rFonts w:eastAsia="宋体"/>
      <w:color w:val="auto"/>
      <w:spacing w:val="0"/>
      <w:sz w:val="28"/>
      <w:szCs w:val="20"/>
    </w:rPr>
  </w:style>
  <w:style w:type="paragraph" w:customStyle="1" w:styleId="282">
    <w:name w:val="正文文本 New"/>
    <w:basedOn w:val="1"/>
    <w:qFormat/>
    <w:uiPriority w:val="99"/>
    <w:pPr>
      <w:spacing w:after="120" w:line="240" w:lineRule="auto"/>
      <w:ind w:firstLine="200"/>
    </w:pPr>
    <w:rPr>
      <w:rFonts w:eastAsia="宋体"/>
      <w:color w:val="auto"/>
      <w:spacing w:val="0"/>
      <w:szCs w:val="24"/>
    </w:rPr>
  </w:style>
  <w:style w:type="paragraph" w:customStyle="1" w:styleId="283">
    <w:name w:val="正文 New New New New"/>
    <w:qFormat/>
    <w:uiPriority w:val="99"/>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4">
    <w:name w:val="正文 New New New New New New New"/>
    <w:qFormat/>
    <w:uiPriority w:val="99"/>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5">
    <w:name w:val="正文 New"/>
    <w:qFormat/>
    <w:uiPriority w:val="99"/>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表标题"/>
    <w:basedOn w:val="1"/>
    <w:qFormat/>
    <w:uiPriority w:val="99"/>
    <w:pPr>
      <w:widowControl/>
      <w:adjustRightInd w:val="0"/>
      <w:snapToGrid w:val="0"/>
      <w:spacing w:beforeLines="50" w:afterLines="50" w:line="240" w:lineRule="exact"/>
      <w:ind w:firstLine="480" w:firstLineChars="0"/>
      <w:jc w:val="center"/>
    </w:pPr>
    <w:rPr>
      <w:rFonts w:eastAsia="宋体"/>
      <w:b/>
      <w:color w:val="auto"/>
      <w:spacing w:val="0"/>
      <w:szCs w:val="24"/>
    </w:rPr>
  </w:style>
  <w:style w:type="paragraph" w:customStyle="1" w:styleId="287">
    <w:name w:val="表文字"/>
    <w:qFormat/>
    <w:uiPriority w:val="99"/>
    <w:pPr>
      <w:adjustRightInd w:val="0"/>
      <w:spacing w:line="260" w:lineRule="atLeast"/>
      <w:jc w:val="center"/>
    </w:pPr>
    <w:rPr>
      <w:rFonts w:ascii="Times New Roman" w:hAnsi="Times New Roman" w:eastAsia="宋体" w:cs="Times New Roman"/>
      <w:kern w:val="18"/>
      <w:sz w:val="18"/>
      <w:lang w:val="en-US" w:eastAsia="zh-CN" w:bidi="ar-SA"/>
    </w:rPr>
  </w:style>
  <w:style w:type="paragraph" w:customStyle="1" w:styleId="288">
    <w:name w:val="样式 表中文字 + 行距: 固定值 14 磅"/>
    <w:basedOn w:val="1"/>
    <w:qFormat/>
    <w:uiPriority w:val="99"/>
    <w:pPr>
      <w:widowControl/>
      <w:adjustRightInd w:val="0"/>
      <w:snapToGrid w:val="0"/>
      <w:spacing w:line="280" w:lineRule="atLeast"/>
      <w:ind w:firstLine="0" w:firstLineChars="0"/>
      <w:jc w:val="center"/>
    </w:pPr>
    <w:rPr>
      <w:rFonts w:eastAsia="华文中宋"/>
      <w:color w:val="auto"/>
      <w:spacing w:val="0"/>
      <w:kern w:val="0"/>
      <w:sz w:val="21"/>
      <w:szCs w:val="20"/>
    </w:rPr>
  </w:style>
  <w:style w:type="character" w:customStyle="1" w:styleId="289">
    <w:name w:val="表名 Char"/>
    <w:link w:val="216"/>
    <w:qFormat/>
    <w:locked/>
    <w:uiPriority w:val="0"/>
    <w:rPr>
      <w:rFonts w:eastAsia="黑体"/>
      <w:kern w:val="2"/>
      <w:sz w:val="24"/>
      <w:szCs w:val="24"/>
    </w:rPr>
  </w:style>
  <w:style w:type="character" w:customStyle="1" w:styleId="290">
    <w:name w:val="标题-正文 Char"/>
    <w:link w:val="291"/>
    <w:qFormat/>
    <w:locked/>
    <w:uiPriority w:val="0"/>
    <w:rPr>
      <w:sz w:val="24"/>
      <w:szCs w:val="24"/>
      <w:lang w:val="zh-CN" w:eastAsia="zh-CN"/>
    </w:rPr>
  </w:style>
  <w:style w:type="paragraph" w:customStyle="1" w:styleId="291">
    <w:name w:val="标题-正文"/>
    <w:basedOn w:val="1"/>
    <w:link w:val="290"/>
    <w:qFormat/>
    <w:uiPriority w:val="0"/>
    <w:pPr>
      <w:adjustRightInd w:val="0"/>
      <w:snapToGrid w:val="0"/>
      <w:spacing w:line="500" w:lineRule="exact"/>
      <w:ind w:firstLine="200"/>
    </w:pPr>
    <w:rPr>
      <w:rFonts w:eastAsia="宋体"/>
      <w:color w:val="auto"/>
      <w:spacing w:val="0"/>
      <w:kern w:val="0"/>
      <w:szCs w:val="24"/>
      <w:lang w:val="zh-CN" w:eastAsia="zh-CN"/>
    </w:rPr>
  </w:style>
  <w:style w:type="character" w:customStyle="1" w:styleId="292">
    <w:name w:val="ZW Char"/>
    <w:link w:val="293"/>
    <w:qFormat/>
    <w:locked/>
    <w:uiPriority w:val="0"/>
    <w:rPr>
      <w:rFonts w:ascii="宋体" w:hAnsi="宋体"/>
      <w:color w:val="000000"/>
      <w:sz w:val="28"/>
      <w:szCs w:val="28"/>
      <w:lang w:val="zh-CN" w:eastAsia="zh-CN"/>
    </w:rPr>
  </w:style>
  <w:style w:type="paragraph" w:customStyle="1" w:styleId="293">
    <w:name w:val="ZW"/>
    <w:basedOn w:val="1"/>
    <w:link w:val="292"/>
    <w:qFormat/>
    <w:uiPriority w:val="0"/>
    <w:pPr>
      <w:snapToGrid w:val="0"/>
      <w:spacing w:line="360" w:lineRule="auto"/>
      <w:ind w:firstLine="560"/>
    </w:pPr>
    <w:rPr>
      <w:rFonts w:ascii="宋体" w:hAnsi="宋体" w:eastAsia="宋体"/>
      <w:color w:val="000000"/>
      <w:spacing w:val="0"/>
      <w:kern w:val="0"/>
      <w:sz w:val="28"/>
      <w:lang w:val="zh-CN" w:eastAsia="zh-CN"/>
    </w:rPr>
  </w:style>
  <w:style w:type="paragraph" w:customStyle="1" w:styleId="294">
    <w:name w:val="BT2"/>
    <w:basedOn w:val="6"/>
    <w:qFormat/>
    <w:uiPriority w:val="99"/>
    <w:pPr>
      <w:keepNext/>
      <w:keepLines/>
      <w:numPr>
        <w:numId w:val="6"/>
      </w:numPr>
      <w:tabs>
        <w:tab w:val="left" w:pos="780"/>
      </w:tabs>
      <w:adjustRightInd w:val="0"/>
      <w:spacing w:line="560" w:lineRule="exact"/>
      <w:ind w:left="0" w:firstLine="0"/>
      <w:outlineLvl w:val="1"/>
    </w:pPr>
    <w:rPr>
      <w:rFonts w:ascii="Arial" w:hAnsi="Arial"/>
      <w:bCs/>
      <w:color w:val="auto"/>
      <w:kern w:val="0"/>
      <w:sz w:val="32"/>
      <w:szCs w:val="28"/>
      <w:lang w:val="zh-CN" w:eastAsia="zh-CN"/>
    </w:rPr>
  </w:style>
  <w:style w:type="paragraph" w:customStyle="1" w:styleId="295">
    <w:name w:val="样式 ZW + 首行缩进:  2 字符"/>
    <w:basedOn w:val="293"/>
    <w:qFormat/>
    <w:uiPriority w:val="99"/>
    <w:pPr>
      <w:adjustRightInd w:val="0"/>
      <w:snapToGrid/>
      <w:spacing w:line="560" w:lineRule="exact"/>
      <w:ind w:firstLine="200"/>
    </w:pPr>
    <w:rPr>
      <w:rFonts w:ascii="仿宋_GB2312" w:hAnsi="Times New Roman" w:eastAsia="仿宋_GB2312" w:cs="宋体"/>
      <w:color w:val="auto"/>
      <w:szCs w:val="20"/>
      <w:lang w:val="en-US" w:eastAsia="zh-CN"/>
    </w:rPr>
  </w:style>
  <w:style w:type="paragraph" w:customStyle="1" w:styleId="296">
    <w:name w:val="表格格"/>
    <w:basedOn w:val="1"/>
    <w:qFormat/>
    <w:uiPriority w:val="99"/>
    <w:pPr>
      <w:widowControl/>
      <w:adjustRightInd w:val="0"/>
      <w:spacing w:line="0" w:lineRule="atLeast"/>
      <w:ind w:firstLine="0" w:firstLineChars="0"/>
      <w:jc w:val="center"/>
    </w:pPr>
    <w:rPr>
      <w:rFonts w:ascii="楷体_GB2312" w:eastAsia="楷体_GB2312"/>
      <w:color w:val="auto"/>
      <w:spacing w:val="0"/>
      <w:kern w:val="0"/>
      <w:sz w:val="21"/>
      <w:szCs w:val="24"/>
    </w:rPr>
  </w:style>
  <w:style w:type="paragraph" w:customStyle="1" w:styleId="297">
    <w:name w:val="样式 表名 + 首行缩进:  1 字符"/>
    <w:basedOn w:val="1"/>
    <w:qFormat/>
    <w:uiPriority w:val="99"/>
    <w:pPr>
      <w:adjustRightInd w:val="0"/>
      <w:spacing w:after="60"/>
      <w:ind w:firstLine="100" w:firstLineChars="100"/>
    </w:pPr>
    <w:rPr>
      <w:rFonts w:ascii="黑体" w:eastAsia="黑体" w:cs="宋体"/>
      <w:color w:val="auto"/>
      <w:spacing w:val="0"/>
      <w:szCs w:val="20"/>
    </w:rPr>
  </w:style>
  <w:style w:type="paragraph" w:customStyle="1" w:styleId="298">
    <w:name w:val="single"/>
    <w:basedOn w:val="1"/>
    <w:qFormat/>
    <w:uiPriority w:val="99"/>
    <w:pPr>
      <w:adjustRightInd w:val="0"/>
      <w:spacing w:line="312" w:lineRule="atLeast"/>
      <w:ind w:firstLine="0" w:firstLineChars="0"/>
      <w:jc w:val="center"/>
    </w:pPr>
    <w:rPr>
      <w:rFonts w:eastAsia="宋体"/>
      <w:color w:val="auto"/>
      <w:spacing w:val="0"/>
      <w:kern w:val="0"/>
      <w:sz w:val="21"/>
      <w:szCs w:val="20"/>
    </w:rPr>
  </w:style>
  <w:style w:type="paragraph" w:customStyle="1" w:styleId="299">
    <w:name w:val="图名"/>
    <w:qFormat/>
    <w:uiPriority w:val="99"/>
    <w:pPr>
      <w:widowControl w:val="0"/>
      <w:topLinePunct/>
      <w:jc w:val="center"/>
    </w:pPr>
    <w:rPr>
      <w:rFonts w:ascii="宋体" w:hAnsi="宋体" w:eastAsia="宋体" w:cs="Times New Roman"/>
      <w:b/>
      <w:kern w:val="2"/>
      <w:sz w:val="24"/>
      <w:szCs w:val="24"/>
      <w:lang w:val="en-US" w:eastAsia="zh-CN" w:bidi="ar-SA"/>
    </w:rPr>
  </w:style>
  <w:style w:type="paragraph" w:customStyle="1" w:styleId="300">
    <w:name w:val="正文wdx"/>
    <w:basedOn w:val="1"/>
    <w:qFormat/>
    <w:uiPriority w:val="99"/>
    <w:pPr>
      <w:snapToGrid w:val="0"/>
      <w:spacing w:before="60" w:after="60" w:line="240" w:lineRule="auto"/>
      <w:ind w:firstLine="480"/>
    </w:pPr>
    <w:rPr>
      <w:rFonts w:ascii="宋体" w:hAnsi="宋体" w:eastAsia="华文中宋"/>
      <w:color w:val="000000"/>
      <w:spacing w:val="0"/>
      <w:szCs w:val="24"/>
      <w:lang w:val="zh-CN"/>
    </w:rPr>
  </w:style>
  <w:style w:type="paragraph" w:customStyle="1" w:styleId="301">
    <w:name w:val="表格1"/>
    <w:basedOn w:val="1"/>
    <w:qFormat/>
    <w:uiPriority w:val="99"/>
    <w:pPr>
      <w:adjustRightInd w:val="0"/>
      <w:snapToGrid w:val="0"/>
      <w:spacing w:line="240" w:lineRule="auto"/>
      <w:ind w:firstLine="0" w:firstLineChars="0"/>
      <w:jc w:val="center"/>
    </w:pPr>
    <w:rPr>
      <w:rFonts w:ascii="Times New (W1)" w:hAnsi="Times New (W1)" w:eastAsia="华文中宋"/>
      <w:b/>
      <w:color w:val="auto"/>
      <w:spacing w:val="0"/>
      <w:kern w:val="0"/>
      <w:sz w:val="21"/>
      <w:szCs w:val="21"/>
    </w:rPr>
  </w:style>
  <w:style w:type="paragraph" w:customStyle="1" w:styleId="302">
    <w:name w:val="样式(徐，淮）3"/>
    <w:basedOn w:val="6"/>
    <w:qFormat/>
    <w:uiPriority w:val="99"/>
    <w:pPr>
      <w:numPr>
        <w:numId w:val="6"/>
      </w:numPr>
      <w:tabs>
        <w:tab w:val="left" w:pos="780"/>
      </w:tabs>
      <w:spacing w:before="78" w:after="78" w:line="240" w:lineRule="auto"/>
      <w:ind w:left="0" w:firstLine="0"/>
      <w:jc w:val="center"/>
      <w:outlineLvl w:val="9"/>
    </w:pPr>
    <w:rPr>
      <w:rFonts w:ascii="仿宋_GB2312" w:hAnsi="Times New (W1)" w:eastAsia="仿宋_GB2312"/>
      <w:b/>
      <w:bCs/>
      <w:color w:val="000000"/>
      <w:sz w:val="30"/>
      <w:szCs w:val="30"/>
      <w:lang w:val="zh-CN" w:eastAsia="zh-CN"/>
    </w:rPr>
  </w:style>
  <w:style w:type="paragraph" w:customStyle="1" w:styleId="303">
    <w:name w:val="样式（徐，淮）5"/>
    <w:basedOn w:val="23"/>
    <w:qFormat/>
    <w:uiPriority w:val="99"/>
    <w:pPr>
      <w:spacing w:line="288" w:lineRule="auto"/>
      <w:ind w:firstLine="200"/>
    </w:pPr>
    <w:rPr>
      <w:rFonts w:ascii="Times New (W1)" w:hAnsi="Times New (W1)" w:eastAsia="宋体"/>
      <w:spacing w:val="0"/>
      <w:sz w:val="24"/>
      <w:lang w:val="zh-CN" w:eastAsia="zh-CN"/>
    </w:rPr>
  </w:style>
  <w:style w:type="paragraph" w:customStyle="1" w:styleId="304">
    <w:name w:val="列表项目符号1"/>
    <w:basedOn w:val="26"/>
    <w:qFormat/>
    <w:uiPriority w:val="99"/>
    <w:pPr>
      <w:ind w:left="780" w:hanging="360"/>
    </w:pPr>
  </w:style>
  <w:style w:type="character" w:customStyle="1" w:styleId="305">
    <w:name w:val="备注1 Char"/>
    <w:link w:val="306"/>
    <w:qFormat/>
    <w:locked/>
    <w:uiPriority w:val="0"/>
    <w:rPr>
      <w:kern w:val="2"/>
      <w:sz w:val="21"/>
      <w:szCs w:val="24"/>
      <w:lang w:val="zh-CN" w:eastAsia="zh-CN"/>
    </w:rPr>
  </w:style>
  <w:style w:type="paragraph" w:customStyle="1" w:styleId="306">
    <w:name w:val="备注1"/>
    <w:basedOn w:val="1"/>
    <w:link w:val="305"/>
    <w:qFormat/>
    <w:uiPriority w:val="0"/>
    <w:pPr>
      <w:spacing w:line="240" w:lineRule="auto"/>
      <w:ind w:firstLine="0" w:firstLineChars="0"/>
    </w:pPr>
    <w:rPr>
      <w:rFonts w:eastAsia="宋体"/>
      <w:color w:val="auto"/>
      <w:spacing w:val="0"/>
      <w:sz w:val="21"/>
      <w:szCs w:val="24"/>
      <w:lang w:val="zh-CN" w:eastAsia="zh-CN"/>
    </w:rPr>
  </w:style>
  <w:style w:type="paragraph" w:customStyle="1" w:styleId="307">
    <w:name w:val="reader-word-layer"/>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auto"/>
      <w:spacing w:val="0"/>
      <w:kern w:val="0"/>
      <w:szCs w:val="24"/>
    </w:rPr>
  </w:style>
  <w:style w:type="paragraph" w:customStyle="1" w:styleId="308">
    <w:name w:val="文字"/>
    <w:basedOn w:val="1"/>
    <w:qFormat/>
    <w:uiPriority w:val="99"/>
    <w:pPr>
      <w:widowControl/>
      <w:spacing w:afterLines="50" w:line="360" w:lineRule="auto"/>
      <w:ind w:firstLine="420" w:firstLineChars="0"/>
    </w:pPr>
    <w:rPr>
      <w:rFonts w:eastAsia="宋体"/>
      <w:color w:val="auto"/>
      <w:spacing w:val="0"/>
      <w:kern w:val="0"/>
      <w:szCs w:val="24"/>
    </w:rPr>
  </w:style>
  <w:style w:type="paragraph" w:customStyle="1" w:styleId="309">
    <w:name w:val="正文(首行缩进两个字)"/>
    <w:basedOn w:val="1"/>
    <w:qFormat/>
    <w:uiPriority w:val="99"/>
    <w:pPr>
      <w:adjustRightInd w:val="0"/>
      <w:snapToGrid w:val="0"/>
      <w:spacing w:before="156" w:line="360" w:lineRule="auto"/>
      <w:ind w:left="210" w:leftChars="100" w:right="210" w:rightChars="100" w:firstLine="616"/>
      <w:jc w:val="left"/>
    </w:pPr>
    <w:rPr>
      <w:rFonts w:ascii="宋体" w:hAnsi="宋体" w:eastAsia="宋体"/>
      <w:color w:val="auto"/>
      <w:spacing w:val="14"/>
      <w:kern w:val="0"/>
      <w:sz w:val="28"/>
      <w:lang w:val="zh-CN"/>
    </w:rPr>
  </w:style>
  <w:style w:type="character" w:customStyle="1" w:styleId="310">
    <w:name w:val="W正文 Char"/>
    <w:link w:val="311"/>
    <w:qFormat/>
    <w:locked/>
    <w:uiPriority w:val="0"/>
    <w:rPr>
      <w:rFonts w:ascii="宋体" w:hAnsi="宋体"/>
      <w:sz w:val="24"/>
      <w:szCs w:val="24"/>
    </w:rPr>
  </w:style>
  <w:style w:type="paragraph" w:customStyle="1" w:styleId="311">
    <w:name w:val="W正文"/>
    <w:basedOn w:val="1"/>
    <w:link w:val="310"/>
    <w:qFormat/>
    <w:uiPriority w:val="0"/>
    <w:pPr>
      <w:adjustRightInd w:val="0"/>
      <w:snapToGrid w:val="0"/>
      <w:spacing w:afterLines="20" w:line="324" w:lineRule="auto"/>
      <w:ind w:firstLine="480"/>
      <w:jc w:val="left"/>
    </w:pPr>
    <w:rPr>
      <w:rFonts w:ascii="宋体" w:hAnsi="宋体" w:eastAsia="宋体"/>
      <w:color w:val="auto"/>
      <w:spacing w:val="0"/>
      <w:kern w:val="0"/>
      <w:szCs w:val="24"/>
    </w:rPr>
  </w:style>
  <w:style w:type="paragraph" w:customStyle="1" w:styleId="312">
    <w:name w:val="Char Char"/>
    <w:basedOn w:val="1"/>
    <w:qFormat/>
    <w:uiPriority w:val="99"/>
    <w:pPr>
      <w:spacing w:line="240" w:lineRule="auto"/>
      <w:ind w:firstLine="0" w:firstLineChars="0"/>
    </w:pPr>
    <w:rPr>
      <w:rFonts w:eastAsia="宋体"/>
      <w:color w:val="auto"/>
      <w:spacing w:val="0"/>
      <w:sz w:val="21"/>
      <w:szCs w:val="24"/>
    </w:rPr>
  </w:style>
  <w:style w:type="paragraph" w:customStyle="1" w:styleId="313">
    <w:name w:val="album-div1"/>
    <w:basedOn w:val="1"/>
    <w:qFormat/>
    <w:uiPriority w:val="99"/>
    <w:pPr>
      <w:widowControl/>
      <w:shd w:val="clear" w:color="auto" w:fill="FFFFFF"/>
      <w:spacing w:before="100" w:beforeAutospacing="1" w:after="100" w:afterAutospacing="1" w:line="240" w:lineRule="auto"/>
      <w:ind w:firstLine="0" w:firstLineChars="0"/>
      <w:jc w:val="left"/>
    </w:pPr>
    <w:rPr>
      <w:rFonts w:ascii="宋体" w:hAnsi="宋体" w:eastAsia="宋体" w:cs="宋体"/>
      <w:color w:val="auto"/>
      <w:spacing w:val="0"/>
      <w:kern w:val="0"/>
      <w:szCs w:val="24"/>
    </w:rPr>
  </w:style>
  <w:style w:type="paragraph" w:customStyle="1" w:styleId="314">
    <w:name w:val="正文文本样式"/>
    <w:basedOn w:val="1"/>
    <w:qFormat/>
    <w:uiPriority w:val="99"/>
    <w:pPr>
      <w:spacing w:line="360" w:lineRule="auto"/>
      <w:ind w:firstLine="560"/>
      <w:jc w:val="left"/>
    </w:pPr>
    <w:rPr>
      <w:rFonts w:ascii="仿宋_GB2312" w:hAnsi="仿宋" w:eastAsia="仿宋_GB2312"/>
      <w:color w:val="auto"/>
      <w:spacing w:val="0"/>
      <w:kern w:val="0"/>
      <w:sz w:val="28"/>
    </w:rPr>
  </w:style>
  <w:style w:type="paragraph" w:customStyle="1" w:styleId="315">
    <w:name w:val="默认段落字体 Para Char Char Char Char"/>
    <w:basedOn w:val="1"/>
    <w:semiHidden/>
    <w:qFormat/>
    <w:uiPriority w:val="99"/>
    <w:pPr>
      <w:spacing w:line="240" w:lineRule="auto"/>
      <w:ind w:firstLine="0" w:firstLineChars="0"/>
    </w:pPr>
    <w:rPr>
      <w:rFonts w:eastAsia="宋体"/>
      <w:color w:val="auto"/>
      <w:spacing w:val="0"/>
      <w:sz w:val="21"/>
      <w:szCs w:val="24"/>
    </w:rPr>
  </w:style>
  <w:style w:type="paragraph" w:customStyle="1" w:styleId="316">
    <w:name w:val="DM正文"/>
    <w:basedOn w:val="1"/>
    <w:next w:val="1"/>
    <w:qFormat/>
    <w:uiPriority w:val="99"/>
    <w:pPr>
      <w:spacing w:line="360" w:lineRule="auto"/>
      <w:ind w:firstLine="200"/>
    </w:pPr>
    <w:rPr>
      <w:rFonts w:eastAsia="宋体"/>
      <w:color w:val="auto"/>
      <w:sz w:val="28"/>
    </w:rPr>
  </w:style>
  <w:style w:type="character" w:customStyle="1" w:styleId="317">
    <w:name w:val="标题4-四 Char"/>
    <w:link w:val="318"/>
    <w:qFormat/>
    <w:locked/>
    <w:uiPriority w:val="0"/>
    <w:rPr>
      <w:kern w:val="2"/>
      <w:sz w:val="28"/>
      <w:szCs w:val="28"/>
      <w:lang w:val="zh-CN" w:eastAsia="zh-CN"/>
    </w:rPr>
  </w:style>
  <w:style w:type="paragraph" w:customStyle="1" w:styleId="318">
    <w:name w:val="标题4-四"/>
    <w:basedOn w:val="1"/>
    <w:next w:val="1"/>
    <w:link w:val="317"/>
    <w:qFormat/>
    <w:uiPriority w:val="0"/>
    <w:pPr>
      <w:snapToGrid w:val="0"/>
      <w:spacing w:line="240" w:lineRule="auto"/>
      <w:ind w:firstLine="560"/>
    </w:pPr>
    <w:rPr>
      <w:rFonts w:eastAsia="宋体"/>
      <w:color w:val="auto"/>
      <w:spacing w:val="0"/>
      <w:sz w:val="28"/>
      <w:lang w:val="zh-CN" w:eastAsia="zh-CN"/>
    </w:rPr>
  </w:style>
  <w:style w:type="character" w:customStyle="1" w:styleId="319">
    <w:name w:val="标题222 Char"/>
    <w:link w:val="320"/>
    <w:qFormat/>
    <w:locked/>
    <w:uiPriority w:val="0"/>
    <w:rPr>
      <w:rFonts w:ascii="黑体" w:hAnsi="黑体" w:eastAsia="黑体"/>
      <w:kern w:val="2"/>
      <w:sz w:val="36"/>
      <w:szCs w:val="22"/>
    </w:rPr>
  </w:style>
  <w:style w:type="paragraph" w:customStyle="1" w:styleId="320">
    <w:name w:val="标题222"/>
    <w:basedOn w:val="1"/>
    <w:link w:val="319"/>
    <w:qFormat/>
    <w:uiPriority w:val="0"/>
    <w:pPr>
      <w:keepNext/>
      <w:keepLines/>
      <w:spacing w:before="120" w:after="120" w:line="720" w:lineRule="exact"/>
      <w:ind w:firstLine="0" w:firstLineChars="0"/>
      <w:outlineLvl w:val="1"/>
    </w:pPr>
    <w:rPr>
      <w:rFonts w:ascii="黑体" w:hAnsi="黑体" w:eastAsia="黑体"/>
      <w:color w:val="auto"/>
      <w:spacing w:val="0"/>
      <w:sz w:val="36"/>
      <w:szCs w:val="22"/>
    </w:rPr>
  </w:style>
  <w:style w:type="paragraph" w:customStyle="1" w:styleId="321">
    <w:name w:val="Char Char Char1 Char Char Char1 Char Char Char Char Char Char1 Char Char Char1 Char"/>
    <w:basedOn w:val="1"/>
    <w:semiHidden/>
    <w:qFormat/>
    <w:uiPriority w:val="99"/>
    <w:pPr>
      <w:spacing w:line="520" w:lineRule="atLeast"/>
      <w:ind w:firstLine="200"/>
    </w:pPr>
    <w:rPr>
      <w:rFonts w:eastAsia="宋体"/>
      <w:color w:val="auto"/>
      <w:spacing w:val="0"/>
      <w:sz w:val="21"/>
      <w:szCs w:val="24"/>
    </w:rPr>
  </w:style>
  <w:style w:type="character" w:styleId="322">
    <w:name w:val="Placeholder Text"/>
    <w:semiHidden/>
    <w:qFormat/>
    <w:uiPriority w:val="99"/>
    <w:rPr>
      <w:color w:val="808080"/>
    </w:rPr>
  </w:style>
  <w:style w:type="character" w:customStyle="1" w:styleId="323">
    <w:name w:val="标题 5 字符1"/>
    <w:semiHidden/>
    <w:qFormat/>
    <w:locked/>
    <w:uiPriority w:val="0"/>
    <w:rPr>
      <w:b/>
      <w:bCs/>
      <w:kern w:val="2"/>
      <w:sz w:val="28"/>
      <w:szCs w:val="28"/>
      <w:lang w:val="zh-CN" w:eastAsia="zh-CN"/>
    </w:rPr>
  </w:style>
  <w:style w:type="character" w:customStyle="1" w:styleId="324">
    <w:name w:val="标题 6 字符1"/>
    <w:semiHidden/>
    <w:qFormat/>
    <w:locked/>
    <w:uiPriority w:val="0"/>
    <w:rPr>
      <w:rFonts w:ascii="Arial" w:hAnsi="Arial" w:eastAsia="黑体"/>
      <w:b/>
      <w:color w:val="000000"/>
      <w:kern w:val="2"/>
      <w:sz w:val="24"/>
      <w:lang w:val="zh-CN" w:eastAsia="zh-CN"/>
    </w:rPr>
  </w:style>
  <w:style w:type="character" w:customStyle="1" w:styleId="325">
    <w:name w:val="标题 7 字符1"/>
    <w:semiHidden/>
    <w:qFormat/>
    <w:locked/>
    <w:uiPriority w:val="99"/>
    <w:rPr>
      <w:b/>
      <w:color w:val="000000"/>
      <w:kern w:val="2"/>
      <w:sz w:val="24"/>
      <w:lang w:val="zh-CN" w:eastAsia="zh-CN"/>
    </w:rPr>
  </w:style>
  <w:style w:type="character" w:customStyle="1" w:styleId="326">
    <w:name w:val="标题 8 字符1"/>
    <w:semiHidden/>
    <w:qFormat/>
    <w:locked/>
    <w:uiPriority w:val="99"/>
    <w:rPr>
      <w:rFonts w:ascii="Arial" w:hAnsi="Arial" w:eastAsia="黑体"/>
      <w:color w:val="000000"/>
      <w:kern w:val="2"/>
      <w:sz w:val="24"/>
      <w:lang w:val="zh-CN" w:eastAsia="zh-CN"/>
    </w:rPr>
  </w:style>
  <w:style w:type="character" w:customStyle="1" w:styleId="327">
    <w:name w:val="标题 9 字符1"/>
    <w:semiHidden/>
    <w:qFormat/>
    <w:locked/>
    <w:uiPriority w:val="99"/>
    <w:rPr>
      <w:rFonts w:ascii="Arial" w:hAnsi="Arial" w:eastAsia="黑体"/>
      <w:color w:val="000000"/>
      <w:kern w:val="2"/>
      <w:sz w:val="28"/>
      <w:lang w:val="zh-CN" w:eastAsia="zh-CN"/>
    </w:rPr>
  </w:style>
  <w:style w:type="character" w:customStyle="1" w:styleId="328">
    <w:name w:val="标题 1 Char1"/>
    <w:qFormat/>
    <w:uiPriority w:val="9"/>
    <w:rPr>
      <w:b/>
      <w:bCs/>
      <w:kern w:val="44"/>
      <w:sz w:val="44"/>
      <w:szCs w:val="44"/>
    </w:rPr>
  </w:style>
  <w:style w:type="character" w:customStyle="1" w:styleId="329">
    <w:name w:val="标题 2 Char1"/>
    <w:semiHidden/>
    <w:qFormat/>
    <w:uiPriority w:val="9"/>
    <w:rPr>
      <w:rFonts w:hint="default" w:ascii="Cambria" w:hAnsi="Cambria" w:eastAsia="宋体" w:cs="Times New Roman"/>
      <w:b/>
      <w:bCs/>
      <w:kern w:val="2"/>
      <w:sz w:val="32"/>
      <w:szCs w:val="32"/>
    </w:rPr>
  </w:style>
  <w:style w:type="character" w:customStyle="1" w:styleId="330">
    <w:name w:val="标题 Char1"/>
    <w:qFormat/>
    <w:uiPriority w:val="0"/>
    <w:rPr>
      <w:rFonts w:hint="default" w:ascii="Cambria" w:hAnsi="Cambria" w:cs="Times New Roman"/>
      <w:b/>
      <w:bCs/>
      <w:kern w:val="2"/>
      <w:sz w:val="32"/>
      <w:szCs w:val="32"/>
    </w:rPr>
  </w:style>
  <w:style w:type="character" w:customStyle="1" w:styleId="331">
    <w:name w:val="注释标题 字符1"/>
    <w:link w:val="15"/>
    <w:qFormat/>
    <w:locked/>
    <w:uiPriority w:val="99"/>
    <w:rPr>
      <w:kern w:val="2"/>
      <w:sz w:val="21"/>
      <w:szCs w:val="24"/>
      <w:lang w:val="zh-CN" w:eastAsia="zh-CN"/>
    </w:rPr>
  </w:style>
  <w:style w:type="character" w:customStyle="1" w:styleId="332">
    <w:name w:val="文档结构图 字符1"/>
    <w:semiHidden/>
    <w:qFormat/>
    <w:locked/>
    <w:uiPriority w:val="99"/>
    <w:rPr>
      <w:rFonts w:ascii="宋体" w:hAnsi="Calibri"/>
      <w:sz w:val="18"/>
      <w:szCs w:val="18"/>
      <w:lang w:val="zh-CN" w:eastAsia="zh-CN"/>
    </w:rPr>
  </w:style>
  <w:style w:type="character" w:customStyle="1" w:styleId="333">
    <w:name w:val="批注框文本 字符1"/>
    <w:semiHidden/>
    <w:qFormat/>
    <w:locked/>
    <w:uiPriority w:val="99"/>
    <w:rPr>
      <w:rFonts w:ascii="Calibri" w:hAnsi="Calibri"/>
      <w:sz w:val="18"/>
      <w:szCs w:val="18"/>
      <w:lang w:val="zh-CN" w:eastAsia="zh-CN"/>
    </w:rPr>
  </w:style>
  <w:style w:type="character" w:customStyle="1" w:styleId="334">
    <w:name w:val="脚注文本 Char"/>
    <w:semiHidden/>
    <w:qFormat/>
    <w:locked/>
    <w:uiPriority w:val="0"/>
    <w:rPr>
      <w:rFonts w:hint="default" w:ascii="Times New Roman" w:hAnsi="Times New Roman" w:cs="Times New Roman"/>
      <w:kern w:val="2"/>
      <w:sz w:val="18"/>
      <w:szCs w:val="18"/>
    </w:rPr>
  </w:style>
  <w:style w:type="character" w:customStyle="1" w:styleId="335">
    <w:name w:val="正文文本 字符1"/>
    <w:semiHidden/>
    <w:qFormat/>
    <w:locked/>
    <w:uiPriority w:val="99"/>
    <w:rPr>
      <w:kern w:val="2"/>
      <w:sz w:val="24"/>
      <w:szCs w:val="24"/>
      <w:lang w:val="zh-CN" w:eastAsia="zh-CN"/>
    </w:rPr>
  </w:style>
  <w:style w:type="paragraph" w:customStyle="1" w:styleId="336">
    <w:name w:val="正文首行缩进 Char1"/>
    <w:basedOn w:val="1"/>
    <w:link w:val="337"/>
    <w:qFormat/>
    <w:uiPriority w:val="0"/>
    <w:pPr>
      <w:spacing w:line="240" w:lineRule="auto"/>
      <w:ind w:firstLine="0" w:firstLineChars="0"/>
    </w:pPr>
    <w:rPr>
      <w:rFonts w:ascii="Calibri" w:hAnsi="Calibri" w:eastAsia="宋体"/>
      <w:color w:val="auto"/>
      <w:spacing w:val="0"/>
      <w:sz w:val="21"/>
      <w:szCs w:val="22"/>
    </w:rPr>
  </w:style>
  <w:style w:type="character" w:customStyle="1" w:styleId="337">
    <w:name w:val="正文首行缩进 Char2"/>
    <w:link w:val="336"/>
    <w:qFormat/>
    <w:locked/>
    <w:uiPriority w:val="0"/>
    <w:rPr>
      <w:rFonts w:ascii="Calibri" w:hAnsi="Calibri"/>
      <w:kern w:val="2"/>
      <w:sz w:val="21"/>
      <w:szCs w:val="22"/>
    </w:rPr>
  </w:style>
  <w:style w:type="character" w:customStyle="1" w:styleId="338">
    <w:name w:val="正文首行缩进 Char"/>
    <w:basedOn w:val="335"/>
    <w:semiHidden/>
    <w:qFormat/>
    <w:uiPriority w:val="99"/>
    <w:rPr>
      <w:kern w:val="2"/>
      <w:sz w:val="24"/>
      <w:szCs w:val="24"/>
      <w:lang w:val="zh-CN" w:eastAsia="zh-CN"/>
    </w:rPr>
  </w:style>
  <w:style w:type="character" w:customStyle="1" w:styleId="339">
    <w:name w:val="正文文本缩进 2 字符1"/>
    <w:link w:val="32"/>
    <w:qFormat/>
    <w:locked/>
    <w:uiPriority w:val="99"/>
    <w:rPr>
      <w:kern w:val="2"/>
      <w:sz w:val="28"/>
      <w:szCs w:val="24"/>
      <w:lang w:val="zh-CN" w:eastAsia="zh-CN"/>
    </w:rPr>
  </w:style>
  <w:style w:type="character" w:customStyle="1" w:styleId="340">
    <w:name w:val="日期 字符1"/>
    <w:link w:val="31"/>
    <w:qFormat/>
    <w:locked/>
    <w:uiPriority w:val="99"/>
    <w:rPr>
      <w:kern w:val="2"/>
      <w:sz w:val="28"/>
      <w:szCs w:val="24"/>
      <w:lang w:val="zh-CN" w:eastAsia="zh-CN"/>
    </w:rPr>
  </w:style>
  <w:style w:type="character" w:customStyle="1" w:styleId="341">
    <w:name w:val="正文文本缩进 3 字符1"/>
    <w:link w:val="40"/>
    <w:qFormat/>
    <w:locked/>
    <w:uiPriority w:val="99"/>
    <w:rPr>
      <w:kern w:val="2"/>
      <w:sz w:val="16"/>
      <w:szCs w:val="16"/>
      <w:lang w:val="zh-CN" w:eastAsia="zh-CN"/>
    </w:rPr>
  </w:style>
  <w:style w:type="character" w:customStyle="1" w:styleId="342">
    <w:name w:val="HTML 预设格式 字符1"/>
    <w:link w:val="45"/>
    <w:qFormat/>
    <w:locked/>
    <w:uiPriority w:val="0"/>
    <w:rPr>
      <w:rFonts w:ascii="宋体" w:hAnsi="宋体"/>
      <w:sz w:val="24"/>
      <w:szCs w:val="24"/>
      <w:lang w:val="zh-CN" w:eastAsia="zh-CN"/>
    </w:rPr>
  </w:style>
  <w:style w:type="character" w:customStyle="1" w:styleId="343">
    <w:name w:val="批注文字 Char"/>
    <w:qFormat/>
    <w:locked/>
    <w:uiPriority w:val="0"/>
    <w:rPr>
      <w:sz w:val="24"/>
      <w:szCs w:val="24"/>
    </w:rPr>
  </w:style>
  <w:style w:type="character" w:customStyle="1" w:styleId="344">
    <w:name w:val="批注文字 Char1"/>
    <w:semiHidden/>
    <w:qFormat/>
    <w:uiPriority w:val="99"/>
    <w:rPr>
      <w:kern w:val="2"/>
      <w:sz w:val="21"/>
      <w:szCs w:val="22"/>
    </w:rPr>
  </w:style>
  <w:style w:type="character" w:customStyle="1" w:styleId="345">
    <w:name w:val="正文文本 2 字符1"/>
    <w:link w:val="43"/>
    <w:qFormat/>
    <w:locked/>
    <w:uiPriority w:val="99"/>
    <w:rPr>
      <w:rFonts w:ascii="黑体" w:eastAsia="黑体"/>
      <w:color w:val="000000"/>
      <w:kern w:val="2"/>
      <w:sz w:val="28"/>
      <w:szCs w:val="24"/>
      <w:lang w:val="zh-CN" w:eastAsia="zh-CN"/>
    </w:rPr>
  </w:style>
  <w:style w:type="character" w:customStyle="1" w:styleId="346">
    <w:name w:val="正文文本 3 字符1"/>
    <w:link w:val="21"/>
    <w:qFormat/>
    <w:locked/>
    <w:uiPriority w:val="99"/>
    <w:rPr>
      <w:kern w:val="2"/>
      <w:sz w:val="28"/>
      <w:szCs w:val="24"/>
      <w:lang w:val="zh-CN" w:eastAsia="zh-CN"/>
    </w:rPr>
  </w:style>
  <w:style w:type="character" w:customStyle="1" w:styleId="347">
    <w:name w:val="刘1 Char Char"/>
    <w:qFormat/>
    <w:uiPriority w:val="0"/>
    <w:rPr>
      <w:rFonts w:hint="eastAsia" w:ascii="黑体" w:hAnsi="黑体" w:eastAsia="黑体"/>
      <w:bCs/>
      <w:kern w:val="44"/>
      <w:sz w:val="32"/>
      <w:szCs w:val="32"/>
      <w:lang w:val="en-US" w:eastAsia="zh-CN" w:bidi="ar-SA"/>
    </w:rPr>
  </w:style>
  <w:style w:type="character" w:customStyle="1" w:styleId="348">
    <w:name w:val="juzuo2"/>
    <w:qFormat/>
    <w:uiPriority w:val="0"/>
    <w:rPr>
      <w:b/>
      <w:bCs/>
      <w:sz w:val="21"/>
      <w:szCs w:val="21"/>
    </w:rPr>
  </w:style>
  <w:style w:type="character" w:customStyle="1" w:styleId="349">
    <w:name w:val="title10"/>
    <w:qFormat/>
    <w:uiPriority w:val="0"/>
  </w:style>
  <w:style w:type="character" w:customStyle="1" w:styleId="350">
    <w:name w:val="albumcount2"/>
    <w:qFormat/>
    <w:uiPriority w:val="0"/>
  </w:style>
  <w:style w:type="character" w:customStyle="1" w:styleId="351">
    <w:name w:val="word1"/>
    <w:qFormat/>
    <w:uiPriority w:val="0"/>
    <w:rPr>
      <w:rFonts w:hint="default" w:ascii="ˎ̥" w:hAnsi="ˎ̥"/>
      <w:color w:val="000000"/>
      <w:sz w:val="21"/>
      <w:szCs w:val="21"/>
      <w:u w:val="none"/>
    </w:rPr>
  </w:style>
  <w:style w:type="character" w:customStyle="1" w:styleId="352">
    <w:name w:val="脚注文本 Char1"/>
    <w:semiHidden/>
    <w:qFormat/>
    <w:uiPriority w:val="99"/>
    <w:rPr>
      <w:sz w:val="18"/>
      <w:szCs w:val="18"/>
    </w:rPr>
  </w:style>
  <w:style w:type="table" w:customStyle="1" w:styleId="353">
    <w:name w:val="网格型1"/>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4">
    <w:name w:val="正文文本 New New"/>
    <w:basedOn w:val="283"/>
    <w:qFormat/>
    <w:uiPriority w:val="0"/>
    <w:pPr>
      <w:spacing w:after="120"/>
    </w:pPr>
  </w:style>
  <w:style w:type="paragraph" w:customStyle="1" w:styleId="355">
    <w:name w:val="样式 正文wdx + 首行缩进:  2 字符 段前: 0.5 行"/>
    <w:basedOn w:val="300"/>
    <w:qFormat/>
    <w:uiPriority w:val="0"/>
    <w:pPr>
      <w:topLinePunct/>
      <w:snapToGrid/>
      <w:spacing w:before="0" w:after="0" w:line="440" w:lineRule="exact"/>
    </w:pPr>
    <w:rPr>
      <w:rFonts w:eastAsia="宋体"/>
      <w:color w:val="auto"/>
      <w:szCs w:val="28"/>
      <w:lang w:val="en-US"/>
    </w:rPr>
  </w:style>
  <w:style w:type="paragraph" w:customStyle="1" w:styleId="356">
    <w:name w:val="表格3"/>
    <w:basedOn w:val="301"/>
    <w:qFormat/>
    <w:uiPriority w:val="0"/>
    <w:rPr>
      <w:lang w:val="zh-CN"/>
    </w:rPr>
  </w:style>
  <w:style w:type="paragraph" w:customStyle="1" w:styleId="357">
    <w:name w:val="gyy正文"/>
    <w:basedOn w:val="1"/>
    <w:qFormat/>
    <w:uiPriority w:val="0"/>
    <w:pPr>
      <w:snapToGrid w:val="0"/>
      <w:spacing w:line="360" w:lineRule="auto"/>
      <w:ind w:firstLine="480"/>
    </w:pPr>
    <w:rPr>
      <w:snapToGrid w:val="0"/>
      <w:kern w:val="0"/>
      <w:szCs w:val="20"/>
      <w:lang w:val="zh-CN"/>
    </w:rPr>
  </w:style>
  <w:style w:type="character" w:customStyle="1" w:styleId="358">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176</Pages>
  <Words>17703</Words>
  <Characters>100910</Characters>
  <Lines>840</Lines>
  <Paragraphs>236</Paragraphs>
  <TotalTime>9063</TotalTime>
  <ScaleCrop>false</ScaleCrop>
  <LinksUpToDate>false</LinksUpToDate>
  <CharactersWithSpaces>118377</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2024-02-28T08:59:00Z</dcterms:created>
  <dc:creator>erukl</dc:creator>
  <cp:lastModifiedBy>user</cp:lastModifiedBy>
  <cp:lastPrinted>2024-12-02T17:04:00Z</cp:lastPrinted>
  <dcterms:modified xsi:type="dcterms:W3CDTF">2025-09-03T14:44:26Z</dcterms:modified>
  <dc:title>报告模版</dc:title>
  <cp:revision>447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Pixel 011</vt:lpwstr>
  </property>
  <property fmtid="{D5CDD505-2E9C-101B-9397-08002B2CF9AE}" pid="3" name="KSOProductBuildVer">
    <vt:lpwstr>2052-12.8.2.1113</vt:lpwstr>
  </property>
  <property fmtid="{D5CDD505-2E9C-101B-9397-08002B2CF9AE}" pid="4" name="ICV">
    <vt:lpwstr>C4C9D10A788D4B789D3B530E44BDC360_13</vt:lpwstr>
  </property>
</Properties>
</file>