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附件2.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《云南省澄江市烟草制品零售点合理布局规划（2026征求意见稿）》修订调研问卷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6591300"/>
            <wp:effectExtent l="0" t="0" r="3810" b="0"/>
            <wp:docPr id="1" name="图片 1" descr="附件2.《云南省澄江市烟草制品零售点合理布局规划（2026征求意见稿）》修订调研问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2.《云南省澄江市烟草制品零售点合理布局规划（2026征求意见稿）》修订调研问卷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Theme="minor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eastAsia="zh-CN"/>
        </w:rPr>
        <w:t xml:space="preserve"> 调研问卷小程序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eastAsiaTheme="minorEastAsia"/>
          <w:lang w:eastAsia="zh-CN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修订说明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围绕省局印发的优化措施，结合本辖区经营情况，拟作出以下几点修订：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是增设第十一条“经营场所经营面积（不包括仓库、车库、休息室、办公场所等辅助设施面积）达到300平方米以上的烟草专业店、超市、商场，可设置一个零售点，不受单元网格规划数及总量规划数限制、距离限制。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是增设第十二条“商用办公楼宇公共楼层已形成实际商品展卖场所的，每栋楼宇可设置一个零售点，不受单元网格规划数及总量规划数限制、距离限制，非公共楼层不予设置零售点。”此条之前已在附件2中有规定，现在放在正文部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三是细化第十七条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不予发放烟草专卖零售许可证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en-US" w:eastAsia="zh-CN"/>
        </w:rPr>
        <w:t>情形中第七项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“</w:t>
      </w:r>
      <w:r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经营场所基于安全因素不适宜经营卷烟的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”业态，明确为</w:t>
      </w:r>
      <w:r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五金建材、建筑装潢、美容美发、按摩推拿、药妆医械、农畜养殖、修理修配、农药农资、机耕农具、汽车美容、烟花爆竹、散装酒类等场所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四是细化第十七条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不予发放烟草专卖零售许可证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en-US" w:eastAsia="zh-CN"/>
        </w:rPr>
        <w:t>情形中第八项中小学校幼儿园100米的描述，细化为“本市辖区内中小学校、幼儿园学生通道、教职工通道、后勤通道、消防通道、应急通道以及不经常开放的通道等所有进出口通道100米以内”。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80" w:firstLineChars="200"/>
        <w:textAlignment w:val="auto"/>
        <w:rPr>
          <w:rFonts w:hint="eastAsia" w:eastAsia="仿宋_GB2312"/>
          <w:spacing w:val="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en-US" w:eastAsia="zh-CN"/>
        </w:rPr>
        <w:t>五是新增第十八条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  <w:lang w:val="en-US" w:eastAsia="zh-CN"/>
        </w:rPr>
        <w:t>优抚对象、社会弱势</w:t>
      </w:r>
      <w:r>
        <w:rPr>
          <w:rFonts w:hint="eastAsia" w:eastAsia="仿宋_GB2312"/>
          <w:spacing w:val="10"/>
          <w:sz w:val="32"/>
          <w:szCs w:val="32"/>
        </w:rPr>
        <w:t>群体</w:t>
      </w:r>
      <w:r>
        <w:rPr>
          <w:rFonts w:hint="eastAsia" w:eastAsia="仿宋_GB2312"/>
          <w:spacing w:val="10"/>
          <w:sz w:val="32"/>
          <w:szCs w:val="32"/>
          <w:lang w:eastAsia="zh-CN"/>
        </w:rPr>
        <w:t>的</w:t>
      </w:r>
      <w:r>
        <w:rPr>
          <w:rFonts w:hint="eastAsia" w:eastAsia="仿宋_GB2312"/>
          <w:spacing w:val="10"/>
          <w:sz w:val="32"/>
          <w:szCs w:val="32"/>
          <w:lang w:val="en-US" w:eastAsia="zh-CN"/>
        </w:rPr>
        <w:t>范围，增加病故军人遗属。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六是增设第二十一条，“</w:t>
      </w:r>
      <w:r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在本市辖区范围内连续经营5年以上，且最近连续3年无涉烟违法违规记录的持证户，因租金上涨、租赁期满等客观原因不能在原核定地址经营，经营主体未发生改变，持证人在办理许可证歇业后6个月内，在原单元网格内新址申请新办的，不受所在单元网格规划数限制，零售点间距可放宽至本单元网格间距标准的80%执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七是明确</w:t>
      </w:r>
      <w:r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澄江市总量规划数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为以上年度末零售户1198户为基数，增加0.5%，规划总量为1204户。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八是删除附件2.《云南省澄江市烟草制品零售点合理布局公示表》中的其他条件描述，除了保留“人口较为集中的相对独立的综合性商（农）贸市场，根据该区域固定商铺数量设置。每30个固定商铺设置1个零售点，零售点的间距不低于30米，最多可设置5个零售点。临街铺面按距离限制标准执行，临街、内部双向开门营业的零售点需符合内外布局要求”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3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2026-08-04T07:04:50Z</dcterms:created>
  <dc:creator>daxiaohong2746</dc:creator>
  <cp:lastModifiedBy>皮卡皮卡</cp:lastModifiedBy>
  <dcterms:modified xsi:type="dcterms:W3CDTF">2026-08-04T07:09:21Z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