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449E3">
      <w:pPr>
        <w:keepNext w:val="0"/>
        <w:keepLines w:val="0"/>
        <w:pageBreakBefore w:val="0"/>
        <w:kinsoku/>
        <w:wordWrap w:val="0"/>
        <w:overflowPunct/>
        <w:topLinePunct w:val="0"/>
        <w:autoSpaceDE/>
        <w:autoSpaceDN/>
        <w:bidi w:val="0"/>
        <w:snapToGrid w:val="0"/>
        <w:spacing w:line="300" w:lineRule="auto"/>
        <w:jc w:val="center"/>
        <w:rPr>
          <w:rFonts w:eastAsia="方正小标宋简体"/>
          <w:sz w:val="44"/>
          <w:szCs w:val="44"/>
        </w:rPr>
      </w:pPr>
      <w:r>
        <w:rPr>
          <w:rFonts w:eastAsia="方正小标宋简体"/>
          <w:sz w:val="44"/>
          <w:szCs w:val="44"/>
        </w:rPr>
        <w:t>云南省</w:t>
      </w:r>
      <w:r>
        <w:rPr>
          <w:rFonts w:hint="eastAsia" w:eastAsia="方正小标宋简体"/>
          <w:sz w:val="44"/>
          <w:szCs w:val="44"/>
        </w:rPr>
        <w:t>澄江市</w:t>
      </w:r>
      <w:r>
        <w:rPr>
          <w:rFonts w:eastAsia="方正小标宋简体"/>
          <w:sz w:val="44"/>
          <w:szCs w:val="44"/>
        </w:rPr>
        <w:t>烟草制品零售点</w:t>
      </w:r>
    </w:p>
    <w:p w14:paraId="01E6DE2C">
      <w:pPr>
        <w:keepNext w:val="0"/>
        <w:keepLines w:val="0"/>
        <w:pageBreakBefore w:val="0"/>
        <w:kinsoku/>
        <w:wordWrap w:val="0"/>
        <w:overflowPunct/>
        <w:topLinePunct w:val="0"/>
        <w:autoSpaceDE/>
        <w:autoSpaceDN/>
        <w:bidi w:val="0"/>
        <w:snapToGrid w:val="0"/>
        <w:spacing w:line="300" w:lineRule="auto"/>
        <w:jc w:val="center"/>
        <w:rPr>
          <w:rFonts w:hint="eastAsia" w:eastAsia="方正小标宋简体"/>
          <w:sz w:val="44"/>
          <w:szCs w:val="44"/>
          <w:lang w:eastAsia="zh-CN"/>
        </w:rPr>
      </w:pPr>
      <w:r>
        <w:rPr>
          <w:rFonts w:eastAsia="方正小标宋简体"/>
          <w:sz w:val="44"/>
          <w:szCs w:val="44"/>
        </w:rPr>
        <w:t>合理布局规划</w:t>
      </w:r>
      <w:r>
        <w:rPr>
          <w:rFonts w:hint="eastAsia" w:eastAsia="方正小标宋简体"/>
          <w:sz w:val="44"/>
          <w:szCs w:val="44"/>
          <w:lang w:eastAsia="zh-CN"/>
        </w:rPr>
        <w:t>（</w:t>
      </w:r>
      <w:r>
        <w:rPr>
          <w:rFonts w:hint="eastAsia" w:eastAsia="方正小标宋简体"/>
          <w:sz w:val="44"/>
          <w:szCs w:val="44"/>
          <w:lang w:val="en-US" w:eastAsia="zh-CN"/>
        </w:rPr>
        <w:t>草案2026</w:t>
      </w:r>
      <w:r>
        <w:rPr>
          <w:rFonts w:hint="eastAsia" w:eastAsia="方正小标宋简体"/>
          <w:sz w:val="44"/>
          <w:szCs w:val="44"/>
          <w:lang w:eastAsia="zh-CN"/>
        </w:rPr>
        <w:t>）</w:t>
      </w:r>
    </w:p>
    <w:p w14:paraId="58AAFD91">
      <w:pPr>
        <w:pStyle w:val="8"/>
        <w:keepNext w:val="0"/>
        <w:keepLines w:val="0"/>
        <w:pageBreakBefore w:val="0"/>
        <w:numPr>
          <w:ilvl w:val="0"/>
          <w:numId w:val="1"/>
        </w:numPr>
        <w:kinsoku/>
        <w:wordWrap w:val="0"/>
        <w:overflowPunct/>
        <w:topLinePunct w:val="0"/>
        <w:autoSpaceDE/>
        <w:autoSpaceDN/>
        <w:bidi w:val="0"/>
        <w:snapToGrid w:val="0"/>
        <w:spacing w:before="312" w:beforeLines="100" w:after="312" w:afterLines="100" w:line="300" w:lineRule="auto"/>
        <w:ind w:right="199" w:rightChars="95" w:firstLine="640" w:firstLineChars="200"/>
        <w:textAlignment w:val="baseline"/>
        <w:rPr>
          <w:rFonts w:ascii="Times New Roman" w:hAnsi="Times New Roman" w:eastAsia="黑体"/>
          <w:sz w:val="32"/>
          <w:szCs w:val="32"/>
        </w:rPr>
      </w:pPr>
      <w:r>
        <w:rPr>
          <w:rFonts w:ascii="Times New Roman" w:hAnsi="Times New Roman" w:eastAsia="黑体"/>
          <w:sz w:val="32"/>
          <w:szCs w:val="32"/>
        </w:rPr>
        <w:t>总则</w:t>
      </w:r>
    </w:p>
    <w:p w14:paraId="42841B1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highlight w:val="none"/>
          <w:u w:val="none"/>
        </w:rPr>
        <w:t>为</w:t>
      </w:r>
      <w:r>
        <w:rPr>
          <w:rFonts w:hint="eastAsia" w:eastAsia="仿宋_GB2312"/>
          <w:sz w:val="32"/>
          <w:szCs w:val="32"/>
          <w:highlight w:val="none"/>
          <w:u w:val="none"/>
          <w:lang w:val="en-US" w:eastAsia="zh-CN"/>
        </w:rPr>
        <w:t>构建良好的营商环境，</w:t>
      </w:r>
      <w:r>
        <w:rPr>
          <w:rFonts w:eastAsia="仿宋_GB2312"/>
          <w:sz w:val="32"/>
          <w:szCs w:val="32"/>
        </w:rPr>
        <w:t>依法依规、科学合理制定烟草制品零售点合理布局规划，提升烟草专卖行政许可的公开性、公平性和公正性，依据《中华人民共和国行政许可法》《中华人民共和国未成年人保护法》《中华人民共和国烟草专卖法》《中华人民共和国烟草专卖法实施条例》《烟草专卖许可证管理办法》《烟草专卖许可证管理办法实施细则》等法律、法规、规章和国家烟草专卖局的有关规定，结合</w:t>
      </w:r>
      <w:r>
        <w:rPr>
          <w:rFonts w:hint="eastAsia" w:eastAsia="仿宋_GB2312"/>
          <w:sz w:val="32"/>
          <w:szCs w:val="32"/>
        </w:rPr>
        <w:t>澄江市</w:t>
      </w:r>
      <w:r>
        <w:rPr>
          <w:rFonts w:eastAsia="仿宋_GB2312"/>
          <w:sz w:val="32"/>
          <w:szCs w:val="32"/>
        </w:rPr>
        <w:t>实际，制定本规划。</w:t>
      </w:r>
    </w:p>
    <w:p w14:paraId="749EFA6F">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本规划适用于云南省澄江市行政辖区范围内烟草制品零售点的布局管理。电子烟零售点布局按照《云南省电子烟零售点布局规划》执行。</w:t>
      </w:r>
    </w:p>
    <w:p w14:paraId="2C4E8B45">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本规划所称烟草制品零售点（以下简称零售点）是指依法取得烟草专卖零售许可证（以下简称零售许可证）的公民、法人或其他组织从事烟草制品零售业务的经营场所</w:t>
      </w:r>
      <w:r>
        <w:rPr>
          <w:rFonts w:hint="eastAsia" w:eastAsia="仿宋_GB2312"/>
          <w:sz w:val="32"/>
          <w:szCs w:val="32"/>
        </w:rPr>
        <w:t>。</w:t>
      </w:r>
    </w:p>
    <w:p w14:paraId="4B6DCDD3">
      <w:pPr>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零售点应当设置于与住所相独立的固定经营场所，经营场所与住所应当在空间上相互独立，在物理特性上应有</w:t>
      </w:r>
      <w:r>
        <w:rPr>
          <w:rFonts w:eastAsia="仿宋_GB2312"/>
          <w:color w:val="auto"/>
          <w:sz w:val="32"/>
          <w:szCs w:val="32"/>
        </w:rPr>
        <w:t>实体墙</w:t>
      </w:r>
      <w:r>
        <w:rPr>
          <w:rFonts w:eastAsia="仿宋_GB2312"/>
          <w:sz w:val="32"/>
          <w:szCs w:val="32"/>
        </w:rPr>
        <w:t>相隔离</w:t>
      </w:r>
      <w:r>
        <w:rPr>
          <w:rFonts w:hint="eastAsia" w:eastAsia="仿宋_GB2312"/>
          <w:sz w:val="32"/>
          <w:szCs w:val="32"/>
        </w:rPr>
        <w:t>，不能具有连通性</w:t>
      </w:r>
      <w:r>
        <w:rPr>
          <w:rFonts w:eastAsia="仿宋_GB2312"/>
          <w:sz w:val="32"/>
          <w:szCs w:val="32"/>
        </w:rPr>
        <w:t>。经营场所应有指向明确并唯一的门牌、地址或者方位表述，且与营业执照登记注册的经营场所一致，并面向公众经营。</w:t>
      </w:r>
    </w:p>
    <w:p w14:paraId="77DF3598">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本规划遵循依法行政、科学规划、服务社会、均衡发展原则，综合辖区内人口数量、交通状况、经济发展水平、消费能力等因素，对零售点进行科学合理的规划布局</w:t>
      </w:r>
      <w:r>
        <w:rPr>
          <w:rFonts w:hint="eastAsia" w:eastAsia="仿宋_GB2312"/>
          <w:sz w:val="32"/>
          <w:szCs w:val="32"/>
          <w:lang w:eastAsia="zh-CN"/>
        </w:rPr>
        <w:t>。</w:t>
      </w:r>
    </w:p>
    <w:p w14:paraId="763AFD9A">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零售点布局标准</w:t>
      </w:r>
    </w:p>
    <w:p w14:paraId="099D894B">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本章适用于经营范围除“仅为雪茄烟本店零售”以外的卷烟、雪茄烟、消费类烟丝的零售点布局管理。</w:t>
      </w:r>
    </w:p>
    <w:p w14:paraId="702F2EE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零售点布局采用数量限制、距离限制、数量限制与距离限制相结合以及不予设置烟草制品零售点等布局标准。</w:t>
      </w:r>
    </w:p>
    <w:p w14:paraId="29EDCA8D">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根据地域面积、人口数量、交通状况、经济发展水平、居民消费能力、消费购买习惯等因素，合理确定区域零售点规划数，并划定最小单元网格。单元网格零售点规划数是指最小单元网格内可设置零售点的数量。总量规划数是指</w:t>
      </w:r>
      <w:r>
        <w:rPr>
          <w:rFonts w:hint="eastAsia" w:eastAsia="仿宋_GB2312"/>
          <w:sz w:val="32"/>
          <w:szCs w:val="32"/>
        </w:rPr>
        <w:t>澄江市</w:t>
      </w:r>
      <w:r>
        <w:rPr>
          <w:rFonts w:eastAsia="仿宋_GB2312"/>
          <w:sz w:val="32"/>
          <w:szCs w:val="32"/>
        </w:rPr>
        <w:t>辖区范围内所有单元网格零售点规划数之和。</w:t>
      </w:r>
    </w:p>
    <w:p w14:paraId="50E12D38">
      <w:pPr>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eastAsia="仿宋_GB2312"/>
          <w:sz w:val="32"/>
          <w:szCs w:val="32"/>
        </w:rPr>
        <w:t>除本</w:t>
      </w:r>
      <w:r>
        <w:rPr>
          <w:rFonts w:hint="eastAsia" w:eastAsia="仿宋_GB2312"/>
          <w:sz w:val="32"/>
          <w:szCs w:val="32"/>
          <w:highlight w:val="none"/>
          <w:u w:val="none"/>
          <w:lang w:val="en-US" w:eastAsia="zh-CN"/>
        </w:rPr>
        <w:t>章</w:t>
      </w:r>
      <w:r>
        <w:rPr>
          <w:rFonts w:eastAsia="仿宋_GB2312"/>
          <w:sz w:val="32"/>
          <w:szCs w:val="32"/>
        </w:rPr>
        <w:t>规定的特殊区域外，</w:t>
      </w:r>
      <w:r>
        <w:rPr>
          <w:rFonts w:hint="eastAsia" w:eastAsia="仿宋_GB2312"/>
          <w:sz w:val="32"/>
          <w:szCs w:val="32"/>
          <w:lang w:val="en-US" w:eastAsia="zh-CN"/>
        </w:rPr>
        <w:t>最小</w:t>
      </w:r>
      <w:r>
        <w:rPr>
          <w:rFonts w:eastAsia="仿宋_GB2312"/>
          <w:sz w:val="32"/>
          <w:szCs w:val="32"/>
        </w:rPr>
        <w:t>单元网格内零售点数量达到规划数时，该单元网格不予新设零售点。</w:t>
      </w:r>
    </w:p>
    <w:p w14:paraId="7F3FAD2A">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rPr>
          <w:rFonts w:eastAsia="仿宋_GB2312"/>
          <w:sz w:val="32"/>
          <w:szCs w:val="32"/>
        </w:rPr>
      </w:pPr>
      <w:r>
        <w:rPr>
          <w:rFonts w:eastAsia="仿宋_GB2312"/>
          <w:spacing w:val="10"/>
          <w:sz w:val="32"/>
          <w:szCs w:val="32"/>
        </w:rPr>
        <w:t>根据零售市场状态、</w:t>
      </w:r>
      <w:r>
        <w:rPr>
          <w:rFonts w:eastAsia="仿宋_GB2312"/>
          <w:sz w:val="32"/>
          <w:szCs w:val="32"/>
        </w:rPr>
        <w:t>交通状况、人口热度、消费购买习惯等</w:t>
      </w:r>
      <w:r>
        <w:rPr>
          <w:rFonts w:eastAsia="仿宋_GB2312"/>
          <w:spacing w:val="10"/>
          <w:sz w:val="32"/>
          <w:szCs w:val="32"/>
        </w:rPr>
        <w:t>因素，合理确定零售点间距。零售点间距是指申请人拟从事烟草制品零售业务的经营场所与最近的烟草制品零售点之间的距离。测量的总体原则为两个零售点</w:t>
      </w:r>
      <w:r>
        <w:rPr>
          <w:rFonts w:hint="eastAsia" w:eastAsia="仿宋_GB2312"/>
          <w:spacing w:val="10"/>
          <w:sz w:val="32"/>
          <w:szCs w:val="32"/>
        </w:rPr>
        <w:t>“</w:t>
      </w:r>
      <w:r>
        <w:rPr>
          <w:rFonts w:eastAsia="仿宋_GB2312"/>
          <w:spacing w:val="10"/>
          <w:sz w:val="32"/>
          <w:szCs w:val="32"/>
        </w:rPr>
        <w:t>门边到门边</w:t>
      </w:r>
      <w:r>
        <w:rPr>
          <w:rFonts w:hint="eastAsia" w:eastAsia="仿宋_GB2312"/>
          <w:spacing w:val="10"/>
          <w:sz w:val="32"/>
          <w:szCs w:val="32"/>
        </w:rPr>
        <w:t>”</w:t>
      </w:r>
      <w:r>
        <w:rPr>
          <w:rFonts w:eastAsia="仿宋_GB2312"/>
          <w:spacing w:val="10"/>
          <w:sz w:val="32"/>
          <w:szCs w:val="32"/>
        </w:rPr>
        <w:t>可安全步行的最短距离。</w:t>
      </w:r>
      <w:r>
        <w:rPr>
          <w:rFonts w:eastAsia="仿宋_GB2312"/>
          <w:sz w:val="32"/>
          <w:szCs w:val="32"/>
        </w:rPr>
        <w:t>测量规则及标准</w:t>
      </w:r>
      <w:r>
        <w:rPr>
          <w:rFonts w:eastAsia="仿宋_GB2312"/>
          <w:spacing w:val="10"/>
          <w:sz w:val="32"/>
          <w:szCs w:val="32"/>
        </w:rPr>
        <w:t>详见《云南省</w:t>
      </w:r>
      <w:r>
        <w:rPr>
          <w:rFonts w:hint="eastAsia" w:eastAsia="仿宋_GB2312"/>
          <w:spacing w:val="10"/>
          <w:sz w:val="32"/>
          <w:szCs w:val="32"/>
        </w:rPr>
        <w:t>澄江市</w:t>
      </w:r>
      <w:r>
        <w:rPr>
          <w:rFonts w:eastAsia="仿宋_GB2312"/>
          <w:spacing w:val="10"/>
          <w:sz w:val="32"/>
          <w:szCs w:val="32"/>
        </w:rPr>
        <w:t>烟草制品零售点间距测量规则及标准》（附件</w:t>
      </w:r>
      <w:r>
        <w:rPr>
          <w:rFonts w:hint="eastAsia" w:eastAsia="仿宋_GB2312"/>
          <w:spacing w:val="10"/>
          <w:sz w:val="32"/>
          <w:szCs w:val="32"/>
        </w:rPr>
        <w:t>1</w:t>
      </w:r>
      <w:r>
        <w:rPr>
          <w:rFonts w:eastAsia="仿宋_GB2312"/>
          <w:spacing w:val="10"/>
          <w:sz w:val="32"/>
          <w:szCs w:val="32"/>
        </w:rPr>
        <w:t>）</w:t>
      </w:r>
      <w:r>
        <w:rPr>
          <w:rFonts w:hint="eastAsia" w:eastAsia="仿宋_GB2312"/>
          <w:spacing w:val="10"/>
          <w:sz w:val="32"/>
          <w:szCs w:val="32"/>
        </w:rPr>
        <w:t>。</w:t>
      </w:r>
    </w:p>
    <w:p w14:paraId="119EFAD4">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楷体"/>
          <w:sz w:val="32"/>
          <w:szCs w:val="32"/>
        </w:rPr>
      </w:pPr>
      <w:r>
        <w:rPr>
          <w:rFonts w:eastAsia="仿宋_GB2312"/>
          <w:spacing w:val="10"/>
          <w:sz w:val="32"/>
          <w:szCs w:val="32"/>
        </w:rPr>
        <w:t>汽车站等相对封闭的内部等候区，可设置</w:t>
      </w:r>
      <w:r>
        <w:rPr>
          <w:rFonts w:hint="eastAsia" w:eastAsia="仿宋_GB2312"/>
          <w:spacing w:val="10"/>
          <w:sz w:val="32"/>
          <w:szCs w:val="32"/>
        </w:rPr>
        <w:t>一</w:t>
      </w:r>
      <w:r>
        <w:rPr>
          <w:rFonts w:eastAsia="仿宋_GB2312"/>
          <w:spacing w:val="10"/>
          <w:sz w:val="32"/>
          <w:szCs w:val="32"/>
        </w:rPr>
        <w:t>个零售点，不受单元网格规划数及总量规划数限制。</w:t>
      </w:r>
    </w:p>
    <w:p w14:paraId="37F9CECA">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spacing w:val="10"/>
          <w:sz w:val="32"/>
          <w:szCs w:val="32"/>
        </w:rPr>
      </w:pPr>
      <w:r>
        <w:rPr>
          <w:rFonts w:eastAsia="仿宋_GB2312"/>
          <w:spacing w:val="10"/>
          <w:sz w:val="32"/>
          <w:szCs w:val="32"/>
        </w:rPr>
        <w:t>部队、监狱、看守所、戒毒所等封闭式特殊区域，可设置一个零售点，不受单元网格规划数及总量规划数限制。</w:t>
      </w:r>
    </w:p>
    <w:p w14:paraId="2B35B61B">
      <w:pPr>
        <w:keepNext w:val="0"/>
        <w:keepLines w:val="0"/>
        <w:pageBreakBefore w:val="0"/>
        <w:widowControl w:val="0"/>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spacing w:val="10"/>
          <w:sz w:val="32"/>
          <w:szCs w:val="32"/>
        </w:rPr>
      </w:pPr>
      <w:r>
        <w:rPr>
          <w:rFonts w:eastAsia="仿宋_GB2312"/>
          <w:spacing w:val="10"/>
          <w:sz w:val="32"/>
          <w:szCs w:val="32"/>
        </w:rPr>
        <w:t>高速公路单侧加油站（含服务区）,可设置</w:t>
      </w:r>
      <w:r>
        <w:rPr>
          <w:rFonts w:hint="eastAsia" w:eastAsia="仿宋_GB2312"/>
          <w:spacing w:val="10"/>
          <w:sz w:val="32"/>
          <w:szCs w:val="32"/>
        </w:rPr>
        <w:t>一</w:t>
      </w:r>
      <w:r>
        <w:rPr>
          <w:rFonts w:eastAsia="仿宋_GB2312"/>
          <w:spacing w:val="10"/>
          <w:sz w:val="32"/>
          <w:szCs w:val="32"/>
        </w:rPr>
        <w:t>个零售点，不受单元网格规划数及总量规划数限制。</w:t>
      </w:r>
    </w:p>
    <w:p w14:paraId="6033F59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jc w:val="left"/>
        <w:textAlignment w:val="baseline"/>
        <w:rPr>
          <w:rFonts w:eastAsia="楷体"/>
          <w:color w:val="FF0000"/>
          <w:sz w:val="32"/>
          <w:szCs w:val="32"/>
        </w:rPr>
      </w:pPr>
      <w:r>
        <w:rPr>
          <w:rFonts w:hint="eastAsia" w:ascii="仿宋_GB2312" w:hAnsi="仿宋_GB2312" w:eastAsia="仿宋_GB2312" w:cs="仿宋_GB2312"/>
          <w:color w:val="FF0000"/>
          <w:sz w:val="32"/>
          <w:szCs w:val="32"/>
          <w:lang w:val="en-US" w:eastAsia="zh-CN"/>
        </w:rPr>
        <w:t>以下情形，可不受区域单元网格规划数量、距离限制，单独设置一个零售点：</w:t>
      </w:r>
    </w:p>
    <w:p w14:paraId="0C29FC6D">
      <w:pPr>
        <w:keepNext w:val="0"/>
        <w:keepLines w:val="0"/>
        <w:pageBreakBefore w:val="0"/>
        <w:widowControl w:val="0"/>
        <w:numPr>
          <w:numId w:val="0"/>
        </w:numPr>
        <w:kinsoku/>
        <w:wordWrap w:val="0"/>
        <w:overflowPunct/>
        <w:topLinePunct w:val="0"/>
        <w:autoSpaceDE/>
        <w:autoSpaceDN/>
        <w:bidi w:val="0"/>
        <w:adjustRightInd w:val="0"/>
        <w:snapToGrid w:val="0"/>
        <w:spacing w:after="0" w:line="360" w:lineRule="auto"/>
        <w:ind w:firstLine="640" w:firstLineChars="200"/>
        <w:jc w:val="left"/>
        <w:textAlignment w:val="baseline"/>
        <w:rPr>
          <w:rFonts w:eastAsia="楷体"/>
          <w:color w:val="FF0000"/>
          <w:sz w:val="32"/>
          <w:szCs w:val="32"/>
        </w:rPr>
      </w:pPr>
      <w:r>
        <w:rPr>
          <w:rFonts w:hint="eastAsia" w:ascii="仿宋_GB2312" w:hAnsi="仿宋_GB2312" w:eastAsia="仿宋_GB2312" w:cs="仿宋_GB2312"/>
          <w:color w:val="FF0000"/>
          <w:sz w:val="32"/>
          <w:szCs w:val="32"/>
          <w:lang w:val="en-US" w:eastAsia="zh-CN"/>
        </w:rPr>
        <w:t>（一）经营场所经营面积（不包括仓库、车库、休息室、办公场所等辅助设施面积）达到200平方米以上的商场、超市、便利店或烟草专业店；</w:t>
      </w:r>
    </w:p>
    <w:p w14:paraId="3E84A5A9">
      <w:pPr>
        <w:keepNext w:val="0"/>
        <w:keepLines w:val="0"/>
        <w:pageBreakBefore w:val="0"/>
        <w:widowControl w:val="0"/>
        <w:numPr>
          <w:numId w:val="0"/>
        </w:numPr>
        <w:kinsoku/>
        <w:wordWrap w:val="0"/>
        <w:overflowPunct/>
        <w:topLinePunct w:val="0"/>
        <w:autoSpaceDE/>
        <w:autoSpaceDN/>
        <w:bidi w:val="0"/>
        <w:adjustRightInd w:val="0"/>
        <w:snapToGrid w:val="0"/>
        <w:spacing w:after="0" w:line="360" w:lineRule="auto"/>
        <w:ind w:firstLine="640" w:firstLineChars="200"/>
        <w:jc w:val="left"/>
        <w:textAlignment w:val="baseline"/>
        <w:rPr>
          <w:rFonts w:eastAsia="楷体"/>
          <w:color w:val="FF0000"/>
          <w:sz w:val="32"/>
          <w:szCs w:val="32"/>
        </w:rPr>
      </w:pPr>
      <w:r>
        <w:rPr>
          <w:rFonts w:hint="eastAsia" w:ascii="仿宋_GB2312" w:hAnsi="仿宋_GB2312" w:eastAsia="仿宋_GB2312" w:cs="仿宋_GB2312"/>
          <w:color w:val="FF0000"/>
          <w:sz w:val="32"/>
          <w:szCs w:val="32"/>
          <w:lang w:val="en-US" w:eastAsia="zh-CN"/>
        </w:rPr>
        <w:t>（二）商用办公楼宇公共楼层已形成实际商品展卖场所的，每栋楼宇可设置一个零售点，非公共楼层不予设置零售点。</w:t>
      </w:r>
    </w:p>
    <w:p w14:paraId="6C5363A9">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color w:val="0000FF"/>
          <w:sz w:val="32"/>
          <w:szCs w:val="32"/>
        </w:rPr>
      </w:pPr>
      <w:r>
        <w:rPr>
          <w:rFonts w:eastAsia="仿宋_GB2312"/>
          <w:sz w:val="32"/>
          <w:szCs w:val="32"/>
        </w:rPr>
        <w:t>本市零售点合理布局规划数及规划区域、</w:t>
      </w:r>
      <w:r>
        <w:rPr>
          <w:rFonts w:hint="eastAsia" w:eastAsia="仿宋_GB2312"/>
          <w:sz w:val="32"/>
          <w:szCs w:val="32"/>
        </w:rPr>
        <w:t>单元</w:t>
      </w:r>
      <w:r>
        <w:rPr>
          <w:rFonts w:eastAsia="仿宋_GB2312"/>
          <w:sz w:val="32"/>
          <w:szCs w:val="32"/>
        </w:rPr>
        <w:t>网格等</w:t>
      </w:r>
      <w:r>
        <w:rPr>
          <w:rFonts w:hint="eastAsia" w:eastAsia="仿宋_GB2312"/>
          <w:sz w:val="32"/>
          <w:szCs w:val="32"/>
        </w:rPr>
        <w:t>情况</w:t>
      </w:r>
      <w:r>
        <w:rPr>
          <w:rFonts w:eastAsia="仿宋_GB2312"/>
          <w:sz w:val="32"/>
          <w:szCs w:val="32"/>
        </w:rPr>
        <w:t>详见《云南省</w:t>
      </w:r>
      <w:r>
        <w:rPr>
          <w:rFonts w:hint="eastAsia" w:eastAsia="仿宋_GB2312"/>
          <w:sz w:val="32"/>
          <w:szCs w:val="32"/>
        </w:rPr>
        <w:t>澄江市</w:t>
      </w:r>
      <w:r>
        <w:rPr>
          <w:rFonts w:eastAsia="仿宋_GB2312"/>
          <w:sz w:val="32"/>
          <w:szCs w:val="32"/>
        </w:rPr>
        <w:t>烟草制品零售点合理布局公示表》（附件</w:t>
      </w:r>
      <w:r>
        <w:rPr>
          <w:rFonts w:hint="eastAsia" w:eastAsia="仿宋_GB2312"/>
          <w:sz w:val="32"/>
          <w:szCs w:val="32"/>
        </w:rPr>
        <w:t>2</w:t>
      </w:r>
      <w:r>
        <w:rPr>
          <w:rFonts w:eastAsia="仿宋_GB2312"/>
          <w:sz w:val="32"/>
          <w:szCs w:val="32"/>
        </w:rPr>
        <w:t>）</w:t>
      </w:r>
      <w:r>
        <w:rPr>
          <w:rFonts w:hint="eastAsia" w:eastAsia="仿宋_GB2312"/>
          <w:sz w:val="32"/>
          <w:szCs w:val="32"/>
        </w:rPr>
        <w:t>、</w:t>
      </w:r>
      <w:r>
        <w:rPr>
          <w:rFonts w:eastAsia="仿宋_GB2312"/>
          <w:sz w:val="32"/>
          <w:szCs w:val="32"/>
        </w:rPr>
        <w:t>《云南省</w:t>
      </w:r>
      <w:r>
        <w:rPr>
          <w:rFonts w:hint="eastAsia" w:eastAsia="仿宋_GB2312"/>
          <w:sz w:val="32"/>
          <w:szCs w:val="32"/>
        </w:rPr>
        <w:t>澄江市</w:t>
      </w:r>
      <w:r>
        <w:rPr>
          <w:rFonts w:eastAsia="仿宋_GB2312"/>
          <w:sz w:val="32"/>
          <w:szCs w:val="32"/>
        </w:rPr>
        <w:t>烟草制品零售点合理布局网格示意图》（附件</w:t>
      </w:r>
      <w:r>
        <w:rPr>
          <w:rFonts w:hint="eastAsia" w:eastAsia="仿宋_GB2312"/>
          <w:sz w:val="32"/>
          <w:szCs w:val="32"/>
        </w:rPr>
        <w:t>3</w:t>
      </w:r>
      <w:r>
        <w:rPr>
          <w:rFonts w:eastAsia="仿宋_GB2312"/>
          <w:sz w:val="32"/>
          <w:szCs w:val="32"/>
        </w:rPr>
        <w:t>）。</w:t>
      </w:r>
    </w:p>
    <w:p w14:paraId="59FA57B4">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sz w:val="32"/>
          <w:szCs w:val="32"/>
        </w:rPr>
      </w:pPr>
      <w:r>
        <w:rPr>
          <w:rFonts w:hint="eastAsia" w:ascii="Times New Roman" w:hAnsi="Times New Roman" w:eastAsia="黑体"/>
          <w:sz w:val="32"/>
          <w:szCs w:val="32"/>
        </w:rPr>
        <w:t>雪茄烟专营零售点</w:t>
      </w:r>
      <w:r>
        <w:rPr>
          <w:rFonts w:ascii="Times New Roman" w:hAnsi="Times New Roman" w:eastAsia="黑体"/>
          <w:sz w:val="32"/>
          <w:szCs w:val="32"/>
        </w:rPr>
        <w:t>布局标准</w:t>
      </w:r>
    </w:p>
    <w:p w14:paraId="7AE41B76">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eastAsia="仿宋_GB2312"/>
          <w:sz w:val="32"/>
          <w:szCs w:val="32"/>
        </w:rPr>
      </w:pPr>
      <w:r>
        <w:rPr>
          <w:rFonts w:hint="eastAsia" w:eastAsia="仿宋_GB2312"/>
          <w:sz w:val="32"/>
          <w:szCs w:val="32"/>
        </w:rPr>
        <w:t>本章适用于经营范围仅为雪茄烟本店零售的零售点布局管理。</w:t>
      </w:r>
    </w:p>
    <w:p w14:paraId="06FC8C1F">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ascii="方正仿宋_GB2312" w:hAnsi="方正仿宋_GB2312" w:eastAsia="方正仿宋_GB2312" w:cs="方正仿宋_GB2312"/>
          <w:color w:val="FF0000"/>
          <w:spacing w:val="10"/>
          <w:sz w:val="32"/>
          <w:szCs w:val="32"/>
        </w:rPr>
      </w:pPr>
      <w:r>
        <w:rPr>
          <w:rFonts w:hint="eastAsia" w:eastAsia="仿宋_GB2312"/>
          <w:sz w:val="32"/>
          <w:szCs w:val="32"/>
        </w:rPr>
        <w:t>雪茄烟专营零售点数量实行总量控制、动态调整模式，且不受其他烟草制品（含电子烟）零售点距离限制，规划数详见《云南省澄江市雪茄烟专营零售点合理布局公示表》（附件4）。</w:t>
      </w:r>
    </w:p>
    <w:p w14:paraId="47CF0B01">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40" w:firstLineChars="200"/>
        <w:textAlignment w:val="baseline"/>
        <w:rPr>
          <w:rFonts w:ascii="方正仿宋_GB2312" w:hAnsi="方正仿宋_GB2312" w:eastAsia="方正仿宋_GB2312" w:cs="方正仿宋_GB2312"/>
          <w:color w:val="FF0000"/>
          <w:spacing w:val="10"/>
          <w:sz w:val="32"/>
          <w:szCs w:val="32"/>
        </w:rPr>
      </w:pPr>
      <w:r>
        <w:rPr>
          <w:rFonts w:hint="eastAsia" w:eastAsia="仿宋_GB2312"/>
          <w:sz w:val="32"/>
          <w:szCs w:val="32"/>
        </w:rPr>
        <w:t>取得雪茄烟本店零售许可的经营主体如需变更</w:t>
      </w:r>
      <w:r>
        <w:rPr>
          <w:rFonts w:hint="eastAsia" w:eastAsia="仿宋_GB2312"/>
          <w:strike w:val="0"/>
          <w:dstrike w:val="0"/>
          <w:sz w:val="32"/>
          <w:szCs w:val="32"/>
          <w:highlight w:val="none"/>
        </w:rPr>
        <w:t>烟草专卖零售许可相关事项</w:t>
      </w:r>
      <w:r>
        <w:rPr>
          <w:rFonts w:hint="eastAsia" w:eastAsia="仿宋_GB2312"/>
          <w:sz w:val="32"/>
          <w:szCs w:val="32"/>
        </w:rPr>
        <w:t>的，必须满足本规划及《云南省电子烟零售点布局规划》相关条件并按照有关规定办理。</w:t>
      </w:r>
    </w:p>
    <w:p w14:paraId="78BAF08C">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sz w:val="32"/>
          <w:szCs w:val="32"/>
        </w:rPr>
      </w:pPr>
      <w:r>
        <w:rPr>
          <w:rFonts w:hint="eastAsia" w:ascii="Times New Roman" w:hAnsi="Times New Roman" w:eastAsia="黑体"/>
          <w:sz w:val="32"/>
          <w:szCs w:val="32"/>
        </w:rPr>
        <w:t>放宽及限制情形</w:t>
      </w:r>
    </w:p>
    <w:p w14:paraId="4D301076">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ascii="仿宋_GB2312" w:hAnsi="仿宋_GB2312" w:eastAsia="仿宋_GB2312" w:cs="仿宋_GB2312"/>
          <w:color w:val="0000FF"/>
          <w:sz w:val="32"/>
          <w:szCs w:val="32"/>
        </w:rPr>
      </w:pPr>
      <w:r>
        <w:rPr>
          <w:rFonts w:hint="eastAsia" w:ascii="仿宋_GB2312" w:hAnsi="仿宋_GB2312" w:eastAsia="仿宋_GB2312" w:cs="仿宋_GB2312"/>
          <w:spacing w:val="10"/>
          <w:sz w:val="32"/>
          <w:szCs w:val="32"/>
        </w:rPr>
        <w:t>具有下列情形之一的，不予发放烟草专卖零售许可证：</w:t>
      </w:r>
    </w:p>
    <w:p w14:paraId="54EDDCA5">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（一）申请人为无民事行为能力人或者限制</w:t>
      </w:r>
      <w:r>
        <w:rPr>
          <w:rFonts w:hint="eastAsia" w:eastAsia="仿宋_GB2312"/>
          <w:sz w:val="32"/>
          <w:szCs w:val="32"/>
          <w:lang w:val="en-US" w:eastAsia="zh-CN"/>
        </w:rPr>
        <w:t>民事</w:t>
      </w:r>
      <w:r>
        <w:rPr>
          <w:rFonts w:hint="eastAsia" w:eastAsia="仿宋_GB2312"/>
          <w:sz w:val="32"/>
          <w:szCs w:val="32"/>
        </w:rPr>
        <w:t>行为能力人的；</w:t>
      </w:r>
    </w:p>
    <w:p w14:paraId="7CFC4E57">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（二）申请人隐瞒有关情况或提供虚假材料的；因隐瞒有关情况或者提供虚假材料，烟草专卖局作出不予受理或者不予发证决定后，申请人一年内再次提出申请的；</w:t>
      </w:r>
    </w:p>
    <w:p w14:paraId="189EECFA">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14:paraId="5AFBB4C2">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01" w:firstLineChars="188"/>
        <w:rPr>
          <w:rFonts w:eastAsia="仿宋_GB2312"/>
          <w:sz w:val="32"/>
          <w:szCs w:val="32"/>
        </w:rPr>
      </w:pPr>
      <w:r>
        <w:rPr>
          <w:rFonts w:hint="eastAsia" w:eastAsia="仿宋_GB2312"/>
          <w:sz w:val="32"/>
          <w:szCs w:val="32"/>
        </w:rPr>
        <w:t>（四）外商投资的商业企业或者个体工商户，但有外资成分以提供住宿、餐饮、休闲、娱乐为主要经营的宾馆、酒店等属于娱乐服务类的企业除外；</w:t>
      </w:r>
    </w:p>
    <w:p w14:paraId="6B318CE9">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hint="eastAsia" w:eastAsia="仿宋_GB2312"/>
          <w:sz w:val="32"/>
          <w:szCs w:val="32"/>
        </w:rPr>
        <w:t>（五）</w:t>
      </w:r>
      <w:r>
        <w:rPr>
          <w:rFonts w:eastAsia="仿宋_GB2312"/>
          <w:sz w:val="32"/>
          <w:szCs w:val="32"/>
        </w:rPr>
        <w:t>无固定经营场所的：包括但不限于流动的摊、点、车、棚、简易板房、活动板房、临时占道的建筑等；</w:t>
      </w:r>
    </w:p>
    <w:p w14:paraId="7DF63989">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（六）经营场所与住所不相独立的：包括但不限于经营场所</w:t>
      </w:r>
      <w:r>
        <w:rPr>
          <w:rFonts w:hint="eastAsia" w:eastAsia="仿宋_GB2312"/>
          <w:sz w:val="32"/>
          <w:szCs w:val="32"/>
        </w:rPr>
        <w:t>为与</w:t>
      </w:r>
      <w:r>
        <w:rPr>
          <w:rFonts w:eastAsia="仿宋_GB2312"/>
          <w:sz w:val="32"/>
          <w:szCs w:val="32"/>
        </w:rPr>
        <w:t>住所</w:t>
      </w:r>
      <w:r>
        <w:rPr>
          <w:rFonts w:hint="eastAsia" w:eastAsia="仿宋_GB2312"/>
          <w:sz w:val="32"/>
          <w:szCs w:val="32"/>
        </w:rPr>
        <w:t>可连通通行</w:t>
      </w:r>
      <w:r>
        <w:rPr>
          <w:rFonts w:eastAsia="仿宋_GB2312"/>
          <w:sz w:val="32"/>
          <w:szCs w:val="32"/>
        </w:rPr>
        <w:t>的客厅、餐厅、卧室、阳台、地下室、车库、储藏室等或居民楼内公用</w:t>
      </w:r>
      <w:r>
        <w:rPr>
          <w:rFonts w:hint="eastAsia" w:eastAsia="仿宋_GB2312"/>
          <w:sz w:val="32"/>
          <w:szCs w:val="32"/>
          <w:highlight w:val="none"/>
          <w:u w:val="none"/>
          <w:lang w:val="en-US" w:eastAsia="zh-CN"/>
        </w:rPr>
        <w:t>通</w:t>
      </w:r>
      <w:r>
        <w:rPr>
          <w:rFonts w:eastAsia="仿宋_GB2312"/>
          <w:sz w:val="32"/>
          <w:szCs w:val="32"/>
        </w:rPr>
        <w:t>道、楼梯间等；</w:t>
      </w:r>
    </w:p>
    <w:p w14:paraId="40D867E4">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（七）经营场所已经办理了仍在有效期内的烟草专卖零售许可证的</w:t>
      </w:r>
      <w:r>
        <w:rPr>
          <w:rFonts w:hint="eastAsia" w:eastAsia="仿宋_GB2312"/>
          <w:sz w:val="32"/>
          <w:szCs w:val="32"/>
        </w:rPr>
        <w:t>；</w:t>
      </w:r>
      <w:r>
        <w:rPr>
          <w:rFonts w:eastAsia="仿宋_GB2312"/>
          <w:sz w:val="32"/>
          <w:szCs w:val="32"/>
        </w:rPr>
        <w:t>经营场所位于党政机关内部的</w:t>
      </w:r>
      <w:r>
        <w:rPr>
          <w:rFonts w:hint="eastAsia" w:eastAsia="仿宋_GB2312"/>
          <w:sz w:val="32"/>
          <w:szCs w:val="32"/>
        </w:rPr>
        <w:t>；</w:t>
      </w:r>
      <w:r>
        <w:rPr>
          <w:rFonts w:eastAsia="仿宋_GB2312"/>
          <w:sz w:val="32"/>
          <w:szCs w:val="32"/>
        </w:rPr>
        <w:t>经营场所基于安全因素不适宜经营卷烟的；</w:t>
      </w:r>
    </w:p>
    <w:p w14:paraId="5D65B6C6">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（八）</w:t>
      </w:r>
      <w:r>
        <w:rPr>
          <w:rFonts w:hint="eastAsia" w:eastAsia="仿宋_GB2312"/>
          <w:sz w:val="32"/>
          <w:szCs w:val="32"/>
          <w:lang w:val="en-US" w:eastAsia="zh-CN"/>
        </w:rPr>
        <w:t>本市</w:t>
      </w:r>
      <w:r>
        <w:rPr>
          <w:rFonts w:hint="eastAsia" w:eastAsia="仿宋_GB2312"/>
          <w:sz w:val="32"/>
          <w:szCs w:val="32"/>
        </w:rPr>
        <w:t>辖区内</w:t>
      </w:r>
      <w:r>
        <w:rPr>
          <w:rFonts w:eastAsia="仿宋_GB2312"/>
          <w:sz w:val="32"/>
          <w:szCs w:val="32"/>
        </w:rPr>
        <w:t>中小学</w:t>
      </w:r>
      <w:r>
        <w:rPr>
          <w:rFonts w:hint="eastAsia" w:eastAsia="仿宋_GB2312"/>
          <w:sz w:val="32"/>
          <w:szCs w:val="32"/>
          <w:lang w:val="en-US" w:eastAsia="zh-CN"/>
        </w:rPr>
        <w:t>校</w:t>
      </w:r>
      <w:r>
        <w:rPr>
          <w:rFonts w:eastAsia="仿宋_GB2312"/>
          <w:sz w:val="32"/>
          <w:szCs w:val="32"/>
        </w:rPr>
        <w:t>、幼儿园学生</w:t>
      </w:r>
      <w:r>
        <w:rPr>
          <w:rFonts w:hint="eastAsia" w:eastAsia="仿宋_GB2312"/>
          <w:color w:val="auto"/>
          <w:sz w:val="32"/>
          <w:szCs w:val="32"/>
          <w:lang w:val="en-US" w:eastAsia="zh-CN"/>
        </w:rPr>
        <w:t>正常出入的校门口（含通道）</w:t>
      </w:r>
      <w:r>
        <w:rPr>
          <w:rFonts w:hint="eastAsia" w:eastAsia="仿宋_GB2312"/>
          <w:sz w:val="32"/>
          <w:szCs w:val="32"/>
        </w:rPr>
        <w:t>100</w:t>
      </w:r>
      <w:r>
        <w:rPr>
          <w:rFonts w:eastAsia="仿宋_GB2312"/>
          <w:sz w:val="32"/>
          <w:szCs w:val="32"/>
        </w:rPr>
        <w:t>米以内；</w:t>
      </w:r>
    </w:p>
    <w:p w14:paraId="1A1A4034">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（九）利用自动售货机或者其他自动售货形式，销售或者变相销售烟草制品的，或者通过信息网络销售烟草专卖品的</w:t>
      </w:r>
      <w:r>
        <w:rPr>
          <w:rFonts w:hint="eastAsia" w:eastAsia="仿宋_GB2312"/>
          <w:sz w:val="32"/>
          <w:szCs w:val="32"/>
        </w:rPr>
        <w:t>；</w:t>
      </w:r>
    </w:p>
    <w:p w14:paraId="1FB6B93F">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（十）经营业态存在容易诱导未成年人关注、购买</w:t>
      </w:r>
      <w:r>
        <w:rPr>
          <w:rFonts w:hint="eastAsia" w:eastAsia="仿宋_GB2312"/>
          <w:sz w:val="32"/>
          <w:szCs w:val="32"/>
        </w:rPr>
        <w:t>、</w:t>
      </w:r>
      <w:r>
        <w:rPr>
          <w:rFonts w:eastAsia="仿宋_GB2312"/>
          <w:sz w:val="32"/>
          <w:szCs w:val="32"/>
        </w:rPr>
        <w:t>吸食卷烟或其他不利于未成年人保护的；</w:t>
      </w:r>
    </w:p>
    <w:p w14:paraId="131FC8D9">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640" w:firstLineChars="200"/>
        <w:rPr>
          <w:rFonts w:eastAsia="仿宋_GB2312"/>
          <w:sz w:val="32"/>
          <w:szCs w:val="32"/>
        </w:rPr>
      </w:pPr>
      <w:r>
        <w:rPr>
          <w:rFonts w:eastAsia="仿宋_GB2312"/>
          <w:sz w:val="32"/>
          <w:szCs w:val="32"/>
        </w:rPr>
        <w:t>（十一）法律、法规、规章、规范性文件等规定的其他不予许可的情形</w:t>
      </w:r>
      <w:r>
        <w:rPr>
          <w:rFonts w:hint="eastAsia" w:eastAsia="仿宋_GB2312"/>
          <w:sz w:val="32"/>
          <w:szCs w:val="32"/>
        </w:rPr>
        <w:t>。</w:t>
      </w:r>
    </w:p>
    <w:p w14:paraId="59F7C713">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spacing w:val="-3"/>
          <w:sz w:val="32"/>
          <w:szCs w:val="32"/>
        </w:rPr>
      </w:pPr>
      <w:r>
        <w:rPr>
          <w:rFonts w:hint="eastAsia" w:eastAsia="仿宋_GB2312"/>
          <w:spacing w:val="10"/>
          <w:sz w:val="32"/>
          <w:szCs w:val="32"/>
        </w:rPr>
        <w:t>优抚对象、社会弱势群体等特殊群体申请零售许可证的，受所在单元网格规划数限制，零售点间距可放宽至</w:t>
      </w:r>
      <w:r>
        <w:rPr>
          <w:rFonts w:ascii="仿宋_GB2312" w:hAnsi="仿宋_GB2312" w:eastAsia="仿宋_GB2312" w:cs="仿宋_GB2312"/>
          <w:spacing w:val="21"/>
          <w:sz w:val="31"/>
          <w:szCs w:val="31"/>
        </w:rPr>
        <w:t>本单元网格间距标准</w:t>
      </w:r>
      <w:r>
        <w:rPr>
          <w:rFonts w:hint="eastAsia" w:eastAsia="仿宋_GB2312"/>
          <w:spacing w:val="10"/>
          <w:sz w:val="32"/>
          <w:szCs w:val="32"/>
        </w:rPr>
        <w:t>的80%执行。本规定政策，同一特殊群体申请人在云南省内仅适用</w:t>
      </w:r>
      <w:r>
        <w:rPr>
          <w:rFonts w:ascii="仿宋_GB2312" w:hAnsi="仿宋_GB2312" w:eastAsia="仿宋_GB2312" w:cs="仿宋_GB2312"/>
          <w:spacing w:val="16"/>
          <w:sz w:val="31"/>
          <w:szCs w:val="31"/>
        </w:rPr>
        <w:t>一次。</w:t>
      </w:r>
    </w:p>
    <w:p w14:paraId="6BADEA86">
      <w:pPr>
        <w:keepNext w:val="0"/>
        <w:keepLines w:val="0"/>
        <w:pageBreakBefore w:val="0"/>
        <w:widowControl w:val="0"/>
        <w:kinsoku/>
        <w:wordWrap w:val="0"/>
        <w:overflowPunct/>
        <w:topLinePunct w:val="0"/>
        <w:autoSpaceDE/>
        <w:autoSpaceDN/>
        <w:bidi w:val="0"/>
        <w:adjustRightInd w:val="0"/>
        <w:snapToGrid w:val="0"/>
        <w:spacing w:after="0" w:line="360" w:lineRule="auto"/>
        <w:ind w:firstLine="704" w:firstLineChars="200"/>
        <w:jc w:val="left"/>
        <w:textAlignment w:val="baseline"/>
        <w:rPr>
          <w:rFonts w:eastAsia="仿宋_GB2312"/>
          <w:spacing w:val="-3"/>
          <w:sz w:val="32"/>
          <w:szCs w:val="32"/>
        </w:rPr>
      </w:pPr>
      <w:r>
        <w:rPr>
          <w:rFonts w:hint="eastAsia" w:ascii="仿宋_GB2312" w:hAnsi="仿宋_GB2312" w:eastAsia="仿宋_GB2312" w:cs="仿宋_GB2312"/>
          <w:spacing w:val="16"/>
          <w:sz w:val="32"/>
          <w:szCs w:val="32"/>
        </w:rPr>
        <w:t>本条所称</w:t>
      </w:r>
      <w:r>
        <w:rPr>
          <w:rFonts w:hint="eastAsia" w:ascii="仿宋_GB2312" w:hAnsi="仿宋_GB2312" w:eastAsia="仿宋_GB2312" w:cs="仿宋_GB2312"/>
          <w:spacing w:val="16"/>
          <w:sz w:val="32"/>
          <w:szCs w:val="32"/>
          <w:lang w:val="en-US" w:eastAsia="zh-CN"/>
        </w:rPr>
        <w:t>优抚对象、社会弱势</w:t>
      </w:r>
      <w:r>
        <w:rPr>
          <w:rFonts w:hint="eastAsia" w:eastAsia="仿宋_GB2312"/>
          <w:spacing w:val="10"/>
          <w:sz w:val="32"/>
          <w:szCs w:val="32"/>
        </w:rPr>
        <w:t>群体</w:t>
      </w:r>
      <w:r>
        <w:rPr>
          <w:rFonts w:hint="eastAsia" w:ascii="仿宋_GB2312" w:hAnsi="仿宋_GB2312" w:eastAsia="仿宋_GB2312" w:cs="仿宋_GB2312"/>
          <w:spacing w:val="16"/>
          <w:sz w:val="32"/>
          <w:szCs w:val="32"/>
        </w:rPr>
        <w:t>是指：</w:t>
      </w:r>
    </w:p>
    <w:p w14:paraId="21C16D88">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hint="eastAsia" w:ascii="仿宋_GB2312" w:hAnsi="仿宋_GB2312" w:eastAsia="仿宋_GB2312" w:cs="仿宋_GB2312"/>
          <w:spacing w:val="-3"/>
          <w:sz w:val="32"/>
          <w:szCs w:val="32"/>
        </w:rPr>
      </w:pPr>
      <w:r>
        <w:rPr>
          <w:rFonts w:hint="eastAsia" w:eastAsia="仿宋_GB2312"/>
          <w:spacing w:val="-3"/>
          <w:szCs w:val="32"/>
        </w:rPr>
        <w:t>（一）</w:t>
      </w:r>
      <w:r>
        <w:rPr>
          <w:rFonts w:hint="eastAsia" w:ascii="仿宋_GB2312" w:hAnsi="仿宋_GB2312" w:eastAsia="仿宋_GB2312" w:cs="仿宋_GB2312"/>
          <w:spacing w:val="-3"/>
          <w:sz w:val="32"/>
          <w:szCs w:val="32"/>
        </w:rPr>
        <w:t>烈士家属、因公牺牲军人家</w:t>
      </w:r>
      <w:r>
        <w:rPr>
          <w:rFonts w:hint="eastAsia" w:ascii="仿宋_GB2312" w:hAnsi="仿宋_GB2312" w:eastAsia="仿宋_GB2312" w:cs="仿宋_GB2312"/>
          <w:color w:val="auto"/>
          <w:spacing w:val="-3"/>
          <w:sz w:val="32"/>
          <w:szCs w:val="32"/>
        </w:rPr>
        <w:t>属</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FF0000"/>
          <w:sz w:val="32"/>
          <w:szCs w:val="32"/>
          <w:lang w:val="en-US" w:eastAsia="zh-CN"/>
        </w:rPr>
        <w:t>病故军人遗属</w:t>
      </w:r>
      <w:r>
        <w:rPr>
          <w:rFonts w:hint="eastAsia" w:ascii="仿宋_GB2312" w:hAnsi="仿宋_GB2312" w:eastAsia="仿宋_GB2312" w:cs="仿宋_GB2312"/>
          <w:color w:val="auto"/>
          <w:spacing w:val="-3"/>
          <w:sz w:val="32"/>
          <w:szCs w:val="32"/>
        </w:rPr>
        <w:t>；见义勇为牺牲人员家属；（本条中的家属</w:t>
      </w:r>
      <w:r>
        <w:rPr>
          <w:rFonts w:hint="eastAsia" w:ascii="仿宋_GB2312" w:hAnsi="仿宋_GB2312" w:eastAsia="仿宋_GB2312" w:cs="仿宋_GB2312"/>
          <w:color w:val="auto"/>
          <w:spacing w:val="-3"/>
          <w:sz w:val="32"/>
          <w:szCs w:val="32"/>
          <w:lang w:eastAsia="zh-CN"/>
        </w:rPr>
        <w:t>、</w:t>
      </w:r>
      <w:r>
        <w:rPr>
          <w:rFonts w:hint="eastAsia" w:ascii="仿宋_GB2312" w:hAnsi="仿宋_GB2312" w:eastAsia="仿宋_GB2312" w:cs="仿宋_GB2312"/>
          <w:color w:val="FF0000"/>
          <w:spacing w:val="-3"/>
          <w:sz w:val="32"/>
          <w:szCs w:val="32"/>
          <w:lang w:val="en-US" w:eastAsia="zh-CN"/>
        </w:rPr>
        <w:t>遗属</w:t>
      </w:r>
      <w:r>
        <w:rPr>
          <w:rFonts w:hint="eastAsia" w:ascii="仿宋_GB2312" w:hAnsi="仿宋_GB2312" w:eastAsia="仿宋_GB2312" w:cs="仿宋_GB2312"/>
          <w:color w:val="auto"/>
          <w:spacing w:val="-3"/>
          <w:sz w:val="32"/>
          <w:szCs w:val="32"/>
        </w:rPr>
        <w:t>包</w:t>
      </w:r>
      <w:r>
        <w:rPr>
          <w:rFonts w:hint="eastAsia" w:ascii="仿宋_GB2312" w:hAnsi="仿宋_GB2312" w:eastAsia="仿宋_GB2312" w:cs="仿宋_GB2312"/>
          <w:spacing w:val="-3"/>
          <w:sz w:val="32"/>
          <w:szCs w:val="32"/>
        </w:rPr>
        <w:t>括父母、子女、配偶。）</w:t>
      </w:r>
    </w:p>
    <w:p w14:paraId="5C8861FD">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eastAsia="仿宋_GB2312"/>
          <w:spacing w:val="-3"/>
          <w:szCs w:val="32"/>
        </w:rPr>
      </w:pPr>
      <w:r>
        <w:rPr>
          <w:rFonts w:hint="eastAsia" w:eastAsia="仿宋_GB2312"/>
          <w:spacing w:val="-3"/>
          <w:szCs w:val="32"/>
        </w:rPr>
        <w:t>（二）</w:t>
      </w:r>
      <w:r>
        <w:rPr>
          <w:rFonts w:eastAsia="仿宋_GB2312"/>
          <w:spacing w:val="-3"/>
          <w:szCs w:val="32"/>
        </w:rPr>
        <w:t>符合以下条件之一，具有从事烟草专卖零售经营业务相应能力，且具有完全民事行为能力的残疾人：</w:t>
      </w:r>
    </w:p>
    <w:p w14:paraId="433E49BC">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strike w:val="0"/>
          <w:dstrike w:val="0"/>
          <w:spacing w:val="-3"/>
          <w:szCs w:val="32"/>
          <w:highlight w:val="none"/>
        </w:rPr>
      </w:pPr>
      <w:r>
        <w:rPr>
          <w:rFonts w:hint="eastAsia" w:eastAsia="仿宋_GB2312"/>
          <w:strike w:val="0"/>
          <w:dstrike w:val="0"/>
          <w:spacing w:val="-3"/>
          <w:szCs w:val="32"/>
          <w:highlight w:val="none"/>
          <w:lang w:val="en-US" w:eastAsia="zh-CN"/>
        </w:rPr>
        <w:t>视力残疾：一级、二级；</w:t>
      </w:r>
    </w:p>
    <w:p w14:paraId="290E5887">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spacing w:val="-3"/>
          <w:szCs w:val="32"/>
        </w:rPr>
      </w:pPr>
      <w:r>
        <w:rPr>
          <w:rFonts w:eastAsia="仿宋_GB2312"/>
          <w:spacing w:val="-3"/>
          <w:szCs w:val="32"/>
        </w:rPr>
        <w:t>听力残疾：一级、二级；</w:t>
      </w:r>
    </w:p>
    <w:p w14:paraId="7166ABA8">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spacing w:val="-3"/>
          <w:szCs w:val="32"/>
        </w:rPr>
      </w:pPr>
      <w:r>
        <w:rPr>
          <w:rFonts w:eastAsia="仿宋_GB2312"/>
          <w:spacing w:val="-3"/>
          <w:szCs w:val="32"/>
        </w:rPr>
        <w:t>言语残疾：一级、二级；</w:t>
      </w:r>
    </w:p>
    <w:p w14:paraId="30B1E435">
      <w:pPr>
        <w:pStyle w:val="22"/>
        <w:keepNext w:val="0"/>
        <w:keepLines w:val="0"/>
        <w:pageBreakBefore w:val="0"/>
        <w:widowControl w:val="0"/>
        <w:numPr>
          <w:ilvl w:val="0"/>
          <w:numId w:val="3"/>
        </w:numPr>
        <w:kinsoku/>
        <w:wordWrap w:val="0"/>
        <w:overflowPunct/>
        <w:topLinePunct w:val="0"/>
        <w:autoSpaceDE/>
        <w:autoSpaceDN/>
        <w:bidi w:val="0"/>
        <w:snapToGrid w:val="0"/>
        <w:spacing w:after="0" w:line="360" w:lineRule="auto"/>
        <w:ind w:firstLine="628"/>
        <w:rPr>
          <w:rFonts w:eastAsia="仿宋_GB2312"/>
          <w:spacing w:val="-3"/>
          <w:szCs w:val="32"/>
        </w:rPr>
      </w:pPr>
      <w:r>
        <w:rPr>
          <w:rFonts w:eastAsia="仿宋_GB2312"/>
          <w:spacing w:val="-3"/>
          <w:szCs w:val="32"/>
        </w:rPr>
        <w:t>肢体残疾：一级、二级。</w:t>
      </w:r>
    </w:p>
    <w:p w14:paraId="25C06F32">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eastAsia="仿宋_GB2312"/>
          <w:spacing w:val="-3"/>
          <w:szCs w:val="32"/>
        </w:rPr>
      </w:pPr>
      <w:r>
        <w:rPr>
          <w:rFonts w:hint="eastAsia" w:eastAsia="仿宋_GB2312"/>
          <w:spacing w:val="-3"/>
          <w:szCs w:val="32"/>
        </w:rPr>
        <w:t>（三）</w:t>
      </w:r>
      <w:r>
        <w:rPr>
          <w:rFonts w:eastAsia="仿宋_GB2312"/>
          <w:spacing w:val="-3"/>
          <w:szCs w:val="32"/>
        </w:rPr>
        <w:t>国家明文给予政策扶持，确实具有需要扶持照顾的</w:t>
      </w:r>
      <w:r>
        <w:rPr>
          <w:rFonts w:hint="eastAsia" w:eastAsia="仿宋_GB2312"/>
          <w:spacing w:val="-3"/>
          <w:szCs w:val="32"/>
        </w:rPr>
        <w:t>其</w:t>
      </w:r>
      <w:r>
        <w:rPr>
          <w:rFonts w:eastAsia="仿宋_GB2312"/>
          <w:spacing w:val="-3"/>
          <w:szCs w:val="32"/>
        </w:rPr>
        <w:t>他特殊情况的优抚对象，经属地烟草专卖局集体研究并向上级烟草专卖局报备，可以放宽办证条件。</w:t>
      </w:r>
    </w:p>
    <w:p w14:paraId="2BD27609">
      <w:pPr>
        <w:pStyle w:val="22"/>
        <w:keepNext w:val="0"/>
        <w:keepLines w:val="0"/>
        <w:pageBreakBefore w:val="0"/>
        <w:widowControl w:val="0"/>
        <w:kinsoku/>
        <w:wordWrap w:val="0"/>
        <w:overflowPunct/>
        <w:topLinePunct w:val="0"/>
        <w:autoSpaceDE/>
        <w:autoSpaceDN/>
        <w:bidi w:val="0"/>
        <w:snapToGrid w:val="0"/>
        <w:spacing w:after="0" w:line="360" w:lineRule="auto"/>
        <w:ind w:firstLine="628"/>
        <w:rPr>
          <w:rFonts w:eastAsia="仿宋_GB2312"/>
          <w:spacing w:val="-3"/>
          <w:szCs w:val="32"/>
        </w:rPr>
      </w:pPr>
      <w:r>
        <w:rPr>
          <w:rFonts w:eastAsia="仿宋_GB2312"/>
          <w:spacing w:val="-3"/>
          <w:szCs w:val="32"/>
        </w:rPr>
        <w:t>申请人应提交合法有效的证明文件。</w:t>
      </w:r>
    </w:p>
    <w:p w14:paraId="3B0BD6B6">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spacing w:val="-3"/>
          <w:sz w:val="32"/>
          <w:szCs w:val="32"/>
        </w:rPr>
      </w:pPr>
      <w:r>
        <w:rPr>
          <w:rFonts w:eastAsia="仿宋_GB2312"/>
          <w:spacing w:val="10"/>
          <w:sz w:val="32"/>
          <w:szCs w:val="32"/>
        </w:rPr>
        <w:t>因道路规划、城市建设等客观原因，造成持证人无法在原核定地址经营，持证人申请变更到本单元网格内新址经营的，</w:t>
      </w:r>
      <w:r>
        <w:rPr>
          <w:rFonts w:ascii="仿宋_GB2312" w:hAnsi="仿宋_GB2312" w:eastAsia="仿宋_GB2312" w:cs="仿宋_GB2312"/>
          <w:spacing w:val="26"/>
          <w:sz w:val="31"/>
          <w:szCs w:val="31"/>
        </w:rPr>
        <w:t>不受所在单元网格规划数限</w:t>
      </w:r>
      <w:r>
        <w:rPr>
          <w:rFonts w:ascii="仿宋_GB2312" w:hAnsi="仿宋_GB2312" w:eastAsia="仿宋_GB2312" w:cs="仿宋_GB2312"/>
          <w:spacing w:val="23"/>
          <w:sz w:val="31"/>
          <w:szCs w:val="31"/>
        </w:rPr>
        <w:t>制，零售点间距可放宽至本单元网格间距标准</w:t>
      </w:r>
      <w:r>
        <w:rPr>
          <w:rFonts w:eastAsia="仿宋_GB2312"/>
          <w:spacing w:val="10"/>
          <w:sz w:val="32"/>
          <w:szCs w:val="32"/>
        </w:rPr>
        <w:t>的</w:t>
      </w:r>
      <w:r>
        <w:rPr>
          <w:rFonts w:hint="eastAsia" w:eastAsia="仿宋_GB2312"/>
          <w:spacing w:val="10"/>
          <w:sz w:val="32"/>
          <w:szCs w:val="32"/>
        </w:rPr>
        <w:t>40%</w:t>
      </w:r>
      <w:r>
        <w:rPr>
          <w:rFonts w:ascii="仿宋_GB2312" w:hAnsi="仿宋_GB2312" w:eastAsia="仿宋_GB2312" w:cs="仿宋_GB2312"/>
          <w:spacing w:val="23"/>
          <w:sz w:val="31"/>
          <w:szCs w:val="31"/>
        </w:rPr>
        <w:t>执</w:t>
      </w:r>
      <w:r>
        <w:rPr>
          <w:rFonts w:ascii="仿宋_GB2312" w:hAnsi="仿宋_GB2312" w:eastAsia="仿宋_GB2312" w:cs="仿宋_GB2312"/>
          <w:spacing w:val="-4"/>
          <w:sz w:val="31"/>
          <w:szCs w:val="31"/>
        </w:rPr>
        <w:t>行。</w:t>
      </w:r>
    </w:p>
    <w:p w14:paraId="5BF6F34C">
      <w:pPr>
        <w:keepNext w:val="0"/>
        <w:keepLines w:val="0"/>
        <w:pageBreakBefore w:val="0"/>
        <w:widowControl w:val="0"/>
        <w:kinsoku/>
        <w:wordWrap w:val="0"/>
        <w:overflowPunct/>
        <w:topLinePunct w:val="0"/>
        <w:autoSpaceDE/>
        <w:autoSpaceDN/>
        <w:bidi w:val="0"/>
        <w:adjustRightInd w:val="0"/>
        <w:snapToGrid w:val="0"/>
        <w:spacing w:after="0" w:line="360" w:lineRule="auto"/>
        <w:ind w:firstLine="620" w:firstLineChars="200"/>
        <w:jc w:val="left"/>
        <w:textAlignment w:val="baseline"/>
        <w:rPr>
          <w:rFonts w:eastAsia="仿宋_GB2312"/>
          <w:spacing w:val="10"/>
          <w:sz w:val="32"/>
          <w:szCs w:val="32"/>
        </w:rPr>
      </w:pPr>
      <w:r>
        <w:rPr>
          <w:rFonts w:eastAsia="仿宋_GB2312"/>
          <w:spacing w:val="-5"/>
          <w:sz w:val="32"/>
          <w:szCs w:val="32"/>
        </w:rPr>
        <w:t>申请</w:t>
      </w:r>
      <w:r>
        <w:rPr>
          <w:rFonts w:eastAsia="仿宋_GB2312"/>
          <w:spacing w:val="10"/>
          <w:sz w:val="32"/>
          <w:szCs w:val="32"/>
        </w:rPr>
        <w:t>变更到本</w:t>
      </w:r>
      <w:r>
        <w:rPr>
          <w:rFonts w:hint="eastAsia" w:eastAsia="仿宋_GB2312"/>
          <w:spacing w:val="10"/>
          <w:sz w:val="32"/>
          <w:szCs w:val="32"/>
        </w:rPr>
        <w:t>市</w:t>
      </w:r>
      <w:r>
        <w:rPr>
          <w:rFonts w:eastAsia="仿宋_GB2312"/>
          <w:spacing w:val="10"/>
          <w:sz w:val="32"/>
          <w:szCs w:val="32"/>
        </w:rPr>
        <w:t>其他单元网格的，受所在单元网格规划数限制，零售点间距可放宽至</w:t>
      </w:r>
      <w:r>
        <w:rPr>
          <w:rFonts w:hint="eastAsia" w:eastAsia="仿宋_GB2312"/>
          <w:spacing w:val="10"/>
          <w:sz w:val="32"/>
          <w:szCs w:val="32"/>
        </w:rPr>
        <w:t>本</w:t>
      </w:r>
      <w:r>
        <w:rPr>
          <w:rFonts w:eastAsia="仿宋_GB2312"/>
          <w:spacing w:val="10"/>
          <w:sz w:val="32"/>
          <w:szCs w:val="32"/>
        </w:rPr>
        <w:t>单元网格间距标准的</w:t>
      </w:r>
      <w:r>
        <w:rPr>
          <w:rFonts w:hint="eastAsia" w:eastAsia="仿宋_GB2312"/>
          <w:spacing w:val="10"/>
          <w:sz w:val="32"/>
          <w:szCs w:val="32"/>
        </w:rPr>
        <w:t>80%</w:t>
      </w:r>
      <w:r>
        <w:rPr>
          <w:rFonts w:eastAsia="仿宋_GB2312"/>
          <w:spacing w:val="10"/>
          <w:sz w:val="32"/>
          <w:szCs w:val="32"/>
        </w:rPr>
        <w:t>执行。</w:t>
      </w:r>
    </w:p>
    <w:p w14:paraId="3361CEC7">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eastAsia="仿宋_GB2312"/>
          <w:spacing w:val="-3"/>
          <w:sz w:val="32"/>
          <w:szCs w:val="32"/>
        </w:rPr>
      </w:pPr>
      <w:r>
        <w:rPr>
          <w:rFonts w:eastAsia="仿宋_GB2312"/>
          <w:spacing w:val="10"/>
          <w:sz w:val="32"/>
          <w:szCs w:val="32"/>
        </w:rPr>
        <w:t>因中小学</w:t>
      </w:r>
      <w:r>
        <w:rPr>
          <w:rFonts w:hint="eastAsia" w:eastAsia="仿宋_GB2312"/>
          <w:spacing w:val="10"/>
          <w:sz w:val="32"/>
          <w:szCs w:val="32"/>
          <w:lang w:val="en-US" w:eastAsia="zh-CN"/>
        </w:rPr>
        <w:t>校</w:t>
      </w:r>
      <w:r>
        <w:rPr>
          <w:rFonts w:eastAsia="仿宋_GB2312"/>
          <w:spacing w:val="10"/>
          <w:sz w:val="32"/>
          <w:szCs w:val="32"/>
        </w:rPr>
        <w:t>及幼儿园新建、改扩建等客观原因，造成持证人无法在原核定地址经营之日起三十日内，持证人申请歇业</w:t>
      </w:r>
      <w:r>
        <w:rPr>
          <w:rFonts w:hint="eastAsia" w:eastAsia="仿宋_GB2312"/>
          <w:spacing w:val="10"/>
          <w:sz w:val="32"/>
          <w:szCs w:val="32"/>
        </w:rPr>
        <w:t>并在原</w:t>
      </w:r>
      <w:r>
        <w:rPr>
          <w:rFonts w:eastAsia="仿宋_GB2312"/>
          <w:spacing w:val="10"/>
          <w:sz w:val="32"/>
          <w:szCs w:val="32"/>
        </w:rPr>
        <w:t>单元网格内新址</w:t>
      </w:r>
      <w:r>
        <w:rPr>
          <w:rFonts w:hint="eastAsia" w:eastAsia="仿宋_GB2312"/>
          <w:spacing w:val="10"/>
          <w:sz w:val="32"/>
          <w:szCs w:val="32"/>
        </w:rPr>
        <w:t>申请新办</w:t>
      </w:r>
      <w:r>
        <w:rPr>
          <w:rFonts w:eastAsia="仿宋_GB2312"/>
          <w:spacing w:val="10"/>
          <w:sz w:val="32"/>
          <w:szCs w:val="32"/>
        </w:rPr>
        <w:t>的，</w:t>
      </w:r>
      <w:r>
        <w:rPr>
          <w:rFonts w:hint="eastAsia" w:eastAsia="仿宋_GB2312"/>
          <w:spacing w:val="10"/>
          <w:sz w:val="32"/>
          <w:szCs w:val="32"/>
        </w:rPr>
        <w:t>不受所在单元网格规划数限制，</w:t>
      </w:r>
      <w:r>
        <w:rPr>
          <w:rFonts w:eastAsia="仿宋_GB2312"/>
          <w:spacing w:val="10"/>
          <w:sz w:val="32"/>
          <w:szCs w:val="32"/>
        </w:rPr>
        <w:t>零售点间距可放宽至本单元网格间距标准的</w:t>
      </w:r>
      <w:r>
        <w:rPr>
          <w:rFonts w:hint="eastAsia" w:eastAsia="仿宋_GB2312"/>
          <w:spacing w:val="10"/>
          <w:sz w:val="32"/>
          <w:szCs w:val="32"/>
        </w:rPr>
        <w:t>40%</w:t>
      </w:r>
      <w:r>
        <w:rPr>
          <w:rFonts w:eastAsia="仿宋_GB2312"/>
          <w:spacing w:val="10"/>
          <w:sz w:val="32"/>
          <w:szCs w:val="32"/>
        </w:rPr>
        <w:t>执行</w:t>
      </w:r>
      <w:r>
        <w:rPr>
          <w:rFonts w:hint="eastAsia" w:eastAsia="仿宋_GB2312"/>
          <w:spacing w:val="10"/>
          <w:sz w:val="32"/>
          <w:szCs w:val="32"/>
        </w:rPr>
        <w:t>。</w:t>
      </w:r>
    </w:p>
    <w:p w14:paraId="6AA5C697">
      <w:pPr>
        <w:pStyle w:val="2"/>
        <w:keepNext w:val="0"/>
        <w:keepLines w:val="0"/>
        <w:pageBreakBefore w:val="0"/>
        <w:widowControl w:val="0"/>
        <w:kinsoku/>
        <w:wordWrap w:val="0"/>
        <w:overflowPunct/>
        <w:topLinePunct w:val="0"/>
        <w:autoSpaceDE/>
        <w:autoSpaceDN/>
        <w:bidi w:val="0"/>
        <w:adjustRightInd w:val="0"/>
        <w:snapToGrid w:val="0"/>
        <w:spacing w:after="0" w:line="360" w:lineRule="auto"/>
        <w:ind w:firstLine="582" w:firstLineChars="188"/>
        <w:rPr>
          <w:rFonts w:hint="eastAsia" w:eastAsia="仿宋_GB2312"/>
          <w:spacing w:val="10"/>
          <w:sz w:val="32"/>
          <w:szCs w:val="32"/>
        </w:rPr>
      </w:pPr>
      <w:r>
        <w:rPr>
          <w:rFonts w:hint="eastAsia" w:eastAsia="仿宋_GB2312"/>
          <w:spacing w:val="-5"/>
          <w:sz w:val="32"/>
          <w:szCs w:val="32"/>
        </w:rPr>
        <w:t>在</w:t>
      </w:r>
      <w:r>
        <w:rPr>
          <w:rFonts w:eastAsia="仿宋_GB2312"/>
          <w:spacing w:val="10"/>
          <w:sz w:val="32"/>
          <w:szCs w:val="32"/>
        </w:rPr>
        <w:t>本</w:t>
      </w:r>
      <w:r>
        <w:rPr>
          <w:rFonts w:hint="eastAsia" w:eastAsia="仿宋_GB2312"/>
          <w:spacing w:val="10"/>
          <w:sz w:val="32"/>
          <w:szCs w:val="32"/>
        </w:rPr>
        <w:t>市</w:t>
      </w:r>
      <w:r>
        <w:rPr>
          <w:rFonts w:eastAsia="仿宋_GB2312"/>
          <w:spacing w:val="10"/>
          <w:sz w:val="32"/>
          <w:szCs w:val="32"/>
        </w:rPr>
        <w:t>其他单元网格</w:t>
      </w:r>
      <w:r>
        <w:rPr>
          <w:rFonts w:hint="eastAsia" w:eastAsia="仿宋_GB2312"/>
          <w:spacing w:val="10"/>
          <w:sz w:val="32"/>
          <w:szCs w:val="32"/>
        </w:rPr>
        <w:t>申请</w:t>
      </w:r>
      <w:r>
        <w:rPr>
          <w:rFonts w:eastAsia="仿宋_GB2312"/>
          <w:spacing w:val="10"/>
          <w:sz w:val="32"/>
          <w:szCs w:val="32"/>
        </w:rPr>
        <w:t>新办的，受所在单元网格规划数限制，间距标准可放宽至</w:t>
      </w:r>
      <w:r>
        <w:rPr>
          <w:rFonts w:hint="eastAsia" w:eastAsia="仿宋_GB2312"/>
          <w:spacing w:val="10"/>
          <w:sz w:val="32"/>
          <w:szCs w:val="32"/>
        </w:rPr>
        <w:t>本</w:t>
      </w:r>
      <w:r>
        <w:rPr>
          <w:rFonts w:eastAsia="仿宋_GB2312"/>
          <w:spacing w:val="10"/>
          <w:sz w:val="32"/>
          <w:szCs w:val="32"/>
        </w:rPr>
        <w:t>单元网格间距标准的</w:t>
      </w:r>
      <w:r>
        <w:rPr>
          <w:rFonts w:hint="eastAsia" w:eastAsia="仿宋_GB2312"/>
          <w:spacing w:val="10"/>
          <w:sz w:val="32"/>
          <w:szCs w:val="32"/>
        </w:rPr>
        <w:t>80%</w:t>
      </w:r>
      <w:r>
        <w:rPr>
          <w:rFonts w:eastAsia="仿宋_GB2312"/>
          <w:spacing w:val="10"/>
          <w:sz w:val="32"/>
          <w:szCs w:val="32"/>
        </w:rPr>
        <w:t>执行</w:t>
      </w:r>
      <w:r>
        <w:rPr>
          <w:rFonts w:hint="eastAsia" w:eastAsia="仿宋_GB2312"/>
          <w:spacing w:val="10"/>
          <w:sz w:val="32"/>
          <w:szCs w:val="32"/>
        </w:rPr>
        <w:t>。</w:t>
      </w:r>
    </w:p>
    <w:p w14:paraId="32B9388F">
      <w:pPr>
        <w:keepNext w:val="0"/>
        <w:keepLines w:val="0"/>
        <w:pageBreakBefore w:val="0"/>
        <w:widowControl w:val="0"/>
        <w:numPr>
          <w:ilvl w:val="2"/>
          <w:numId w:val="2"/>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eastAsia="仿宋_GB2312"/>
          <w:color w:val="FF0000"/>
          <w:spacing w:val="10"/>
          <w:sz w:val="32"/>
          <w:szCs w:val="32"/>
        </w:rPr>
      </w:pPr>
      <w:r>
        <w:rPr>
          <w:rFonts w:hint="eastAsia" w:eastAsia="仿宋_GB2312"/>
          <w:color w:val="FF0000"/>
          <w:spacing w:val="10"/>
          <w:sz w:val="32"/>
          <w:szCs w:val="32"/>
          <w:lang w:val="en-US" w:eastAsia="zh-CN"/>
        </w:rPr>
        <w:t>在本市辖区范围内连续经营5年以上，且最近连续3年无涉烟违法违规记录的持证户，因租金上涨、租赁期满等客观原因不能在原核定地址经营，经营主体未发生改变，持证人在办理许可证歇业后6个月内，在原单元网格内新址申请新办的，不受所在单元网格规划数限制，零售点间距可放宽至本单元网格间距标准的60%执行。</w:t>
      </w:r>
    </w:p>
    <w:p w14:paraId="51E5CE17">
      <w:pPr>
        <w:pStyle w:val="8"/>
        <w:keepNext w:val="0"/>
        <w:keepLines w:val="0"/>
        <w:pageBreakBefore w:val="0"/>
        <w:widowControl w:val="0"/>
        <w:numPr>
          <w:ilvl w:val="0"/>
          <w:numId w:val="1"/>
        </w:numPr>
        <w:kinsoku/>
        <w:wordWrap w:val="0"/>
        <w:overflowPunct/>
        <w:topLinePunct w:val="0"/>
        <w:autoSpaceDE/>
        <w:autoSpaceDN/>
        <w:bidi w:val="0"/>
        <w:snapToGrid w:val="0"/>
        <w:spacing w:before="312" w:beforeLines="100" w:after="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附则</w:t>
      </w:r>
    </w:p>
    <w:p w14:paraId="4690A344">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spacing w:val="10"/>
          <w:sz w:val="32"/>
          <w:szCs w:val="32"/>
        </w:rPr>
      </w:pPr>
      <w:r>
        <w:rPr>
          <w:rFonts w:eastAsia="仿宋_GB2312"/>
          <w:spacing w:val="10"/>
          <w:sz w:val="32"/>
          <w:szCs w:val="32"/>
        </w:rPr>
        <w:t>本规划实施后，如遇相关法律</w:t>
      </w:r>
      <w:r>
        <w:rPr>
          <w:rFonts w:hint="eastAsia" w:eastAsia="仿宋_GB2312"/>
          <w:spacing w:val="10"/>
          <w:sz w:val="32"/>
          <w:szCs w:val="32"/>
        </w:rPr>
        <w:t>、</w:t>
      </w:r>
      <w:r>
        <w:rPr>
          <w:rFonts w:eastAsia="仿宋_GB2312"/>
          <w:spacing w:val="10"/>
          <w:sz w:val="32"/>
          <w:szCs w:val="32"/>
        </w:rPr>
        <w:t>法规、规章及规范性文件调整的，根据最新规定进行调整，及时报当地本级人民政府法制部门备案后公布实施。</w:t>
      </w:r>
    </w:p>
    <w:p w14:paraId="0E9C627E">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sz w:val="32"/>
          <w:szCs w:val="32"/>
        </w:rPr>
      </w:pPr>
      <w:r>
        <w:rPr>
          <w:rFonts w:eastAsia="仿宋_GB2312"/>
          <w:spacing w:val="10"/>
          <w:sz w:val="32"/>
          <w:szCs w:val="32"/>
        </w:rPr>
        <w:t>本</w:t>
      </w:r>
      <w:r>
        <w:rPr>
          <w:rFonts w:hint="eastAsia" w:eastAsia="仿宋_GB2312"/>
          <w:spacing w:val="10"/>
          <w:sz w:val="32"/>
          <w:szCs w:val="32"/>
        </w:rPr>
        <w:t>市</w:t>
      </w:r>
      <w:r>
        <w:rPr>
          <w:rFonts w:eastAsia="仿宋_GB2312"/>
          <w:sz w:val="32"/>
          <w:szCs w:val="32"/>
        </w:rPr>
        <w:t>零售点合理布局实行定期评价、动态管理。每季度根据本地经济发展、城乡建设、市场形势等变化情况进行调整并公示后实施</w:t>
      </w:r>
      <w:r>
        <w:rPr>
          <w:rFonts w:hint="eastAsia" w:eastAsia="仿宋_GB2312"/>
          <w:sz w:val="32"/>
          <w:szCs w:val="32"/>
        </w:rPr>
        <w:t>。动态调整规则详见《云南省澄江市烟草制品零售点合理布局规划数动态调整管理制度》（附件5）。</w:t>
      </w:r>
    </w:p>
    <w:p w14:paraId="4959F87D">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40" w:firstLineChars="200"/>
        <w:jc w:val="left"/>
        <w:rPr>
          <w:rFonts w:eastAsia="仿宋_GB2312"/>
          <w:sz w:val="32"/>
          <w:szCs w:val="32"/>
        </w:rPr>
      </w:pPr>
      <w:r>
        <w:rPr>
          <w:rFonts w:eastAsia="仿宋_GB2312"/>
          <w:sz w:val="32"/>
          <w:szCs w:val="32"/>
        </w:rPr>
        <w:t>对暂不符合本布局规划条件的申请人，实行</w:t>
      </w:r>
      <w:r>
        <w:rPr>
          <w:rFonts w:hint="eastAsia" w:eastAsia="仿宋_GB2312"/>
          <w:sz w:val="32"/>
          <w:szCs w:val="32"/>
        </w:rPr>
        <w:t>排队</w:t>
      </w:r>
      <w:r>
        <w:rPr>
          <w:rFonts w:eastAsia="仿宋_GB2312"/>
          <w:sz w:val="32"/>
          <w:szCs w:val="32"/>
        </w:rPr>
        <w:t>轮候制度。</w:t>
      </w:r>
      <w:r>
        <w:rPr>
          <w:rFonts w:hint="eastAsia" w:eastAsia="仿宋_GB2312"/>
          <w:sz w:val="32"/>
          <w:szCs w:val="32"/>
        </w:rPr>
        <w:t>排队</w:t>
      </w:r>
      <w:r>
        <w:rPr>
          <w:rFonts w:eastAsia="仿宋_GB2312"/>
          <w:sz w:val="32"/>
          <w:szCs w:val="32"/>
        </w:rPr>
        <w:t>轮候制度详见《云南省</w:t>
      </w:r>
      <w:r>
        <w:rPr>
          <w:rFonts w:hint="eastAsia" w:eastAsia="仿宋_GB2312"/>
          <w:sz w:val="32"/>
          <w:szCs w:val="32"/>
        </w:rPr>
        <w:t>澄江市</w:t>
      </w:r>
      <w:r>
        <w:rPr>
          <w:rFonts w:eastAsia="仿宋_GB2312"/>
          <w:sz w:val="32"/>
          <w:szCs w:val="32"/>
        </w:rPr>
        <w:t>烟草制品零售点</w:t>
      </w:r>
      <w:r>
        <w:rPr>
          <w:rFonts w:hint="eastAsia" w:eastAsia="仿宋_GB2312"/>
          <w:sz w:val="32"/>
          <w:szCs w:val="32"/>
        </w:rPr>
        <w:t>排队</w:t>
      </w:r>
      <w:r>
        <w:rPr>
          <w:rFonts w:eastAsia="仿宋_GB2312"/>
          <w:sz w:val="32"/>
          <w:szCs w:val="32"/>
        </w:rPr>
        <w:t>轮候制度》（附件</w:t>
      </w:r>
      <w:r>
        <w:rPr>
          <w:rFonts w:hint="eastAsia" w:eastAsia="仿宋_GB2312"/>
          <w:sz w:val="32"/>
          <w:szCs w:val="32"/>
        </w:rPr>
        <w:t>6</w:t>
      </w:r>
      <w:r>
        <w:rPr>
          <w:rFonts w:eastAsia="仿宋_GB2312"/>
          <w:sz w:val="32"/>
          <w:szCs w:val="32"/>
        </w:rPr>
        <w:t>）。</w:t>
      </w:r>
    </w:p>
    <w:p w14:paraId="3508A4E2">
      <w:pPr>
        <w:keepNext w:val="0"/>
        <w:keepLines w:val="0"/>
        <w:pageBreakBefore w:val="0"/>
        <w:widowControl w:val="0"/>
        <w:kinsoku/>
        <w:wordWrap w:val="0"/>
        <w:overflowPunct/>
        <w:topLinePunct w:val="0"/>
        <w:autoSpaceDE/>
        <w:autoSpaceDN/>
        <w:bidi w:val="0"/>
        <w:snapToGrid w:val="0"/>
        <w:spacing w:after="0" w:line="360" w:lineRule="auto"/>
        <w:ind w:firstLine="640" w:firstLineChars="200"/>
        <w:jc w:val="left"/>
        <w:rPr>
          <w:rFonts w:eastAsia="仿宋_GB2312"/>
          <w:sz w:val="32"/>
          <w:szCs w:val="32"/>
        </w:rPr>
      </w:pPr>
      <w:r>
        <w:rPr>
          <w:rFonts w:hint="eastAsia" w:eastAsia="仿宋_GB2312"/>
          <w:sz w:val="32"/>
          <w:szCs w:val="32"/>
        </w:rPr>
        <w:t>符合第十七条、第十八条情形且</w:t>
      </w:r>
      <w:r>
        <w:rPr>
          <w:rFonts w:ascii="仿宋_GB2312" w:hAnsi="仿宋_GB2312" w:eastAsia="仿宋_GB2312" w:cs="仿宋_GB2312"/>
          <w:spacing w:val="9"/>
          <w:sz w:val="31"/>
          <w:szCs w:val="31"/>
        </w:rPr>
        <w:t>不受单元网格规划数限制</w:t>
      </w:r>
      <w:r>
        <w:rPr>
          <w:rFonts w:hint="eastAsia" w:eastAsia="仿宋_GB2312"/>
          <w:sz w:val="32"/>
          <w:szCs w:val="32"/>
        </w:rPr>
        <w:t>的，申请人不实行排队轮候制度。</w:t>
      </w:r>
    </w:p>
    <w:p w14:paraId="545DBFD0">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40" w:firstLineChars="200"/>
        <w:jc w:val="left"/>
        <w:rPr>
          <w:rFonts w:eastAsia="仿宋_GB2312"/>
          <w:sz w:val="32"/>
          <w:szCs w:val="32"/>
        </w:rPr>
      </w:pPr>
      <w:r>
        <w:rPr>
          <w:rFonts w:eastAsia="仿宋_GB2312"/>
          <w:sz w:val="32"/>
          <w:szCs w:val="32"/>
        </w:rPr>
        <w:t>本规划中所称</w:t>
      </w:r>
      <w:r>
        <w:rPr>
          <w:rFonts w:hint="eastAsia" w:eastAsia="仿宋_GB2312"/>
          <w:sz w:val="32"/>
          <w:szCs w:val="32"/>
        </w:rPr>
        <w:t>“</w:t>
      </w:r>
      <w:r>
        <w:rPr>
          <w:rFonts w:eastAsia="仿宋_GB2312"/>
          <w:sz w:val="32"/>
          <w:szCs w:val="32"/>
        </w:rPr>
        <w:t>中小学校</w:t>
      </w:r>
      <w:r>
        <w:rPr>
          <w:rFonts w:hint="eastAsia" w:eastAsia="仿宋_GB2312"/>
          <w:sz w:val="32"/>
          <w:szCs w:val="32"/>
        </w:rPr>
        <w:t>”</w:t>
      </w:r>
      <w:r>
        <w:rPr>
          <w:rFonts w:eastAsia="仿宋_GB2312"/>
          <w:sz w:val="32"/>
          <w:szCs w:val="32"/>
        </w:rPr>
        <w:t>是指普通中小学校、特殊教育学校、中等职业学校、专门学校等。</w:t>
      </w:r>
      <w:r>
        <w:rPr>
          <w:rFonts w:hint="eastAsia" w:eastAsia="仿宋_GB2312"/>
          <w:sz w:val="32"/>
          <w:szCs w:val="32"/>
        </w:rPr>
        <w:t>“</w:t>
      </w:r>
      <w:r>
        <w:rPr>
          <w:rFonts w:eastAsia="仿宋_GB2312"/>
          <w:sz w:val="32"/>
          <w:szCs w:val="32"/>
        </w:rPr>
        <w:t>幼儿园</w:t>
      </w:r>
      <w:r>
        <w:rPr>
          <w:rFonts w:hint="eastAsia" w:eastAsia="仿宋_GB2312"/>
          <w:sz w:val="32"/>
          <w:szCs w:val="32"/>
        </w:rPr>
        <w:t>”</w:t>
      </w:r>
      <w:r>
        <w:rPr>
          <w:rFonts w:eastAsia="仿宋_GB2312"/>
          <w:sz w:val="32"/>
          <w:szCs w:val="32"/>
        </w:rPr>
        <w:t>是指经教育行政主管部门依法批准的公办和民办全日制、寄宿制、半日制幼儿园及小学附设的学前班、幼儿班</w:t>
      </w:r>
      <w:r>
        <w:rPr>
          <w:rFonts w:hint="eastAsia" w:eastAsia="仿宋_GB2312"/>
          <w:sz w:val="32"/>
          <w:szCs w:val="32"/>
        </w:rPr>
        <w:t>等</w:t>
      </w:r>
      <w:r>
        <w:rPr>
          <w:rFonts w:eastAsia="仿宋_GB2312"/>
          <w:sz w:val="32"/>
          <w:szCs w:val="32"/>
        </w:rPr>
        <w:t>。各类培训教育机构、托管班、早教班等除外。</w:t>
      </w:r>
    </w:p>
    <w:p w14:paraId="0063DCA6">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spacing w:val="10"/>
          <w:sz w:val="32"/>
          <w:szCs w:val="32"/>
        </w:rPr>
      </w:pPr>
      <w:r>
        <w:rPr>
          <w:rFonts w:eastAsia="仿宋_GB2312"/>
          <w:spacing w:val="10"/>
          <w:sz w:val="32"/>
          <w:szCs w:val="32"/>
        </w:rPr>
        <w:t>本规划中</w:t>
      </w:r>
      <w:r>
        <w:rPr>
          <w:rFonts w:hint="eastAsia" w:eastAsia="仿宋_GB2312"/>
          <w:spacing w:val="10"/>
          <w:sz w:val="32"/>
          <w:szCs w:val="32"/>
        </w:rPr>
        <w:t>“</w:t>
      </w:r>
      <w:r>
        <w:rPr>
          <w:rFonts w:eastAsia="仿宋_GB2312"/>
          <w:spacing w:val="10"/>
          <w:sz w:val="32"/>
          <w:szCs w:val="32"/>
        </w:rPr>
        <w:t>以上</w:t>
      </w:r>
      <w:r>
        <w:rPr>
          <w:rFonts w:hint="eastAsia" w:eastAsia="仿宋_GB2312"/>
          <w:spacing w:val="10"/>
          <w:sz w:val="32"/>
          <w:szCs w:val="32"/>
        </w:rPr>
        <w:t>”“</w:t>
      </w:r>
      <w:r>
        <w:rPr>
          <w:rFonts w:eastAsia="仿宋_GB2312"/>
          <w:spacing w:val="10"/>
          <w:sz w:val="32"/>
          <w:szCs w:val="32"/>
        </w:rPr>
        <w:t>不低于</w:t>
      </w:r>
      <w:r>
        <w:rPr>
          <w:rFonts w:hint="eastAsia" w:eastAsia="仿宋_GB2312"/>
          <w:spacing w:val="10"/>
          <w:sz w:val="32"/>
          <w:szCs w:val="32"/>
        </w:rPr>
        <w:t>”“</w:t>
      </w:r>
      <w:r>
        <w:rPr>
          <w:rFonts w:eastAsia="仿宋_GB2312"/>
          <w:spacing w:val="10"/>
          <w:sz w:val="32"/>
          <w:szCs w:val="32"/>
        </w:rPr>
        <w:t>不超过</w:t>
      </w:r>
      <w:r>
        <w:rPr>
          <w:rFonts w:hint="eastAsia" w:eastAsia="仿宋_GB2312"/>
          <w:spacing w:val="10"/>
          <w:sz w:val="32"/>
          <w:szCs w:val="32"/>
        </w:rPr>
        <w:t>”“</w:t>
      </w:r>
      <w:r>
        <w:rPr>
          <w:rFonts w:eastAsia="仿宋_GB2312"/>
          <w:spacing w:val="10"/>
          <w:sz w:val="32"/>
          <w:szCs w:val="32"/>
        </w:rPr>
        <w:t>以内</w:t>
      </w:r>
      <w:r>
        <w:rPr>
          <w:rFonts w:hint="eastAsia" w:eastAsia="仿宋_GB2312"/>
          <w:spacing w:val="10"/>
          <w:sz w:val="32"/>
          <w:szCs w:val="32"/>
        </w:rPr>
        <w:t>”</w:t>
      </w:r>
      <w:r>
        <w:rPr>
          <w:rFonts w:eastAsia="仿宋_GB2312"/>
          <w:spacing w:val="10"/>
          <w:sz w:val="32"/>
          <w:szCs w:val="32"/>
        </w:rPr>
        <w:t>等，如无特殊说明均包括本数。</w:t>
      </w:r>
    </w:p>
    <w:p w14:paraId="330F244E">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rPr>
          <w:rFonts w:eastAsia="仿宋_GB2312"/>
          <w:spacing w:val="10"/>
          <w:sz w:val="32"/>
          <w:szCs w:val="32"/>
        </w:rPr>
      </w:pPr>
      <w:r>
        <w:rPr>
          <w:rFonts w:eastAsia="仿宋_GB2312"/>
          <w:spacing w:val="10"/>
          <w:sz w:val="32"/>
          <w:szCs w:val="32"/>
        </w:rPr>
        <w:t>本规划中按照年、月、日计算期间的，开始的当日不计入，自下一日开始计算。均以工作日计算，不含法定节假日。</w:t>
      </w:r>
    </w:p>
    <w:p w14:paraId="6383EA83">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left"/>
        <w:textAlignment w:val="baseline"/>
        <w:rPr>
          <w:rFonts w:eastAsia="仿宋_GB2312"/>
          <w:spacing w:val="10"/>
          <w:sz w:val="32"/>
          <w:szCs w:val="32"/>
        </w:rPr>
      </w:pPr>
      <w:r>
        <w:rPr>
          <w:rFonts w:eastAsia="仿宋_GB2312"/>
          <w:spacing w:val="10"/>
          <w:sz w:val="32"/>
          <w:szCs w:val="32"/>
        </w:rPr>
        <w:t>本规划由</w:t>
      </w:r>
      <w:r>
        <w:rPr>
          <w:rFonts w:hint="eastAsia" w:eastAsia="仿宋_GB2312"/>
          <w:spacing w:val="10"/>
          <w:sz w:val="32"/>
          <w:szCs w:val="32"/>
        </w:rPr>
        <w:t>澄江市</w:t>
      </w:r>
      <w:r>
        <w:rPr>
          <w:rFonts w:eastAsia="仿宋_GB2312"/>
          <w:spacing w:val="10"/>
          <w:sz w:val="32"/>
          <w:szCs w:val="32"/>
        </w:rPr>
        <w:t>烟草专卖局负责解释。</w:t>
      </w:r>
    </w:p>
    <w:p w14:paraId="574AABE9">
      <w:pPr>
        <w:keepNext w:val="0"/>
        <w:keepLines w:val="0"/>
        <w:pageBreakBefore w:val="0"/>
        <w:widowControl w:val="0"/>
        <w:numPr>
          <w:ilvl w:val="2"/>
          <w:numId w:val="2"/>
        </w:numPr>
        <w:kinsoku/>
        <w:wordWrap w:val="0"/>
        <w:overflowPunct/>
        <w:topLinePunct w:val="0"/>
        <w:autoSpaceDE/>
        <w:autoSpaceDN/>
        <w:bidi w:val="0"/>
        <w:snapToGrid w:val="0"/>
        <w:spacing w:after="0" w:line="360" w:lineRule="auto"/>
        <w:ind w:firstLine="680" w:firstLineChars="200"/>
        <w:jc w:val="both"/>
        <w:textAlignment w:val="baseline"/>
        <w:rPr>
          <w:rFonts w:eastAsia="仿宋_GB2312"/>
          <w:sz w:val="32"/>
          <w:szCs w:val="32"/>
        </w:rPr>
      </w:pPr>
      <w:r>
        <w:rPr>
          <w:rFonts w:eastAsia="仿宋_GB2312"/>
          <w:spacing w:val="10"/>
          <w:sz w:val="32"/>
          <w:szCs w:val="32"/>
        </w:rPr>
        <w:t>本规划</w:t>
      </w:r>
      <w:r>
        <w:rPr>
          <w:rFonts w:hint="eastAsia" w:eastAsia="仿宋_GB2312"/>
          <w:spacing w:val="10"/>
          <w:sz w:val="32"/>
          <w:szCs w:val="32"/>
          <w:highlight w:val="none"/>
          <w:u w:val="none"/>
          <w:lang w:val="en-US" w:eastAsia="zh-CN"/>
        </w:rPr>
        <w:t>于</w:t>
      </w:r>
      <w:r>
        <w:rPr>
          <w:rFonts w:hint="eastAsia" w:eastAsia="仿宋_GB2312"/>
          <w:color w:val="FF0000"/>
          <w:spacing w:val="10"/>
          <w:sz w:val="32"/>
          <w:szCs w:val="32"/>
          <w:highlight w:val="none"/>
          <w:u w:val="none"/>
          <w:lang w:val="en-US" w:eastAsia="zh-CN"/>
        </w:rPr>
        <w:t>2026年11月XX</w:t>
      </w:r>
      <w:r>
        <w:rPr>
          <w:rFonts w:hint="eastAsia" w:eastAsia="仿宋_GB2312"/>
          <w:spacing w:val="10"/>
          <w:sz w:val="32"/>
          <w:szCs w:val="32"/>
          <w:highlight w:val="none"/>
          <w:u w:val="none"/>
          <w:lang w:val="en-US" w:eastAsia="zh-CN"/>
        </w:rPr>
        <w:t>日施行</w:t>
      </w:r>
      <w:r>
        <w:rPr>
          <w:rFonts w:eastAsia="仿宋_GB2312"/>
          <w:spacing w:val="10"/>
          <w:sz w:val="32"/>
          <w:szCs w:val="32"/>
        </w:rPr>
        <w:t>。</w:t>
      </w:r>
      <w:r>
        <w:rPr>
          <w:rFonts w:eastAsia="仿宋_GB2312"/>
          <w:color w:val="FF0000"/>
          <w:spacing w:val="10"/>
          <w:sz w:val="32"/>
          <w:szCs w:val="32"/>
        </w:rPr>
        <w:t>202</w:t>
      </w:r>
      <w:r>
        <w:rPr>
          <w:rFonts w:hint="eastAsia" w:eastAsia="仿宋_GB2312"/>
          <w:color w:val="FF0000"/>
          <w:spacing w:val="10"/>
          <w:sz w:val="32"/>
          <w:szCs w:val="32"/>
        </w:rPr>
        <w:t>5</w:t>
      </w:r>
      <w:r>
        <w:rPr>
          <w:rFonts w:eastAsia="仿宋_GB2312"/>
          <w:color w:val="FF0000"/>
          <w:spacing w:val="10"/>
          <w:sz w:val="32"/>
          <w:szCs w:val="32"/>
        </w:rPr>
        <w:t>年</w:t>
      </w:r>
      <w:r>
        <w:rPr>
          <w:rFonts w:hint="eastAsia" w:eastAsia="仿宋_GB2312"/>
          <w:color w:val="FF0000"/>
          <w:spacing w:val="10"/>
          <w:sz w:val="32"/>
          <w:szCs w:val="32"/>
          <w:lang w:val="en-US" w:eastAsia="zh-CN"/>
        </w:rPr>
        <w:t>11</w:t>
      </w:r>
      <w:r>
        <w:rPr>
          <w:rFonts w:eastAsia="仿宋_GB2312"/>
          <w:color w:val="FF0000"/>
          <w:spacing w:val="10"/>
          <w:sz w:val="32"/>
          <w:szCs w:val="32"/>
        </w:rPr>
        <w:t>月</w:t>
      </w:r>
      <w:r>
        <w:rPr>
          <w:rFonts w:hint="eastAsia" w:eastAsia="仿宋_GB2312"/>
          <w:color w:val="FF0000"/>
          <w:spacing w:val="10"/>
          <w:sz w:val="32"/>
          <w:szCs w:val="32"/>
          <w:lang w:val="en-US" w:eastAsia="zh-CN"/>
        </w:rPr>
        <w:t>30</w:t>
      </w:r>
      <w:r>
        <w:rPr>
          <w:rFonts w:eastAsia="仿宋_GB2312"/>
          <w:color w:val="FF0000"/>
          <w:spacing w:val="10"/>
          <w:sz w:val="32"/>
          <w:szCs w:val="32"/>
        </w:rPr>
        <w:t>日起实施的《</w:t>
      </w:r>
      <w:r>
        <w:rPr>
          <w:rFonts w:hint="eastAsia" w:eastAsia="仿宋_GB2312"/>
          <w:color w:val="FF0000"/>
          <w:spacing w:val="10"/>
          <w:sz w:val="32"/>
          <w:szCs w:val="32"/>
        </w:rPr>
        <w:t>云南省澄江市</w:t>
      </w:r>
      <w:r>
        <w:rPr>
          <w:rFonts w:eastAsia="仿宋_GB2312"/>
          <w:color w:val="FF0000"/>
          <w:spacing w:val="10"/>
          <w:sz w:val="32"/>
          <w:szCs w:val="32"/>
        </w:rPr>
        <w:t>烟草制品零售点合理布局规</w:t>
      </w:r>
      <w:r>
        <w:rPr>
          <w:rFonts w:hint="eastAsia" w:eastAsia="仿宋_GB2312"/>
          <w:color w:val="FF0000"/>
          <w:spacing w:val="10"/>
          <w:sz w:val="32"/>
          <w:szCs w:val="32"/>
        </w:rPr>
        <w:t>划</w:t>
      </w:r>
      <w:r>
        <w:rPr>
          <w:rFonts w:eastAsia="仿宋_GB2312"/>
          <w:color w:val="FF0000"/>
          <w:spacing w:val="10"/>
          <w:sz w:val="32"/>
          <w:szCs w:val="32"/>
        </w:rPr>
        <w:t>》（</w:t>
      </w:r>
      <w:r>
        <w:rPr>
          <w:rFonts w:hint="eastAsia" w:eastAsia="仿宋_GB2312"/>
          <w:color w:val="FF0000"/>
          <w:spacing w:val="10"/>
          <w:sz w:val="32"/>
          <w:szCs w:val="32"/>
        </w:rPr>
        <w:t>澄</w:t>
      </w:r>
      <w:r>
        <w:rPr>
          <w:rFonts w:eastAsia="仿宋_GB2312"/>
          <w:color w:val="FF0000"/>
          <w:spacing w:val="10"/>
          <w:sz w:val="32"/>
          <w:szCs w:val="32"/>
        </w:rPr>
        <w:t>烟专〔202</w:t>
      </w:r>
      <w:r>
        <w:rPr>
          <w:rFonts w:hint="eastAsia" w:eastAsia="仿宋_GB2312"/>
          <w:color w:val="FF0000"/>
          <w:spacing w:val="10"/>
          <w:sz w:val="32"/>
          <w:szCs w:val="32"/>
          <w:lang w:val="en-US" w:eastAsia="zh-CN"/>
        </w:rPr>
        <w:t>5</w:t>
      </w:r>
      <w:r>
        <w:rPr>
          <w:rFonts w:eastAsia="仿宋_GB2312"/>
          <w:color w:val="FF0000"/>
          <w:spacing w:val="10"/>
          <w:sz w:val="32"/>
          <w:szCs w:val="32"/>
        </w:rPr>
        <w:t>〕</w:t>
      </w:r>
      <w:r>
        <w:rPr>
          <w:rFonts w:hint="eastAsia" w:eastAsia="仿宋_GB2312"/>
          <w:color w:val="FF0000"/>
          <w:spacing w:val="10"/>
          <w:sz w:val="32"/>
          <w:szCs w:val="32"/>
          <w:lang w:val="en-US" w:eastAsia="zh-CN"/>
        </w:rPr>
        <w:t>15</w:t>
      </w:r>
      <w:r>
        <w:rPr>
          <w:rFonts w:eastAsia="仿宋_GB2312"/>
          <w:color w:val="FF0000"/>
          <w:spacing w:val="10"/>
          <w:sz w:val="32"/>
          <w:szCs w:val="32"/>
        </w:rPr>
        <w:t>号）同时废止</w:t>
      </w:r>
      <w:r>
        <w:rPr>
          <w:rFonts w:eastAsia="仿宋_GB2312"/>
          <w:spacing w:val="10"/>
          <w:sz w:val="32"/>
          <w:szCs w:val="32"/>
        </w:rPr>
        <w:t>。</w:t>
      </w:r>
    </w:p>
    <w:p w14:paraId="0282AA25">
      <w:pPr>
        <w:keepNext w:val="0"/>
        <w:keepLines w:val="0"/>
        <w:pageBreakBefore w:val="0"/>
        <w:widowControl w:val="0"/>
        <w:numPr>
          <w:ilvl w:val="255"/>
          <w:numId w:val="0"/>
        </w:numPr>
        <w:kinsoku/>
        <w:wordWrap w:val="0"/>
        <w:overflowPunct/>
        <w:topLinePunct w:val="0"/>
        <w:autoSpaceDE/>
        <w:autoSpaceDN/>
        <w:bidi w:val="0"/>
        <w:snapToGrid w:val="0"/>
        <w:spacing w:after="0" w:line="360" w:lineRule="auto"/>
        <w:jc w:val="left"/>
        <w:textAlignment w:val="baseline"/>
        <w:rPr>
          <w:rFonts w:eastAsia="仿宋_GB2312"/>
          <w:spacing w:val="10"/>
          <w:sz w:val="32"/>
          <w:szCs w:val="32"/>
        </w:rPr>
      </w:pPr>
    </w:p>
    <w:p w14:paraId="6951F0A6">
      <w:pPr>
        <w:keepNext w:val="0"/>
        <w:keepLines w:val="0"/>
        <w:pageBreakBefore w:val="0"/>
        <w:widowControl w:val="0"/>
        <w:kinsoku/>
        <w:wordWrap w:val="0"/>
        <w:overflowPunct/>
        <w:topLinePunct w:val="0"/>
        <w:autoSpaceDE/>
        <w:autoSpaceDN/>
        <w:bidi w:val="0"/>
        <w:snapToGrid w:val="0"/>
        <w:spacing w:after="0" w:line="360" w:lineRule="auto"/>
        <w:textAlignment w:val="baseline"/>
        <w:rPr>
          <w:rFonts w:eastAsia="仿宋_GB2312"/>
          <w:sz w:val="32"/>
          <w:szCs w:val="32"/>
        </w:rPr>
      </w:pPr>
      <w:r>
        <w:rPr>
          <w:rFonts w:eastAsia="仿宋_GB2312"/>
          <w:sz w:val="32"/>
          <w:szCs w:val="32"/>
        </w:rPr>
        <w:t>附件</w:t>
      </w:r>
      <w:r>
        <w:rPr>
          <w:rFonts w:hint="eastAsia" w:eastAsia="仿宋_GB2312"/>
          <w:sz w:val="32"/>
          <w:szCs w:val="32"/>
        </w:rPr>
        <w:t>：</w:t>
      </w:r>
      <w:r>
        <w:rPr>
          <w:rFonts w:eastAsia="仿宋_GB2312"/>
          <w:sz w:val="32"/>
          <w:szCs w:val="32"/>
        </w:rPr>
        <w:t>1</w:t>
      </w:r>
      <w:r>
        <w:rPr>
          <w:rFonts w:hint="eastAsia" w:eastAsia="仿宋_GB2312"/>
          <w:sz w:val="32"/>
          <w:szCs w:val="32"/>
        </w:rPr>
        <w:t>.</w:t>
      </w:r>
      <w:r>
        <w:rPr>
          <w:rFonts w:eastAsia="仿宋_GB2312"/>
          <w:sz w:val="32"/>
          <w:szCs w:val="32"/>
        </w:rPr>
        <w:t>云南省</w:t>
      </w:r>
      <w:r>
        <w:rPr>
          <w:rFonts w:hint="eastAsia" w:eastAsia="仿宋_GB2312"/>
          <w:sz w:val="32"/>
          <w:szCs w:val="32"/>
        </w:rPr>
        <w:t>澄江市</w:t>
      </w:r>
      <w:r>
        <w:rPr>
          <w:rFonts w:eastAsia="仿宋_GB2312"/>
          <w:sz w:val="32"/>
          <w:szCs w:val="32"/>
        </w:rPr>
        <w:t>烟草制品零售点间距测量规则及标准</w:t>
      </w:r>
    </w:p>
    <w:p w14:paraId="7801BFE5">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eastAsia="仿宋_GB2312"/>
          <w:sz w:val="32"/>
          <w:szCs w:val="32"/>
        </w:rPr>
        <w:t>云南省</w:t>
      </w:r>
      <w:r>
        <w:rPr>
          <w:rFonts w:hint="eastAsia" w:eastAsia="仿宋_GB2312"/>
          <w:sz w:val="32"/>
          <w:szCs w:val="32"/>
        </w:rPr>
        <w:t>澄江市</w:t>
      </w:r>
      <w:r>
        <w:rPr>
          <w:rFonts w:eastAsia="仿宋_GB2312"/>
          <w:sz w:val="32"/>
          <w:szCs w:val="32"/>
        </w:rPr>
        <w:t>烟草制品零售点合理布局公示表</w:t>
      </w:r>
    </w:p>
    <w:p w14:paraId="1FCD4642">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858" w:firstLineChars="300"/>
        <w:textAlignment w:val="baseline"/>
        <w:rPr>
          <w:rFonts w:eastAsia="仿宋_GB2312"/>
          <w:sz w:val="32"/>
          <w:szCs w:val="32"/>
        </w:rPr>
      </w:pPr>
      <w:r>
        <w:rPr>
          <w:rFonts w:eastAsia="仿宋_GB2312"/>
          <w:spacing w:val="-17"/>
          <w:sz w:val="32"/>
          <w:szCs w:val="32"/>
        </w:rPr>
        <w:t>云南省</w:t>
      </w:r>
      <w:r>
        <w:rPr>
          <w:rFonts w:hint="eastAsia" w:eastAsia="仿宋_GB2312"/>
          <w:spacing w:val="-17"/>
          <w:sz w:val="32"/>
          <w:szCs w:val="32"/>
        </w:rPr>
        <w:t>澄江市</w:t>
      </w:r>
      <w:r>
        <w:rPr>
          <w:rFonts w:eastAsia="仿宋_GB2312"/>
          <w:spacing w:val="-17"/>
          <w:sz w:val="32"/>
          <w:szCs w:val="32"/>
        </w:rPr>
        <w:t>烟草制品零售点合理布局规划网格</w:t>
      </w:r>
      <w:r>
        <w:rPr>
          <w:rFonts w:hint="eastAsia" w:eastAsia="仿宋_GB2312"/>
          <w:spacing w:val="-17"/>
          <w:sz w:val="32"/>
          <w:szCs w:val="32"/>
        </w:rPr>
        <w:t>示意</w:t>
      </w:r>
      <w:r>
        <w:rPr>
          <w:rFonts w:hint="eastAsia" w:eastAsia="仿宋_GB2312"/>
          <w:sz w:val="32"/>
          <w:szCs w:val="32"/>
          <w:lang w:val="en-US" w:eastAsia="zh-CN"/>
        </w:rPr>
        <w:t>图</w:t>
      </w:r>
    </w:p>
    <w:p w14:paraId="55059899">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hint="eastAsia" w:eastAsia="仿宋_GB2312"/>
          <w:sz w:val="32"/>
          <w:szCs w:val="32"/>
        </w:rPr>
        <w:t>云南省澄江市雪茄烟专营零售点合理布局公示表</w:t>
      </w:r>
    </w:p>
    <w:p w14:paraId="374A5688">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hint="eastAsia" w:eastAsia="仿宋_GB2312"/>
          <w:sz w:val="32"/>
          <w:szCs w:val="32"/>
        </w:rPr>
        <w:t>云南省澄江市烟草制品零售点合理布局规划数动态调</w:t>
      </w:r>
    </w:p>
    <w:p w14:paraId="007DC02C">
      <w:pPr>
        <w:keepNext w:val="0"/>
        <w:keepLines w:val="0"/>
        <w:pageBreakBefore w:val="0"/>
        <w:widowControl w:val="0"/>
        <w:numPr>
          <w:ilvl w:val="0"/>
          <w:numId w:val="0"/>
        </w:numPr>
        <w:kinsoku/>
        <w:wordWrap w:val="0"/>
        <w:overflowPunct/>
        <w:topLinePunct w:val="0"/>
        <w:autoSpaceDE/>
        <w:autoSpaceDN/>
        <w:bidi w:val="0"/>
        <w:snapToGrid w:val="0"/>
        <w:spacing w:after="0" w:line="360" w:lineRule="auto"/>
        <w:ind w:firstLine="1280" w:firstLineChars="400"/>
        <w:textAlignment w:val="baseline"/>
        <w:rPr>
          <w:rFonts w:eastAsia="仿宋_GB2312"/>
          <w:sz w:val="32"/>
          <w:szCs w:val="32"/>
        </w:rPr>
      </w:pPr>
      <w:r>
        <w:rPr>
          <w:rFonts w:hint="eastAsia" w:eastAsia="仿宋_GB2312"/>
          <w:sz w:val="32"/>
          <w:szCs w:val="32"/>
        </w:rPr>
        <w:t>整管理制度</w:t>
      </w:r>
    </w:p>
    <w:p w14:paraId="33168B67">
      <w:pPr>
        <w:keepNext w:val="0"/>
        <w:keepLines w:val="0"/>
        <w:pageBreakBefore w:val="0"/>
        <w:widowControl w:val="0"/>
        <w:numPr>
          <w:ilvl w:val="0"/>
          <w:numId w:val="4"/>
        </w:numPr>
        <w:kinsoku/>
        <w:wordWrap w:val="0"/>
        <w:overflowPunct/>
        <w:topLinePunct w:val="0"/>
        <w:autoSpaceDE/>
        <w:autoSpaceDN/>
        <w:bidi w:val="0"/>
        <w:snapToGrid w:val="0"/>
        <w:spacing w:after="0" w:line="360" w:lineRule="auto"/>
        <w:ind w:firstLine="960" w:firstLineChars="300"/>
        <w:textAlignment w:val="baseline"/>
        <w:rPr>
          <w:rFonts w:eastAsia="仿宋_GB2312"/>
          <w:sz w:val="32"/>
          <w:szCs w:val="32"/>
        </w:rPr>
      </w:pPr>
      <w:r>
        <w:rPr>
          <w:rFonts w:hint="eastAsia" w:eastAsia="仿宋_GB2312"/>
          <w:sz w:val="32"/>
          <w:szCs w:val="32"/>
        </w:rPr>
        <w:t>云南省澄江市烟草制品零售点排队轮候制度</w:t>
      </w:r>
    </w:p>
    <w:p w14:paraId="11B9F589">
      <w:pPr>
        <w:keepNext w:val="0"/>
        <w:keepLines w:val="0"/>
        <w:pageBreakBefore w:val="0"/>
        <w:widowControl w:val="0"/>
        <w:kinsoku/>
        <w:wordWrap w:val="0"/>
        <w:overflowPunct/>
        <w:topLinePunct w:val="0"/>
        <w:autoSpaceDE/>
        <w:autoSpaceDN/>
        <w:bidi w:val="0"/>
        <w:spacing w:line="360" w:lineRule="auto"/>
        <w:rPr>
          <w:rFonts w:eastAsia="仿宋_GB2312"/>
          <w:sz w:val="32"/>
          <w:szCs w:val="32"/>
        </w:rPr>
      </w:pPr>
      <w:r>
        <w:rPr>
          <w:rFonts w:hint="eastAsia" w:eastAsia="仿宋_GB2312"/>
          <w:sz w:val="32"/>
          <w:szCs w:val="32"/>
        </w:rPr>
        <w:br w:type="page"/>
      </w:r>
    </w:p>
    <w:p w14:paraId="0988F9ED">
      <w:pPr>
        <w:keepNext w:val="0"/>
        <w:keepLines w:val="0"/>
        <w:pageBreakBefore w:val="0"/>
        <w:widowControl/>
        <w:kinsoku/>
        <w:wordWrap w:val="0"/>
        <w:overflowPunct/>
        <w:topLinePunct w:val="0"/>
        <w:autoSpaceDE/>
        <w:autoSpaceDN/>
        <w:bidi w:val="0"/>
        <w:spacing w:before="86" w:line="300" w:lineRule="auto"/>
        <w:jc w:val="left"/>
        <w:rPr>
          <w:rFonts w:hint="eastAsia" w:ascii="黑体" w:hAnsi="黑体" w:eastAsia="黑体" w:cs="黑体"/>
          <w:spacing w:val="10"/>
          <w:sz w:val="32"/>
          <w:szCs w:val="32"/>
        </w:rPr>
      </w:pPr>
      <w:r>
        <w:rPr>
          <w:rFonts w:hint="eastAsia" w:ascii="黑体" w:hAnsi="黑体" w:eastAsia="黑体" w:cs="黑体"/>
          <w:spacing w:val="10"/>
          <w:sz w:val="32"/>
          <w:szCs w:val="32"/>
        </w:rPr>
        <w:t>附件1</w:t>
      </w:r>
    </w:p>
    <w:p w14:paraId="2E785131">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云南省澄江市烟草制品零售点</w:t>
      </w:r>
    </w:p>
    <w:p w14:paraId="0791FF8C">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间距测量规则及标准</w:t>
      </w:r>
    </w:p>
    <w:p w14:paraId="34EB21DF">
      <w:pPr>
        <w:keepNext w:val="0"/>
        <w:keepLines w:val="0"/>
        <w:pageBreakBefore w:val="0"/>
        <w:widowControl/>
        <w:tabs>
          <w:tab w:val="left" w:pos="2723"/>
        </w:tabs>
        <w:kinsoku/>
        <w:wordWrap w:val="0"/>
        <w:overflowPunct/>
        <w:topLinePunct w:val="0"/>
        <w:autoSpaceDE/>
        <w:autoSpaceDN/>
        <w:bidi w:val="0"/>
        <w:adjustRightInd w:val="0"/>
        <w:snapToGrid w:val="0"/>
        <w:spacing w:before="86" w:after="0" w:line="336" w:lineRule="auto"/>
        <w:ind w:firstLine="640" w:firstLineChars="200"/>
        <w:jc w:val="left"/>
        <w:textAlignment w:val="auto"/>
        <w:rPr>
          <w:sz w:val="32"/>
          <w:szCs w:val="32"/>
        </w:rPr>
      </w:pPr>
    </w:p>
    <w:p w14:paraId="3F49BFF9">
      <w:pPr>
        <w:keepNext w:val="0"/>
        <w:keepLines w:val="0"/>
        <w:pageBreakBefore w:val="0"/>
        <w:widowControl/>
        <w:tabs>
          <w:tab w:val="left" w:pos="2723"/>
        </w:tabs>
        <w:kinsoku/>
        <w:wordWrap w:val="0"/>
        <w:overflowPunct/>
        <w:topLinePunct w:val="0"/>
        <w:autoSpaceDE/>
        <w:autoSpaceDN/>
        <w:bidi w:val="0"/>
        <w:adjustRightInd w:val="0"/>
        <w:snapToGrid w:val="0"/>
        <w:spacing w:before="86"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根据云南省澄江市辖区实际情况，现明确《云南省澄江市烟草制品零售点合理布局规划》第七条中有关的“零售点间距”测量规则及标准如下：</w:t>
      </w:r>
    </w:p>
    <w:p w14:paraId="606684EB">
      <w:pPr>
        <w:keepNext w:val="0"/>
        <w:keepLines w:val="0"/>
        <w:pageBreakBefore w:val="0"/>
        <w:widowControl/>
        <w:kinsoku/>
        <w:wordWrap w:val="0"/>
        <w:overflowPunct/>
        <w:topLinePunct w:val="0"/>
        <w:autoSpaceDE/>
        <w:autoSpaceDN/>
        <w:bidi w:val="0"/>
        <w:adjustRightInd w:val="0"/>
        <w:snapToGrid w:val="0"/>
        <w:spacing w:before="86" w:after="0" w:line="336" w:lineRule="auto"/>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一、测量规则</w:t>
      </w:r>
    </w:p>
    <w:p w14:paraId="35958C1E">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27C1412A">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（二）应当使用符合国家距离测量标准的测量工具。</w:t>
      </w:r>
    </w:p>
    <w:p w14:paraId="0A707239">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5B6A4384">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w:t>
      </w:r>
      <w:r>
        <w:rPr>
          <w:rFonts w:hint="eastAsia" w:ascii="仿宋_GB2312" w:eastAsia="仿宋_GB2312"/>
          <w:color w:val="auto"/>
          <w:sz w:val="32"/>
          <w:szCs w:val="32"/>
        </w:rPr>
        <w:t>测量工具、测量过程、测量结果进行书面签字确认。申请人或代理</w:t>
      </w:r>
      <w:r>
        <w:rPr>
          <w:rFonts w:hint="eastAsia" w:ascii="仿宋_GB2312" w:eastAsia="仿宋_GB2312"/>
          <w:sz w:val="32"/>
          <w:szCs w:val="32"/>
        </w:rPr>
        <w:t>人拒绝签字的，由核查人员在实地核查记录上注明情况，由见证人签字。测量过程应当全过程记录，包括但不限于文字记录和音像记录。</w:t>
      </w:r>
    </w:p>
    <w:p w14:paraId="7C5F4DA9">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4C10C6E5">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786F3B5F">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17F8958D">
      <w:pPr>
        <w:keepNext w:val="0"/>
        <w:keepLines w:val="0"/>
        <w:pageBreakBefore w:val="0"/>
        <w:widowControl/>
        <w:kinsoku/>
        <w:wordWrap w:val="0"/>
        <w:overflowPunct/>
        <w:topLinePunct w:val="0"/>
        <w:autoSpaceDE/>
        <w:autoSpaceDN/>
        <w:bidi w:val="0"/>
        <w:adjustRightInd w:val="0"/>
        <w:snapToGrid w:val="0"/>
        <w:spacing w:before="86" w:after="0" w:line="336" w:lineRule="auto"/>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二、测量标准</w:t>
      </w:r>
    </w:p>
    <w:p w14:paraId="0BF5A724">
      <w:pPr>
        <w:pStyle w:val="2"/>
        <w:keepNext w:val="0"/>
        <w:keepLines w:val="0"/>
        <w:pageBreakBefore w:val="0"/>
        <w:kinsoku/>
        <w:wordWrap w:val="0"/>
        <w:overflowPunct/>
        <w:topLinePunct w:val="0"/>
        <w:autoSpaceDE/>
        <w:autoSpaceDN/>
        <w:bidi w:val="0"/>
        <w:adjustRightInd w:val="0"/>
        <w:snapToGrid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1B0ECB4E">
      <w:pPr>
        <w:pStyle w:val="2"/>
        <w:keepNext w:val="0"/>
        <w:keepLines w:val="0"/>
        <w:pageBreakBefore w:val="0"/>
        <w:kinsoku/>
        <w:wordWrap w:val="0"/>
        <w:overflowPunct/>
        <w:topLinePunct w:val="0"/>
        <w:autoSpaceDE/>
        <w:autoSpaceDN/>
        <w:bidi w:val="0"/>
        <w:spacing w:after="0" w:line="336" w:lineRule="auto"/>
        <w:ind w:right="2"/>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8"/>
                    <a:stretch>
                      <a:fillRect/>
                    </a:stretch>
                  </pic:blipFill>
                  <pic:spPr>
                    <a:xfrm>
                      <a:off x="0" y="0"/>
                      <a:ext cx="3970020" cy="1748155"/>
                    </a:xfrm>
                    <a:prstGeom prst="rect">
                      <a:avLst/>
                    </a:prstGeom>
                  </pic:spPr>
                </pic:pic>
              </a:graphicData>
            </a:graphic>
          </wp:inline>
        </w:drawing>
      </w:r>
    </w:p>
    <w:p w14:paraId="520F8AD1">
      <w:pPr>
        <w:pStyle w:val="2"/>
        <w:keepNext w:val="0"/>
        <w:keepLines w:val="0"/>
        <w:pageBreakBefore w:val="0"/>
        <w:kinsoku/>
        <w:wordWrap w:val="0"/>
        <w:overflowPunct/>
        <w:topLinePunct w:val="0"/>
        <w:autoSpaceDE/>
        <w:autoSpaceDN/>
        <w:bidi w:val="0"/>
        <w:spacing w:after="0" w:line="336" w:lineRule="auto"/>
        <w:ind w:left="420" w:leftChars="200" w:right="2" w:firstLine="680" w:firstLineChars="200"/>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5DD4DEB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2C7D4521">
      <w:pPr>
        <w:pStyle w:val="2"/>
        <w:keepNext w:val="0"/>
        <w:keepLines w:val="0"/>
        <w:pageBreakBefore w:val="0"/>
        <w:kinsoku/>
        <w:wordWrap w:val="0"/>
        <w:overflowPunct/>
        <w:topLinePunct w:val="0"/>
        <w:autoSpaceDE/>
        <w:autoSpaceDN/>
        <w:bidi w:val="0"/>
        <w:spacing w:after="0" w:line="336" w:lineRule="auto"/>
        <w:ind w:right="2" w:firstLine="643"/>
        <w:jc w:val="center"/>
        <w:textAlignment w:val="auto"/>
        <w:rPr>
          <w:rFonts w:hint="eastAsia"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9"/>
                    <a:stretch>
                      <a:fillRect/>
                    </a:stretch>
                  </pic:blipFill>
                  <pic:spPr>
                    <a:xfrm>
                      <a:off x="0" y="0"/>
                      <a:ext cx="5240217" cy="1887838"/>
                    </a:xfrm>
                    <a:prstGeom prst="rect">
                      <a:avLst/>
                    </a:prstGeom>
                  </pic:spPr>
                </pic:pic>
              </a:graphicData>
            </a:graphic>
          </wp:inline>
        </w:drawing>
      </w:r>
    </w:p>
    <w:p w14:paraId="3A8E00F3">
      <w:pPr>
        <w:pStyle w:val="2"/>
        <w:keepNext w:val="0"/>
        <w:keepLines w:val="0"/>
        <w:pageBreakBefore w:val="0"/>
        <w:kinsoku/>
        <w:wordWrap w:val="0"/>
        <w:overflowPunct/>
        <w:topLinePunct w:val="0"/>
        <w:autoSpaceDE/>
        <w:autoSpaceDN/>
        <w:bidi w:val="0"/>
        <w:spacing w:after="0" w:line="336" w:lineRule="auto"/>
        <w:ind w:right="2" w:firstLine="68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1DF38A80">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22E4E3C0">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32A30BF8">
      <w:pPr>
        <w:pStyle w:val="2"/>
        <w:keepNext w:val="0"/>
        <w:keepLines w:val="0"/>
        <w:pageBreakBefore w:val="0"/>
        <w:kinsoku/>
        <w:wordWrap w:val="0"/>
        <w:overflowPunct/>
        <w:topLinePunct w:val="0"/>
        <w:autoSpaceDE/>
        <w:autoSpaceDN/>
        <w:bidi w:val="0"/>
        <w:spacing w:after="0" w:line="336" w:lineRule="auto"/>
        <w:ind w:right="3" w:firstLine="64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10"/>
                    <a:stretch>
                      <a:fillRect/>
                    </a:stretch>
                  </pic:blipFill>
                  <pic:spPr>
                    <a:xfrm>
                      <a:off x="0" y="0"/>
                      <a:ext cx="4934585" cy="2446020"/>
                    </a:xfrm>
                    <a:prstGeom prst="rect">
                      <a:avLst/>
                    </a:prstGeom>
                  </pic:spPr>
                </pic:pic>
              </a:graphicData>
            </a:graphic>
          </wp:inline>
        </w:drawing>
      </w:r>
    </w:p>
    <w:p w14:paraId="3D21E701">
      <w:pPr>
        <w:pStyle w:val="2"/>
        <w:keepNext w:val="0"/>
        <w:keepLines w:val="0"/>
        <w:pageBreakBefore w:val="0"/>
        <w:kinsoku/>
        <w:wordWrap w:val="0"/>
        <w:overflowPunct/>
        <w:topLinePunct w:val="0"/>
        <w:autoSpaceDE/>
        <w:autoSpaceDN/>
        <w:bidi w:val="0"/>
        <w:spacing w:after="0" w:line="336" w:lineRule="auto"/>
        <w:ind w:right="3"/>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5FA9F680">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2143A429">
      <w:pPr>
        <w:pStyle w:val="2"/>
        <w:keepNext w:val="0"/>
        <w:keepLines w:val="0"/>
        <w:pageBreakBefore w:val="0"/>
        <w:kinsoku/>
        <w:wordWrap w:val="0"/>
        <w:overflowPunct/>
        <w:topLinePunct w:val="0"/>
        <w:autoSpaceDE/>
        <w:autoSpaceDN/>
        <w:bidi w:val="0"/>
        <w:spacing w:after="0" w:line="336" w:lineRule="auto"/>
        <w:ind w:right="2"/>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11"/>
                    <a:stretch>
                      <a:fillRect/>
                    </a:stretch>
                  </pic:blipFill>
                  <pic:spPr>
                    <a:xfrm>
                      <a:off x="0" y="0"/>
                      <a:ext cx="5015865" cy="2638425"/>
                    </a:xfrm>
                    <a:prstGeom prst="rect">
                      <a:avLst/>
                    </a:prstGeom>
                  </pic:spPr>
                </pic:pic>
              </a:graphicData>
            </a:graphic>
          </wp:inline>
        </w:drawing>
      </w:r>
    </w:p>
    <w:p w14:paraId="73481469">
      <w:pPr>
        <w:pStyle w:val="2"/>
        <w:keepNext w:val="0"/>
        <w:keepLines w:val="0"/>
        <w:pageBreakBefore w:val="0"/>
        <w:kinsoku/>
        <w:wordWrap w:val="0"/>
        <w:overflowPunct/>
        <w:topLinePunct w:val="0"/>
        <w:autoSpaceDE/>
        <w:autoSpaceDN/>
        <w:bidi w:val="0"/>
        <w:spacing w:after="0" w:line="336" w:lineRule="auto"/>
        <w:ind w:left="420" w:leftChars="200" w:right="2" w:firstLine="68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34739E7B">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374EB88E">
      <w:pPr>
        <w:pStyle w:val="2"/>
        <w:keepNext w:val="0"/>
        <w:keepLines w:val="0"/>
        <w:pageBreakBefore w:val="0"/>
        <w:tabs>
          <w:tab w:val="left" w:pos="8197"/>
        </w:tabs>
        <w:kinsoku/>
        <w:wordWrap w:val="0"/>
        <w:overflowPunct/>
        <w:topLinePunct w:val="0"/>
        <w:autoSpaceDE/>
        <w:autoSpaceDN/>
        <w:bidi w:val="0"/>
        <w:spacing w:after="0" w:line="336" w:lineRule="auto"/>
        <w:ind w:right="3" w:firstLine="64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2"/>
                    <a:stretch>
                      <a:fillRect/>
                    </a:stretch>
                  </pic:blipFill>
                  <pic:spPr>
                    <a:xfrm>
                      <a:off x="0" y="0"/>
                      <a:ext cx="5194300" cy="2531745"/>
                    </a:xfrm>
                    <a:prstGeom prst="rect">
                      <a:avLst/>
                    </a:prstGeom>
                  </pic:spPr>
                </pic:pic>
              </a:graphicData>
            </a:graphic>
          </wp:inline>
        </w:drawing>
      </w:r>
    </w:p>
    <w:p w14:paraId="44461F63">
      <w:pPr>
        <w:pStyle w:val="2"/>
        <w:keepNext w:val="0"/>
        <w:keepLines w:val="0"/>
        <w:pageBreakBefore w:val="0"/>
        <w:tabs>
          <w:tab w:val="left" w:pos="8197"/>
        </w:tabs>
        <w:kinsoku/>
        <w:wordWrap w:val="0"/>
        <w:overflowPunct/>
        <w:topLinePunct w:val="0"/>
        <w:autoSpaceDE/>
        <w:autoSpaceDN/>
        <w:bidi w:val="0"/>
        <w:spacing w:after="0" w:line="336" w:lineRule="auto"/>
        <w:ind w:right="3" w:firstLine="640" w:firstLineChars="200"/>
        <w:jc w:val="center"/>
        <w:textAlignment w:val="auto"/>
        <w:rPr>
          <w:rFonts w:hint="eastAsia"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059B956B">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67066369">
      <w:pPr>
        <w:pStyle w:val="2"/>
        <w:keepNext w:val="0"/>
        <w:keepLines w:val="0"/>
        <w:pageBreakBefore w:val="0"/>
        <w:kinsoku/>
        <w:wordWrap w:val="0"/>
        <w:overflowPunct/>
        <w:topLinePunct w:val="0"/>
        <w:autoSpaceDE/>
        <w:autoSpaceDN/>
        <w:bidi w:val="0"/>
        <w:spacing w:after="0" w:line="336" w:lineRule="auto"/>
        <w:ind w:right="3" w:firstLine="420" w:firstLineChars="200"/>
        <w:jc w:val="center"/>
        <w:textAlignment w:val="auto"/>
        <w:rPr>
          <w:rFonts w:hint="eastAsia" w:ascii="仿宋_GB2312" w:hAnsi="仿宋_GB2312" w:eastAsia="仿宋_GB2312" w:cs="仿宋_GB2312"/>
          <w:spacing w:val="10"/>
          <w:sz w:val="32"/>
          <w:szCs w:val="32"/>
        </w:rPr>
      </w:pPr>
      <w:r>
        <w:drawing>
          <wp:inline distT="0" distB="0" distL="114300" distR="114300">
            <wp:extent cx="3772535" cy="1860550"/>
            <wp:effectExtent l="0" t="0" r="1841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4D4D69DD">
      <w:pPr>
        <w:pStyle w:val="2"/>
        <w:keepNext w:val="0"/>
        <w:keepLines w:val="0"/>
        <w:pageBreakBefore w:val="0"/>
        <w:kinsoku/>
        <w:wordWrap w:val="0"/>
        <w:overflowPunct/>
        <w:topLinePunct w:val="0"/>
        <w:autoSpaceDE/>
        <w:autoSpaceDN/>
        <w:bidi w:val="0"/>
        <w:spacing w:after="0" w:line="336" w:lineRule="auto"/>
        <w:ind w:right="3" w:firstLine="680" w:firstLineChars="200"/>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5A5A0B41">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3F362558">
      <w:pPr>
        <w:pStyle w:val="2"/>
        <w:keepNext w:val="0"/>
        <w:keepLines w:val="0"/>
        <w:pageBreakBefore w:val="0"/>
        <w:kinsoku/>
        <w:wordWrap w:val="0"/>
        <w:overflowPunct/>
        <w:topLinePunct w:val="0"/>
        <w:autoSpaceDE/>
        <w:autoSpaceDN/>
        <w:bidi w:val="0"/>
        <w:spacing w:after="0" w:line="336" w:lineRule="auto"/>
        <w:ind w:right="64"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542155" cy="2580640"/>
            <wp:effectExtent l="0" t="0" r="10795" b="10160"/>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4"/>
                    <a:srcRect t="17596"/>
                    <a:stretch>
                      <a:fillRect/>
                    </a:stretch>
                  </pic:blipFill>
                  <pic:spPr>
                    <a:xfrm>
                      <a:off x="0" y="0"/>
                      <a:ext cx="4542155" cy="2580640"/>
                    </a:xfrm>
                    <a:prstGeom prst="rect">
                      <a:avLst/>
                    </a:prstGeom>
                  </pic:spPr>
                </pic:pic>
              </a:graphicData>
            </a:graphic>
          </wp:inline>
        </w:drawing>
      </w:r>
    </w:p>
    <w:p w14:paraId="5DF40972">
      <w:pPr>
        <w:pStyle w:val="2"/>
        <w:keepNext w:val="0"/>
        <w:keepLines w:val="0"/>
        <w:pageBreakBefore w:val="0"/>
        <w:kinsoku/>
        <w:wordWrap w:val="0"/>
        <w:overflowPunct/>
        <w:topLinePunct w:val="0"/>
        <w:autoSpaceDE/>
        <w:autoSpaceDN/>
        <w:bidi w:val="0"/>
        <w:spacing w:after="0" w:line="336" w:lineRule="auto"/>
        <w:ind w:right="64" w:firstLine="68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10915E91">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48CCB4EA">
      <w:pPr>
        <w:pStyle w:val="2"/>
        <w:keepNext w:val="0"/>
        <w:keepLines w:val="0"/>
        <w:pageBreakBefore w:val="0"/>
        <w:kinsoku/>
        <w:wordWrap w:val="0"/>
        <w:overflowPunct/>
        <w:topLinePunct w:val="0"/>
        <w:autoSpaceDE/>
        <w:autoSpaceDN/>
        <w:bidi w:val="0"/>
        <w:spacing w:after="0" w:line="336" w:lineRule="auto"/>
        <w:ind w:right="64"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26F276BD">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592070" cy="2319655"/>
            <wp:effectExtent l="0" t="0" r="17780" b="4445"/>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5"/>
                    <a:stretch>
                      <a:fillRect/>
                    </a:stretch>
                  </pic:blipFill>
                  <pic:spPr>
                    <a:xfrm>
                      <a:off x="0" y="0"/>
                      <a:ext cx="2592070" cy="2319655"/>
                    </a:xfrm>
                    <a:prstGeom prst="rect">
                      <a:avLst/>
                    </a:prstGeom>
                  </pic:spPr>
                </pic:pic>
              </a:graphicData>
            </a:graphic>
          </wp:inline>
        </w:drawing>
      </w:r>
    </w:p>
    <w:p w14:paraId="56CD700B">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1EEEE9DF">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48E65B44">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6204DA9F">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602865" cy="2320290"/>
            <wp:effectExtent l="0" t="0" r="6985" b="381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6"/>
                    <a:stretch>
                      <a:fillRect/>
                    </a:stretch>
                  </pic:blipFill>
                  <pic:spPr>
                    <a:xfrm>
                      <a:off x="0" y="0"/>
                      <a:ext cx="2602865" cy="2320290"/>
                    </a:xfrm>
                    <a:prstGeom prst="rect">
                      <a:avLst/>
                    </a:prstGeom>
                  </pic:spPr>
                </pic:pic>
              </a:graphicData>
            </a:graphic>
          </wp:inline>
        </w:drawing>
      </w:r>
    </w:p>
    <w:p w14:paraId="6E4B455E">
      <w:pPr>
        <w:pStyle w:val="2"/>
        <w:keepNext w:val="0"/>
        <w:keepLines w:val="0"/>
        <w:pageBreakBefore w:val="0"/>
        <w:kinsoku/>
        <w:wordWrap w:val="0"/>
        <w:overflowPunct/>
        <w:topLinePunct w:val="0"/>
        <w:autoSpaceDE/>
        <w:autoSpaceDN/>
        <w:bidi w:val="0"/>
        <w:spacing w:after="0" w:line="336" w:lineRule="auto"/>
        <w:ind w:left="420" w:leftChars="200" w:right="64" w:firstLine="3200" w:firstLineChars="10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322C3514">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037E07EE">
      <w:pPr>
        <w:pStyle w:val="2"/>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11E94E02">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452370" cy="2245995"/>
            <wp:effectExtent l="0" t="0" r="5080" b="190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7"/>
                    <a:stretch>
                      <a:fillRect/>
                    </a:stretch>
                  </pic:blipFill>
                  <pic:spPr>
                    <a:xfrm>
                      <a:off x="0" y="0"/>
                      <a:ext cx="2452370" cy="2245995"/>
                    </a:xfrm>
                    <a:prstGeom prst="rect">
                      <a:avLst/>
                    </a:prstGeom>
                  </pic:spPr>
                </pic:pic>
              </a:graphicData>
            </a:graphic>
          </wp:inline>
        </w:drawing>
      </w:r>
    </w:p>
    <w:p w14:paraId="1B4F0BB9">
      <w:pPr>
        <w:pStyle w:val="2"/>
        <w:keepNext w:val="0"/>
        <w:keepLines w:val="0"/>
        <w:pageBreakBefore w:val="0"/>
        <w:kinsoku/>
        <w:wordWrap w:val="0"/>
        <w:overflowPunct/>
        <w:topLinePunct w:val="0"/>
        <w:autoSpaceDE/>
        <w:autoSpaceDN/>
        <w:bidi w:val="0"/>
        <w:spacing w:after="0" w:line="336" w:lineRule="auto"/>
        <w:ind w:right="64"/>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1C8E11A7">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5576F60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2FC36E30">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29865" cy="2058670"/>
            <wp:effectExtent l="0" t="0" r="13335" b="177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8"/>
                    <a:stretch>
                      <a:fillRect/>
                    </a:stretch>
                  </pic:blipFill>
                  <pic:spPr>
                    <a:xfrm>
                      <a:off x="0" y="0"/>
                      <a:ext cx="2729865" cy="2058670"/>
                    </a:xfrm>
                    <a:prstGeom prst="rect">
                      <a:avLst/>
                    </a:prstGeom>
                  </pic:spPr>
                </pic:pic>
              </a:graphicData>
            </a:graphic>
          </wp:inline>
        </w:drawing>
      </w:r>
    </w:p>
    <w:p w14:paraId="5B5D91F0">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6E4370FB">
      <w:pPr>
        <w:pStyle w:val="2"/>
        <w:keepNext w:val="0"/>
        <w:keepLines w:val="0"/>
        <w:pageBreakBefore w:val="0"/>
        <w:kinsoku/>
        <w:wordWrap w:val="0"/>
        <w:overflowPunct/>
        <w:topLinePunct w:val="0"/>
        <w:autoSpaceDE/>
        <w:autoSpaceDN/>
        <w:bidi w:val="0"/>
        <w:adjustRightInd w:val="0"/>
        <w:snapToGrid w:val="0"/>
        <w:spacing w:after="0" w:line="336" w:lineRule="auto"/>
        <w:ind w:right="2" w:firstLine="64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512070E6">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1DFFF8D2">
      <w:pPr>
        <w:pStyle w:val="2"/>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484880" cy="2225040"/>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9">
                      <a:clrChange>
                        <a:clrFrom>
                          <a:srgbClr val="FBFCF7">
                            <a:alpha val="100000"/>
                          </a:srgbClr>
                        </a:clrFrom>
                        <a:clrTo>
                          <a:srgbClr val="FBFCF7">
                            <a:alpha val="100000"/>
                            <a:alpha val="0"/>
                          </a:srgbClr>
                        </a:clrTo>
                      </a:clrChange>
                    </a:blip>
                    <a:stretch>
                      <a:fillRect/>
                    </a:stretch>
                  </pic:blipFill>
                  <pic:spPr>
                    <a:xfrm>
                      <a:off x="0" y="0"/>
                      <a:ext cx="3484880" cy="2225040"/>
                    </a:xfrm>
                    <a:prstGeom prst="rect">
                      <a:avLst/>
                    </a:prstGeom>
                  </pic:spPr>
                </pic:pic>
              </a:graphicData>
            </a:graphic>
          </wp:inline>
        </w:drawing>
      </w:r>
    </w:p>
    <w:p w14:paraId="2E978BCE">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65CF329B">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7434CEBE">
      <w:pPr>
        <w:pStyle w:val="2"/>
        <w:keepNext w:val="0"/>
        <w:keepLines w:val="0"/>
        <w:pageBreakBefore w:val="0"/>
        <w:kinsoku/>
        <w:wordWrap w:val="0"/>
        <w:overflowPunct/>
        <w:topLinePunct w:val="0"/>
        <w:autoSpaceDE/>
        <w:autoSpaceDN/>
        <w:bidi w:val="0"/>
        <w:spacing w:after="0" w:line="336" w:lineRule="auto"/>
        <w:ind w:firstLine="68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20"/>
                    <a:srcRect t="11409"/>
                    <a:stretch>
                      <a:fillRect/>
                    </a:stretch>
                  </pic:blipFill>
                  <pic:spPr>
                    <a:xfrm>
                      <a:off x="0" y="0"/>
                      <a:ext cx="3316677" cy="1922333"/>
                    </a:xfrm>
                    <a:prstGeom prst="rect">
                      <a:avLst/>
                    </a:prstGeom>
                  </pic:spPr>
                </pic:pic>
              </a:graphicData>
            </a:graphic>
          </wp:inline>
        </w:drawing>
      </w:r>
      <w:bookmarkStart w:id="0" w:name="attache_title"/>
      <w:bookmarkEnd w:id="0"/>
      <w:bookmarkStart w:id="1" w:name="Fuzhu"/>
      <w:bookmarkEnd w:id="1"/>
    </w:p>
    <w:p w14:paraId="7A835B72">
      <w:pPr>
        <w:keepNext w:val="0"/>
        <w:keepLines w:val="0"/>
        <w:pageBreakBefore w:val="0"/>
        <w:kinsoku/>
        <w:wordWrap w:val="0"/>
        <w:overflowPunct/>
        <w:topLinePunct w:val="0"/>
        <w:autoSpaceDE/>
        <w:autoSpaceDN/>
        <w:bidi w:val="0"/>
        <w:spacing w:after="0" w:line="336" w:lineRule="auto"/>
        <w:ind w:right="-512" w:rightChars="-244"/>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5F9DE0E3">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37348259">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1"/>
                    <a:stretch>
                      <a:fillRect/>
                    </a:stretch>
                  </pic:blipFill>
                  <pic:spPr>
                    <a:xfrm>
                      <a:off x="0" y="0"/>
                      <a:ext cx="3851275" cy="2245360"/>
                    </a:xfrm>
                    <a:prstGeom prst="rect">
                      <a:avLst/>
                    </a:prstGeom>
                  </pic:spPr>
                </pic:pic>
              </a:graphicData>
            </a:graphic>
          </wp:inline>
        </w:drawing>
      </w:r>
    </w:p>
    <w:p w14:paraId="59369C63">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3253A30E">
      <w:pPr>
        <w:pStyle w:val="2"/>
        <w:keepNext w:val="0"/>
        <w:keepLines w:val="0"/>
        <w:pageBreakBefore w:val="0"/>
        <w:kinsoku/>
        <w:wordWrap w:val="0"/>
        <w:overflowPunct/>
        <w:topLinePunct w:val="0"/>
        <w:autoSpaceDE/>
        <w:autoSpaceDN/>
        <w:bidi w:val="0"/>
        <w:spacing w:after="0" w:line="336" w:lineRule="auto"/>
        <w:ind w:right="2"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38269B88">
      <w:pPr>
        <w:keepNext w:val="0"/>
        <w:keepLines w:val="0"/>
        <w:pageBreakBefore w:val="0"/>
        <w:kinsoku/>
        <w:wordWrap w:val="0"/>
        <w:overflowPunct/>
        <w:topLinePunct w:val="0"/>
        <w:autoSpaceDE/>
        <w:autoSpaceDN/>
        <w:bidi w:val="0"/>
        <w:spacing w:after="0" w:line="336"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2"/>
                    <a:stretch>
                      <a:fillRect/>
                    </a:stretch>
                  </pic:blipFill>
                  <pic:spPr>
                    <a:xfrm>
                      <a:off x="0" y="0"/>
                      <a:ext cx="5163185" cy="2213610"/>
                    </a:xfrm>
                    <a:prstGeom prst="rect">
                      <a:avLst/>
                    </a:prstGeom>
                  </pic:spPr>
                </pic:pic>
              </a:graphicData>
            </a:graphic>
          </wp:inline>
        </w:drawing>
      </w:r>
    </w:p>
    <w:p w14:paraId="334EE4DF">
      <w:pPr>
        <w:keepNext w:val="0"/>
        <w:keepLines w:val="0"/>
        <w:pageBreakBefore w:val="0"/>
        <w:tabs>
          <w:tab w:val="left" w:pos="1331"/>
        </w:tabs>
        <w:kinsoku/>
        <w:wordWrap w:val="0"/>
        <w:overflowPunct/>
        <w:topLinePunct w:val="0"/>
        <w:autoSpaceDE/>
        <w:autoSpaceDN/>
        <w:bidi w:val="0"/>
        <w:spacing w:after="0" w:line="336" w:lineRule="auto"/>
        <w:ind w:firstLine="68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3997DD61">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750BCFD0">
      <w:pPr>
        <w:pStyle w:val="2"/>
        <w:keepNext w:val="0"/>
        <w:keepLines w:val="0"/>
        <w:pageBreakBefore w:val="0"/>
        <w:kinsoku/>
        <w:wordWrap w:val="0"/>
        <w:overflowPunct/>
        <w:topLinePunct w:val="0"/>
        <w:autoSpaceDE/>
        <w:autoSpaceDN/>
        <w:bidi w:val="0"/>
        <w:spacing w:after="0" w:line="336" w:lineRule="auto"/>
        <w:ind w:right="2"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597F1A09">
      <w:pPr>
        <w:keepNext w:val="0"/>
        <w:keepLines w:val="0"/>
        <w:pageBreakBefore w:val="0"/>
        <w:kinsoku/>
        <w:wordWrap w:val="0"/>
        <w:overflowPunct/>
        <w:topLinePunct w:val="0"/>
        <w:autoSpaceDE/>
        <w:autoSpaceDN/>
        <w:bidi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5207E11A">
      <w:pPr>
        <w:keepNext w:val="0"/>
        <w:keepLines w:val="0"/>
        <w:pageBreakBefore w:val="0"/>
        <w:kinsoku/>
        <w:wordWrap w:val="0"/>
        <w:overflowPunct/>
        <w:topLinePunct w:val="0"/>
        <w:autoSpaceDE/>
        <w:autoSpaceDN/>
        <w:bidi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112D73DF">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981450" cy="2033905"/>
            <wp:effectExtent l="0" t="0" r="0" b="4445"/>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3"/>
                    <a:stretch>
                      <a:fillRect/>
                    </a:stretch>
                  </pic:blipFill>
                  <pic:spPr>
                    <a:xfrm rot="10800000" flipH="1" flipV="1">
                      <a:off x="0" y="0"/>
                      <a:ext cx="3981450" cy="2033905"/>
                    </a:xfrm>
                    <a:prstGeom prst="rect">
                      <a:avLst/>
                    </a:prstGeom>
                  </pic:spPr>
                </pic:pic>
              </a:graphicData>
            </a:graphic>
          </wp:inline>
        </w:drawing>
      </w:r>
    </w:p>
    <w:p w14:paraId="13655C36">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5FC07107">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3CE226ED">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2E3A2091">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247900" cy="2065020"/>
            <wp:effectExtent l="0" t="0" r="0" b="1143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247900" cy="2065020"/>
                    </a:xfrm>
                    <a:prstGeom prst="rect">
                      <a:avLst/>
                    </a:prstGeom>
                    <a:noFill/>
                    <a:ln>
                      <a:noFill/>
                    </a:ln>
                  </pic:spPr>
                </pic:pic>
              </a:graphicData>
            </a:graphic>
          </wp:inline>
        </w:drawing>
      </w:r>
    </w:p>
    <w:p w14:paraId="5DA45761">
      <w:pPr>
        <w:keepNext w:val="0"/>
        <w:keepLines w:val="0"/>
        <w:pageBreakBefore w:val="0"/>
        <w:kinsoku/>
        <w:wordWrap w:val="0"/>
        <w:overflowPunct/>
        <w:topLinePunct w:val="0"/>
        <w:autoSpaceDE/>
        <w:autoSpaceDN/>
        <w:bidi w:val="0"/>
        <w:adjustRightInd w:val="0"/>
        <w:snapToGrid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41EC6F01">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23DF1F59">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858135" cy="2303145"/>
            <wp:effectExtent l="0" t="0" r="18415" b="190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5"/>
                    <a:stretch>
                      <a:fillRect/>
                    </a:stretch>
                  </pic:blipFill>
                  <pic:spPr>
                    <a:xfrm>
                      <a:off x="0" y="0"/>
                      <a:ext cx="2858135" cy="2303145"/>
                    </a:xfrm>
                    <a:prstGeom prst="rect">
                      <a:avLst/>
                    </a:prstGeom>
                  </pic:spPr>
                </pic:pic>
              </a:graphicData>
            </a:graphic>
          </wp:inline>
        </w:drawing>
      </w:r>
    </w:p>
    <w:p w14:paraId="4747F0E0">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2F9A9C81">
      <w:pPr>
        <w:keepNext w:val="0"/>
        <w:keepLines w:val="0"/>
        <w:pageBreakBefore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42A7926F">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19755" cy="2568575"/>
            <wp:effectExtent l="0" t="0" r="4445" b="3175"/>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6"/>
                    <a:stretch>
                      <a:fillRect/>
                    </a:stretch>
                  </pic:blipFill>
                  <pic:spPr>
                    <a:xfrm>
                      <a:off x="0" y="0"/>
                      <a:ext cx="3119755" cy="2568575"/>
                    </a:xfrm>
                    <a:prstGeom prst="rect">
                      <a:avLst/>
                    </a:prstGeom>
                  </pic:spPr>
                </pic:pic>
              </a:graphicData>
            </a:graphic>
          </wp:inline>
        </w:drawing>
      </w:r>
    </w:p>
    <w:p w14:paraId="37989C97">
      <w:pPr>
        <w:keepNext w:val="0"/>
        <w:keepLines w:val="0"/>
        <w:pageBreakBefore w:val="0"/>
        <w:kinsoku/>
        <w:wordWrap w:val="0"/>
        <w:overflowPunct/>
        <w:topLinePunct w:val="0"/>
        <w:autoSpaceDE/>
        <w:autoSpaceDN/>
        <w:bidi w:val="0"/>
        <w:spacing w:after="0" w:line="336" w:lineRule="auto"/>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085B42D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25150628">
      <w:pPr>
        <w:pStyle w:val="2"/>
        <w:keepNext w:val="0"/>
        <w:keepLines w:val="0"/>
        <w:pageBreakBefore w:val="0"/>
        <w:kinsoku/>
        <w:wordWrap w:val="0"/>
        <w:overflowPunct/>
        <w:topLinePunct w:val="0"/>
        <w:autoSpaceDE/>
        <w:autoSpaceDN/>
        <w:bidi w:val="0"/>
        <w:adjustRightInd w:val="0"/>
        <w:snapToGrid w:val="0"/>
        <w:spacing w:after="0" w:line="336" w:lineRule="auto"/>
        <w:ind w:firstLine="680" w:firstLineChars="200"/>
        <w:jc w:val="left"/>
        <w:textAlignment w:val="auto"/>
        <w:rPr>
          <w:rFonts w:hint="eastAsia"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5644CC54">
      <w:pPr>
        <w:keepNext w:val="0"/>
        <w:keepLines w:val="0"/>
        <w:pageBreakBefore w:val="0"/>
        <w:kinsoku/>
        <w:wordWrap w:val="0"/>
        <w:overflowPunct/>
        <w:topLinePunct w:val="0"/>
        <w:autoSpaceDE/>
        <w:autoSpaceDN/>
        <w:bidi w:val="0"/>
        <w:spacing w:line="300" w:lineRule="auto"/>
        <w:rPr>
          <w:rFonts w:hint="eastAsia" w:ascii="仿宋_GB2312" w:hAnsi="仿宋_GB2312" w:eastAsia="仿宋_GB2312" w:cs="仿宋_GB2312"/>
          <w:spacing w:val="10"/>
          <w:sz w:val="32"/>
          <w:szCs w:val="32"/>
        </w:rPr>
      </w:pPr>
    </w:p>
    <w:p w14:paraId="2C797487">
      <w:pPr>
        <w:keepNext w:val="0"/>
        <w:keepLines w:val="0"/>
        <w:pageBreakBefore w:val="0"/>
        <w:kinsoku/>
        <w:wordWrap w:val="0"/>
        <w:overflowPunct/>
        <w:topLinePunct w:val="0"/>
        <w:autoSpaceDE/>
        <w:autoSpaceDN/>
        <w:bidi w:val="0"/>
        <w:spacing w:line="300" w:lineRule="auto"/>
        <w:rPr>
          <w:rFonts w:hint="eastAsia" w:ascii="仿宋_GB2312" w:hAnsi="仿宋_GB2312" w:eastAsia="仿宋_GB2312" w:cs="仿宋_GB2312"/>
          <w:spacing w:val="10"/>
          <w:sz w:val="32"/>
          <w:szCs w:val="32"/>
        </w:rPr>
      </w:pPr>
    </w:p>
    <w:p w14:paraId="4993B1E3">
      <w:pPr>
        <w:keepNext w:val="0"/>
        <w:keepLines w:val="0"/>
        <w:pageBreakBefore w:val="0"/>
        <w:kinsoku/>
        <w:wordWrap w:val="0"/>
        <w:overflowPunct/>
        <w:topLinePunct w:val="0"/>
        <w:autoSpaceDE/>
        <w:autoSpaceDN/>
        <w:bidi w:val="0"/>
        <w:spacing w:line="300" w:lineRule="auto"/>
        <w:rPr>
          <w:rFonts w:eastAsia="仿宋_GB2312"/>
          <w:sz w:val="32"/>
          <w:szCs w:val="32"/>
        </w:rPr>
      </w:pPr>
      <w:r>
        <w:rPr>
          <w:rFonts w:eastAsia="仿宋_GB2312"/>
          <w:sz w:val="32"/>
          <w:szCs w:val="32"/>
        </w:rPr>
        <w:br w:type="page"/>
      </w:r>
    </w:p>
    <w:p w14:paraId="0ECF84BA">
      <w:pPr>
        <w:keepNext w:val="0"/>
        <w:keepLines w:val="0"/>
        <w:pageBreakBefore w:val="0"/>
        <w:kinsoku/>
        <w:wordWrap w:val="0"/>
        <w:overflowPunct/>
        <w:topLinePunct w:val="0"/>
        <w:autoSpaceDE/>
        <w:autoSpaceDN/>
        <w:bidi w:val="0"/>
        <w:snapToGrid w:val="0"/>
        <w:spacing w:line="300" w:lineRule="auto"/>
        <w:textAlignment w:val="baseline"/>
        <w:rPr>
          <w:rFonts w:eastAsia="仿宋_GB2312"/>
          <w:sz w:val="32"/>
          <w:szCs w:val="32"/>
        </w:rPr>
        <w:sectPr>
          <w:footerReference r:id="rId5" w:type="default"/>
          <w:pgSz w:w="11906" w:h="16838"/>
          <w:pgMar w:top="2098" w:right="1531" w:bottom="1984" w:left="1531" w:header="851" w:footer="992" w:gutter="0"/>
          <w:cols w:space="425" w:num="1"/>
          <w:docGrid w:type="lines" w:linePitch="312" w:charSpace="0"/>
        </w:sectPr>
      </w:pPr>
    </w:p>
    <w:p w14:paraId="20A828B6">
      <w:pPr>
        <w:keepNext w:val="0"/>
        <w:keepLines w:val="0"/>
        <w:pageBreakBefore w:val="0"/>
        <w:kinsoku/>
        <w:wordWrap w:val="0"/>
        <w:overflowPunct/>
        <w:topLinePunct w:val="0"/>
        <w:autoSpaceDE/>
        <w:autoSpaceDN/>
        <w:bidi w:val="0"/>
        <w:spacing w:before="104" w:line="300" w:lineRule="auto"/>
        <w:ind w:left="619"/>
        <w:rPr>
          <w:rFonts w:hint="eastAsia" w:ascii="黑体" w:hAnsi="黑体" w:eastAsia="黑体" w:cs="黑体"/>
          <w:spacing w:val="8"/>
          <w:sz w:val="32"/>
          <w:szCs w:val="32"/>
        </w:rPr>
      </w:pPr>
      <w:r>
        <w:rPr>
          <w:rFonts w:hint="eastAsia" w:ascii="黑体" w:hAnsi="黑体" w:eastAsia="黑体" w:cs="黑体"/>
          <w:spacing w:val="8"/>
          <w:sz w:val="32"/>
          <w:szCs w:val="32"/>
        </w:rPr>
        <w:t>附件2</w:t>
      </w:r>
    </w:p>
    <w:p w14:paraId="1E5A9D11">
      <w:pPr>
        <w:keepNext w:val="0"/>
        <w:keepLines w:val="0"/>
        <w:pageBreakBefore w:val="0"/>
        <w:widowControl w:val="0"/>
        <w:kinsoku/>
        <w:wordWrap w:val="0"/>
        <w:overflowPunct/>
        <w:topLinePunct w:val="0"/>
        <w:autoSpaceDE/>
        <w:autoSpaceDN/>
        <w:bidi w:val="0"/>
        <w:adjustRightInd/>
        <w:snapToGrid/>
        <w:spacing w:after="0" w:line="300" w:lineRule="auto"/>
        <w:jc w:val="center"/>
        <w:textAlignment w:val="auto"/>
        <w:rPr>
          <w:rFonts w:ascii="方正小标宋简体" w:eastAsia="方正小标宋简体"/>
          <w:color w:val="FF0000"/>
          <w:sz w:val="44"/>
          <w:szCs w:val="44"/>
        </w:rPr>
      </w:pPr>
      <w:r>
        <w:rPr>
          <w:rFonts w:hint="eastAsia" w:ascii="方正小标宋简体" w:eastAsia="方正小标宋简体"/>
          <w:sz w:val="44"/>
          <w:szCs w:val="44"/>
        </w:rPr>
        <w:t>云南省澄江市烟草制品零售点合理布局公示表</w:t>
      </w:r>
    </w:p>
    <w:p w14:paraId="7BD64FDE">
      <w:pPr>
        <w:keepNext w:val="0"/>
        <w:keepLines w:val="0"/>
        <w:pageBreakBefore w:val="0"/>
        <w:widowControl w:val="0"/>
        <w:kinsoku/>
        <w:wordWrap w:val="0"/>
        <w:overflowPunct/>
        <w:topLinePunct w:val="0"/>
        <w:autoSpaceDE/>
        <w:autoSpaceDN/>
        <w:bidi w:val="0"/>
        <w:adjustRightInd/>
        <w:snapToGrid/>
        <w:spacing w:after="0" w:line="240" w:lineRule="auto"/>
        <w:textAlignment w:val="auto"/>
        <w:rPr>
          <w:rFonts w:ascii="方正小标宋简体" w:eastAsia="方正小标宋简体"/>
          <w:color w:val="FF0000"/>
          <w:sz w:val="32"/>
          <w:szCs w:val="32"/>
        </w:rPr>
      </w:pPr>
      <w:r>
        <w:rPr>
          <w:rFonts w:hint="eastAsia"/>
        </w:rPr>
        <w:t>单位：澄江市</w:t>
      </w:r>
      <w:r>
        <w:rPr>
          <w:rFonts w:hint="eastAsia" w:ascii="宋体" w:hAnsi="宋体" w:cs="宋体"/>
        </w:rPr>
        <w:t>烟草专卖局</w:t>
      </w:r>
      <w:r>
        <w:rPr>
          <w:rFonts w:hint="eastAsia"/>
        </w:rPr>
        <w:t>（盖章）                                                 公示时间：</w:t>
      </w:r>
      <w:r>
        <w:rPr>
          <w:rFonts w:hint="eastAsia"/>
          <w:color w:val="FF0000"/>
          <w:lang w:val="en-US" w:eastAsia="zh-CN"/>
        </w:rPr>
        <w:t>2026</w:t>
      </w:r>
      <w:r>
        <w:rPr>
          <w:color w:val="FF0000"/>
        </w:rPr>
        <w:t>年</w:t>
      </w:r>
      <w:r>
        <w:rPr>
          <w:rFonts w:hint="eastAsia"/>
          <w:color w:val="FF0000"/>
          <w:lang w:val="en-US" w:eastAsia="zh-CN"/>
        </w:rPr>
        <w:t>X</w:t>
      </w:r>
      <w:r>
        <w:rPr>
          <w:color w:val="FF0000"/>
        </w:rPr>
        <w:t>月</w:t>
      </w:r>
      <w:r>
        <w:rPr>
          <w:rFonts w:hint="eastAsia"/>
          <w:color w:val="FF0000"/>
          <w:lang w:val="en-US" w:eastAsia="zh-CN"/>
        </w:rPr>
        <w:t>X</w:t>
      </w:r>
      <w:r>
        <w:rPr>
          <w:color w:val="FF0000"/>
        </w:rPr>
        <w:t>日</w:t>
      </w:r>
      <w:r>
        <w:rPr>
          <w:rFonts w:hint="eastAsia"/>
          <w:color w:val="FF0000"/>
        </w:rPr>
        <w:t>-</w:t>
      </w:r>
      <w:r>
        <w:rPr>
          <w:rFonts w:hint="eastAsia"/>
          <w:color w:val="FF0000"/>
          <w:lang w:val="en-US" w:eastAsia="zh-CN"/>
        </w:rPr>
        <w:t>2026</w:t>
      </w:r>
      <w:r>
        <w:rPr>
          <w:color w:val="FF0000"/>
        </w:rPr>
        <w:t>年</w:t>
      </w:r>
      <w:r>
        <w:rPr>
          <w:rFonts w:hint="eastAsia"/>
          <w:color w:val="FF0000"/>
          <w:lang w:val="en-US" w:eastAsia="zh-CN"/>
        </w:rPr>
        <w:t>X</w:t>
      </w:r>
      <w:r>
        <w:rPr>
          <w:color w:val="FF0000"/>
        </w:rPr>
        <w:t>月</w:t>
      </w:r>
      <w:r>
        <w:rPr>
          <w:rFonts w:hint="eastAsia"/>
          <w:color w:val="FF0000"/>
          <w:lang w:val="en-US" w:eastAsia="zh-CN"/>
        </w:rPr>
        <w:t>X</w:t>
      </w:r>
      <w:r>
        <w:rPr>
          <w:color w:val="FF0000"/>
        </w:rPr>
        <w:t>日</w:t>
      </w:r>
    </w:p>
    <w:tbl>
      <w:tblPr>
        <w:tblStyle w:val="11"/>
        <w:tblpPr w:leftFromText="180" w:rightFromText="180" w:vertAnchor="text" w:horzAnchor="page" w:tblpX="882" w:tblpY="44"/>
        <w:tblOverlap w:val="never"/>
        <w:tblW w:w="15256" w:type="dxa"/>
        <w:tblInd w:w="0" w:type="dxa"/>
        <w:tblLayout w:type="fixed"/>
        <w:tblCellMar>
          <w:top w:w="0" w:type="dxa"/>
          <w:left w:w="108" w:type="dxa"/>
          <w:bottom w:w="0" w:type="dxa"/>
          <w:right w:w="108" w:type="dxa"/>
        </w:tblCellMar>
      </w:tblPr>
      <w:tblGrid>
        <w:gridCol w:w="1109"/>
        <w:gridCol w:w="1211"/>
        <w:gridCol w:w="3752"/>
        <w:gridCol w:w="1033"/>
        <w:gridCol w:w="1167"/>
        <w:gridCol w:w="846"/>
        <w:gridCol w:w="1358"/>
        <w:gridCol w:w="2228"/>
        <w:gridCol w:w="1558"/>
        <w:gridCol w:w="994"/>
      </w:tblGrid>
      <w:tr w14:paraId="3A012EB6">
        <w:tblPrEx>
          <w:tblCellMar>
            <w:top w:w="0" w:type="dxa"/>
            <w:left w:w="108" w:type="dxa"/>
            <w:bottom w:w="0" w:type="dxa"/>
            <w:right w:w="108" w:type="dxa"/>
          </w:tblCellMar>
        </w:tblPrEx>
        <w:trPr>
          <w:trHeight w:val="487" w:hRule="atLeast"/>
        </w:trPr>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69D9">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sz w:val="24"/>
              </w:rPr>
            </w:pPr>
            <w:r>
              <w:rPr>
                <w:rFonts w:hint="eastAsia" w:ascii="宋体" w:hAnsi="宋体" w:cs="宋体"/>
                <w:b/>
                <w:bCs/>
                <w:sz w:val="24"/>
                <w:lang w:bidi="ar"/>
              </w:rPr>
              <w:t>名称</w:t>
            </w:r>
          </w:p>
        </w:tc>
        <w:tc>
          <w:tcPr>
            <w:tcW w:w="49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6A2C">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sz w:val="24"/>
              </w:rPr>
            </w:pPr>
            <w:r>
              <w:rPr>
                <w:rFonts w:hint="eastAsia" w:ascii="宋体" w:hAnsi="宋体" w:cs="宋体"/>
                <w:b/>
                <w:bCs/>
                <w:sz w:val="24"/>
                <w:lang w:bidi="ar"/>
              </w:rPr>
              <w:t>最小单元网格划分情况</w:t>
            </w:r>
          </w:p>
        </w:tc>
        <w:tc>
          <w:tcPr>
            <w:tcW w:w="304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E4F0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sz w:val="24"/>
              </w:rPr>
            </w:pPr>
            <w:r>
              <w:rPr>
                <w:rFonts w:hint="eastAsia" w:ascii="宋体" w:hAnsi="宋体" w:cs="宋体"/>
                <w:b/>
                <w:bCs/>
                <w:sz w:val="24"/>
                <w:lang w:bidi="ar"/>
              </w:rPr>
              <w:t>最小单元网格数量情况</w:t>
            </w:r>
          </w:p>
        </w:tc>
        <w:tc>
          <w:tcPr>
            <w:tcW w:w="35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C78F">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sz w:val="24"/>
                <w:lang w:bidi="ar"/>
              </w:rPr>
            </w:pPr>
            <w:r>
              <w:rPr>
                <w:rFonts w:hint="eastAsia" w:ascii="宋体" w:hAnsi="宋体" w:cs="宋体"/>
                <w:b/>
                <w:bCs/>
                <w:sz w:val="24"/>
                <w:lang w:bidi="ar"/>
              </w:rPr>
              <w:t>最小单元网格距离情况</w:t>
            </w:r>
          </w:p>
        </w:tc>
        <w:tc>
          <w:tcPr>
            <w:tcW w:w="15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04A2">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sz w:val="24"/>
              </w:rPr>
            </w:pPr>
            <w:r>
              <w:rPr>
                <w:rFonts w:hint="eastAsia" w:ascii="宋体" w:hAnsi="宋体" w:cs="宋体"/>
                <w:b/>
                <w:bCs/>
                <w:sz w:val="24"/>
                <w:lang w:bidi="ar"/>
              </w:rPr>
              <w:t>总量情况</w:t>
            </w:r>
          </w:p>
        </w:tc>
        <w:tc>
          <w:tcPr>
            <w:tcW w:w="994" w:type="dxa"/>
            <w:vMerge w:val="restart"/>
            <w:tcBorders>
              <w:top w:val="single" w:color="000000" w:sz="4" w:space="0"/>
              <w:left w:val="single" w:color="000000" w:sz="4" w:space="0"/>
              <w:right w:val="single" w:color="000000" w:sz="4" w:space="0"/>
            </w:tcBorders>
            <w:shd w:val="clear" w:color="auto" w:fill="auto"/>
            <w:noWrap/>
            <w:vAlign w:val="center"/>
          </w:tcPr>
          <w:p w14:paraId="219F977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b/>
                <w:bCs/>
                <w:sz w:val="24"/>
                <w:lang w:bidi="ar"/>
              </w:rPr>
            </w:pPr>
            <w:r>
              <w:rPr>
                <w:rFonts w:hint="eastAsia" w:ascii="宋体" w:hAnsi="宋体" w:cs="宋体"/>
                <w:b/>
                <w:bCs/>
                <w:sz w:val="24"/>
                <w:lang w:bidi="ar"/>
              </w:rPr>
              <w:t>备注</w:t>
            </w:r>
          </w:p>
        </w:tc>
      </w:tr>
      <w:tr w14:paraId="5B5DEDA5">
        <w:tblPrEx>
          <w:tblCellMar>
            <w:top w:w="0" w:type="dxa"/>
            <w:left w:w="108" w:type="dxa"/>
            <w:bottom w:w="0" w:type="dxa"/>
            <w:right w:w="108" w:type="dxa"/>
          </w:tblCellMar>
        </w:tblPrEx>
        <w:trPr>
          <w:trHeight w:val="670" w:hRule="atLeast"/>
        </w:trPr>
        <w:tc>
          <w:tcPr>
            <w:tcW w:w="1109" w:type="dxa"/>
            <w:vMerge w:val="restart"/>
            <w:tcBorders>
              <w:top w:val="single" w:color="000000" w:sz="4" w:space="0"/>
              <w:left w:val="single" w:color="000000" w:sz="4" w:space="0"/>
              <w:right w:val="single" w:color="000000" w:sz="4" w:space="0"/>
            </w:tcBorders>
            <w:shd w:val="clear" w:color="auto" w:fill="auto"/>
            <w:vAlign w:val="center"/>
          </w:tcPr>
          <w:p w14:paraId="507F75B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澄江市</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ECBA">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名称</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601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区域描述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527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规划数（个）</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F65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当前实际数（个）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1C95">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余量（个）</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9C3B">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lang w:bidi="ar"/>
              </w:rPr>
            </w:pPr>
            <w:r>
              <w:rPr>
                <w:rFonts w:hint="eastAsia" w:ascii="宋体" w:hAnsi="宋体" w:cs="宋体"/>
                <w:sz w:val="22"/>
                <w:szCs w:val="22"/>
                <w:lang w:bidi="ar"/>
              </w:rPr>
              <w:t>零售点间距</w:t>
            </w:r>
          </w:p>
          <w:p w14:paraId="360E7DFE">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（米）</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C350">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其他条件描述</w:t>
            </w:r>
          </w:p>
        </w:tc>
        <w:tc>
          <w:tcPr>
            <w:tcW w:w="1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0BC9">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澄江市总量规划数（个）</w:t>
            </w:r>
          </w:p>
        </w:tc>
        <w:tc>
          <w:tcPr>
            <w:tcW w:w="994" w:type="dxa"/>
            <w:vMerge w:val="continue"/>
            <w:tcBorders>
              <w:left w:val="single" w:color="000000" w:sz="4" w:space="0"/>
              <w:bottom w:val="single" w:color="auto" w:sz="4" w:space="0"/>
              <w:right w:val="single" w:color="000000" w:sz="4" w:space="0"/>
            </w:tcBorders>
            <w:shd w:val="clear" w:color="auto" w:fill="auto"/>
            <w:vAlign w:val="center"/>
          </w:tcPr>
          <w:p w14:paraId="19DADEB4">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p>
        </w:tc>
      </w:tr>
      <w:tr w14:paraId="754DB67D">
        <w:tblPrEx>
          <w:tblCellMar>
            <w:top w:w="0" w:type="dxa"/>
            <w:left w:w="108" w:type="dxa"/>
            <w:bottom w:w="0" w:type="dxa"/>
            <w:right w:w="108" w:type="dxa"/>
          </w:tblCellMar>
        </w:tblPrEx>
        <w:trPr>
          <w:trHeight w:val="90" w:hRule="atLeast"/>
        </w:trPr>
        <w:tc>
          <w:tcPr>
            <w:tcW w:w="1109" w:type="dxa"/>
            <w:vMerge w:val="continue"/>
            <w:tcBorders>
              <w:left w:val="single" w:color="000000" w:sz="4" w:space="0"/>
              <w:right w:val="single" w:color="000000" w:sz="4" w:space="0"/>
            </w:tcBorders>
            <w:shd w:val="clear" w:color="auto" w:fill="auto"/>
            <w:vAlign w:val="center"/>
          </w:tcPr>
          <w:p w14:paraId="0FABB96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88B7">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2B0E">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仪凤社区、拥晖社区、澄波社区、揽秀社区、鼎新社区、溪泉社区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FB7D">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sz w:val="22"/>
                <w:szCs w:val="22"/>
                <w:lang w:val="en-US" w:eastAsia="zh-CN"/>
              </w:rPr>
            </w:pPr>
            <w:r>
              <w:rPr>
                <w:rFonts w:hint="eastAsia" w:ascii="宋体" w:hAnsi="宋体" w:cs="宋体"/>
                <w:sz w:val="22"/>
                <w:szCs w:val="22"/>
                <w:lang w:val="en-US" w:eastAsia="zh-CN" w:bidi="ar"/>
              </w:rPr>
              <w:t>326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56D4">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295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6B49">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sz w:val="22"/>
                <w:szCs w:val="22"/>
                <w:lang w:val="en-US" w:eastAsia="zh-CN"/>
              </w:rPr>
            </w:pPr>
            <w:r>
              <w:rPr>
                <w:rFonts w:hint="eastAsia" w:ascii="宋体" w:hAnsi="宋体" w:cs="宋体"/>
                <w:sz w:val="22"/>
                <w:szCs w:val="22"/>
                <w:lang w:val="en-US" w:eastAsia="zh-CN"/>
              </w:rPr>
              <w:t>31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F468">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100</w:t>
            </w:r>
          </w:p>
        </w:tc>
        <w:tc>
          <w:tcPr>
            <w:tcW w:w="2228" w:type="dxa"/>
            <w:vMerge w:val="restart"/>
            <w:tcBorders>
              <w:top w:val="single" w:color="000000" w:sz="4" w:space="0"/>
              <w:left w:val="single" w:color="000000" w:sz="4" w:space="0"/>
              <w:right w:val="single" w:color="000000" w:sz="4" w:space="0"/>
            </w:tcBorders>
            <w:shd w:val="clear" w:color="auto" w:fill="auto"/>
            <w:vAlign w:val="center"/>
          </w:tcPr>
          <w:p w14:paraId="3955FF6A">
            <w:pPr>
              <w:keepNext w:val="0"/>
              <w:keepLines w:val="0"/>
              <w:pageBreakBefore w:val="0"/>
              <w:widowControl w:val="0"/>
              <w:kinsoku/>
              <w:wordWrap w:val="0"/>
              <w:overflowPunct/>
              <w:topLinePunct w:val="0"/>
              <w:autoSpaceDE/>
              <w:autoSpaceDN/>
              <w:bidi w:val="0"/>
              <w:adjustRightInd/>
              <w:snapToGrid/>
              <w:spacing w:after="0" w:line="240" w:lineRule="auto"/>
              <w:jc w:val="both"/>
              <w:rPr>
                <w:rFonts w:hint="eastAsia" w:ascii="宋体" w:hAnsi="宋体" w:cs="宋体"/>
                <w:sz w:val="22"/>
                <w:szCs w:val="22"/>
              </w:rPr>
            </w:pPr>
          </w:p>
        </w:tc>
        <w:tc>
          <w:tcPr>
            <w:tcW w:w="1558" w:type="dxa"/>
            <w:vMerge w:val="restart"/>
            <w:tcBorders>
              <w:top w:val="single" w:color="000000" w:sz="4" w:space="0"/>
              <w:left w:val="single" w:color="000000" w:sz="4" w:space="0"/>
              <w:right w:val="single" w:color="auto" w:sz="4" w:space="0"/>
            </w:tcBorders>
            <w:shd w:val="clear" w:color="auto" w:fill="auto"/>
            <w:vAlign w:val="center"/>
          </w:tcPr>
          <w:p w14:paraId="55AF753F">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default" w:ascii="宋体" w:hAnsi="宋体" w:eastAsia="宋体" w:cs="宋体"/>
                <w:sz w:val="22"/>
                <w:szCs w:val="22"/>
                <w:lang w:val="en-US" w:eastAsia="zh-CN"/>
              </w:rPr>
            </w:pPr>
            <w:r>
              <w:rPr>
                <w:rFonts w:hint="eastAsia" w:ascii="宋体" w:hAnsi="宋体" w:cs="宋体"/>
                <w:color w:val="FF0000"/>
                <w:sz w:val="22"/>
                <w:szCs w:val="22"/>
                <w:lang w:val="en-US" w:eastAsia="zh-CN" w:bidi="ar"/>
              </w:rPr>
              <w:t>1216</w:t>
            </w: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D74BCC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79DBA10">
        <w:tblPrEx>
          <w:tblCellMar>
            <w:top w:w="0" w:type="dxa"/>
            <w:left w:w="108" w:type="dxa"/>
            <w:bottom w:w="0" w:type="dxa"/>
            <w:right w:w="108" w:type="dxa"/>
          </w:tblCellMar>
        </w:tblPrEx>
        <w:trPr>
          <w:trHeight w:val="340" w:hRule="atLeast"/>
        </w:trPr>
        <w:tc>
          <w:tcPr>
            <w:tcW w:w="1109" w:type="dxa"/>
            <w:vMerge w:val="continue"/>
            <w:tcBorders>
              <w:left w:val="single" w:color="000000" w:sz="4" w:space="0"/>
              <w:right w:val="single" w:color="000000" w:sz="4" w:space="0"/>
            </w:tcBorders>
            <w:shd w:val="clear" w:color="auto" w:fill="auto"/>
            <w:vAlign w:val="center"/>
          </w:tcPr>
          <w:p w14:paraId="47A4D3F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A5E3">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龙街街道-</w:t>
            </w:r>
            <w:r>
              <w:rPr>
                <w:rFonts w:hint="eastAsia" w:ascii="宋体" w:hAnsi="宋体" w:cs="宋体"/>
                <w:sz w:val="22"/>
                <w:szCs w:val="22"/>
              </w:rPr>
              <w:t>龙街社区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094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前撒马都村一组、后撒马都村二组、毛家营村三组、后香村四组、前香村五组、龙街村六组、龙街村七组、高七营八组、朱官营村九组、朱官营村十组、朱官营村十一组、龙</w:t>
            </w:r>
            <w:r>
              <w:rPr>
                <w:rFonts w:hint="eastAsia" w:ascii="宋体" w:hAnsi="宋体" w:cs="宋体"/>
                <w:sz w:val="22"/>
                <w:szCs w:val="22"/>
                <w:lang w:val="en-US" w:eastAsia="zh-CN"/>
              </w:rPr>
              <w:t>祥</w:t>
            </w:r>
            <w:r>
              <w:rPr>
                <w:rFonts w:hint="eastAsia" w:ascii="宋体" w:hAnsi="宋体" w:cs="宋体"/>
                <w:sz w:val="22"/>
                <w:szCs w:val="22"/>
              </w:rPr>
              <w:t>路、兴学路</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087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608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53B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212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vAlign w:val="center"/>
          </w:tcPr>
          <w:p w14:paraId="2AC05C5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040E23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167C8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3647FB1D">
        <w:tblPrEx>
          <w:tblCellMar>
            <w:top w:w="0" w:type="dxa"/>
            <w:left w:w="108" w:type="dxa"/>
            <w:bottom w:w="0" w:type="dxa"/>
            <w:right w:w="108" w:type="dxa"/>
          </w:tblCellMar>
        </w:tblPrEx>
        <w:trPr>
          <w:trHeight w:val="340" w:hRule="atLeast"/>
        </w:trPr>
        <w:tc>
          <w:tcPr>
            <w:tcW w:w="1109" w:type="dxa"/>
            <w:vMerge w:val="continue"/>
            <w:tcBorders>
              <w:left w:val="single" w:color="000000" w:sz="4" w:space="0"/>
              <w:right w:val="single" w:color="000000" w:sz="4" w:space="0"/>
            </w:tcBorders>
            <w:shd w:val="clear" w:color="auto" w:fill="auto"/>
            <w:vAlign w:val="center"/>
          </w:tcPr>
          <w:p w14:paraId="5F6AE8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C3BA">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龙街街道-万海社区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A09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上洋海村一组、下洋海村二组、大河埂村三组、万家营村四组、曹官营村五组、矣草村六组、大河口村七组、镇海营村八组、小白祥村九组、许家村十组、大白祥村十一组、许士营村十二组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2FB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32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C27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0BB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411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1EAE6E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8A177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335F30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07140441">
        <w:tblPrEx>
          <w:tblCellMar>
            <w:top w:w="0" w:type="dxa"/>
            <w:left w:w="108" w:type="dxa"/>
            <w:bottom w:w="0" w:type="dxa"/>
            <w:right w:w="108" w:type="dxa"/>
          </w:tblCellMar>
        </w:tblPrEx>
        <w:trPr>
          <w:trHeight w:val="340" w:hRule="atLeast"/>
        </w:trPr>
        <w:tc>
          <w:tcPr>
            <w:tcW w:w="1109" w:type="dxa"/>
            <w:vMerge w:val="continue"/>
            <w:tcBorders>
              <w:left w:val="single" w:color="000000" w:sz="4" w:space="0"/>
              <w:right w:val="single" w:color="000000" w:sz="4" w:space="0"/>
            </w:tcBorders>
            <w:shd w:val="clear" w:color="auto" w:fill="auto"/>
            <w:vAlign w:val="center"/>
          </w:tcPr>
          <w:p w14:paraId="19832FF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689E">
            <w:pPr>
              <w:keepNext w:val="0"/>
              <w:keepLines w:val="0"/>
              <w:pageBreakBefore w:val="0"/>
              <w:widowControl w:val="0"/>
              <w:kinsoku/>
              <w:wordWrap w:val="0"/>
              <w:overflowPunct/>
              <w:topLinePunct w:val="0"/>
              <w:autoSpaceDE/>
              <w:autoSpaceDN/>
              <w:bidi w:val="0"/>
              <w:adjustRightInd/>
              <w:snapToGrid/>
              <w:spacing w:after="0" w:line="240" w:lineRule="auto"/>
              <w:jc w:val="center"/>
              <w:textAlignment w:val="center"/>
              <w:rPr>
                <w:rFonts w:hint="eastAsia" w:ascii="宋体" w:hAnsi="宋体" w:cs="宋体"/>
                <w:sz w:val="22"/>
                <w:szCs w:val="22"/>
              </w:rPr>
            </w:pPr>
            <w:r>
              <w:rPr>
                <w:rFonts w:hint="eastAsia" w:ascii="宋体" w:hAnsi="宋体" w:cs="宋体"/>
                <w:sz w:val="22"/>
                <w:szCs w:val="22"/>
                <w:lang w:bidi="ar"/>
              </w:rPr>
              <w:t>龙街街道-左所社区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CCC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黄家营村一组、黄家营村二组、燕窝村三组、燕窝村四组、下左所村五组、下左所村六组、下左所村七组、下左所村八组、下左所村九组、上左所村十组、上左所村十一组、已乐村十二组、果子园村十三组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ABE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A78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13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EE7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EA1466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3A166C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7FFE1D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5BE4E64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3E088D5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075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龙街街道-华光社区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DF1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华光村一组、华光村二组、华光村三组、华光村四组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68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B47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54F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89A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8B1105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177AA3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B963BD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r>
      <w:tr w14:paraId="23CAD7B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156B10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74F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w:t>
            </w:r>
            <w:r>
              <w:rPr>
                <w:rFonts w:hint="eastAsia" w:ascii="宋体" w:hAnsi="宋体" w:cs="宋体"/>
                <w:sz w:val="22"/>
                <w:szCs w:val="22"/>
              </w:rPr>
              <w:t>梁王社区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714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中村一组、上村二组、黑土地村三组、沙坝村四组、石门村五组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5C1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D2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BE4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71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17493D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F8DE7D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D75D02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A07ECDA">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2C8895A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88E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龙街街道-提古社区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3E2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提古铺村一组、中关村二组、麒麟桥村三组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8CD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1EA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009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CD7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7138BF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36D64F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C32ED9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74E6B2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ACD565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803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龙街街道-尖山社区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A81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路岐村一组、龙潭村二组、戴头村三组、李头村四组、干冲村五组、关松庙村六组、岔河村七组、小冲村八组、大石岩村九组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E08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84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8A9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C76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A8A051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9F081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B23F34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D129040">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C13BDD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B48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龙街街道-立昌社区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5E1D">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sz w:val="22"/>
                <w:szCs w:val="22"/>
                <w:lang w:val="en-US" w:eastAsia="zh-CN"/>
              </w:rPr>
            </w:pPr>
            <w:r>
              <w:rPr>
                <w:rFonts w:hint="eastAsia" w:ascii="宋体" w:hAnsi="宋体" w:cs="宋体"/>
                <w:sz w:val="22"/>
                <w:szCs w:val="22"/>
              </w:rPr>
              <w:t>海边村一组、王家院村二组、庄子村三组、万松寺村</w:t>
            </w:r>
            <w:bookmarkStart w:id="2" w:name="_GoBack"/>
            <w:r>
              <w:rPr>
                <w:rFonts w:hint="eastAsia" w:ascii="宋体" w:hAnsi="宋体" w:cs="宋体"/>
                <w:color w:val="auto"/>
                <w:sz w:val="22"/>
                <w:szCs w:val="22"/>
              </w:rPr>
              <w:t>四组、小白岩村五组、象山沟村六组、菜鲁村七组</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立昌小镇</w:t>
            </w:r>
            <w:bookmarkEnd w:id="2"/>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511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A25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D40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BE2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597031A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33EEA87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05E970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738961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4CDB5C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D2B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lang w:bidi="ar"/>
              </w:rPr>
              <w:t>龙街街道-广龙社区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C99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广南营村一组、广南营村二组、广南营村三组、龙王庙村四组、龙王庙村五组、龙王庙村六组、拖柏村七组、枝柏村八组、中村九组、小村十组、小村十一组、辣子庄村十二组、红山咀村十三组、山冲村十四组、干陷塘村十五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D2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22A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rPr>
              <w:t>1</w:t>
            </w:r>
            <w:r>
              <w:rPr>
                <w:rFonts w:hint="eastAsia" w:ascii="宋体" w:hAnsi="宋体" w:cs="宋体"/>
                <w:sz w:val="22"/>
                <w:szCs w:val="22"/>
                <w:lang w:val="en-US" w:eastAsia="zh-CN"/>
              </w:rPr>
              <w:t>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E2F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88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D72471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A657E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40A13E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27CCC7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B175CF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F73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龙街街道-双树社区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F97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张家村一组、郭家村二组、拖柏村三组、大村四组、中村五组、庄子村六组、骑马山村七组、太吉田村、小河村八组、黑蟆头村九组、大湾子村十组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E6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13</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410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1C1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051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BB6044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DD93C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601DDA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F6A780A">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DBBD77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23D5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龙街街道-高西社区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D2F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师家村一组、旧街子村二组、高楼房村三组、西街子村四组、西街子村五组、后西山村六组、赵院村七组、小官庄村八组、朱家山村九组、河西村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B4D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52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F5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51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7E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5C7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80</w:t>
            </w:r>
          </w:p>
        </w:tc>
        <w:tc>
          <w:tcPr>
            <w:tcW w:w="2228" w:type="dxa"/>
            <w:vMerge w:val="continue"/>
            <w:tcBorders>
              <w:left w:val="single" w:color="000000" w:sz="4" w:space="0"/>
              <w:right w:val="single" w:color="000000" w:sz="4" w:space="0"/>
            </w:tcBorders>
            <w:shd w:val="clear" w:color="auto" w:fill="auto"/>
            <w:noWrap/>
            <w:vAlign w:val="center"/>
          </w:tcPr>
          <w:p w14:paraId="4A4D7F4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33EA7AF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59022C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6467C4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DC523E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5DE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bidi="ar"/>
              </w:rPr>
            </w:pPr>
            <w:r>
              <w:rPr>
                <w:rFonts w:hint="eastAsia" w:ascii="宋体" w:hAnsi="宋体" w:cs="宋体"/>
                <w:sz w:val="22"/>
                <w:szCs w:val="22"/>
                <w:lang w:bidi="ar"/>
              </w:rPr>
              <w:t>龙街街道-忠窑社区</w:t>
            </w:r>
            <w:r>
              <w:rPr>
                <w:rFonts w:hint="eastAsia" w:ascii="宋体" w:hAnsi="宋体" w:cs="宋体"/>
                <w:sz w:val="22"/>
                <w:szCs w:val="22"/>
                <w:lang w:eastAsia="zh-CN" w:bidi="ar"/>
              </w:rPr>
              <w:t>、</w:t>
            </w:r>
            <w:r>
              <w:rPr>
                <w:rFonts w:hint="eastAsia" w:ascii="宋体" w:hAnsi="宋体" w:cs="宋体"/>
                <w:color w:val="FF0000"/>
                <w:sz w:val="22"/>
                <w:szCs w:val="22"/>
                <w:lang w:val="en-US" w:eastAsia="zh-CN" w:bidi="ar"/>
              </w:rPr>
              <w:t>临清</w:t>
            </w:r>
            <w:r>
              <w:rPr>
                <w:rFonts w:hint="eastAsia" w:ascii="宋体" w:hAnsi="宋体" w:cs="宋体"/>
                <w:color w:val="FF0000"/>
                <w:sz w:val="22"/>
                <w:szCs w:val="22"/>
                <w:lang w:bidi="ar"/>
              </w:rPr>
              <w:t>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15A3">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b/>
                <w:bCs/>
                <w:sz w:val="22"/>
                <w:szCs w:val="22"/>
                <w:lang w:val="en-US" w:eastAsia="zh-CN"/>
              </w:rPr>
            </w:pPr>
            <w:r>
              <w:rPr>
                <w:rFonts w:hint="eastAsia" w:ascii="宋体" w:hAnsi="宋体" w:cs="宋体"/>
                <w:sz w:val="22"/>
                <w:szCs w:val="22"/>
              </w:rPr>
              <w:t>小窑一组、大窑二组、赵庄三组、上忠恕村四组、下忠恕村五组、白土坡六组、十里亭七组、萝卜村八组、萝卜村九组、公租房、碧湖佳园、</w:t>
            </w:r>
            <w:r>
              <w:rPr>
                <w:rFonts w:hint="eastAsia" w:ascii="宋体" w:hAnsi="宋体" w:cs="宋体"/>
                <w:color w:val="auto"/>
                <w:sz w:val="22"/>
                <w:szCs w:val="22"/>
                <w:highlight w:val="none"/>
              </w:rPr>
              <w:t>碧湖园小区、金湖佳园、幸</w:t>
            </w:r>
            <w:r>
              <w:rPr>
                <w:rFonts w:hint="eastAsia" w:ascii="宋体" w:hAnsi="宋体" w:cs="宋体"/>
                <w:sz w:val="22"/>
                <w:szCs w:val="22"/>
              </w:rPr>
              <w:t>福里</w:t>
            </w:r>
            <w:r>
              <w:rPr>
                <w:rFonts w:hint="eastAsia" w:ascii="宋体" w:hAnsi="宋体" w:cs="宋体"/>
                <w:sz w:val="22"/>
                <w:szCs w:val="22"/>
                <w:lang w:eastAsia="zh-CN"/>
              </w:rPr>
              <w:t>、</w:t>
            </w:r>
            <w:r>
              <w:rPr>
                <w:rFonts w:hint="eastAsia" w:ascii="宋体" w:hAnsi="宋体" w:cs="宋体"/>
                <w:color w:val="FF0000"/>
                <w:sz w:val="22"/>
                <w:szCs w:val="22"/>
                <w:lang w:val="en-US" w:eastAsia="zh-CN"/>
              </w:rPr>
              <w:t>澄兴园</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F42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2C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880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1F8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80</w:t>
            </w:r>
          </w:p>
        </w:tc>
        <w:tc>
          <w:tcPr>
            <w:tcW w:w="2228" w:type="dxa"/>
            <w:vMerge w:val="continue"/>
            <w:tcBorders>
              <w:left w:val="single" w:color="000000" w:sz="4" w:space="0"/>
              <w:right w:val="single" w:color="000000" w:sz="4" w:space="0"/>
            </w:tcBorders>
            <w:shd w:val="clear" w:color="auto" w:fill="auto"/>
            <w:noWrap/>
            <w:vAlign w:val="center"/>
          </w:tcPr>
          <w:p w14:paraId="2E335E7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B689A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A1B54F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E1F83C4">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90E4A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C5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龙街街道-养白牛社区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30B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大冲村一组、李官村二组、养白牛村三组、小树棵村四组、玉尺埂村五组、所梅村六组、马桑凹村七组、塘子田村八组、猴子箐村九组、白石坝村十组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76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3</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01B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29E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510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F53C21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4788F5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5612AA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FC6FDF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26D8201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0B3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右所镇-旧城村委会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B5E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中所村一组、中所村二组、旧城村三组、旧城村四组、旧城村五组、旧城村六组、旧城村七组、旧城村八组、跨马村九组、跨马村十组、大仁庄村十一组、东山村十二组、旧城村十三组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147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0FF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29B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F24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64EEDBA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09D244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3C5D03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360D81E">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AFD0A7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667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右所镇-小西社区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618C">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b/>
                <w:bCs/>
                <w:sz w:val="22"/>
                <w:szCs w:val="22"/>
                <w:lang w:val="en-US" w:eastAsia="zh-CN"/>
              </w:rPr>
            </w:pPr>
            <w:r>
              <w:rPr>
                <w:rFonts w:hint="eastAsia" w:ascii="宋体" w:hAnsi="宋体" w:cs="宋体"/>
                <w:sz w:val="22"/>
                <w:szCs w:val="22"/>
              </w:rPr>
              <w:t>廖官营村一组、赵旗村二组、小里村三组、大前所村四组、大前所村五组、小前所村六组、小洋村七组、小西城村八组、小西城村九组、小西城村十组、小西城村十一组、沙河村十二组、独房村十三组、梨花村十四组、东大河村十五组、龙景苑小区、邦泰阳光湖岸</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C47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61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223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60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AE0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D2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80</w:t>
            </w:r>
          </w:p>
        </w:tc>
        <w:tc>
          <w:tcPr>
            <w:tcW w:w="2228" w:type="dxa"/>
            <w:vMerge w:val="continue"/>
            <w:tcBorders>
              <w:left w:val="single" w:color="000000" w:sz="4" w:space="0"/>
              <w:right w:val="single" w:color="000000" w:sz="4" w:space="0"/>
            </w:tcBorders>
            <w:shd w:val="clear" w:color="auto" w:fill="auto"/>
            <w:noWrap/>
            <w:vAlign w:val="center"/>
          </w:tcPr>
          <w:p w14:paraId="471D81A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E04A17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0558FC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55D885F">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57D77D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AE3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FF0000"/>
                <w:sz w:val="22"/>
                <w:szCs w:val="22"/>
                <w:lang w:val="en-US" w:eastAsia="zh-CN" w:bidi="ar"/>
              </w:rPr>
            </w:pPr>
            <w:r>
              <w:rPr>
                <w:rFonts w:hint="eastAsia" w:ascii="宋体" w:hAnsi="宋体" w:cs="宋体"/>
                <w:color w:val="FF0000"/>
                <w:sz w:val="22"/>
                <w:szCs w:val="22"/>
                <w:lang w:val="en-US" w:eastAsia="zh-CN" w:bidi="ar"/>
              </w:rPr>
              <w:t>右所镇-澄和社区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68C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color w:val="FF0000"/>
                <w:sz w:val="22"/>
                <w:szCs w:val="22"/>
              </w:rPr>
            </w:pPr>
            <w:r>
              <w:rPr>
                <w:rFonts w:hint="eastAsia" w:ascii="宋体" w:hAnsi="宋体" w:cs="宋体"/>
                <w:color w:val="FF0000"/>
                <w:sz w:val="22"/>
                <w:szCs w:val="22"/>
                <w:lang w:val="en-US" w:eastAsia="zh-CN"/>
              </w:rPr>
              <w:t>临</w:t>
            </w:r>
            <w:r>
              <w:rPr>
                <w:rFonts w:hint="eastAsia" w:ascii="宋体" w:hAnsi="宋体" w:cs="宋体"/>
                <w:color w:val="FF0000"/>
                <w:sz w:val="22"/>
                <w:szCs w:val="22"/>
              </w:rPr>
              <w:t>岸花语澄、仙湖佳园</w:t>
            </w:r>
            <w:r>
              <w:rPr>
                <w:rFonts w:hint="eastAsia" w:ascii="宋体" w:hAnsi="宋体" w:cs="宋体"/>
                <w:color w:val="FF0000"/>
                <w:sz w:val="22"/>
                <w:szCs w:val="22"/>
                <w:lang w:eastAsia="zh-CN"/>
              </w:rPr>
              <w:t>、</w:t>
            </w:r>
            <w:r>
              <w:rPr>
                <w:rFonts w:hint="eastAsia" w:ascii="宋体" w:hAnsi="宋体" w:cs="宋体"/>
                <w:color w:val="FF0000"/>
                <w:sz w:val="22"/>
                <w:szCs w:val="22"/>
                <w:lang w:val="en-US" w:eastAsia="zh-CN"/>
              </w:rPr>
              <w:t>澄和园</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01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cs="宋体"/>
                <w:color w:val="FF0000"/>
                <w:sz w:val="22"/>
                <w:szCs w:val="22"/>
                <w:lang w:val="en-US" w:eastAsia="zh-CN"/>
              </w:rPr>
            </w:pPr>
            <w:r>
              <w:rPr>
                <w:rFonts w:hint="eastAsia" w:ascii="宋体" w:hAnsi="宋体" w:cs="宋体"/>
                <w:color w:val="FF0000"/>
                <w:sz w:val="22"/>
                <w:szCs w:val="22"/>
                <w:lang w:val="en-US" w:eastAsia="zh-CN"/>
              </w:rPr>
              <w:t>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8BD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cs="宋体"/>
                <w:color w:val="FF0000"/>
                <w:sz w:val="22"/>
                <w:szCs w:val="22"/>
                <w:lang w:val="en-US" w:eastAsia="zh-CN"/>
              </w:rPr>
            </w:pPr>
            <w:r>
              <w:rPr>
                <w:rFonts w:hint="eastAsia" w:ascii="宋体" w:hAnsi="宋体" w:cs="宋体"/>
                <w:color w:val="FF0000"/>
                <w:sz w:val="22"/>
                <w:szCs w:val="22"/>
                <w:lang w:val="en-US" w:eastAsia="zh-CN"/>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84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cs="宋体"/>
                <w:color w:val="FF0000"/>
                <w:sz w:val="22"/>
                <w:szCs w:val="22"/>
                <w:lang w:val="en-US" w:eastAsia="zh-CN"/>
              </w:rPr>
            </w:pPr>
            <w:r>
              <w:rPr>
                <w:rFonts w:hint="eastAsia" w:ascii="宋体" w:hAnsi="宋体" w:cs="宋体"/>
                <w:color w:val="FF0000"/>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F61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color w:val="FF0000"/>
                <w:sz w:val="22"/>
                <w:szCs w:val="22"/>
                <w:lang w:val="en-US" w:eastAsia="zh-CN"/>
              </w:rPr>
            </w:pPr>
            <w:r>
              <w:rPr>
                <w:rFonts w:hint="eastAsia" w:ascii="宋体" w:hAnsi="宋体" w:cs="宋体"/>
                <w:color w:val="FF0000"/>
                <w:sz w:val="22"/>
                <w:szCs w:val="22"/>
                <w:lang w:val="en-US" w:eastAsia="zh-CN"/>
              </w:rPr>
              <w:t>80</w:t>
            </w:r>
          </w:p>
        </w:tc>
        <w:tc>
          <w:tcPr>
            <w:tcW w:w="2228" w:type="dxa"/>
            <w:vMerge w:val="continue"/>
            <w:tcBorders>
              <w:left w:val="single" w:color="000000" w:sz="4" w:space="0"/>
              <w:right w:val="single" w:color="000000" w:sz="4" w:space="0"/>
            </w:tcBorders>
            <w:shd w:val="clear" w:color="auto" w:fill="auto"/>
            <w:noWrap/>
            <w:vAlign w:val="center"/>
          </w:tcPr>
          <w:p w14:paraId="2062CDF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7DF8BC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E4945C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2084A0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3C1339B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248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右所镇-小湾社区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522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小湾村一组、大湾村三组、大湾陷塘村四组、太阳山</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6BD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23</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9B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rPr>
              <w:t>2</w:t>
            </w:r>
            <w:r>
              <w:rPr>
                <w:rFonts w:hint="eastAsia" w:ascii="宋体" w:hAnsi="宋体" w:cs="宋体"/>
                <w:sz w:val="22"/>
                <w:szCs w:val="22"/>
                <w:lang w:val="en-US" w:eastAsia="zh-CN"/>
              </w:rPr>
              <w:t>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F7E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8CF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F2FA41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C46274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D29C0A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068989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192732B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38E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右所镇-吉花社区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844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鲁溪营村一组、上秧郎村二组、下秧郎村三组、凤鸣村四组、马房村五组、马房村六组、吉里村七组、新河口村八组、洋潦营村九组、洋潦营村十组、大坡头村十一组、小团坡村十二组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0D9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50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447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9A0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A3C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74CBB3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7BDD39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44B16A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7624D5B">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C978B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49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右所镇-补益村委会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19A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大树村一组、补益村二组、二家村三组、三河湾村四组、吴榨村五组、土老村六组、凤兴村七组、王搞庄村八组、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C26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54D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396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35A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5EFB33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9F070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C63032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D005B2F">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580A9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951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右所镇-右所社区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83E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大营村一组、大营村二组、上备乐村三组、下备乐村四组、小毛营村五组、大毛营村六组、三元宫村七组、小街村八组、兜底寺村九组、柏枝村十组、肖咀村十一组、梅玉村十二组、梅玉村十三组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502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7D2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34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755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0B6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26E635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EEC2CF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04941A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4FEAC3E">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745910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E6B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右所镇-矣旧社区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D60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渔户村一组、底板村二组、洪家冲村三组、代村四组、代村五组、代村六组、上村七组、湖畔圣水</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612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331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469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19B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BFD665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63DDC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DCF403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338F4F8">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579A7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E35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海口镇-海口社区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C6A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海口一组、海口二组、海口三组、海口大街、大山、苦子箐、上红坡、下红坡、热水塘村、官庄村、矣马村、三河村、大桥村、蒿枝箐村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897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5C1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F02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ACB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6DE1A66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02D055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265855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602AB3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2A319F8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F5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海口镇-永和村委会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263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永和村、桃园村、水尾村、甸朵村、外浪塘村、黄梨山村、罗碧村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95D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0EF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3BA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4E4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8BFE25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BB55AE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243664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0A213A1">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0067090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C3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海口镇-新村村委会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DCA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新村、啰哩山、花山、马场、谷堆山、大陷塘、浑水塘、罗家松园、阳厩村、大松园村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599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DF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26D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AC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9E8CA3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4CE86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134DB6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65D609D">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79144F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B7B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海口镇-松元村委会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9AE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山头村、水箐村、草格村、大塘子村、石龙村、关地村、海口河村、石门村、松子元村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25A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7F8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C76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FFD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B24473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F603ED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91D810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59FDE61">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724D52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D4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海口镇-海关社区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CF0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矣渡村、矣马谷、世家村、龙亩村、过埂村、大黑山村、平坦子村、稗子田村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94A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904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757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284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19D410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6AFA2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2CA833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9F51C0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17AA91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606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海口镇-海镜社区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BF7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小山村、湾子村、龚家湾、小山头村、居乐村、居乐一组、居乐二组、塘子村、上村、新村、海镜寺村、汉牌村、老得坎村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4E8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2EC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BB9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27D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7BC9E90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E2FC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6CEB1CE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1AD20F0D">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FE6476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6C6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九村镇-龙潭村委会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1C3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大蚱取村、小田树村、大枯井村、黑蟆地村、龙潭村、窑房村、东溪哨村、路溪勺村、石灰窑村、大平地村、鱼塘村、小烂田村、平滩子村、九转弯村、干海子村、干磨石村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170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60A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41C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3D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225846E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019D2B3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DABF16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7BEC03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6079773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AA1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九村镇-七江村委会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887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大龙潭村、新街村、左碧母村、下七飞铺村、热水河村、白家村、七江村、田坝村、大山村、箐水滩村、核桃村、上七飞铺村、马桑箐村、黄草铺村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A1E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671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A1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FFA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2808B4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1B0450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6ECA087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6572FDB">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CDA135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7B2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九村镇-东山村委会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0C6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绿荫塘村、出大水村、小龙潭村、杨柳青村、锅底塘村、后水田村、者底哨村、风口哨村、阿架村、大松棵村、山林果树村、大凹子村、上芭蕉树村、岔河村、牛场村、黄家庄村、上庄村、下芭蕉树村、狮子山村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CCE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2AA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FFF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5EA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222397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4E68F0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AC5B06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0C825C8">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3EC0D8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AE6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val="en-US" w:eastAsia="zh-CN" w:bidi="ar"/>
              </w:rPr>
            </w:pPr>
            <w:r>
              <w:rPr>
                <w:rFonts w:hint="eastAsia" w:ascii="宋体" w:hAnsi="宋体" w:cs="宋体"/>
                <w:sz w:val="22"/>
                <w:szCs w:val="22"/>
                <w:lang w:bidi="ar"/>
              </w:rPr>
              <w:t>九村镇-九村</w:t>
            </w:r>
            <w:r>
              <w:rPr>
                <w:rFonts w:hint="eastAsia" w:ascii="宋体" w:hAnsi="宋体" w:cs="宋体"/>
                <w:sz w:val="22"/>
                <w:szCs w:val="22"/>
                <w:lang w:val="en-US" w:eastAsia="zh-CN" w:bidi="ar"/>
              </w:rPr>
              <w:t>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F2D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小西冲村、温水河村、九龙街、大西冲村、大地村、黑母鸡窝村、三家村、小新村、麦田坡村、蛟龙潭村、九村、九村二组、营盘路、阿依村、九村一组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FC4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9FE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F74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FB4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71A193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64F8D4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7DE1A67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14ADF01">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A984B9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3C3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路居镇-上坝村委会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06D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甸头一村、甸头二村、甸头三村、甸头四村、甸头五村、甸头六村、梅竹一村、梅竹二村、梅竹三村、梅竹四村、梅竹五村、上龙潭村、下龙潭村、双龙村、河上村、施家营村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A3F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22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067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0EE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AF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DF8E74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373253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DC5641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9346C9C">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11DAB9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ABE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路居镇-中坝村委会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B52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禄丰村、甸心村、小街子、百亩村、杏红营、大下村、小下村、甸尾村、洪家营</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4E8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napToGrid w:val="0"/>
                <w:sz w:val="22"/>
                <w:szCs w:val="22"/>
                <w:lang w:val="en-US" w:eastAsia="zh-CN"/>
              </w:rPr>
            </w:pPr>
            <w:r>
              <w:rPr>
                <w:rFonts w:hint="eastAsia" w:ascii="宋体" w:hAnsi="宋体" w:cs="宋体"/>
                <w:sz w:val="22"/>
                <w:szCs w:val="22"/>
                <w:lang w:val="en-US" w:eastAsia="zh-CN"/>
              </w:rPr>
              <w:t>20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DEC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napToGrid w:val="0"/>
                <w:sz w:val="22"/>
                <w:szCs w:val="22"/>
                <w:lang w:val="en-US" w:eastAsia="zh-CN"/>
              </w:rPr>
            </w:pPr>
            <w:r>
              <w:rPr>
                <w:rFonts w:hint="eastAsia" w:ascii="宋体" w:hAnsi="宋体" w:cs="宋体"/>
                <w:sz w:val="22"/>
                <w:szCs w:val="22"/>
                <w:lang w:val="en-US" w:eastAsia="zh-CN"/>
              </w:rPr>
              <w:t>19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9BA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E0A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327D539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napToGrid w:val="0"/>
                <w:sz w:val="22"/>
                <w:szCs w:val="22"/>
                <w:lang w:eastAsia="en-US"/>
              </w:rPr>
            </w:pPr>
          </w:p>
        </w:tc>
        <w:tc>
          <w:tcPr>
            <w:tcW w:w="1558" w:type="dxa"/>
            <w:vMerge w:val="continue"/>
            <w:tcBorders>
              <w:left w:val="single" w:color="000000" w:sz="4" w:space="0"/>
              <w:right w:val="single" w:color="auto" w:sz="4" w:space="0"/>
            </w:tcBorders>
            <w:shd w:val="clear" w:color="auto" w:fill="auto"/>
            <w:vAlign w:val="center"/>
          </w:tcPr>
          <w:p w14:paraId="3D8B819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C25DD8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7F82F97">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38B5EB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91D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路居镇-下坝村委会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0D7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张营一村、张营二村、张营三村、老街村、红泥寨、东海边、西海边一村、西海边二村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043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napToGrid w:val="0"/>
                <w:sz w:val="22"/>
                <w:szCs w:val="22"/>
                <w:lang w:val="en-US" w:eastAsia="zh-CN"/>
              </w:rPr>
            </w:pPr>
            <w:r>
              <w:rPr>
                <w:rFonts w:hint="eastAsia" w:ascii="宋体" w:hAnsi="宋体" w:cs="宋体"/>
                <w:sz w:val="22"/>
                <w:szCs w:val="22"/>
                <w:lang w:val="en-US" w:eastAsia="zh-CN"/>
              </w:rPr>
              <w:t>21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645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B82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5E5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ED9208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napToGrid w:val="0"/>
                <w:sz w:val="22"/>
                <w:szCs w:val="22"/>
                <w:lang w:eastAsia="en-US"/>
              </w:rPr>
            </w:pPr>
          </w:p>
        </w:tc>
        <w:tc>
          <w:tcPr>
            <w:tcW w:w="1558" w:type="dxa"/>
            <w:vMerge w:val="continue"/>
            <w:tcBorders>
              <w:left w:val="single" w:color="000000" w:sz="4" w:space="0"/>
              <w:right w:val="single" w:color="auto" w:sz="4" w:space="0"/>
            </w:tcBorders>
            <w:shd w:val="clear" w:color="auto" w:fill="auto"/>
            <w:vAlign w:val="center"/>
          </w:tcPr>
          <w:p w14:paraId="631974D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36DFE70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1B755FC4">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9A2EB7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A48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路居镇-红石岩村委会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E79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红石岩村、黑山脚、中箐村、岔母得村、米汤水</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B38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4AF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E0E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F27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9CD424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ACF1C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F07873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E9BD464">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5007CB1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81F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路居镇-小凹村委会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B64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上凹村、雷打石村、下凹一村、下凹二村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BE7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F4E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983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napToGrid w:val="0"/>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3A1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B768AE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206F39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825132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630BC83">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709C13D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3EF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路居镇-孤山村委会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1F61">
            <w:pPr>
              <w:keepNext w:val="0"/>
              <w:keepLines w:val="0"/>
              <w:pageBreakBefore w:val="0"/>
              <w:widowControl w:val="0"/>
              <w:kinsoku/>
              <w:wordWrap w:val="0"/>
              <w:overflowPunct/>
              <w:topLinePunct w:val="0"/>
              <w:autoSpaceDE/>
              <w:autoSpaceDN/>
              <w:bidi w:val="0"/>
              <w:adjustRightInd/>
              <w:snapToGrid/>
              <w:spacing w:after="0" w:line="240" w:lineRule="auto"/>
              <w:rPr>
                <w:rFonts w:hint="default" w:ascii="宋体" w:hAnsi="宋体" w:eastAsia="宋体" w:cs="宋体"/>
                <w:b/>
                <w:bCs/>
                <w:sz w:val="22"/>
                <w:szCs w:val="22"/>
                <w:lang w:val="en-US" w:eastAsia="zh-CN"/>
              </w:rPr>
            </w:pPr>
            <w:r>
              <w:rPr>
                <w:rFonts w:hint="eastAsia" w:ascii="宋体" w:hAnsi="宋体" w:cs="宋体"/>
                <w:sz w:val="22"/>
                <w:szCs w:val="22"/>
              </w:rPr>
              <w:t>大马沟村、大沙</w:t>
            </w:r>
            <w:r>
              <w:rPr>
                <w:rFonts w:hint="eastAsia" w:ascii="宋体" w:hAnsi="宋体" w:cs="宋体"/>
                <w:color w:val="auto"/>
                <w:sz w:val="22"/>
                <w:szCs w:val="22"/>
              </w:rPr>
              <w:t>咀村、小马沟村、冯家湾村、秦家山村</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仙湖岛</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1EA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0A2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3E0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84F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425394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E6A84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1E95CF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04927BD">
        <w:tblPrEx>
          <w:tblCellMar>
            <w:top w:w="0" w:type="dxa"/>
            <w:left w:w="108" w:type="dxa"/>
            <w:bottom w:w="0" w:type="dxa"/>
            <w:right w:w="108" w:type="dxa"/>
          </w:tblCellMar>
        </w:tblPrEx>
        <w:trPr>
          <w:trHeight w:val="90" w:hRule="atLeast"/>
        </w:trPr>
        <w:tc>
          <w:tcPr>
            <w:tcW w:w="1109" w:type="dxa"/>
            <w:vMerge w:val="continue"/>
            <w:tcBorders>
              <w:left w:val="single" w:color="000000" w:sz="4" w:space="0"/>
              <w:right w:val="single" w:color="000000" w:sz="4" w:space="0"/>
            </w:tcBorders>
            <w:shd w:val="clear" w:color="auto" w:fill="auto"/>
            <w:vAlign w:val="center"/>
          </w:tcPr>
          <w:p w14:paraId="0C8E449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3B3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路居镇-三百亩村委会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805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莫洛山村、风吹口村、龙潭村、三百亩村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64B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6</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A3B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95C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351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1B0D5BE1">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4E6AEDD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A90714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ECA3465">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6177C47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9E8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路居镇-明星村委会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225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z w:val="22"/>
                <w:szCs w:val="22"/>
              </w:rPr>
            </w:pPr>
            <w:r>
              <w:rPr>
                <w:rFonts w:hint="eastAsia" w:ascii="宋体" w:hAnsi="宋体" w:cs="宋体"/>
                <w:sz w:val="22"/>
                <w:szCs w:val="22"/>
              </w:rPr>
              <w:t>大营村、湾子沟村、上村、小村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133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9</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817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339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31F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0EEA521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5DCFB2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A0B161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19FFF6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40DA8A1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EE8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路居镇-牛摩村委会</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A21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秧田冲村、</w:t>
            </w:r>
            <w:r>
              <w:rPr>
                <w:rFonts w:hint="eastAsia" w:ascii="宋体" w:hAnsi="宋体" w:cs="宋体"/>
                <w:sz w:val="22"/>
                <w:szCs w:val="22"/>
                <w:lang w:val="en-US" w:eastAsia="zh-CN"/>
              </w:rPr>
              <w:t>大</w:t>
            </w:r>
            <w:r>
              <w:rPr>
                <w:rFonts w:hint="eastAsia" w:ascii="宋体" w:hAnsi="宋体" w:cs="宋体"/>
                <w:sz w:val="22"/>
                <w:szCs w:val="22"/>
              </w:rPr>
              <w:t>摆村、庄子村、大营六社、大营五社、大营四社、大营三社、下村二社、下村一社</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28A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12</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622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38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napToGrid w:val="0"/>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4C4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eastAsia="en-US"/>
              </w:rPr>
            </w:pPr>
            <w:r>
              <w:rPr>
                <w:rFonts w:hint="eastAsia" w:ascii="宋体" w:hAnsi="宋体" w:cs="宋体"/>
                <w:sz w:val="22"/>
                <w:szCs w:val="22"/>
              </w:rPr>
              <w:t>50</w:t>
            </w:r>
          </w:p>
        </w:tc>
        <w:tc>
          <w:tcPr>
            <w:tcW w:w="2228" w:type="dxa"/>
            <w:vMerge w:val="continue"/>
            <w:tcBorders>
              <w:left w:val="single" w:color="000000" w:sz="4" w:space="0"/>
              <w:right w:val="single" w:color="000000" w:sz="4" w:space="0"/>
            </w:tcBorders>
            <w:shd w:val="clear" w:color="auto" w:fill="auto"/>
            <w:noWrap/>
            <w:vAlign w:val="center"/>
          </w:tcPr>
          <w:p w14:paraId="4A79F6B6">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30C396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10A9CF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6953D29">
        <w:tblPrEx>
          <w:tblCellMar>
            <w:top w:w="0" w:type="dxa"/>
            <w:left w:w="108" w:type="dxa"/>
            <w:bottom w:w="0" w:type="dxa"/>
            <w:right w:w="108" w:type="dxa"/>
          </w:tblCellMar>
        </w:tblPrEx>
        <w:trPr>
          <w:trHeight w:val="336" w:hRule="atLeast"/>
        </w:trPr>
        <w:tc>
          <w:tcPr>
            <w:tcW w:w="1109" w:type="dxa"/>
            <w:vMerge w:val="continue"/>
            <w:tcBorders>
              <w:left w:val="single" w:color="000000" w:sz="4" w:space="0"/>
              <w:right w:val="single" w:color="000000" w:sz="4" w:space="0"/>
            </w:tcBorders>
            <w:shd w:val="clear" w:color="auto" w:fill="auto"/>
            <w:vAlign w:val="center"/>
          </w:tcPr>
          <w:p w14:paraId="0DCE114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18C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lang w:bidi="ar"/>
              </w:rPr>
            </w:pPr>
            <w:r>
              <w:rPr>
                <w:rFonts w:hint="eastAsia" w:ascii="宋体" w:hAnsi="宋体" w:cs="宋体"/>
                <w:sz w:val="22"/>
                <w:szCs w:val="22"/>
                <w:lang w:bidi="ar"/>
              </w:rPr>
              <w:t>路居镇-隔河社区</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B06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b/>
                <w:bCs/>
                <w:snapToGrid w:val="0"/>
                <w:sz w:val="22"/>
                <w:szCs w:val="22"/>
              </w:rPr>
            </w:pPr>
            <w:r>
              <w:rPr>
                <w:rFonts w:hint="eastAsia" w:ascii="宋体" w:hAnsi="宋体" w:cs="宋体"/>
                <w:sz w:val="22"/>
                <w:szCs w:val="22"/>
              </w:rPr>
              <w:t>胡家湾村、隔河二社、隔河一社</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8A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4C7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E56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8F7A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napToGrid w:val="0"/>
                <w:sz w:val="22"/>
                <w:szCs w:val="22"/>
              </w:rPr>
            </w:pPr>
            <w:r>
              <w:rPr>
                <w:rFonts w:hint="eastAsia" w:ascii="宋体" w:hAnsi="宋体" w:cs="宋体"/>
                <w:sz w:val="22"/>
                <w:szCs w:val="22"/>
              </w:rPr>
              <w:t>50</w:t>
            </w:r>
          </w:p>
        </w:tc>
        <w:tc>
          <w:tcPr>
            <w:tcW w:w="2228" w:type="dxa"/>
            <w:vMerge w:val="continue"/>
            <w:tcBorders>
              <w:left w:val="single" w:color="000000" w:sz="4" w:space="0"/>
              <w:bottom w:val="single" w:color="000000" w:sz="4" w:space="0"/>
              <w:right w:val="single" w:color="000000" w:sz="4" w:space="0"/>
            </w:tcBorders>
            <w:shd w:val="clear" w:color="auto" w:fill="auto"/>
            <w:noWrap/>
            <w:vAlign w:val="center"/>
          </w:tcPr>
          <w:p w14:paraId="31DCD1A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3B472B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18516D3">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7EC6AEB">
        <w:tblPrEx>
          <w:tblCellMar>
            <w:top w:w="0" w:type="dxa"/>
            <w:left w:w="108" w:type="dxa"/>
            <w:bottom w:w="0" w:type="dxa"/>
            <w:right w:w="108" w:type="dxa"/>
          </w:tblCellMar>
        </w:tblPrEx>
        <w:trPr>
          <w:trHeight w:val="551" w:hRule="atLeast"/>
        </w:trPr>
        <w:tc>
          <w:tcPr>
            <w:tcW w:w="1109" w:type="dxa"/>
            <w:vMerge w:val="continue"/>
            <w:tcBorders>
              <w:left w:val="single" w:color="000000" w:sz="4" w:space="0"/>
              <w:right w:val="single" w:color="000000" w:sz="4" w:space="0"/>
            </w:tcBorders>
            <w:shd w:val="clear" w:color="auto" w:fill="auto"/>
            <w:vAlign w:val="center"/>
          </w:tcPr>
          <w:p w14:paraId="79F5191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DF9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F608">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凤麓市场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77F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6EC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B72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81F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restart"/>
            <w:tcBorders>
              <w:top w:val="single" w:color="000000" w:sz="4" w:space="0"/>
              <w:left w:val="single" w:color="000000" w:sz="4" w:space="0"/>
              <w:right w:val="single" w:color="000000" w:sz="4" w:space="0"/>
            </w:tcBorders>
            <w:shd w:val="clear" w:color="auto" w:fill="auto"/>
            <w:noWrap/>
            <w:vAlign w:val="center"/>
          </w:tcPr>
          <w:p w14:paraId="5E6AE79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Cs w:val="21"/>
              </w:rPr>
              <w:t>人口较为集中的相对独立的综合性商（农）贸市场，根据该区域固定商铺数量设置。每30个固定商铺设置1个零售点，零售点的间距不低于30米，</w:t>
            </w:r>
            <w:r>
              <w:rPr>
                <w:rFonts w:hint="eastAsia" w:ascii="宋体" w:hAnsi="宋体" w:cs="宋体"/>
                <w:color w:val="auto"/>
                <w:szCs w:val="21"/>
              </w:rPr>
              <w:t>最多可设置5个零售点。</w:t>
            </w:r>
            <w:r>
              <w:rPr>
                <w:rFonts w:hint="eastAsia" w:ascii="宋体" w:hAnsi="宋体" w:cs="宋体"/>
                <w:szCs w:val="21"/>
              </w:rPr>
              <w:t>临街铺面按距离限制标准执行，临街、内部双向开门营业的零售点需符合内外布局要求</w:t>
            </w:r>
            <w:r>
              <w:rPr>
                <w:rFonts w:hint="eastAsia" w:ascii="宋体" w:hAnsi="宋体" w:cs="宋体"/>
                <w:sz w:val="22"/>
                <w:szCs w:val="22"/>
              </w:rPr>
              <w:t>。</w:t>
            </w:r>
          </w:p>
        </w:tc>
        <w:tc>
          <w:tcPr>
            <w:tcW w:w="1558" w:type="dxa"/>
            <w:vMerge w:val="continue"/>
            <w:tcBorders>
              <w:left w:val="single" w:color="000000" w:sz="4" w:space="0"/>
              <w:right w:val="single" w:color="auto" w:sz="4" w:space="0"/>
            </w:tcBorders>
            <w:shd w:val="clear" w:color="auto" w:fill="auto"/>
            <w:vAlign w:val="center"/>
          </w:tcPr>
          <w:p w14:paraId="71FC48D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AC616F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FC8D794">
        <w:tblPrEx>
          <w:tblCellMar>
            <w:top w:w="0" w:type="dxa"/>
            <w:left w:w="108" w:type="dxa"/>
            <w:bottom w:w="0" w:type="dxa"/>
            <w:right w:w="108" w:type="dxa"/>
          </w:tblCellMar>
        </w:tblPrEx>
        <w:trPr>
          <w:trHeight w:val="458" w:hRule="atLeast"/>
        </w:trPr>
        <w:tc>
          <w:tcPr>
            <w:tcW w:w="1109" w:type="dxa"/>
            <w:vMerge w:val="continue"/>
            <w:tcBorders>
              <w:left w:val="single" w:color="000000" w:sz="4" w:space="0"/>
              <w:right w:val="single" w:color="000000" w:sz="4" w:space="0"/>
            </w:tcBorders>
            <w:shd w:val="clear" w:color="auto" w:fill="auto"/>
            <w:vAlign w:val="center"/>
          </w:tcPr>
          <w:p w14:paraId="66FB6F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DE2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6BAB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揽秀综合市场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265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8C2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3AD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3F5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7317756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25AEDD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529BAD9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385FCACB">
        <w:tblPrEx>
          <w:tblCellMar>
            <w:top w:w="0" w:type="dxa"/>
            <w:left w:w="108" w:type="dxa"/>
            <w:bottom w:w="0" w:type="dxa"/>
            <w:right w:w="108" w:type="dxa"/>
          </w:tblCellMar>
        </w:tblPrEx>
        <w:trPr>
          <w:trHeight w:val="469" w:hRule="atLeast"/>
        </w:trPr>
        <w:tc>
          <w:tcPr>
            <w:tcW w:w="1109" w:type="dxa"/>
            <w:vMerge w:val="continue"/>
            <w:tcBorders>
              <w:left w:val="single" w:color="000000" w:sz="4" w:space="0"/>
              <w:right w:val="single" w:color="000000" w:sz="4" w:space="0"/>
            </w:tcBorders>
            <w:shd w:val="clear" w:color="auto" w:fill="auto"/>
            <w:vAlign w:val="center"/>
          </w:tcPr>
          <w:p w14:paraId="0DD0BE0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1C9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凤麓街道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7DE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翠竹湾农贸市场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D09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45F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20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CAB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06D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04C1BAF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1CB5EA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631A9B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2EDEA0BD">
        <w:tblPrEx>
          <w:tblCellMar>
            <w:top w:w="0" w:type="dxa"/>
            <w:left w:w="108" w:type="dxa"/>
            <w:bottom w:w="0" w:type="dxa"/>
            <w:right w:w="108" w:type="dxa"/>
          </w:tblCellMar>
        </w:tblPrEx>
        <w:trPr>
          <w:trHeight w:val="568" w:hRule="atLeast"/>
        </w:trPr>
        <w:tc>
          <w:tcPr>
            <w:tcW w:w="1109" w:type="dxa"/>
            <w:vMerge w:val="continue"/>
            <w:tcBorders>
              <w:left w:val="single" w:color="000000" w:sz="4" w:space="0"/>
              <w:right w:val="single" w:color="000000" w:sz="4" w:space="0"/>
            </w:tcBorders>
            <w:shd w:val="clear" w:color="auto" w:fill="auto"/>
            <w:vAlign w:val="center"/>
          </w:tcPr>
          <w:p w14:paraId="0CF6CA0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93C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6B3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龙街集贸市场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3C7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744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19C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9C8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6EE3356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5E7DB6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7AB571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0EF75186">
        <w:tblPrEx>
          <w:tblCellMar>
            <w:top w:w="0" w:type="dxa"/>
            <w:left w:w="108" w:type="dxa"/>
            <w:bottom w:w="0" w:type="dxa"/>
            <w:right w:w="108" w:type="dxa"/>
          </w:tblCellMar>
        </w:tblPrEx>
        <w:trPr>
          <w:trHeight w:val="454" w:hRule="atLeast"/>
        </w:trPr>
        <w:tc>
          <w:tcPr>
            <w:tcW w:w="1109" w:type="dxa"/>
            <w:vMerge w:val="continue"/>
            <w:tcBorders>
              <w:left w:val="single" w:color="000000" w:sz="4" w:space="0"/>
              <w:right w:val="single" w:color="000000" w:sz="4" w:space="0"/>
            </w:tcBorders>
            <w:shd w:val="clear" w:color="auto" w:fill="auto"/>
            <w:vAlign w:val="center"/>
          </w:tcPr>
          <w:p w14:paraId="54ED7B3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462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C11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柿花园农贸市场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2C5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5B2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A53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CACF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1A0BDA5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9FDFD4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03543E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8295412">
        <w:tblPrEx>
          <w:tblCellMar>
            <w:top w:w="0" w:type="dxa"/>
            <w:left w:w="108" w:type="dxa"/>
            <w:bottom w:w="0" w:type="dxa"/>
            <w:right w:w="108" w:type="dxa"/>
          </w:tblCellMar>
        </w:tblPrEx>
        <w:trPr>
          <w:trHeight w:val="514" w:hRule="atLeast"/>
        </w:trPr>
        <w:tc>
          <w:tcPr>
            <w:tcW w:w="1109" w:type="dxa"/>
            <w:vMerge w:val="continue"/>
            <w:tcBorders>
              <w:left w:val="single" w:color="000000" w:sz="4" w:space="0"/>
              <w:right w:val="single" w:color="000000" w:sz="4" w:space="0"/>
            </w:tcBorders>
            <w:shd w:val="clear" w:color="auto" w:fill="auto"/>
            <w:vAlign w:val="center"/>
          </w:tcPr>
          <w:p w14:paraId="0183DD3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928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D3B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九龙街集贸市场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FFC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F1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625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DA9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5293218D">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699F09F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BEA59C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768FAFE7">
        <w:tblPrEx>
          <w:tblCellMar>
            <w:top w:w="0" w:type="dxa"/>
            <w:left w:w="108" w:type="dxa"/>
            <w:bottom w:w="0" w:type="dxa"/>
            <w:right w:w="108" w:type="dxa"/>
          </w:tblCellMar>
        </w:tblPrEx>
        <w:trPr>
          <w:trHeight w:val="590" w:hRule="atLeast"/>
        </w:trPr>
        <w:tc>
          <w:tcPr>
            <w:tcW w:w="1109" w:type="dxa"/>
            <w:vMerge w:val="continue"/>
            <w:tcBorders>
              <w:left w:val="single" w:color="000000" w:sz="4" w:space="0"/>
              <w:right w:val="single" w:color="000000" w:sz="4" w:space="0"/>
            </w:tcBorders>
            <w:shd w:val="clear" w:color="auto" w:fill="auto"/>
            <w:vAlign w:val="center"/>
          </w:tcPr>
          <w:p w14:paraId="60DF20E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AB4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海口镇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E0F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海口集贸市场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F68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60E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879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596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right w:val="single" w:color="000000" w:sz="4" w:space="0"/>
            </w:tcBorders>
            <w:shd w:val="clear" w:color="auto" w:fill="auto"/>
            <w:noWrap/>
            <w:vAlign w:val="center"/>
          </w:tcPr>
          <w:p w14:paraId="1A1A5A0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AF7632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0462177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3F84849">
        <w:tblPrEx>
          <w:tblCellMar>
            <w:top w:w="0" w:type="dxa"/>
            <w:left w:w="108" w:type="dxa"/>
            <w:bottom w:w="0" w:type="dxa"/>
            <w:right w:w="108" w:type="dxa"/>
          </w:tblCellMar>
        </w:tblPrEx>
        <w:trPr>
          <w:trHeight w:val="549" w:hRule="atLeast"/>
        </w:trPr>
        <w:tc>
          <w:tcPr>
            <w:tcW w:w="1109" w:type="dxa"/>
            <w:vMerge w:val="continue"/>
            <w:tcBorders>
              <w:left w:val="single" w:color="000000" w:sz="4" w:space="0"/>
              <w:right w:val="single" w:color="000000" w:sz="4" w:space="0"/>
            </w:tcBorders>
            <w:shd w:val="clear" w:color="auto" w:fill="auto"/>
            <w:vAlign w:val="center"/>
          </w:tcPr>
          <w:p w14:paraId="3583838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B58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5CCA">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路居镇集贸市场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389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D4B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14D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130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30</w:t>
            </w:r>
          </w:p>
        </w:tc>
        <w:tc>
          <w:tcPr>
            <w:tcW w:w="2228" w:type="dxa"/>
            <w:vMerge w:val="continue"/>
            <w:tcBorders>
              <w:left w:val="single" w:color="000000" w:sz="4" w:space="0"/>
              <w:bottom w:val="single" w:color="000000" w:sz="4" w:space="0"/>
              <w:right w:val="single" w:color="000000" w:sz="4" w:space="0"/>
            </w:tcBorders>
            <w:shd w:val="clear" w:color="auto" w:fill="auto"/>
            <w:noWrap/>
            <w:vAlign w:val="center"/>
          </w:tcPr>
          <w:p w14:paraId="4521066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663ABC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2F0275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CDF749C">
        <w:tblPrEx>
          <w:tblCellMar>
            <w:top w:w="0" w:type="dxa"/>
            <w:left w:w="108" w:type="dxa"/>
            <w:bottom w:w="0" w:type="dxa"/>
            <w:right w:w="108" w:type="dxa"/>
          </w:tblCellMar>
        </w:tblPrEx>
        <w:trPr>
          <w:trHeight w:val="503" w:hRule="atLeast"/>
        </w:trPr>
        <w:tc>
          <w:tcPr>
            <w:tcW w:w="1109" w:type="dxa"/>
            <w:vMerge w:val="continue"/>
            <w:tcBorders>
              <w:left w:val="single" w:color="000000" w:sz="4" w:space="0"/>
              <w:right w:val="single" w:color="000000" w:sz="4" w:space="0"/>
            </w:tcBorders>
            <w:shd w:val="clear" w:color="auto" w:fill="auto"/>
            <w:vAlign w:val="center"/>
          </w:tcPr>
          <w:p w14:paraId="508E6BC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3893">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九村镇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D709">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澄江工业园区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2C6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3E0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C76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5F6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restart"/>
            <w:tcBorders>
              <w:top w:val="single" w:color="000000" w:sz="4" w:space="0"/>
              <w:left w:val="single" w:color="000000" w:sz="4" w:space="0"/>
              <w:right w:val="single" w:color="000000" w:sz="4" w:space="0"/>
            </w:tcBorders>
            <w:shd w:val="clear" w:color="auto" w:fill="auto"/>
            <w:noWrap/>
            <w:vAlign w:val="center"/>
          </w:tcPr>
          <w:p w14:paraId="5C89201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52E42BD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9F6366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7AE0A49">
        <w:tblPrEx>
          <w:tblCellMar>
            <w:top w:w="0" w:type="dxa"/>
            <w:left w:w="108" w:type="dxa"/>
            <w:bottom w:w="0" w:type="dxa"/>
            <w:right w:w="108" w:type="dxa"/>
          </w:tblCellMar>
        </w:tblPrEx>
        <w:trPr>
          <w:trHeight w:val="476" w:hRule="atLeast"/>
        </w:trPr>
        <w:tc>
          <w:tcPr>
            <w:tcW w:w="1109" w:type="dxa"/>
            <w:vMerge w:val="continue"/>
            <w:tcBorders>
              <w:left w:val="single" w:color="000000" w:sz="4" w:space="0"/>
              <w:right w:val="single" w:color="000000" w:sz="4" w:space="0"/>
            </w:tcBorders>
            <w:shd w:val="clear" w:color="auto" w:fill="auto"/>
            <w:vAlign w:val="center"/>
          </w:tcPr>
          <w:p w14:paraId="664F3FF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F44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113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广龙小镇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C2AD">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BAC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42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D772">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3</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5E8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right w:val="single" w:color="000000" w:sz="4" w:space="0"/>
            </w:tcBorders>
            <w:shd w:val="clear" w:color="auto" w:fill="auto"/>
            <w:noWrap/>
            <w:vAlign w:val="center"/>
          </w:tcPr>
          <w:p w14:paraId="6632814B">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735293C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1D96C42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55B0939C">
        <w:tblPrEx>
          <w:tblCellMar>
            <w:top w:w="0" w:type="dxa"/>
            <w:left w:w="108" w:type="dxa"/>
            <w:bottom w:w="0" w:type="dxa"/>
            <w:right w:w="108" w:type="dxa"/>
          </w:tblCellMar>
        </w:tblPrEx>
        <w:trPr>
          <w:trHeight w:val="573" w:hRule="atLeast"/>
        </w:trPr>
        <w:tc>
          <w:tcPr>
            <w:tcW w:w="1109" w:type="dxa"/>
            <w:vMerge w:val="continue"/>
            <w:tcBorders>
              <w:left w:val="single" w:color="000000" w:sz="4" w:space="0"/>
              <w:right w:val="single" w:color="000000" w:sz="4" w:space="0"/>
            </w:tcBorders>
            <w:shd w:val="clear" w:color="auto" w:fill="auto"/>
            <w:vAlign w:val="center"/>
          </w:tcPr>
          <w:p w14:paraId="293EDFE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7F0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龙街街道</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A57C">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禄充风景区</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7CE9">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37</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5B5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36</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5524">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551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right w:val="single" w:color="000000" w:sz="4" w:space="0"/>
            </w:tcBorders>
            <w:shd w:val="clear" w:color="auto" w:fill="auto"/>
            <w:noWrap/>
            <w:vAlign w:val="center"/>
          </w:tcPr>
          <w:p w14:paraId="230161D4">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15BABC6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495342C0">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65D921CD">
        <w:tblPrEx>
          <w:tblCellMar>
            <w:top w:w="0" w:type="dxa"/>
            <w:left w:w="108" w:type="dxa"/>
            <w:bottom w:w="0" w:type="dxa"/>
            <w:right w:w="108" w:type="dxa"/>
          </w:tblCellMar>
        </w:tblPrEx>
        <w:trPr>
          <w:trHeight w:val="438" w:hRule="atLeast"/>
        </w:trPr>
        <w:tc>
          <w:tcPr>
            <w:tcW w:w="1109" w:type="dxa"/>
            <w:vMerge w:val="continue"/>
            <w:tcBorders>
              <w:left w:val="single" w:color="000000" w:sz="4" w:space="0"/>
              <w:right w:val="single" w:color="000000" w:sz="4" w:space="0"/>
            </w:tcBorders>
            <w:shd w:val="clear" w:color="auto" w:fill="auto"/>
            <w:vAlign w:val="center"/>
          </w:tcPr>
          <w:p w14:paraId="12864D8A">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C58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右所镇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C495">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欢乐大世界</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ADA5">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05FC">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14A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5F08">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right w:val="single" w:color="000000" w:sz="4" w:space="0"/>
            </w:tcBorders>
            <w:shd w:val="clear" w:color="auto" w:fill="auto"/>
            <w:noWrap/>
            <w:vAlign w:val="center"/>
          </w:tcPr>
          <w:p w14:paraId="1704F58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right w:val="single" w:color="auto" w:sz="4" w:space="0"/>
            </w:tcBorders>
            <w:shd w:val="clear" w:color="auto" w:fill="auto"/>
            <w:vAlign w:val="center"/>
          </w:tcPr>
          <w:p w14:paraId="272D35FF">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25E5B207">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r w14:paraId="47CC0511">
        <w:tblPrEx>
          <w:tblCellMar>
            <w:top w:w="0" w:type="dxa"/>
            <w:left w:w="108" w:type="dxa"/>
            <w:bottom w:w="0" w:type="dxa"/>
            <w:right w:w="108" w:type="dxa"/>
          </w:tblCellMar>
        </w:tblPrEx>
        <w:trPr>
          <w:trHeight w:val="527" w:hRule="atLeast"/>
        </w:trPr>
        <w:tc>
          <w:tcPr>
            <w:tcW w:w="1109" w:type="dxa"/>
            <w:vMerge w:val="continue"/>
            <w:tcBorders>
              <w:left w:val="single" w:color="000000" w:sz="4" w:space="0"/>
              <w:bottom w:val="single" w:color="000000" w:sz="4" w:space="0"/>
              <w:right w:val="single" w:color="000000" w:sz="4" w:space="0"/>
            </w:tcBorders>
            <w:shd w:val="clear" w:color="auto" w:fill="auto"/>
            <w:vAlign w:val="center"/>
          </w:tcPr>
          <w:p w14:paraId="403794C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0251">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lang w:bidi="ar"/>
              </w:rPr>
            </w:pPr>
            <w:r>
              <w:rPr>
                <w:rFonts w:hint="eastAsia" w:ascii="宋体" w:hAnsi="宋体" w:cs="宋体"/>
                <w:sz w:val="22"/>
                <w:szCs w:val="22"/>
                <w:lang w:bidi="ar"/>
              </w:rPr>
              <w:t>路居镇</w:t>
            </w:r>
          </w:p>
        </w:tc>
        <w:tc>
          <w:tcPr>
            <w:tcW w:w="3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9B92">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r>
              <w:rPr>
                <w:rFonts w:hint="eastAsia" w:ascii="宋体" w:hAnsi="宋体" w:cs="宋体"/>
                <w:sz w:val="22"/>
                <w:szCs w:val="22"/>
              </w:rPr>
              <w:t>星空小镇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B2C7">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5</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BC16">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B05B">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4D7E">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r>
              <w:rPr>
                <w:rFonts w:hint="eastAsia" w:ascii="宋体" w:hAnsi="宋体" w:cs="宋体"/>
                <w:sz w:val="22"/>
                <w:szCs w:val="22"/>
              </w:rPr>
              <w:t>100</w:t>
            </w:r>
          </w:p>
        </w:tc>
        <w:tc>
          <w:tcPr>
            <w:tcW w:w="2228" w:type="dxa"/>
            <w:vMerge w:val="continue"/>
            <w:tcBorders>
              <w:left w:val="single" w:color="000000" w:sz="4" w:space="0"/>
              <w:bottom w:val="single" w:color="000000" w:sz="4" w:space="0"/>
              <w:right w:val="single" w:color="000000" w:sz="4" w:space="0"/>
            </w:tcBorders>
            <w:shd w:val="clear" w:color="auto" w:fill="auto"/>
            <w:noWrap/>
            <w:vAlign w:val="center"/>
          </w:tcPr>
          <w:p w14:paraId="126F698E">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c>
          <w:tcPr>
            <w:tcW w:w="1558" w:type="dxa"/>
            <w:vMerge w:val="continue"/>
            <w:tcBorders>
              <w:left w:val="single" w:color="000000" w:sz="4" w:space="0"/>
              <w:bottom w:val="single" w:color="000000" w:sz="4" w:space="0"/>
              <w:right w:val="single" w:color="auto" w:sz="4" w:space="0"/>
            </w:tcBorders>
            <w:shd w:val="clear" w:color="auto" w:fill="auto"/>
            <w:vAlign w:val="center"/>
          </w:tcPr>
          <w:p w14:paraId="4568F4B0">
            <w:pPr>
              <w:keepNext w:val="0"/>
              <w:keepLines w:val="0"/>
              <w:pageBreakBefore w:val="0"/>
              <w:widowControl w:val="0"/>
              <w:kinsoku/>
              <w:wordWrap w:val="0"/>
              <w:overflowPunct/>
              <w:topLinePunct w:val="0"/>
              <w:autoSpaceDE/>
              <w:autoSpaceDN/>
              <w:bidi w:val="0"/>
              <w:adjustRightInd/>
              <w:snapToGrid/>
              <w:spacing w:after="0" w:line="240" w:lineRule="auto"/>
              <w:jc w:val="center"/>
              <w:rPr>
                <w:rFonts w:hint="eastAsia" w:ascii="宋体" w:hAnsi="宋体" w:cs="宋体"/>
                <w:sz w:val="22"/>
                <w:szCs w:val="22"/>
              </w:rPr>
            </w:pPr>
          </w:p>
        </w:tc>
        <w:tc>
          <w:tcPr>
            <w:tcW w:w="994" w:type="dxa"/>
            <w:tcBorders>
              <w:top w:val="single" w:color="auto" w:sz="4" w:space="0"/>
              <w:left w:val="single" w:color="auto" w:sz="4" w:space="0"/>
              <w:bottom w:val="single" w:color="auto" w:sz="4" w:space="0"/>
              <w:right w:val="single" w:color="auto" w:sz="4" w:space="0"/>
            </w:tcBorders>
            <w:shd w:val="clear" w:color="auto" w:fill="auto"/>
            <w:vAlign w:val="center"/>
          </w:tcPr>
          <w:p w14:paraId="6361192F">
            <w:pPr>
              <w:keepNext w:val="0"/>
              <w:keepLines w:val="0"/>
              <w:pageBreakBefore w:val="0"/>
              <w:widowControl w:val="0"/>
              <w:kinsoku/>
              <w:wordWrap w:val="0"/>
              <w:overflowPunct/>
              <w:topLinePunct w:val="0"/>
              <w:autoSpaceDE/>
              <w:autoSpaceDN/>
              <w:bidi w:val="0"/>
              <w:adjustRightInd/>
              <w:snapToGrid/>
              <w:spacing w:after="0" w:line="240" w:lineRule="auto"/>
              <w:rPr>
                <w:rFonts w:hint="eastAsia" w:ascii="宋体" w:hAnsi="宋体" w:cs="宋体"/>
                <w:sz w:val="22"/>
                <w:szCs w:val="22"/>
              </w:rPr>
            </w:pPr>
          </w:p>
        </w:tc>
      </w:tr>
    </w:tbl>
    <w:p w14:paraId="7AD45318">
      <w:pPr>
        <w:keepNext w:val="0"/>
        <w:keepLines w:val="0"/>
        <w:pageBreakBefore w:val="0"/>
        <w:widowControl w:val="0"/>
        <w:kinsoku/>
        <w:wordWrap w:val="0"/>
        <w:overflowPunct/>
        <w:topLinePunct w:val="0"/>
        <w:autoSpaceDE/>
        <w:autoSpaceDN/>
        <w:bidi w:val="0"/>
        <w:adjustRightInd/>
        <w:snapToGrid/>
        <w:spacing w:before="42" w:after="0" w:line="240" w:lineRule="auto"/>
        <w:ind w:right="-101" w:rightChars="-48"/>
        <w:textAlignment w:val="auto"/>
        <w:rPr>
          <w:rFonts w:hint="eastAsia" w:ascii="宋体" w:hAnsi="宋体" w:cs="宋体"/>
          <w:spacing w:val="-1"/>
        </w:rPr>
      </w:pPr>
      <w:r>
        <w:rPr>
          <w:rFonts w:hint="eastAsia" w:ascii="宋体" w:hAnsi="宋体" w:cs="宋体"/>
          <w:spacing w:val="-1"/>
        </w:rPr>
        <w:t>备注：1.本公示表的数据根据本市零售点布局规划实行定期评价、动态管理。</w:t>
      </w:r>
    </w:p>
    <w:p w14:paraId="42B9860A">
      <w:pPr>
        <w:keepNext w:val="0"/>
        <w:keepLines w:val="0"/>
        <w:pageBreakBefore w:val="0"/>
        <w:widowControl w:val="0"/>
        <w:kinsoku/>
        <w:wordWrap w:val="0"/>
        <w:overflowPunct/>
        <w:topLinePunct w:val="0"/>
        <w:autoSpaceDE/>
        <w:autoSpaceDN/>
        <w:bidi w:val="0"/>
        <w:adjustRightInd/>
        <w:snapToGrid/>
        <w:spacing w:before="42" w:after="0" w:line="240" w:lineRule="auto"/>
        <w:ind w:firstLine="624" w:firstLineChars="300"/>
        <w:textAlignment w:val="auto"/>
        <w:rPr>
          <w:rFonts w:hint="eastAsia" w:ascii="宋体" w:hAnsi="宋体" w:cs="宋体"/>
          <w:spacing w:val="-1"/>
        </w:rPr>
      </w:pPr>
      <w:r>
        <w:rPr>
          <w:rFonts w:hint="eastAsia" w:ascii="宋体" w:hAnsi="宋体" w:cs="宋体"/>
          <w:spacing w:val="-1"/>
        </w:rPr>
        <w:t>2.每季度根据经济发展、城乡建设、市场形势等变化情况对本表中的数据进行动态调整，规划数相应进行动态更新，以每季度最后一次公示的数据为准。</w:t>
      </w:r>
    </w:p>
    <w:p w14:paraId="1CEE4A88">
      <w:pPr>
        <w:keepNext w:val="0"/>
        <w:keepLines w:val="0"/>
        <w:pageBreakBefore w:val="0"/>
        <w:widowControl w:val="0"/>
        <w:kinsoku/>
        <w:wordWrap w:val="0"/>
        <w:overflowPunct/>
        <w:topLinePunct w:val="0"/>
        <w:autoSpaceDE/>
        <w:autoSpaceDN/>
        <w:bidi w:val="0"/>
        <w:adjustRightInd/>
        <w:snapToGrid/>
        <w:spacing w:before="42" w:after="0" w:line="240" w:lineRule="auto"/>
        <w:ind w:firstLine="624" w:firstLineChars="300"/>
        <w:textAlignment w:val="auto"/>
        <w:rPr>
          <w:rFonts w:hint="eastAsia" w:ascii="宋体" w:hAnsi="宋体" w:cs="宋体"/>
          <w:spacing w:val="-1"/>
        </w:rPr>
      </w:pPr>
      <w:r>
        <w:rPr>
          <w:rFonts w:hint="eastAsia" w:ascii="宋体" w:hAnsi="宋体" w:cs="宋体"/>
          <w:spacing w:val="-1"/>
        </w:rPr>
        <w:t>3.本数据由澄江市烟草专卖局负责解释，咨询电话：0877-6911740。</w:t>
      </w:r>
    </w:p>
    <w:p w14:paraId="00BAF4C8">
      <w:pPr>
        <w:keepNext w:val="0"/>
        <w:keepLines w:val="0"/>
        <w:pageBreakBefore w:val="0"/>
        <w:kinsoku/>
        <w:wordWrap w:val="0"/>
        <w:overflowPunct/>
        <w:topLinePunct w:val="0"/>
        <w:autoSpaceDE/>
        <w:autoSpaceDN/>
        <w:bidi w:val="0"/>
        <w:spacing w:line="300" w:lineRule="auto"/>
        <w:rPr>
          <w:rFonts w:hint="eastAsia" w:ascii="宋体" w:hAnsi="宋体" w:cs="宋体"/>
          <w:spacing w:val="-1"/>
        </w:rPr>
      </w:pPr>
      <w:r>
        <w:rPr>
          <w:rFonts w:hint="eastAsia" w:ascii="宋体" w:hAnsi="宋体" w:cs="宋体"/>
          <w:spacing w:val="-1"/>
        </w:rPr>
        <w:br w:type="page"/>
      </w:r>
    </w:p>
    <w:p w14:paraId="4EE0DA64">
      <w:pPr>
        <w:keepNext w:val="0"/>
        <w:keepLines w:val="0"/>
        <w:pageBreakBefore w:val="0"/>
        <w:kinsoku/>
        <w:wordWrap w:val="0"/>
        <w:overflowPunct/>
        <w:topLinePunct w:val="0"/>
        <w:autoSpaceDE/>
        <w:autoSpaceDN/>
        <w:bidi w:val="0"/>
        <w:spacing w:before="42" w:line="300" w:lineRule="auto"/>
        <w:rPr>
          <w:rFonts w:hint="eastAsia" w:ascii="宋体" w:hAnsi="宋体" w:cs="宋体"/>
          <w:spacing w:val="-1"/>
        </w:rPr>
        <w:sectPr>
          <w:footerReference r:id="rId6" w:type="default"/>
          <w:pgSz w:w="16838" w:h="11906" w:orient="landscape"/>
          <w:pgMar w:top="1800" w:right="1440" w:bottom="1800" w:left="1440" w:header="851" w:footer="992" w:gutter="0"/>
          <w:cols w:space="425" w:num="1"/>
          <w:docGrid w:type="lines" w:linePitch="312" w:charSpace="0"/>
        </w:sectPr>
      </w:pPr>
    </w:p>
    <w:p w14:paraId="5E1B3802">
      <w:pPr>
        <w:keepNext w:val="0"/>
        <w:keepLines w:val="0"/>
        <w:pageBreakBefore w:val="0"/>
        <w:kinsoku/>
        <w:wordWrap w:val="0"/>
        <w:overflowPunct/>
        <w:topLinePunct w:val="0"/>
        <w:autoSpaceDE/>
        <w:autoSpaceDN/>
        <w:bidi w:val="0"/>
        <w:spacing w:line="300" w:lineRule="auto"/>
        <w:ind w:firstLine="672"/>
        <w:rPr>
          <w:rFonts w:hint="eastAsia"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14:paraId="229BB1E4">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云南省澄江市烟草制品零售点</w:t>
      </w:r>
    </w:p>
    <w:p w14:paraId="2A071C79">
      <w:pPr>
        <w:keepNext w:val="0"/>
        <w:keepLines w:val="0"/>
        <w:pageBreakBefore w:val="0"/>
        <w:widowControl w:val="0"/>
        <w:kinsoku/>
        <w:wordWrap w:val="0"/>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合理布局网格示意图</w:t>
      </w:r>
    </w:p>
    <w:p w14:paraId="5335EB12">
      <w:pPr>
        <w:pStyle w:val="2"/>
        <w:rPr>
          <w:rFonts w:hint="eastAsia" w:eastAsia="宋体"/>
          <w:lang w:eastAsia="zh-CN"/>
        </w:rPr>
      </w:pPr>
      <w:r>
        <w:rPr>
          <w:rFonts w:hint="eastAsia" w:eastAsia="宋体"/>
          <w:lang w:eastAsia="zh-CN"/>
        </w:rPr>
        <w:drawing>
          <wp:inline distT="0" distB="0" distL="114300" distR="114300">
            <wp:extent cx="4419600" cy="7172325"/>
            <wp:effectExtent l="0" t="0" r="0" b="9525"/>
            <wp:docPr id="56" name="图片 56" descr="微信图片_20260902151916_116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微信图片_20260902151916_1162_1"/>
                    <pic:cNvPicPr>
                      <a:picLocks noChangeAspect="1"/>
                    </pic:cNvPicPr>
                  </pic:nvPicPr>
                  <pic:blipFill>
                    <a:blip r:embed="rId27"/>
                    <a:stretch>
                      <a:fillRect/>
                    </a:stretch>
                  </pic:blipFill>
                  <pic:spPr>
                    <a:xfrm>
                      <a:off x="0" y="0"/>
                      <a:ext cx="4419600" cy="7172325"/>
                    </a:xfrm>
                    <a:prstGeom prst="rect">
                      <a:avLst/>
                    </a:prstGeom>
                  </pic:spPr>
                </pic:pic>
              </a:graphicData>
            </a:graphic>
          </wp:inline>
        </w:drawing>
      </w:r>
    </w:p>
    <w:p w14:paraId="0FBAFB29">
      <w:pPr>
        <w:keepNext w:val="0"/>
        <w:keepLines w:val="0"/>
        <w:pageBreakBefore w:val="0"/>
        <w:kinsoku/>
        <w:wordWrap w:val="0"/>
        <w:overflowPunct/>
        <w:topLinePunct w:val="0"/>
        <w:autoSpaceDE/>
        <w:autoSpaceDN/>
        <w:bidi w:val="0"/>
        <w:spacing w:line="300" w:lineRule="auto"/>
        <w:rPr>
          <w:rFonts w:hint="eastAsia" w:ascii="仿宋_GB2312" w:hAnsi="仿宋_GB2312" w:eastAsia="仿宋_GB2312" w:cs="仿宋_GB2312"/>
          <w:sz w:val="32"/>
          <w:szCs w:val="32"/>
        </w:rPr>
        <w:sectPr>
          <w:pgSz w:w="11906" w:h="16838"/>
          <w:pgMar w:top="1440" w:right="1800" w:bottom="1440" w:left="1800" w:header="851" w:footer="992" w:gutter="0"/>
          <w:cols w:space="0" w:num="1"/>
          <w:docGrid w:type="lines" w:linePitch="312" w:charSpace="0"/>
        </w:sectPr>
      </w:pPr>
    </w:p>
    <w:p w14:paraId="5ACACAFB">
      <w:pPr>
        <w:keepNext w:val="0"/>
        <w:keepLines w:val="0"/>
        <w:pageBreakBefore w:val="0"/>
        <w:kinsoku/>
        <w:wordWrap w:val="0"/>
        <w:overflowPunct/>
        <w:topLinePunct w:val="0"/>
        <w:autoSpaceDE/>
        <w:autoSpaceDN/>
        <w:bidi w:val="0"/>
        <w:spacing w:before="104" w:line="300" w:lineRule="auto"/>
        <w:ind w:left="619"/>
        <w:rPr>
          <w:rFonts w:hint="eastAsia" w:ascii="黑体" w:hAnsi="黑体" w:eastAsia="黑体" w:cs="黑体"/>
          <w:spacing w:val="8"/>
          <w:sz w:val="32"/>
          <w:szCs w:val="32"/>
        </w:rPr>
      </w:pPr>
      <w:r>
        <w:rPr>
          <w:rFonts w:hint="eastAsia" w:ascii="黑体" w:hAnsi="黑体" w:eastAsia="黑体" w:cs="黑体"/>
          <w:spacing w:val="8"/>
          <w:sz w:val="32"/>
          <w:szCs w:val="32"/>
        </w:rPr>
        <w:t>附件4</w:t>
      </w:r>
    </w:p>
    <w:p w14:paraId="4F92647A">
      <w:pPr>
        <w:keepNext w:val="0"/>
        <w:keepLines w:val="0"/>
        <w:pageBreakBefore w:val="0"/>
        <w:kinsoku/>
        <w:wordWrap w:val="0"/>
        <w:overflowPunct/>
        <w:topLinePunct w:val="0"/>
        <w:autoSpaceDE/>
        <w:autoSpaceDN/>
        <w:bidi w:val="0"/>
        <w:spacing w:before="42" w:line="300" w:lineRule="auto"/>
        <w:jc w:val="center"/>
        <w:rPr>
          <w:rFonts w:ascii="Arial Unicode MS" w:eastAsia="Arial Unicode MS"/>
          <w:sz w:val="44"/>
          <w:szCs w:val="44"/>
        </w:rPr>
      </w:pPr>
      <w:r>
        <w:rPr>
          <w:rFonts w:hint="eastAsia" w:ascii="方正小标宋简体" w:hAnsi="方正小标宋简体" w:eastAsia="方正小标宋简体" w:cs="方正小标宋简体"/>
          <w:sz w:val="44"/>
          <w:szCs w:val="44"/>
        </w:rPr>
        <w:t>云南省澄江市雪茄烟专营店零售点合理布局公示表</w:t>
      </w:r>
    </w:p>
    <w:p w14:paraId="5923EC88">
      <w:pPr>
        <w:keepNext w:val="0"/>
        <w:keepLines w:val="0"/>
        <w:pageBreakBefore w:val="0"/>
        <w:kinsoku/>
        <w:wordWrap w:val="0"/>
        <w:overflowPunct/>
        <w:topLinePunct w:val="0"/>
        <w:autoSpaceDE/>
        <w:autoSpaceDN/>
        <w:bidi w:val="0"/>
        <w:spacing w:line="300" w:lineRule="auto"/>
        <w:ind w:firstLine="420" w:firstLineChars="200"/>
      </w:pPr>
      <w:r>
        <w:rPr>
          <w:rFonts w:hint="eastAsia"/>
        </w:rPr>
        <w:t>单位：澄江市</w:t>
      </w:r>
      <w:r>
        <w:rPr>
          <w:rFonts w:hint="eastAsia" w:ascii="宋体" w:hAnsi="宋体" w:cs="宋体"/>
        </w:rPr>
        <w:t>烟草专卖局</w:t>
      </w:r>
      <w:r>
        <w:rPr>
          <w:rFonts w:hint="eastAsia"/>
        </w:rPr>
        <w:t>（盖章）                                    公示时间</w:t>
      </w:r>
      <w:r>
        <w:rPr>
          <w:rFonts w:hint="eastAsia"/>
          <w:color w:val="FF0000"/>
        </w:rPr>
        <w:t>：</w:t>
      </w:r>
      <w:r>
        <w:rPr>
          <w:rFonts w:hint="eastAsia"/>
          <w:color w:val="FF0000"/>
          <w:lang w:val="en-US" w:eastAsia="zh-CN"/>
        </w:rPr>
        <w:t>2026</w:t>
      </w:r>
      <w:r>
        <w:rPr>
          <w:color w:val="FF0000"/>
        </w:rPr>
        <w:t>年</w:t>
      </w:r>
      <w:r>
        <w:rPr>
          <w:rFonts w:hint="eastAsia"/>
          <w:color w:val="FF0000"/>
          <w:lang w:val="en-US" w:eastAsia="zh-CN"/>
        </w:rPr>
        <w:t>XX</w:t>
      </w:r>
      <w:r>
        <w:rPr>
          <w:color w:val="FF0000"/>
        </w:rPr>
        <w:t>月</w:t>
      </w:r>
      <w:r>
        <w:rPr>
          <w:rFonts w:hint="eastAsia"/>
          <w:color w:val="FF0000"/>
          <w:lang w:val="en-US" w:eastAsia="zh-CN"/>
        </w:rPr>
        <w:t>XX</w:t>
      </w:r>
      <w:r>
        <w:rPr>
          <w:color w:val="FF0000"/>
        </w:rPr>
        <w:t>日</w:t>
      </w:r>
      <w:r>
        <w:rPr>
          <w:rFonts w:hint="eastAsia"/>
          <w:color w:val="FF0000"/>
        </w:rPr>
        <w:t>-</w:t>
      </w:r>
      <w:r>
        <w:rPr>
          <w:rFonts w:hint="eastAsia"/>
          <w:color w:val="FF0000"/>
          <w:lang w:val="en-US" w:eastAsia="zh-CN"/>
        </w:rPr>
        <w:t>2026</w:t>
      </w:r>
      <w:r>
        <w:rPr>
          <w:color w:val="FF0000"/>
        </w:rPr>
        <w:t>年</w:t>
      </w:r>
      <w:r>
        <w:rPr>
          <w:rFonts w:hint="eastAsia"/>
          <w:color w:val="FF0000"/>
          <w:lang w:val="en-US" w:eastAsia="zh-CN"/>
        </w:rPr>
        <w:t>XX</w:t>
      </w:r>
      <w:r>
        <w:rPr>
          <w:color w:val="FF0000"/>
        </w:rPr>
        <w:t>月</w:t>
      </w:r>
      <w:r>
        <w:rPr>
          <w:rFonts w:hint="eastAsia"/>
          <w:color w:val="FF0000"/>
          <w:lang w:val="en-US" w:eastAsia="zh-CN"/>
        </w:rPr>
        <w:t>XX</w:t>
      </w:r>
      <w:r>
        <w:t>日</w:t>
      </w:r>
    </w:p>
    <w:tbl>
      <w:tblPr>
        <w:tblStyle w:val="21"/>
        <w:tblpPr w:leftFromText="180" w:rightFromText="180" w:vertAnchor="text" w:horzAnchor="page" w:tblpX="1789" w:tblpY="151"/>
        <w:tblOverlap w:val="never"/>
        <w:tblW w:w="501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68"/>
        <w:gridCol w:w="2442"/>
        <w:gridCol w:w="2970"/>
        <w:gridCol w:w="2422"/>
        <w:gridCol w:w="1823"/>
        <w:gridCol w:w="2273"/>
      </w:tblGrid>
      <w:tr w14:paraId="3E9AD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339" w:type="pct"/>
            <w:vMerge w:val="restart"/>
            <w:tcBorders>
              <w:top w:val="single" w:color="auto" w:sz="4" w:space="0"/>
              <w:left w:val="single" w:color="auto" w:sz="4" w:space="0"/>
              <w:bottom w:val="nil"/>
            </w:tcBorders>
            <w:vAlign w:val="center"/>
          </w:tcPr>
          <w:p w14:paraId="238476E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澄江市</w:t>
            </w:r>
          </w:p>
        </w:tc>
        <w:tc>
          <w:tcPr>
            <w:tcW w:w="3772" w:type="pct"/>
            <w:gridSpan w:val="4"/>
            <w:tcBorders>
              <w:top w:val="single" w:color="auto" w:sz="4" w:space="0"/>
            </w:tcBorders>
            <w:vAlign w:val="center"/>
          </w:tcPr>
          <w:p w14:paraId="09237FE7">
            <w:pPr>
              <w:keepNext w:val="0"/>
              <w:keepLines w:val="0"/>
              <w:pageBreakBefore w:val="0"/>
              <w:kinsoku/>
              <w:wordWrap w:val="0"/>
              <w:overflowPunct/>
              <w:topLinePunct w:val="0"/>
              <w:autoSpaceDE/>
              <w:autoSpaceDN/>
              <w:bidi w:val="0"/>
              <w:spacing w:line="300" w:lineRule="auto"/>
              <w:ind w:left="241" w:hanging="240" w:hangingChars="100"/>
              <w:jc w:val="center"/>
              <w:rPr>
                <w:rFonts w:hint="eastAsia" w:asciiTheme="minorEastAsia" w:hAnsiTheme="minorEastAsia" w:eastAsiaTheme="minorEastAsia" w:cstheme="minorEastAsia"/>
                <w:b/>
                <w:bCs/>
                <w:snapToGrid w:val="0"/>
                <w:color w:val="000000"/>
                <w:sz w:val="24"/>
                <w:lang w:eastAsia="en-US"/>
              </w:rPr>
            </w:pPr>
            <w:r>
              <w:rPr>
                <w:rFonts w:hint="eastAsia" w:asciiTheme="minorEastAsia" w:hAnsiTheme="minorEastAsia" w:eastAsiaTheme="minorEastAsia" w:cstheme="minorEastAsia"/>
                <w:b/>
                <w:bCs/>
                <w:snapToGrid w:val="0"/>
                <w:color w:val="000000"/>
                <w:sz w:val="24"/>
                <w:lang w:eastAsia="en-US"/>
              </w:rPr>
              <w:t>数量情况</w:t>
            </w:r>
          </w:p>
        </w:tc>
        <w:tc>
          <w:tcPr>
            <w:tcW w:w="888" w:type="pct"/>
            <w:vMerge w:val="restart"/>
            <w:tcBorders>
              <w:top w:val="single" w:color="auto" w:sz="4" w:space="0"/>
              <w:right w:val="single" w:color="auto" w:sz="4" w:space="0"/>
            </w:tcBorders>
            <w:vAlign w:val="center"/>
          </w:tcPr>
          <w:p w14:paraId="66146B0B">
            <w:pPr>
              <w:keepNext w:val="0"/>
              <w:keepLines w:val="0"/>
              <w:pageBreakBefore w:val="0"/>
              <w:kinsoku/>
              <w:wordWrap w:val="0"/>
              <w:overflowPunct/>
              <w:topLinePunct w:val="0"/>
              <w:autoSpaceDE/>
              <w:autoSpaceDN/>
              <w:bidi w:val="0"/>
              <w:spacing w:line="300" w:lineRule="auto"/>
              <w:ind w:left="19" w:right="79" w:rightChars="38" w:hanging="19" w:hangingChars="8"/>
              <w:jc w:val="center"/>
              <w:rPr>
                <w:rFonts w:hint="eastAsia" w:asciiTheme="minorEastAsia" w:hAnsiTheme="minorEastAsia" w:eastAsiaTheme="minorEastAsia" w:cstheme="minorEastAsia"/>
                <w:b/>
                <w:bCs/>
                <w:snapToGrid w:val="0"/>
                <w:color w:val="000000"/>
                <w:spacing w:val="-1"/>
                <w:sz w:val="24"/>
                <w:lang w:eastAsia="en-US"/>
              </w:rPr>
            </w:pPr>
            <w:r>
              <w:rPr>
                <w:rFonts w:hint="eastAsia" w:asciiTheme="minorEastAsia" w:hAnsiTheme="minorEastAsia" w:eastAsiaTheme="minorEastAsia" w:cstheme="minorEastAsia"/>
                <w:b/>
                <w:bCs/>
                <w:snapToGrid w:val="0"/>
                <w:color w:val="000000"/>
                <w:spacing w:val="-1"/>
                <w:sz w:val="24"/>
                <w:lang w:eastAsia="en-US"/>
              </w:rPr>
              <w:t>备注</w:t>
            </w:r>
          </w:p>
        </w:tc>
      </w:tr>
      <w:tr w14:paraId="23220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39" w:type="pct"/>
            <w:vMerge w:val="continue"/>
            <w:tcBorders>
              <w:top w:val="nil"/>
              <w:left w:val="single" w:color="auto" w:sz="4" w:space="0"/>
              <w:bottom w:val="nil"/>
            </w:tcBorders>
            <w:vAlign w:val="center"/>
          </w:tcPr>
          <w:p w14:paraId="5C7782E0">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p>
        </w:tc>
        <w:tc>
          <w:tcPr>
            <w:tcW w:w="954" w:type="pct"/>
            <w:vAlign w:val="center"/>
          </w:tcPr>
          <w:p w14:paraId="246552EF">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pacing w:val="-1"/>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上年度末烟草制品零售点</w:t>
            </w:r>
          </w:p>
          <w:p w14:paraId="728515F3">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pacing w:val="-1"/>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总数</w:t>
            </w:r>
          </w:p>
          <w:p w14:paraId="0D70B84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pacing w:val="-1"/>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（个）</w:t>
            </w:r>
          </w:p>
        </w:tc>
        <w:tc>
          <w:tcPr>
            <w:tcW w:w="1160" w:type="pct"/>
            <w:vAlign w:val="center"/>
          </w:tcPr>
          <w:p w14:paraId="69C5D194">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本年度雪茄烟专营店零售点</w:t>
            </w:r>
          </w:p>
          <w:p w14:paraId="01A9D2AE">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总量规划数</w:t>
            </w:r>
          </w:p>
          <w:p w14:paraId="409FC20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pacing w:val="-1"/>
                <w:sz w:val="22"/>
                <w:szCs w:val="22"/>
                <w:lang w:eastAsia="en-US"/>
              </w:rPr>
              <w:t>（个）</w:t>
            </w:r>
          </w:p>
        </w:tc>
        <w:tc>
          <w:tcPr>
            <w:tcW w:w="946" w:type="pct"/>
            <w:vAlign w:val="center"/>
          </w:tcPr>
          <w:p w14:paraId="5AF22B1E">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当前实际数</w:t>
            </w:r>
          </w:p>
          <w:p w14:paraId="4C0C062C">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（个）</w:t>
            </w:r>
          </w:p>
        </w:tc>
        <w:tc>
          <w:tcPr>
            <w:tcW w:w="711" w:type="pct"/>
            <w:vAlign w:val="center"/>
          </w:tcPr>
          <w:p w14:paraId="0EC90606">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当前余量</w:t>
            </w:r>
          </w:p>
          <w:p w14:paraId="40B538F4">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r>
              <w:rPr>
                <w:rFonts w:hint="eastAsia" w:asciiTheme="minorEastAsia" w:hAnsiTheme="minorEastAsia" w:eastAsiaTheme="minorEastAsia" w:cstheme="minorEastAsia"/>
                <w:snapToGrid w:val="0"/>
                <w:color w:val="000000"/>
                <w:sz w:val="22"/>
                <w:szCs w:val="22"/>
                <w:lang w:eastAsia="en-US"/>
              </w:rPr>
              <w:t>（个）</w:t>
            </w:r>
          </w:p>
        </w:tc>
        <w:tc>
          <w:tcPr>
            <w:tcW w:w="888" w:type="pct"/>
            <w:vMerge w:val="continue"/>
            <w:tcBorders>
              <w:right w:val="single" w:color="auto" w:sz="4" w:space="0"/>
            </w:tcBorders>
            <w:vAlign w:val="center"/>
          </w:tcPr>
          <w:p w14:paraId="776FBD43">
            <w:pPr>
              <w:keepNext w:val="0"/>
              <w:keepLines w:val="0"/>
              <w:pageBreakBefore w:val="0"/>
              <w:kinsoku/>
              <w:wordWrap w:val="0"/>
              <w:overflowPunct/>
              <w:topLinePunct w:val="0"/>
              <w:autoSpaceDE/>
              <w:autoSpaceDN/>
              <w:bidi w:val="0"/>
              <w:spacing w:line="300" w:lineRule="auto"/>
              <w:rPr>
                <w:rFonts w:hint="eastAsia" w:asciiTheme="minorEastAsia" w:hAnsiTheme="minorEastAsia" w:eastAsiaTheme="minorEastAsia" w:cstheme="minorEastAsia"/>
                <w:snapToGrid w:val="0"/>
                <w:color w:val="000000"/>
                <w:sz w:val="22"/>
                <w:szCs w:val="22"/>
                <w:lang w:eastAsia="en-US"/>
              </w:rPr>
            </w:pPr>
          </w:p>
        </w:tc>
      </w:tr>
      <w:tr w14:paraId="3101C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339" w:type="pct"/>
            <w:vMerge w:val="continue"/>
            <w:tcBorders>
              <w:top w:val="nil"/>
              <w:left w:val="single" w:color="auto" w:sz="4" w:space="0"/>
              <w:bottom w:val="single" w:color="auto" w:sz="4" w:space="0"/>
            </w:tcBorders>
            <w:vAlign w:val="center"/>
          </w:tcPr>
          <w:p w14:paraId="74BBB31F">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p>
        </w:tc>
        <w:tc>
          <w:tcPr>
            <w:tcW w:w="954" w:type="pct"/>
            <w:tcBorders>
              <w:bottom w:val="single" w:color="auto" w:sz="4" w:space="0"/>
            </w:tcBorders>
            <w:vAlign w:val="center"/>
          </w:tcPr>
          <w:p w14:paraId="421B7D59">
            <w:pPr>
              <w:keepNext w:val="0"/>
              <w:keepLines w:val="0"/>
              <w:pageBreakBefore w:val="0"/>
              <w:kinsoku/>
              <w:wordWrap w:val="0"/>
              <w:overflowPunct/>
              <w:topLinePunct w:val="0"/>
              <w:autoSpaceDE/>
              <w:autoSpaceDN/>
              <w:bidi w:val="0"/>
              <w:spacing w:line="300" w:lineRule="auto"/>
              <w:jc w:val="center"/>
              <w:rPr>
                <w:rFonts w:hint="default" w:asciiTheme="minorEastAsia" w:hAnsiTheme="minorEastAsia" w:eastAsiaTheme="minorEastAsia" w:cstheme="minorEastAsia"/>
                <w:snapToGrid w:val="0"/>
                <w:color w:val="000000"/>
                <w:sz w:val="22"/>
                <w:szCs w:val="22"/>
                <w:lang w:val="en-US" w:eastAsia="zh-CN"/>
              </w:rPr>
            </w:pPr>
            <w:r>
              <w:rPr>
                <w:rFonts w:hint="eastAsia" w:asciiTheme="minorEastAsia" w:hAnsiTheme="minorEastAsia" w:eastAsiaTheme="minorEastAsia" w:cstheme="minorEastAsia"/>
                <w:snapToGrid w:val="0"/>
                <w:color w:val="000000"/>
                <w:sz w:val="22"/>
                <w:szCs w:val="22"/>
                <w:lang w:eastAsia="en-US"/>
              </w:rPr>
              <w:t>1</w:t>
            </w:r>
            <w:r>
              <w:rPr>
                <w:rFonts w:hint="eastAsia" w:asciiTheme="minorEastAsia" w:hAnsiTheme="minorEastAsia" w:eastAsiaTheme="minorEastAsia" w:cstheme="minorEastAsia"/>
                <w:snapToGrid w:val="0"/>
                <w:color w:val="000000"/>
                <w:sz w:val="22"/>
                <w:szCs w:val="22"/>
                <w:lang w:val="en-US" w:eastAsia="zh-CN"/>
              </w:rPr>
              <w:t>198</w:t>
            </w:r>
          </w:p>
        </w:tc>
        <w:tc>
          <w:tcPr>
            <w:tcW w:w="1160" w:type="pct"/>
            <w:tcBorders>
              <w:bottom w:val="single" w:color="auto" w:sz="4" w:space="0"/>
            </w:tcBorders>
            <w:vAlign w:val="center"/>
          </w:tcPr>
          <w:p w14:paraId="040E272C">
            <w:pPr>
              <w:keepNext w:val="0"/>
              <w:keepLines w:val="0"/>
              <w:pageBreakBefore w:val="0"/>
              <w:kinsoku/>
              <w:wordWrap w:val="0"/>
              <w:overflowPunct/>
              <w:topLinePunct w:val="0"/>
              <w:autoSpaceDE/>
              <w:autoSpaceDN/>
              <w:bidi w:val="0"/>
              <w:spacing w:line="300" w:lineRule="auto"/>
              <w:jc w:val="center"/>
              <w:rPr>
                <w:rFonts w:hint="default" w:asciiTheme="minorEastAsia" w:hAnsiTheme="minorEastAsia" w:eastAsiaTheme="minorEastAsia" w:cstheme="minorEastAsia"/>
                <w:snapToGrid w:val="0"/>
                <w:color w:val="000000"/>
                <w:sz w:val="22"/>
                <w:szCs w:val="22"/>
                <w:lang w:val="en-US" w:eastAsia="zh-CN"/>
              </w:rPr>
            </w:pPr>
            <w:r>
              <w:rPr>
                <w:rFonts w:hint="eastAsia" w:asciiTheme="minorEastAsia" w:hAnsiTheme="minorEastAsia" w:eastAsiaTheme="minorEastAsia" w:cstheme="minorEastAsia"/>
                <w:snapToGrid w:val="0"/>
                <w:color w:val="000000"/>
                <w:sz w:val="22"/>
                <w:szCs w:val="22"/>
                <w:lang w:val="en-US" w:eastAsia="zh-CN"/>
              </w:rPr>
              <w:t>59</w:t>
            </w:r>
          </w:p>
        </w:tc>
        <w:tc>
          <w:tcPr>
            <w:tcW w:w="946" w:type="pct"/>
            <w:tcBorders>
              <w:bottom w:val="single" w:color="auto" w:sz="4" w:space="0"/>
            </w:tcBorders>
            <w:vAlign w:val="center"/>
          </w:tcPr>
          <w:p w14:paraId="37707454">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zh-CN"/>
              </w:rPr>
            </w:pPr>
            <w:r>
              <w:rPr>
                <w:rFonts w:hint="eastAsia" w:asciiTheme="minorEastAsia" w:hAnsiTheme="minorEastAsia" w:eastAsiaTheme="minorEastAsia" w:cstheme="minorEastAsia"/>
                <w:snapToGrid w:val="0"/>
                <w:color w:val="000000"/>
                <w:sz w:val="22"/>
                <w:szCs w:val="22"/>
                <w:lang w:val="en-US" w:eastAsia="zh-CN"/>
              </w:rPr>
              <w:t>5</w:t>
            </w:r>
          </w:p>
        </w:tc>
        <w:tc>
          <w:tcPr>
            <w:tcW w:w="711" w:type="pct"/>
            <w:tcBorders>
              <w:bottom w:val="single" w:color="auto" w:sz="4" w:space="0"/>
            </w:tcBorders>
            <w:vAlign w:val="center"/>
          </w:tcPr>
          <w:p w14:paraId="046E9BEF">
            <w:pPr>
              <w:keepNext w:val="0"/>
              <w:keepLines w:val="0"/>
              <w:pageBreakBefore w:val="0"/>
              <w:kinsoku/>
              <w:wordWrap w:val="0"/>
              <w:overflowPunct/>
              <w:topLinePunct w:val="0"/>
              <w:autoSpaceDE/>
              <w:autoSpaceDN/>
              <w:bidi w:val="0"/>
              <w:spacing w:line="300" w:lineRule="auto"/>
              <w:jc w:val="center"/>
              <w:rPr>
                <w:rFonts w:hint="default" w:asciiTheme="minorEastAsia" w:hAnsiTheme="minorEastAsia" w:eastAsiaTheme="minorEastAsia" w:cstheme="minorEastAsia"/>
                <w:snapToGrid w:val="0"/>
                <w:color w:val="000000"/>
                <w:sz w:val="22"/>
                <w:szCs w:val="22"/>
                <w:lang w:val="en-US" w:eastAsia="zh-CN"/>
              </w:rPr>
            </w:pPr>
            <w:r>
              <w:rPr>
                <w:rFonts w:hint="eastAsia" w:asciiTheme="minorEastAsia" w:hAnsiTheme="minorEastAsia" w:eastAsiaTheme="minorEastAsia" w:cstheme="minorEastAsia"/>
                <w:snapToGrid w:val="0"/>
                <w:color w:val="000000"/>
                <w:sz w:val="22"/>
                <w:szCs w:val="22"/>
                <w:lang w:val="en-US" w:eastAsia="zh-CN"/>
              </w:rPr>
              <w:t>54</w:t>
            </w:r>
          </w:p>
        </w:tc>
        <w:tc>
          <w:tcPr>
            <w:tcW w:w="888" w:type="pct"/>
            <w:tcBorders>
              <w:bottom w:val="single" w:color="auto" w:sz="4" w:space="0"/>
              <w:right w:val="single" w:color="auto" w:sz="4" w:space="0"/>
            </w:tcBorders>
            <w:vAlign w:val="center"/>
          </w:tcPr>
          <w:p w14:paraId="4E86F8D1">
            <w:pPr>
              <w:keepNext w:val="0"/>
              <w:keepLines w:val="0"/>
              <w:pageBreakBefore w:val="0"/>
              <w:kinsoku/>
              <w:wordWrap w:val="0"/>
              <w:overflowPunct/>
              <w:topLinePunct w:val="0"/>
              <w:autoSpaceDE/>
              <w:autoSpaceDN/>
              <w:bidi w:val="0"/>
              <w:spacing w:line="300" w:lineRule="auto"/>
              <w:jc w:val="center"/>
              <w:rPr>
                <w:rFonts w:hint="eastAsia" w:asciiTheme="minorEastAsia" w:hAnsiTheme="minorEastAsia" w:eastAsiaTheme="minorEastAsia" w:cstheme="minorEastAsia"/>
                <w:snapToGrid w:val="0"/>
                <w:color w:val="000000"/>
                <w:sz w:val="22"/>
                <w:szCs w:val="22"/>
                <w:lang w:eastAsia="en-US"/>
              </w:rPr>
            </w:pPr>
          </w:p>
        </w:tc>
      </w:tr>
    </w:tbl>
    <w:p w14:paraId="6BDA4951">
      <w:pPr>
        <w:keepNext w:val="0"/>
        <w:keepLines w:val="0"/>
        <w:pageBreakBefore w:val="0"/>
        <w:kinsoku/>
        <w:wordWrap w:val="0"/>
        <w:overflowPunct/>
        <w:topLinePunct w:val="0"/>
        <w:autoSpaceDE/>
        <w:autoSpaceDN/>
        <w:bidi w:val="0"/>
        <w:spacing w:before="42" w:line="300" w:lineRule="auto"/>
        <w:ind w:firstLine="416" w:firstLineChars="200"/>
        <w:rPr>
          <w:rFonts w:hint="eastAsia" w:ascii="宋体" w:hAnsi="宋体" w:cs="宋体"/>
          <w:spacing w:val="-1"/>
        </w:rPr>
      </w:pPr>
    </w:p>
    <w:p w14:paraId="48DF3F6D">
      <w:pPr>
        <w:keepNext w:val="0"/>
        <w:keepLines w:val="0"/>
        <w:pageBreakBefore w:val="0"/>
        <w:kinsoku/>
        <w:wordWrap w:val="0"/>
        <w:overflowPunct/>
        <w:topLinePunct w:val="0"/>
        <w:autoSpaceDE/>
        <w:autoSpaceDN/>
        <w:bidi w:val="0"/>
        <w:spacing w:before="42" w:line="300" w:lineRule="auto"/>
        <w:ind w:firstLine="416" w:firstLineChars="200"/>
        <w:rPr>
          <w:rFonts w:hint="eastAsia" w:ascii="宋体" w:hAnsi="宋体" w:cs="宋体"/>
          <w:spacing w:val="-1"/>
        </w:rPr>
      </w:pPr>
      <w:r>
        <w:rPr>
          <w:rFonts w:ascii="宋体" w:hAnsi="宋体" w:cs="宋体"/>
          <w:spacing w:val="-1"/>
        </w:rPr>
        <w:t>备注：</w:t>
      </w:r>
    </w:p>
    <w:p w14:paraId="71464651">
      <w:pPr>
        <w:keepNext w:val="0"/>
        <w:keepLines w:val="0"/>
        <w:pageBreakBefore w:val="0"/>
        <w:kinsoku/>
        <w:wordWrap w:val="0"/>
        <w:overflowPunct/>
        <w:topLinePunct w:val="0"/>
        <w:autoSpaceDE/>
        <w:autoSpaceDN/>
        <w:bidi w:val="0"/>
        <w:spacing w:before="42" w:line="300" w:lineRule="auto"/>
        <w:ind w:firstLine="416" w:firstLineChars="200"/>
        <w:rPr>
          <w:rFonts w:hint="eastAsia" w:ascii="宋体" w:hAnsi="宋体" w:cs="宋体"/>
          <w:spacing w:val="-1"/>
        </w:rPr>
      </w:pPr>
      <w:r>
        <w:rPr>
          <w:rFonts w:hint="eastAsia" w:ascii="宋体" w:hAnsi="宋体" w:cs="宋体"/>
          <w:spacing w:val="-1"/>
        </w:rPr>
        <w:t>1.本公示表的数据根据辖区雪茄烟零售点布局规划实行定期评价、动态管理。</w:t>
      </w:r>
    </w:p>
    <w:p w14:paraId="6D146DCE">
      <w:pPr>
        <w:keepNext w:val="0"/>
        <w:keepLines w:val="0"/>
        <w:pageBreakBefore w:val="0"/>
        <w:kinsoku/>
        <w:wordWrap w:val="0"/>
        <w:overflowPunct/>
        <w:topLinePunct w:val="0"/>
        <w:autoSpaceDE/>
        <w:autoSpaceDN/>
        <w:bidi w:val="0"/>
        <w:spacing w:before="42" w:line="300" w:lineRule="auto"/>
        <w:ind w:left="420" w:leftChars="200"/>
        <w:rPr>
          <w:rFonts w:hint="eastAsia" w:ascii="宋体" w:hAnsi="宋体" w:cs="宋体"/>
          <w:spacing w:val="-1"/>
        </w:rPr>
      </w:pPr>
      <w:r>
        <w:rPr>
          <w:rFonts w:hint="eastAsia" w:ascii="宋体" w:hAnsi="宋体" w:cs="宋体"/>
          <w:spacing w:val="-1"/>
        </w:rPr>
        <w:t>2.每年度初根据上年度末辖区烟草制品零售点总数对本表中的数据进行动态调整，规划数相应进行动态更新，以每年度首次公示的数据为准。</w:t>
      </w:r>
    </w:p>
    <w:p w14:paraId="59838EAC">
      <w:pPr>
        <w:keepNext w:val="0"/>
        <w:keepLines w:val="0"/>
        <w:pageBreakBefore w:val="0"/>
        <w:kinsoku/>
        <w:wordWrap w:val="0"/>
        <w:overflowPunct/>
        <w:topLinePunct w:val="0"/>
        <w:autoSpaceDE/>
        <w:autoSpaceDN/>
        <w:bidi w:val="0"/>
        <w:spacing w:line="300" w:lineRule="auto"/>
        <w:ind w:firstLine="416" w:firstLineChars="200"/>
        <w:rPr>
          <w:rFonts w:ascii="仿宋_GB2312" w:eastAsia="仿宋_GB2312" w:cs="仿宋_GB2312"/>
          <w:color w:val="000000"/>
          <w:sz w:val="31"/>
          <w:szCs w:val="31"/>
        </w:rPr>
      </w:pPr>
      <w:r>
        <w:rPr>
          <w:rFonts w:hint="eastAsia" w:ascii="宋体" w:hAnsi="宋体" w:cs="宋体"/>
          <w:spacing w:val="-1"/>
        </w:rPr>
        <w:t>3.本数据由澄江市烟草专卖局负责解释，咨询电话：</w:t>
      </w:r>
      <w:r>
        <w:rPr>
          <w:rFonts w:ascii="宋体" w:hAnsi="宋体" w:cs="宋体"/>
          <w:spacing w:val="-1"/>
        </w:rPr>
        <w:t>087</w:t>
      </w:r>
      <w:r>
        <w:rPr>
          <w:rFonts w:hint="eastAsia" w:ascii="宋体" w:hAnsi="宋体" w:cs="宋体"/>
          <w:spacing w:val="-1"/>
        </w:rPr>
        <w:t>7</w:t>
      </w:r>
      <w:r>
        <w:rPr>
          <w:rFonts w:ascii="宋体" w:hAnsi="宋体" w:cs="宋体"/>
          <w:spacing w:val="-1"/>
        </w:rPr>
        <w:t>-</w:t>
      </w:r>
      <w:r>
        <w:rPr>
          <w:rFonts w:hint="eastAsia" w:ascii="宋体" w:hAnsi="宋体" w:cs="宋体"/>
          <w:spacing w:val="-1"/>
        </w:rPr>
        <w:t>6911740。</w:t>
      </w:r>
    </w:p>
    <w:p w14:paraId="2007E025">
      <w:pPr>
        <w:keepNext w:val="0"/>
        <w:keepLines w:val="0"/>
        <w:pageBreakBefore w:val="0"/>
        <w:kinsoku/>
        <w:wordWrap w:val="0"/>
        <w:overflowPunct/>
        <w:topLinePunct w:val="0"/>
        <w:autoSpaceDE/>
        <w:autoSpaceDN/>
        <w:bidi w:val="0"/>
        <w:spacing w:before="104" w:line="300" w:lineRule="auto"/>
        <w:rPr>
          <w:rFonts w:hint="eastAsia" w:ascii="黑体" w:hAnsi="黑体" w:eastAsia="黑体" w:cs="黑体"/>
          <w:spacing w:val="8"/>
          <w:sz w:val="32"/>
          <w:szCs w:val="32"/>
        </w:rPr>
        <w:sectPr>
          <w:pgSz w:w="16838" w:h="11906" w:orient="landscape"/>
          <w:pgMar w:top="1531" w:right="2098" w:bottom="1531" w:left="1985" w:header="851" w:footer="992" w:gutter="0"/>
          <w:cols w:space="0" w:num="1"/>
          <w:docGrid w:type="linesAndChars" w:linePitch="312" w:charSpace="0"/>
        </w:sectPr>
      </w:pPr>
    </w:p>
    <w:p w14:paraId="1B824B0B">
      <w:pPr>
        <w:keepNext w:val="0"/>
        <w:keepLines w:val="0"/>
        <w:pageBreakBefore w:val="0"/>
        <w:kinsoku/>
        <w:wordWrap w:val="0"/>
        <w:overflowPunct/>
        <w:topLinePunct w:val="0"/>
        <w:autoSpaceDE/>
        <w:autoSpaceDN/>
        <w:bidi w:val="0"/>
        <w:spacing w:before="104" w:line="300" w:lineRule="auto"/>
        <w:rPr>
          <w:rFonts w:ascii="方正小标宋简体" w:eastAsia="方正小标宋简体"/>
          <w:b/>
          <w:bCs/>
          <w:sz w:val="44"/>
          <w:szCs w:val="44"/>
        </w:rPr>
      </w:pPr>
      <w:r>
        <w:rPr>
          <w:rFonts w:hint="eastAsia" w:ascii="黑体" w:hAnsi="黑体" w:eastAsia="黑体" w:cs="黑体"/>
          <w:spacing w:val="8"/>
          <w:sz w:val="32"/>
          <w:szCs w:val="32"/>
        </w:rPr>
        <w:t>附件5</w:t>
      </w:r>
    </w:p>
    <w:p w14:paraId="22D2EE13">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云南省澄江市烟草制品零售点</w:t>
      </w:r>
    </w:p>
    <w:p w14:paraId="061960E3">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合理布局规划数动态调整管理制度</w:t>
      </w:r>
    </w:p>
    <w:p w14:paraId="1FA08F7B">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澄江市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383C2E81">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根据《云南省澄江市烟草制品零售点合理布局规划》，澄江市</w:t>
      </w:r>
      <w:r>
        <w:rPr>
          <w:rFonts w:hint="eastAsia" w:ascii="仿宋_GB2312" w:hAnsi="仿宋_GB2312" w:eastAsia="仿宋_GB2312" w:cs="仿宋_GB2312"/>
          <w:sz w:val="32"/>
          <w:szCs w:val="32"/>
        </w:rPr>
        <w:t>烟草专卖局每季度根据本地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423D00C4">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零售点合理布局规划数动态调整情况应提交澄江市</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五日内通过政府网站、行业网站及政务服务大厅等平台公示《云南省澄江市烟草制品零售点合理布局公示表》，同时报上一级烟草专卖局备案。</w:t>
      </w:r>
    </w:p>
    <w:p w14:paraId="7E4000DE">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48349CC5">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楷体" w:hAnsi="楷体" w:eastAsia="楷体" w:cs="楷体"/>
          <w:sz w:val="32"/>
          <w:szCs w:val="32"/>
        </w:rPr>
      </w:pPr>
      <w:r>
        <w:rPr>
          <w:rFonts w:hint="eastAsia" w:ascii="仿宋_GB2312" w:hAnsi="仿宋_GB2312" w:eastAsia="仿宋_GB2312" w:cs="仿宋_GB2312"/>
          <w:sz w:val="32"/>
          <w:szCs w:val="32"/>
        </w:rPr>
        <w:t>澄江市烟草专卖局每年年底向上一级烟草专卖局报告本年度烟草制品零售点合理布局规划数动态调整工作执行情况。</w:t>
      </w:r>
    </w:p>
    <w:p w14:paraId="20AAC13F">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04E5C0E2">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本制度由澄江市烟草专卖局负责解释。</w:t>
      </w:r>
    </w:p>
    <w:p w14:paraId="38D7B3CE">
      <w:pPr>
        <w:keepNext w:val="0"/>
        <w:keepLines w:val="0"/>
        <w:pageBreakBefore w:val="0"/>
        <w:widowControl w:val="0"/>
        <w:numPr>
          <w:ilvl w:val="2"/>
          <w:numId w:val="5"/>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本制度自《云南省澄江市烟草制品零售点合理布局规划》实施之日起同时施行。</w:t>
      </w:r>
    </w:p>
    <w:p w14:paraId="05A5433A">
      <w:pPr>
        <w:keepNext w:val="0"/>
        <w:keepLines w:val="0"/>
        <w:pageBreakBefore w:val="0"/>
        <w:widowControl w:val="0"/>
        <w:kinsoku/>
        <w:wordWrap w:val="0"/>
        <w:overflowPunct/>
        <w:topLinePunct w:val="0"/>
        <w:autoSpaceDE/>
        <w:autoSpaceDN/>
        <w:bidi w:val="0"/>
        <w:spacing w:after="0" w:line="336"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0978563">
      <w:pPr>
        <w:keepNext w:val="0"/>
        <w:keepLines w:val="0"/>
        <w:pageBreakBefore w:val="0"/>
        <w:kinsoku/>
        <w:wordWrap w:val="0"/>
        <w:overflowPunct/>
        <w:topLinePunct w:val="0"/>
        <w:autoSpaceDE/>
        <w:autoSpaceDN/>
        <w:bidi w:val="0"/>
        <w:spacing w:before="104" w:line="300" w:lineRule="auto"/>
        <w:rPr>
          <w:rFonts w:hint="eastAsia" w:ascii="黑体" w:hAnsi="黑体" w:eastAsia="黑体" w:cs="黑体"/>
          <w:spacing w:val="8"/>
          <w:sz w:val="32"/>
          <w:szCs w:val="32"/>
        </w:rPr>
      </w:pPr>
      <w:r>
        <w:rPr>
          <w:rFonts w:hint="eastAsia" w:ascii="黑体" w:hAnsi="黑体" w:eastAsia="黑体" w:cs="黑体"/>
          <w:spacing w:val="8"/>
          <w:sz w:val="32"/>
          <w:szCs w:val="32"/>
        </w:rPr>
        <w:t>附件6</w:t>
      </w:r>
    </w:p>
    <w:p w14:paraId="57ABC4C7">
      <w:pPr>
        <w:keepNext w:val="0"/>
        <w:keepLines w:val="0"/>
        <w:pageBreakBefore w:val="0"/>
        <w:kinsoku/>
        <w:wordWrap w:val="0"/>
        <w:overflowPunct/>
        <w:topLinePunct w:val="0"/>
        <w:autoSpaceDE/>
        <w:autoSpaceDN/>
        <w:bidi w:val="0"/>
        <w:snapToGrid w:val="0"/>
        <w:spacing w:line="300" w:lineRule="auto"/>
        <w:jc w:val="center"/>
        <w:rPr>
          <w:rFonts w:ascii="方正小标宋简体" w:eastAsia="方正小标宋简体"/>
          <w:sz w:val="44"/>
          <w:szCs w:val="44"/>
        </w:rPr>
      </w:pPr>
      <w:r>
        <w:rPr>
          <w:rFonts w:hint="eastAsia" w:ascii="方正小标宋简体" w:eastAsia="方正小标宋简体"/>
          <w:sz w:val="44"/>
          <w:szCs w:val="44"/>
        </w:rPr>
        <w:t>云南省澄江市烟草制品</w:t>
      </w:r>
    </w:p>
    <w:p w14:paraId="5E0E1898">
      <w:pPr>
        <w:keepNext w:val="0"/>
        <w:keepLines w:val="0"/>
        <w:pageBreakBefore w:val="0"/>
        <w:kinsoku/>
        <w:wordWrap w:val="0"/>
        <w:overflowPunct/>
        <w:topLinePunct w:val="0"/>
        <w:autoSpaceDE/>
        <w:autoSpaceDN/>
        <w:bidi w:val="0"/>
        <w:snapToGrid w:val="0"/>
        <w:spacing w:line="300" w:lineRule="auto"/>
        <w:jc w:val="center"/>
        <w:rPr>
          <w:rFonts w:hint="eastAsia" w:ascii="仿宋_GB2312" w:hAnsi="仿宋_GB2312" w:eastAsia="仿宋_GB2312" w:cs="仿宋_GB2312"/>
          <w:sz w:val="32"/>
          <w:szCs w:val="32"/>
        </w:rPr>
      </w:pPr>
      <w:r>
        <w:rPr>
          <w:rFonts w:hint="eastAsia" w:ascii="方正小标宋简体" w:eastAsia="方正小标宋简体"/>
          <w:sz w:val="44"/>
          <w:szCs w:val="44"/>
        </w:rPr>
        <w:t>零售点排队轮候制度</w:t>
      </w:r>
    </w:p>
    <w:p w14:paraId="5827F26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云南省澄江市烟草制品零售点合理布局规划》，根据《中华人民共和国行政许可法》《烟草专卖许可证管理办法》《烟草专卖许可证管理办法实施细则》等法律法规规章和规范性文件的规定，结合澄江市实际，制定本制度。</w:t>
      </w:r>
    </w:p>
    <w:p w14:paraId="6E6E638F">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本制度适用于云南省澄江市行政辖区烟草制品零售点新办申请排队轮候管理。</w:t>
      </w:r>
    </w:p>
    <w:p w14:paraId="47566460">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黑体" w:hAnsi="黑体" w:eastAsia="黑体" w:cs="黑体"/>
          <w:sz w:val="32"/>
          <w:szCs w:val="32"/>
        </w:rPr>
      </w:pPr>
      <w:r>
        <w:rPr>
          <w:rFonts w:hint="eastAsia" w:ascii="仿宋_GB2312" w:hAnsi="仿宋_GB2312" w:eastAsia="仿宋_GB2312" w:cs="仿宋_GB2312"/>
          <w:kern w:val="28"/>
          <w:sz w:val="32"/>
          <w:szCs w:val="32"/>
        </w:rPr>
        <w:t>本市</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197C92AD">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本市</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最小单元网格的合理容量公示情况，对符合排队轮候情形的最小单元网格，发证机关采取集中抽签方式确定该最小单元网格首次排队轮候顺序。</w:t>
      </w:r>
    </w:p>
    <w:p w14:paraId="39255E92">
      <w:pPr>
        <w:keepNext w:val="0"/>
        <w:keepLines w:val="0"/>
        <w:pageBreakBefore w:val="0"/>
        <w:widowControl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0DB57CB8">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仿宋_GB2312" w:eastAsia="仿宋_GB2312" w:cs="仿宋_GB2312"/>
          <w:kern w:val="28"/>
          <w:sz w:val="32"/>
          <w:szCs w:val="32"/>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p>
    <w:p w14:paraId="3E89B06B">
      <w:pPr>
        <w:keepNext w:val="0"/>
        <w:keepLines w:val="0"/>
        <w:pageBreakBefore w:val="0"/>
        <w:widowControl w:val="0"/>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仿宋_GB2312" w:eastAsia="仿宋_GB2312" w:cs="仿宋_GB2312"/>
          <w:kern w:val="28"/>
          <w:sz w:val="32"/>
          <w:szCs w:val="32"/>
        </w:rPr>
        <w:t>集中公证抽签现场按照对外发布方案确定最小单元网格首次排队轮候顺序，并在完成集中公证抽签后二个工作日内公示。</w:t>
      </w:r>
    </w:p>
    <w:p w14:paraId="6B95654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楷体" w:hAnsi="楷体" w:eastAsia="楷体" w:cs="楷体"/>
          <w:sz w:val="32"/>
          <w:szCs w:val="32"/>
        </w:rPr>
      </w:pPr>
      <w:r>
        <w:rPr>
          <w:rFonts w:hint="eastAsia" w:ascii="仿宋_GB2312" w:hAnsi="仿宋_GB2312" w:eastAsia="仿宋_GB2312" w:cs="仿宋_GB2312"/>
          <w:sz w:val="32"/>
          <w:szCs w:val="32"/>
        </w:rPr>
        <w:t>零售点排队轮候采取最小单元网格管理。自愿加入排队轮候的申请人，应线上填写并提交《云南省澄江市烟草制品零售点排队轮候申请表》（详见附表）。申请人在填报信息时应准确、真实。</w:t>
      </w:r>
    </w:p>
    <w:p w14:paraId="5835E35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p>
    <w:p w14:paraId="297B58F2">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系统未开发前，使用纸质材料登记排队。</w:t>
      </w:r>
    </w:p>
    <w:p w14:paraId="236A964D">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37CD9FA8">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60609107">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4E14A835">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澄江市烟草专卖局每年年底向上一级烟草专卖局报告本年度烟草制品零售点排队轮候管理工作情况。</w:t>
      </w:r>
    </w:p>
    <w:p w14:paraId="167CDAD1">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78404970">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50E3109E">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本制度由澄江市烟草专卖局负责解释。</w:t>
      </w:r>
    </w:p>
    <w:p w14:paraId="358A3DCA">
      <w:pPr>
        <w:keepNext w:val="0"/>
        <w:keepLines w:val="0"/>
        <w:pageBreakBefore w:val="0"/>
        <w:widowControl w:val="0"/>
        <w:numPr>
          <w:ilvl w:val="2"/>
          <w:numId w:val="6"/>
        </w:numPr>
        <w:kinsoku/>
        <w:wordWrap w:val="0"/>
        <w:overflowPunct/>
        <w:topLinePunct w:val="0"/>
        <w:autoSpaceDE/>
        <w:autoSpaceDN/>
        <w:bidi w:val="0"/>
        <w:adjustRightInd w:val="0"/>
        <w:snapToGrid w:val="0"/>
        <w:spacing w:after="0" w:line="336" w:lineRule="auto"/>
        <w:ind w:firstLine="680"/>
        <w:textAlignment w:val="auto"/>
        <w:rPr>
          <w:rFonts w:hint="eastAsia" w:ascii="楷体" w:hAnsi="楷体" w:eastAsia="楷体" w:cs="楷体"/>
          <w:sz w:val="32"/>
          <w:szCs w:val="32"/>
        </w:rPr>
      </w:pPr>
      <w:r>
        <w:rPr>
          <w:rFonts w:hint="eastAsia" w:ascii="仿宋_GB2312" w:hAnsi="仿宋_GB2312" w:eastAsia="仿宋_GB2312" w:cs="仿宋_GB2312"/>
          <w:sz w:val="32"/>
          <w:szCs w:val="32"/>
        </w:rPr>
        <w:t>本制度自《云南省澄江市烟草制品零售点合理布局规划》实施之日起同时施行。</w:t>
      </w:r>
    </w:p>
    <w:p w14:paraId="57B4ACAE">
      <w:pPr>
        <w:keepNext w:val="0"/>
        <w:keepLines w:val="0"/>
        <w:pageBreakBefore w:val="0"/>
        <w:widowControl w:val="0"/>
        <w:kinsoku/>
        <w:wordWrap w:val="0"/>
        <w:overflowPunct/>
        <w:topLinePunct w:val="0"/>
        <w:autoSpaceDE/>
        <w:autoSpaceDN/>
        <w:bidi w:val="0"/>
        <w:adjustRightInd w:val="0"/>
        <w:snapToGrid w:val="0"/>
        <w:spacing w:after="0" w:line="336" w:lineRule="auto"/>
        <w:ind w:left="402" w:firstLine="640" w:firstLineChars="200"/>
        <w:textAlignment w:val="auto"/>
        <w:rPr>
          <w:rFonts w:hint="eastAsia" w:ascii="仿宋_GB2312" w:hAnsi="仿宋_GB2312" w:eastAsia="仿宋_GB2312" w:cs="仿宋_GB2312"/>
          <w:sz w:val="32"/>
          <w:szCs w:val="32"/>
        </w:rPr>
      </w:pPr>
    </w:p>
    <w:p w14:paraId="145C3305">
      <w:pPr>
        <w:keepNext w:val="0"/>
        <w:keepLines w:val="0"/>
        <w:pageBreakBefore w:val="0"/>
        <w:widowControl w:val="0"/>
        <w:kinsoku/>
        <w:wordWrap w:val="0"/>
        <w:overflowPunct/>
        <w:topLinePunct w:val="0"/>
        <w:autoSpaceDE/>
        <w:autoSpaceDN/>
        <w:bidi w:val="0"/>
        <w:adjustRightInd w:val="0"/>
        <w:snapToGrid w:val="0"/>
        <w:spacing w:after="0" w:line="336" w:lineRule="auto"/>
        <w:ind w:left="402"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附表：云南省澄江市烟草制品零售点排队轮候申请表</w:t>
      </w:r>
    </w:p>
    <w:p w14:paraId="1E811457">
      <w:pPr>
        <w:keepNext w:val="0"/>
        <w:keepLines w:val="0"/>
        <w:pageBreakBefore w:val="0"/>
        <w:widowControl/>
        <w:kinsoku/>
        <w:wordWrap w:val="0"/>
        <w:overflowPunct/>
        <w:topLinePunct w:val="0"/>
        <w:autoSpaceDE/>
        <w:autoSpaceDN/>
        <w:bidi w:val="0"/>
        <w:spacing w:line="300" w:lineRule="auto"/>
        <w:jc w:val="left"/>
        <w:rPr>
          <w:rFonts w:hint="eastAsia" w:ascii="黑体" w:hAnsi="黑体" w:eastAsia="黑体" w:cs="黑体"/>
          <w:sz w:val="32"/>
          <w:szCs w:val="32"/>
        </w:rPr>
      </w:pPr>
      <w:r>
        <w:rPr>
          <w:rFonts w:ascii="黑体" w:hAnsi="黑体" w:eastAsia="黑体" w:cs="黑体"/>
          <w:sz w:val="32"/>
          <w:szCs w:val="32"/>
        </w:rPr>
        <w:br w:type="page"/>
      </w:r>
    </w:p>
    <w:p w14:paraId="5B0AC627">
      <w:pPr>
        <w:keepNext w:val="0"/>
        <w:keepLines w:val="0"/>
        <w:pageBreakBefore w:val="0"/>
        <w:kinsoku/>
        <w:wordWrap w:val="0"/>
        <w:overflowPunct/>
        <w:topLinePunct w:val="0"/>
        <w:autoSpaceDE/>
        <w:autoSpaceDN/>
        <w:bidi w:val="0"/>
        <w:spacing w:line="300" w:lineRule="auto"/>
        <w:rPr>
          <w:rFonts w:hint="eastAsia" w:ascii="黑体" w:hAnsi="黑体" w:eastAsia="黑体" w:cs="黑体"/>
          <w:sz w:val="32"/>
          <w:szCs w:val="32"/>
        </w:rPr>
        <w:sectPr>
          <w:pgSz w:w="11906" w:h="16838"/>
          <w:pgMar w:top="1928" w:right="1531" w:bottom="1814" w:left="1531" w:header="851" w:footer="992" w:gutter="0"/>
          <w:cols w:space="0" w:num="1"/>
          <w:docGrid w:type="lines" w:linePitch="312" w:charSpace="0"/>
        </w:sectPr>
      </w:pPr>
    </w:p>
    <w:p w14:paraId="760C9E88">
      <w:pPr>
        <w:keepNext w:val="0"/>
        <w:keepLines w:val="0"/>
        <w:pageBreakBefore w:val="0"/>
        <w:kinsoku/>
        <w:wordWrap w:val="0"/>
        <w:overflowPunct/>
        <w:topLinePunct w:val="0"/>
        <w:autoSpaceDE/>
        <w:autoSpaceDN/>
        <w:bidi w:val="0"/>
        <w:spacing w:line="300" w:lineRule="auto"/>
        <w:rPr>
          <w:rFonts w:hint="eastAsia" w:ascii="黑体" w:hAnsi="黑体" w:eastAsia="黑体" w:cs="黑体"/>
          <w:sz w:val="44"/>
          <w:szCs w:val="44"/>
        </w:rPr>
      </w:pPr>
      <w:r>
        <w:rPr>
          <w:rFonts w:hint="eastAsia" w:ascii="黑体" w:hAnsi="黑体" w:eastAsia="黑体" w:cs="黑体"/>
          <w:sz w:val="32"/>
          <w:szCs w:val="32"/>
        </w:rPr>
        <w:t>附表</w:t>
      </w:r>
    </w:p>
    <w:p w14:paraId="1EEF9E6C">
      <w:pPr>
        <w:keepNext w:val="0"/>
        <w:keepLines w:val="0"/>
        <w:pageBreakBefore w:val="0"/>
        <w:kinsoku/>
        <w:wordWrap w:val="0"/>
        <w:overflowPunct/>
        <w:topLinePunct w:val="0"/>
        <w:autoSpaceDE/>
        <w:autoSpaceDN/>
        <w:bidi w:val="0"/>
        <w:spacing w:line="300" w:lineRule="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云南省澄江市烟草制品零售点排队轮候申请表</w:t>
      </w:r>
    </w:p>
    <w:tbl>
      <w:tblPr>
        <w:tblStyle w:val="11"/>
        <w:tblW w:w="0" w:type="auto"/>
        <w:tblInd w:w="96" w:type="dxa"/>
        <w:tblLayout w:type="fixed"/>
        <w:tblCellMar>
          <w:top w:w="0" w:type="dxa"/>
          <w:left w:w="108" w:type="dxa"/>
          <w:bottom w:w="0" w:type="dxa"/>
          <w:right w:w="108" w:type="dxa"/>
        </w:tblCellMar>
      </w:tblPr>
      <w:tblGrid>
        <w:gridCol w:w="2422"/>
        <w:gridCol w:w="2283"/>
        <w:gridCol w:w="1543"/>
        <w:gridCol w:w="2178"/>
      </w:tblGrid>
      <w:tr w14:paraId="281A2017">
        <w:tblPrEx>
          <w:tblCellMar>
            <w:top w:w="0" w:type="dxa"/>
            <w:left w:w="108" w:type="dxa"/>
            <w:bottom w:w="0" w:type="dxa"/>
            <w:right w:w="108" w:type="dxa"/>
          </w:tblCellMar>
        </w:tblPrEx>
        <w:trPr>
          <w:trHeight w:val="464"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A27EF">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b/>
                <w:bCs/>
                <w:sz w:val="24"/>
              </w:rPr>
            </w:pPr>
            <w:r>
              <w:rPr>
                <w:rFonts w:hint="eastAsia" w:ascii="宋体" w:hAnsi="宋体" w:cs="宋体"/>
                <w:b/>
                <w:bCs/>
                <w:kern w:val="0"/>
                <w:sz w:val="24"/>
                <w:lang w:bidi="ar"/>
              </w:rPr>
              <w:t>申请人基本信息</w:t>
            </w:r>
          </w:p>
        </w:tc>
      </w:tr>
      <w:tr w14:paraId="63379221">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7B906">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7B793">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9E202">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B500B">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7347A155">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0D37E">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7014E">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4BBE8">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61B73">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759AEA02">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E417C">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7A2B4">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A554B">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DE0D">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6926FCEC">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F6F36">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E803E">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29887FF4">
        <w:tblPrEx>
          <w:tblCellMar>
            <w:top w:w="0" w:type="dxa"/>
            <w:left w:w="108" w:type="dxa"/>
            <w:bottom w:w="0" w:type="dxa"/>
            <w:right w:w="108" w:type="dxa"/>
          </w:tblCellMar>
        </w:tblPrEx>
        <w:trPr>
          <w:trHeight w:val="193"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B559B">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b/>
                <w:bCs/>
                <w:sz w:val="24"/>
              </w:rPr>
            </w:pPr>
            <w:r>
              <w:rPr>
                <w:rFonts w:hint="eastAsia" w:ascii="宋体" w:hAnsi="宋体" w:cs="宋体"/>
                <w:b/>
                <w:bCs/>
                <w:kern w:val="0"/>
                <w:sz w:val="24"/>
                <w:lang w:bidi="ar"/>
              </w:rPr>
              <w:t>营业执照基本信息</w:t>
            </w:r>
          </w:p>
        </w:tc>
      </w:tr>
      <w:tr w14:paraId="0A8F8E0B">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60038">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2D564">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068EC2B7">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BF260">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71986">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360FC0B3">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0079D">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BBD0C">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1D4ADE69">
        <w:tblPrEx>
          <w:tblCellMar>
            <w:top w:w="0" w:type="dxa"/>
            <w:left w:w="108" w:type="dxa"/>
            <w:bottom w:w="0" w:type="dxa"/>
            <w:right w:w="108" w:type="dxa"/>
          </w:tblCellMar>
        </w:tblPrEx>
        <w:trPr>
          <w:trHeight w:val="193"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B9B54">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48D99">
            <w:pPr>
              <w:keepNext w:val="0"/>
              <w:keepLines w:val="0"/>
              <w:pageBreakBefore w:val="0"/>
              <w:kinsoku/>
              <w:wordWrap w:val="0"/>
              <w:overflowPunct/>
              <w:topLinePunct w:val="0"/>
              <w:autoSpaceDE/>
              <w:autoSpaceDN/>
              <w:bidi w:val="0"/>
              <w:spacing w:line="300" w:lineRule="auto"/>
              <w:jc w:val="center"/>
              <w:rPr>
                <w:rFonts w:hint="eastAsia" w:ascii="宋体" w:hAnsi="宋体" w:cs="宋体"/>
                <w:sz w:val="24"/>
              </w:rPr>
            </w:pPr>
          </w:p>
        </w:tc>
      </w:tr>
      <w:tr w14:paraId="6D06B2C2">
        <w:tblPrEx>
          <w:tblCellMar>
            <w:top w:w="0" w:type="dxa"/>
            <w:left w:w="108" w:type="dxa"/>
            <w:bottom w:w="0" w:type="dxa"/>
            <w:right w:w="108" w:type="dxa"/>
          </w:tblCellMar>
        </w:tblPrEx>
        <w:trPr>
          <w:trHeight w:val="4753"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E5865AD">
            <w:pPr>
              <w:keepNext w:val="0"/>
              <w:keepLines w:val="0"/>
              <w:pageBreakBefore w:val="0"/>
              <w:widowControl/>
              <w:kinsoku/>
              <w:wordWrap w:val="0"/>
              <w:overflowPunct/>
              <w:topLinePunct w:val="0"/>
              <w:autoSpaceDE/>
              <w:autoSpaceDN/>
              <w:bidi w:val="0"/>
              <w:spacing w:line="300" w:lineRule="auto"/>
              <w:jc w:val="left"/>
              <w:textAlignment w:val="center"/>
              <w:rPr>
                <w:rStyle w:val="23"/>
                <w:rFonts w:hint="default"/>
                <w:color w:val="auto"/>
                <w:lang w:bidi="ar"/>
              </w:rPr>
            </w:pPr>
            <w:r>
              <w:rPr>
                <w:rStyle w:val="23"/>
                <w:rFonts w:hint="default"/>
                <w:color w:val="auto"/>
                <w:lang w:bidi="ar"/>
              </w:rPr>
              <w:t>申请人承诺：</w:t>
            </w:r>
          </w:p>
          <w:p w14:paraId="0F308B25">
            <w:pPr>
              <w:keepNext w:val="0"/>
              <w:keepLines w:val="0"/>
              <w:pageBreakBefore w:val="0"/>
              <w:widowControl/>
              <w:kinsoku/>
              <w:wordWrap w:val="0"/>
              <w:overflowPunct/>
              <w:topLinePunct w:val="0"/>
              <w:autoSpaceDE/>
              <w:autoSpaceDN/>
              <w:bidi w:val="0"/>
              <w:adjustRightInd/>
              <w:snapToGrid/>
              <w:spacing w:line="240" w:lineRule="auto"/>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614BC5EF">
            <w:pPr>
              <w:keepNext w:val="0"/>
              <w:keepLines w:val="0"/>
              <w:pageBreakBefore w:val="0"/>
              <w:widowControl/>
              <w:kinsoku/>
              <w:wordWrap w:val="0"/>
              <w:overflowPunct/>
              <w:topLinePunct w:val="0"/>
              <w:autoSpaceDE/>
              <w:autoSpaceDN/>
              <w:bidi w:val="0"/>
              <w:adjustRightInd/>
              <w:snapToGrid/>
              <w:spacing w:line="240" w:lineRule="auto"/>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2.申请人所提交的预登记信息确保与到号办理时提交的办证信息一致，若不一致的，申请人应重新登记轮候；</w:t>
            </w:r>
          </w:p>
          <w:p w14:paraId="130FD7A3">
            <w:pPr>
              <w:keepNext w:val="0"/>
              <w:keepLines w:val="0"/>
              <w:pageBreakBefore w:val="0"/>
              <w:widowControl/>
              <w:kinsoku/>
              <w:wordWrap w:val="0"/>
              <w:overflowPunct/>
              <w:topLinePunct w:val="0"/>
              <w:autoSpaceDE/>
              <w:autoSpaceDN/>
              <w:bidi w:val="0"/>
              <w:adjustRightInd/>
              <w:snapToGrid/>
              <w:spacing w:line="240" w:lineRule="auto"/>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25C20F2C">
            <w:pPr>
              <w:keepNext w:val="0"/>
              <w:keepLines w:val="0"/>
              <w:pageBreakBefore w:val="0"/>
              <w:widowControl/>
              <w:kinsoku/>
              <w:wordWrap w:val="0"/>
              <w:overflowPunct/>
              <w:topLinePunct w:val="0"/>
              <w:autoSpaceDE/>
              <w:autoSpaceDN/>
              <w:bidi w:val="0"/>
              <w:spacing w:line="300" w:lineRule="auto"/>
              <w:ind w:firstLine="480" w:firstLineChars="200"/>
              <w:jc w:val="left"/>
              <w:textAlignment w:val="center"/>
              <w:rPr>
                <w:rFonts w:hint="eastAsia" w:ascii="宋体" w:hAnsi="宋体" w:cs="宋体"/>
                <w:b/>
                <w:bCs/>
                <w:sz w:val="24"/>
              </w:rPr>
            </w:pPr>
            <w:r>
              <w:rPr>
                <w:rStyle w:val="23"/>
                <w:rFonts w:hint="default"/>
                <w:color w:val="auto"/>
                <w:lang w:bidi="ar"/>
              </w:rPr>
              <w:t>申请人或代理人（签名或印章）：</w:t>
            </w:r>
            <w:r>
              <w:rPr>
                <w:rStyle w:val="24"/>
                <w:rFonts w:hint="default"/>
                <w:color w:val="auto"/>
                <w:lang w:bidi="ar"/>
              </w:rPr>
              <w:t xml:space="preserve">        </w:t>
            </w:r>
            <w:r>
              <w:rPr>
                <w:rStyle w:val="23"/>
                <w:rFonts w:hint="default"/>
                <w:color w:val="auto"/>
                <w:lang w:bidi="ar"/>
              </w:rPr>
              <w:t xml:space="preserve">                           </w:t>
            </w:r>
          </w:p>
        </w:tc>
      </w:tr>
      <w:tr w14:paraId="35B1A314">
        <w:tblPrEx>
          <w:tblCellMar>
            <w:top w:w="0" w:type="dxa"/>
            <w:left w:w="108" w:type="dxa"/>
            <w:bottom w:w="0" w:type="dxa"/>
            <w:right w:w="108" w:type="dxa"/>
          </w:tblCellMar>
        </w:tblPrEx>
        <w:trPr>
          <w:trHeight w:val="56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731B2">
            <w:pPr>
              <w:keepNext w:val="0"/>
              <w:keepLines w:val="0"/>
              <w:pageBreakBefore w:val="0"/>
              <w:widowControl/>
              <w:kinsoku/>
              <w:wordWrap w:val="0"/>
              <w:overflowPunct/>
              <w:topLinePunct w:val="0"/>
              <w:autoSpaceDE/>
              <w:autoSpaceDN/>
              <w:bidi w:val="0"/>
              <w:spacing w:line="300" w:lineRule="auto"/>
              <w:jc w:val="center"/>
              <w:textAlignment w:val="center"/>
              <w:rPr>
                <w:rFonts w:hint="eastAsia"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11E7C6">
            <w:pPr>
              <w:keepNext w:val="0"/>
              <w:keepLines w:val="0"/>
              <w:pageBreakBefore w:val="0"/>
              <w:kinsoku/>
              <w:wordWrap w:val="0"/>
              <w:overflowPunct/>
              <w:topLinePunct w:val="0"/>
              <w:autoSpaceDE/>
              <w:autoSpaceDN/>
              <w:bidi w:val="0"/>
              <w:spacing w:line="300" w:lineRule="auto"/>
              <w:jc w:val="center"/>
              <w:rPr>
                <w:rFonts w:hint="eastAsia" w:ascii="宋体" w:hAnsi="宋体" w:cs="宋体"/>
                <w:b/>
                <w:bCs/>
                <w:sz w:val="24"/>
              </w:rPr>
            </w:pPr>
          </w:p>
        </w:tc>
      </w:tr>
    </w:tbl>
    <w:p w14:paraId="4D91CA68">
      <w:pPr>
        <w:keepNext w:val="0"/>
        <w:keepLines w:val="0"/>
        <w:pageBreakBefore w:val="0"/>
        <w:kinsoku/>
        <w:wordWrap w:val="0"/>
        <w:overflowPunct/>
        <w:topLinePunct w:val="0"/>
        <w:autoSpaceDE/>
        <w:autoSpaceDN/>
        <w:bidi w:val="0"/>
        <w:snapToGrid w:val="0"/>
        <w:spacing w:line="300" w:lineRule="auto"/>
        <w:textAlignment w:val="baseline"/>
        <w:rPr>
          <w:rFonts w:eastAsia="仿宋_GB2312"/>
          <w:sz w:val="32"/>
          <w:szCs w:val="32"/>
        </w:rPr>
      </w:pPr>
    </w:p>
    <w:sectPr>
      <w:pgSz w:w="11906" w:h="16838"/>
      <w:pgMar w:top="1814" w:right="1531" w:bottom="1701" w:left="1531" w:header="851" w:footer="992" w:gutter="0"/>
      <w:cols w:space="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FA3DC4-E4F0-4E50-8DCB-40B2A59FF4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2" w:fontKey="{A596421A-DF8D-4CB3-A240-34A0C58943AC}"/>
  </w:font>
  <w:font w:name="等线 Light">
    <w:panose1 w:val="02010600030101010101"/>
    <w:charset w:val="86"/>
    <w:family w:val="auto"/>
    <w:pitch w:val="default"/>
    <w:sig w:usb0="A00002BF" w:usb1="38CF7CFA" w:usb2="00000016" w:usb3="00000000" w:csb0="0004000F" w:csb1="00000000"/>
  </w:font>
  <w:font w:name="方正仿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FAFFF897-AADF-4F71-8756-FBF455FA880B}"/>
  </w:font>
  <w:font w:name="楷体">
    <w:panose1 w:val="02010609060101010101"/>
    <w:charset w:val="86"/>
    <w:family w:val="modern"/>
    <w:pitch w:val="default"/>
    <w:sig w:usb0="800002BF" w:usb1="38CF7CFA" w:usb2="00000016" w:usb3="00000000" w:csb0="00040001" w:csb1="00000000"/>
    <w:embedRegular r:id="rId4" w:fontKey="{FD5E92FE-ED92-44D1-8C78-40B27C7AD26D}"/>
  </w:font>
  <w:font w:name="方正仿宋_GB2312">
    <w:panose1 w:val="02000000000000000000"/>
    <w:charset w:val="86"/>
    <w:family w:val="auto"/>
    <w:pitch w:val="default"/>
    <w:sig w:usb0="A00002BF" w:usb1="184F6CFA" w:usb2="00000012" w:usb3="00000000" w:csb0="00040001" w:csb1="00000000"/>
    <w:embedRegular r:id="rId5" w:fontKey="{E71C9219-4D90-410A-BE2C-DB08121E6D2C}"/>
  </w:font>
  <w:font w:name="Arial Unicode MS">
    <w:panose1 w:val="020B0604020202020204"/>
    <w:charset w:val="86"/>
    <w:family w:val="auto"/>
    <w:pitch w:val="default"/>
    <w:sig w:usb0="FFFFFFFF" w:usb1="E9FFFFFF" w:usb2="0000003F" w:usb3="00000000" w:csb0="603F01FF" w:csb1="FFFF0000"/>
    <w:embedRegular r:id="rId6" w:fontKey="{0040942D-596E-419C-9DE6-813B585A10DB}"/>
  </w:font>
  <w:font w:name="楷体_GB2312">
    <w:panose1 w:val="02010609030101010101"/>
    <w:charset w:val="86"/>
    <w:family w:val="modern"/>
    <w:pitch w:val="default"/>
    <w:sig w:usb0="00000001" w:usb1="080E0000" w:usb2="00000000" w:usb3="00000000" w:csb0="00040000" w:csb1="00000000"/>
    <w:embedRegular r:id="rId7" w:fontKey="{95B76E07-932F-4D71-B570-37043C915C0B}"/>
  </w:font>
  <w:font w:name="WPSEMBED1">
    <w:panose1 w:val="02000000000000000000"/>
    <w:charset w:val="86"/>
    <w:family w:val="auto"/>
    <w:pitch w:val="default"/>
    <w:sig w:usb0="A00002BF" w:usb1="184F6CFA" w:usb2="00000012" w:usb3="00000000" w:csb0="00040001"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B6D1F">
    <w:pPr>
      <w:spacing w:before="1" w:line="175" w:lineRule="auto"/>
      <w:ind w:left="7991" w:firstLine="560"/>
      <w:rPr>
        <w:rFonts w:hint="eastAsia" w:ascii="宋体" w:hAnsi="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D1B3A">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4D2D1B3A">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BDAE5">
    <w:pPr>
      <w:spacing w:before="1" w:line="177" w:lineRule="auto"/>
      <w:ind w:left="324"/>
      <w:rPr>
        <w:rFonts w:hint="eastAsia" w:ascii="宋体" w:hAnsi="宋体" w:cs="宋体"/>
        <w:sz w:val="32"/>
        <w:szCs w:val="32"/>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32D60">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A432D60">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D1779"/>
    <w:multiLevelType w:val="singleLevel"/>
    <w:tmpl w:val="846D1779"/>
    <w:lvl w:ilvl="0" w:tentative="0">
      <w:start w:val="1"/>
      <w:numFmt w:val="decimal"/>
      <w:suff w:val="nothing"/>
      <w:lvlText w:val="%1．"/>
      <w:lvlJc w:val="left"/>
      <w:pPr>
        <w:ind w:left="0" w:firstLine="400"/>
      </w:pPr>
      <w:rPr>
        <w:rFonts w:hint="default"/>
      </w:rPr>
    </w:lvl>
  </w:abstractNum>
  <w:abstractNum w:abstractNumId="1">
    <w:nsid w:val="DB3D6BB4"/>
    <w:multiLevelType w:val="multilevel"/>
    <w:tmpl w:val="DB3D6BB4"/>
    <w:lvl w:ilvl="0" w:tentative="0">
      <w:start w:val="1"/>
      <w:numFmt w:val="chineseCounting"/>
      <w:suff w:val="nothing"/>
      <w:lvlText w:val="第%1章 "/>
      <w:lvlJc w:val="left"/>
      <w:pPr>
        <w:ind w:left="0" w:firstLine="402"/>
      </w:pPr>
      <w:rPr>
        <w:rFonts w:hint="eastAsia" w:ascii="黑体" w:hAnsi="黑体" w:eastAsia="黑体" w:cs="黑体"/>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3">
    <w:nsid w:val="027B8D40"/>
    <w:multiLevelType w:val="multilevel"/>
    <w:tmpl w:val="027B8D40"/>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4">
    <w:nsid w:val="133B2709"/>
    <w:multiLevelType w:val="singleLevel"/>
    <w:tmpl w:val="133B2709"/>
    <w:lvl w:ilvl="0" w:tentative="0">
      <w:start w:val="2"/>
      <w:numFmt w:val="decimal"/>
      <w:lvlText w:val="%1."/>
      <w:lvlJc w:val="left"/>
      <w:pPr>
        <w:tabs>
          <w:tab w:val="left" w:pos="312"/>
        </w:tabs>
      </w:pPr>
    </w:lvl>
  </w:abstractNum>
  <w:abstractNum w:abstractNumId="5">
    <w:nsid w:val="20CE79E8"/>
    <w:multiLevelType w:val="multilevel"/>
    <w:tmpl w:val="20CE79E8"/>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397"/>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8"/>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0NWU0MzQ2M2UxODhiOThlNmJjN2ZhOTM3NmY1YmEifQ=="/>
  </w:docVars>
  <w:rsids>
    <w:rsidRoot w:val="00B54FA4"/>
    <w:rsid w:val="00000438"/>
    <w:rsid w:val="00007C10"/>
    <w:rsid w:val="00031C79"/>
    <w:rsid w:val="00041509"/>
    <w:rsid w:val="0004211C"/>
    <w:rsid w:val="000529AD"/>
    <w:rsid w:val="000738A3"/>
    <w:rsid w:val="00073FAC"/>
    <w:rsid w:val="0008195B"/>
    <w:rsid w:val="000A0310"/>
    <w:rsid w:val="000A26C4"/>
    <w:rsid w:val="000B5801"/>
    <w:rsid w:val="000C35BE"/>
    <w:rsid w:val="000D0654"/>
    <w:rsid w:val="000F2F6B"/>
    <w:rsid w:val="000F6997"/>
    <w:rsid w:val="001018DB"/>
    <w:rsid w:val="00145280"/>
    <w:rsid w:val="00150260"/>
    <w:rsid w:val="00153516"/>
    <w:rsid w:val="001546B9"/>
    <w:rsid w:val="00160FAF"/>
    <w:rsid w:val="00173DCF"/>
    <w:rsid w:val="001A1978"/>
    <w:rsid w:val="001A4A3D"/>
    <w:rsid w:val="001B480F"/>
    <w:rsid w:val="001B7C81"/>
    <w:rsid w:val="001C03A3"/>
    <w:rsid w:val="001C14AE"/>
    <w:rsid w:val="001C6D63"/>
    <w:rsid w:val="001D09D6"/>
    <w:rsid w:val="001D2B5D"/>
    <w:rsid w:val="001F1E16"/>
    <w:rsid w:val="00200368"/>
    <w:rsid w:val="00211176"/>
    <w:rsid w:val="00211D02"/>
    <w:rsid w:val="00212D3B"/>
    <w:rsid w:val="00213156"/>
    <w:rsid w:val="002232C4"/>
    <w:rsid w:val="0023233B"/>
    <w:rsid w:val="00234D60"/>
    <w:rsid w:val="00247651"/>
    <w:rsid w:val="002552C7"/>
    <w:rsid w:val="00256D28"/>
    <w:rsid w:val="002579A3"/>
    <w:rsid w:val="00260E8E"/>
    <w:rsid w:val="00265C47"/>
    <w:rsid w:val="0026700E"/>
    <w:rsid w:val="002735B8"/>
    <w:rsid w:val="00276C6D"/>
    <w:rsid w:val="00283008"/>
    <w:rsid w:val="00294F19"/>
    <w:rsid w:val="00297F6D"/>
    <w:rsid w:val="002A38D2"/>
    <w:rsid w:val="002B64C0"/>
    <w:rsid w:val="002B782D"/>
    <w:rsid w:val="002B7CAE"/>
    <w:rsid w:val="002C1188"/>
    <w:rsid w:val="002C17A2"/>
    <w:rsid w:val="002D45B2"/>
    <w:rsid w:val="002D6D92"/>
    <w:rsid w:val="002E2B70"/>
    <w:rsid w:val="002E41D7"/>
    <w:rsid w:val="002E600D"/>
    <w:rsid w:val="002E661C"/>
    <w:rsid w:val="002E6EBD"/>
    <w:rsid w:val="002E7E4C"/>
    <w:rsid w:val="002F77F6"/>
    <w:rsid w:val="003037FA"/>
    <w:rsid w:val="003111A6"/>
    <w:rsid w:val="00312D50"/>
    <w:rsid w:val="00314525"/>
    <w:rsid w:val="003154B0"/>
    <w:rsid w:val="00323A6A"/>
    <w:rsid w:val="00324B1C"/>
    <w:rsid w:val="00335A1B"/>
    <w:rsid w:val="00337CE0"/>
    <w:rsid w:val="00342023"/>
    <w:rsid w:val="00361B76"/>
    <w:rsid w:val="00363728"/>
    <w:rsid w:val="003852F3"/>
    <w:rsid w:val="00393A70"/>
    <w:rsid w:val="003B6D8C"/>
    <w:rsid w:val="003C70A9"/>
    <w:rsid w:val="003C73AD"/>
    <w:rsid w:val="003D31C0"/>
    <w:rsid w:val="003E53E7"/>
    <w:rsid w:val="003E5B74"/>
    <w:rsid w:val="003F0F32"/>
    <w:rsid w:val="0041095A"/>
    <w:rsid w:val="004242ED"/>
    <w:rsid w:val="00432168"/>
    <w:rsid w:val="00436211"/>
    <w:rsid w:val="0044320B"/>
    <w:rsid w:val="00443530"/>
    <w:rsid w:val="00446F61"/>
    <w:rsid w:val="0047004D"/>
    <w:rsid w:val="0047543D"/>
    <w:rsid w:val="004804CC"/>
    <w:rsid w:val="00486990"/>
    <w:rsid w:val="00493DFA"/>
    <w:rsid w:val="004951A5"/>
    <w:rsid w:val="004B1F17"/>
    <w:rsid w:val="004B5BA5"/>
    <w:rsid w:val="004B6277"/>
    <w:rsid w:val="004B7B1C"/>
    <w:rsid w:val="004C0DAB"/>
    <w:rsid w:val="004D09BB"/>
    <w:rsid w:val="004D6795"/>
    <w:rsid w:val="004E0FF5"/>
    <w:rsid w:val="004F029C"/>
    <w:rsid w:val="004F3253"/>
    <w:rsid w:val="004F42E3"/>
    <w:rsid w:val="00500E60"/>
    <w:rsid w:val="00502655"/>
    <w:rsid w:val="00512784"/>
    <w:rsid w:val="00513BFF"/>
    <w:rsid w:val="005177DF"/>
    <w:rsid w:val="00517903"/>
    <w:rsid w:val="0052201A"/>
    <w:rsid w:val="00530B73"/>
    <w:rsid w:val="0053297E"/>
    <w:rsid w:val="005461F6"/>
    <w:rsid w:val="005511F7"/>
    <w:rsid w:val="00552C3F"/>
    <w:rsid w:val="00553C52"/>
    <w:rsid w:val="005629CD"/>
    <w:rsid w:val="005741E2"/>
    <w:rsid w:val="00586E6F"/>
    <w:rsid w:val="00594897"/>
    <w:rsid w:val="00595643"/>
    <w:rsid w:val="00596CDB"/>
    <w:rsid w:val="0059713E"/>
    <w:rsid w:val="005B5C6D"/>
    <w:rsid w:val="005D458E"/>
    <w:rsid w:val="005F59A5"/>
    <w:rsid w:val="005F764F"/>
    <w:rsid w:val="006017A8"/>
    <w:rsid w:val="00603E50"/>
    <w:rsid w:val="00615BF6"/>
    <w:rsid w:val="00622707"/>
    <w:rsid w:val="006269E4"/>
    <w:rsid w:val="006333AD"/>
    <w:rsid w:val="006579F0"/>
    <w:rsid w:val="00666B69"/>
    <w:rsid w:val="00676732"/>
    <w:rsid w:val="006841EA"/>
    <w:rsid w:val="006A121B"/>
    <w:rsid w:val="006B100D"/>
    <w:rsid w:val="006B2467"/>
    <w:rsid w:val="006D51B1"/>
    <w:rsid w:val="006E026C"/>
    <w:rsid w:val="006F04E0"/>
    <w:rsid w:val="006F3C15"/>
    <w:rsid w:val="006F68EE"/>
    <w:rsid w:val="00706726"/>
    <w:rsid w:val="00715F8E"/>
    <w:rsid w:val="007171C6"/>
    <w:rsid w:val="00717359"/>
    <w:rsid w:val="00750B5E"/>
    <w:rsid w:val="00757036"/>
    <w:rsid w:val="00762849"/>
    <w:rsid w:val="00764C5A"/>
    <w:rsid w:val="007724CB"/>
    <w:rsid w:val="00773708"/>
    <w:rsid w:val="0077625F"/>
    <w:rsid w:val="00786C4D"/>
    <w:rsid w:val="00790AF5"/>
    <w:rsid w:val="00797464"/>
    <w:rsid w:val="00797C99"/>
    <w:rsid w:val="007A001D"/>
    <w:rsid w:val="007A3F52"/>
    <w:rsid w:val="007A4CF7"/>
    <w:rsid w:val="007A6670"/>
    <w:rsid w:val="007A7E3E"/>
    <w:rsid w:val="007B14D1"/>
    <w:rsid w:val="007B55EE"/>
    <w:rsid w:val="007C7495"/>
    <w:rsid w:val="007D5488"/>
    <w:rsid w:val="007F66E4"/>
    <w:rsid w:val="007F7800"/>
    <w:rsid w:val="0081357B"/>
    <w:rsid w:val="008218C1"/>
    <w:rsid w:val="008232FF"/>
    <w:rsid w:val="008426C5"/>
    <w:rsid w:val="0085104D"/>
    <w:rsid w:val="0085301E"/>
    <w:rsid w:val="0086389D"/>
    <w:rsid w:val="00871369"/>
    <w:rsid w:val="00872840"/>
    <w:rsid w:val="00893EE4"/>
    <w:rsid w:val="008958F5"/>
    <w:rsid w:val="008A4D85"/>
    <w:rsid w:val="008B4B50"/>
    <w:rsid w:val="008B5613"/>
    <w:rsid w:val="008B6AAD"/>
    <w:rsid w:val="008D2580"/>
    <w:rsid w:val="008D51EC"/>
    <w:rsid w:val="008D6269"/>
    <w:rsid w:val="00904118"/>
    <w:rsid w:val="00905B76"/>
    <w:rsid w:val="00907288"/>
    <w:rsid w:val="00921E9A"/>
    <w:rsid w:val="009305CB"/>
    <w:rsid w:val="00931E95"/>
    <w:rsid w:val="009432B0"/>
    <w:rsid w:val="009514B1"/>
    <w:rsid w:val="0095596D"/>
    <w:rsid w:val="00967E3D"/>
    <w:rsid w:val="009776AF"/>
    <w:rsid w:val="00977AC5"/>
    <w:rsid w:val="009831B7"/>
    <w:rsid w:val="00992098"/>
    <w:rsid w:val="00995CFF"/>
    <w:rsid w:val="00996ED8"/>
    <w:rsid w:val="009B3BA6"/>
    <w:rsid w:val="009C1532"/>
    <w:rsid w:val="009C297C"/>
    <w:rsid w:val="009C392A"/>
    <w:rsid w:val="009C43EC"/>
    <w:rsid w:val="009F11EF"/>
    <w:rsid w:val="009F3033"/>
    <w:rsid w:val="009F5D3B"/>
    <w:rsid w:val="009F79D1"/>
    <w:rsid w:val="00A057B9"/>
    <w:rsid w:val="00A1054E"/>
    <w:rsid w:val="00A11C0B"/>
    <w:rsid w:val="00A2011C"/>
    <w:rsid w:val="00A27AF9"/>
    <w:rsid w:val="00A37771"/>
    <w:rsid w:val="00A5204A"/>
    <w:rsid w:val="00A54BB5"/>
    <w:rsid w:val="00A6221A"/>
    <w:rsid w:val="00A749A6"/>
    <w:rsid w:val="00A77E8A"/>
    <w:rsid w:val="00A83BDF"/>
    <w:rsid w:val="00A860DA"/>
    <w:rsid w:val="00A87185"/>
    <w:rsid w:val="00A87B65"/>
    <w:rsid w:val="00A95C34"/>
    <w:rsid w:val="00A96247"/>
    <w:rsid w:val="00AB3700"/>
    <w:rsid w:val="00AB466C"/>
    <w:rsid w:val="00AB5FCD"/>
    <w:rsid w:val="00AB7A93"/>
    <w:rsid w:val="00AE1EAA"/>
    <w:rsid w:val="00AF41D4"/>
    <w:rsid w:val="00B012FD"/>
    <w:rsid w:val="00B07554"/>
    <w:rsid w:val="00B10B15"/>
    <w:rsid w:val="00B126CB"/>
    <w:rsid w:val="00B20D82"/>
    <w:rsid w:val="00B27E08"/>
    <w:rsid w:val="00B45194"/>
    <w:rsid w:val="00B47167"/>
    <w:rsid w:val="00B50238"/>
    <w:rsid w:val="00B54FA4"/>
    <w:rsid w:val="00B54FA6"/>
    <w:rsid w:val="00B56564"/>
    <w:rsid w:val="00B77EDD"/>
    <w:rsid w:val="00B8439B"/>
    <w:rsid w:val="00B8707E"/>
    <w:rsid w:val="00B916BB"/>
    <w:rsid w:val="00B91768"/>
    <w:rsid w:val="00B97D01"/>
    <w:rsid w:val="00BA3CB0"/>
    <w:rsid w:val="00BB5BF1"/>
    <w:rsid w:val="00BC6B8D"/>
    <w:rsid w:val="00BE2613"/>
    <w:rsid w:val="00BF0062"/>
    <w:rsid w:val="00C00931"/>
    <w:rsid w:val="00C010A1"/>
    <w:rsid w:val="00C013B3"/>
    <w:rsid w:val="00C047E6"/>
    <w:rsid w:val="00C06E97"/>
    <w:rsid w:val="00C103BD"/>
    <w:rsid w:val="00C218D9"/>
    <w:rsid w:val="00C26A6B"/>
    <w:rsid w:val="00C371AF"/>
    <w:rsid w:val="00C42555"/>
    <w:rsid w:val="00C4477D"/>
    <w:rsid w:val="00C46F67"/>
    <w:rsid w:val="00C514FC"/>
    <w:rsid w:val="00C67B98"/>
    <w:rsid w:val="00C76D8C"/>
    <w:rsid w:val="00C8147A"/>
    <w:rsid w:val="00C82E5E"/>
    <w:rsid w:val="00C8492F"/>
    <w:rsid w:val="00C95017"/>
    <w:rsid w:val="00C95438"/>
    <w:rsid w:val="00CB7945"/>
    <w:rsid w:val="00CD4310"/>
    <w:rsid w:val="00CD5EB3"/>
    <w:rsid w:val="00CE4AE2"/>
    <w:rsid w:val="00D00948"/>
    <w:rsid w:val="00D02C59"/>
    <w:rsid w:val="00D1266A"/>
    <w:rsid w:val="00D12FE7"/>
    <w:rsid w:val="00D13827"/>
    <w:rsid w:val="00D51D18"/>
    <w:rsid w:val="00D71FA7"/>
    <w:rsid w:val="00D87185"/>
    <w:rsid w:val="00DA0B70"/>
    <w:rsid w:val="00DB0CB9"/>
    <w:rsid w:val="00DB6C0F"/>
    <w:rsid w:val="00DC1862"/>
    <w:rsid w:val="00DC3B44"/>
    <w:rsid w:val="00DD05BE"/>
    <w:rsid w:val="00DE4DE4"/>
    <w:rsid w:val="00DF0070"/>
    <w:rsid w:val="00DF1857"/>
    <w:rsid w:val="00DF54F1"/>
    <w:rsid w:val="00E15D71"/>
    <w:rsid w:val="00E249DD"/>
    <w:rsid w:val="00E322D9"/>
    <w:rsid w:val="00E56068"/>
    <w:rsid w:val="00E649F9"/>
    <w:rsid w:val="00E663A5"/>
    <w:rsid w:val="00E71C47"/>
    <w:rsid w:val="00E855F2"/>
    <w:rsid w:val="00E91613"/>
    <w:rsid w:val="00EA053D"/>
    <w:rsid w:val="00EA1AF7"/>
    <w:rsid w:val="00EA45D2"/>
    <w:rsid w:val="00EA6D96"/>
    <w:rsid w:val="00ED17C4"/>
    <w:rsid w:val="00ED31EF"/>
    <w:rsid w:val="00ED649C"/>
    <w:rsid w:val="00EE2A2F"/>
    <w:rsid w:val="00EE6D12"/>
    <w:rsid w:val="00F01F5B"/>
    <w:rsid w:val="00F0376C"/>
    <w:rsid w:val="00F3194E"/>
    <w:rsid w:val="00F337A3"/>
    <w:rsid w:val="00F37187"/>
    <w:rsid w:val="00F44038"/>
    <w:rsid w:val="00F519DA"/>
    <w:rsid w:val="00F5202D"/>
    <w:rsid w:val="00F544A3"/>
    <w:rsid w:val="00F566CC"/>
    <w:rsid w:val="00F66F56"/>
    <w:rsid w:val="00F85888"/>
    <w:rsid w:val="00F87BB1"/>
    <w:rsid w:val="00F925EC"/>
    <w:rsid w:val="00F9555E"/>
    <w:rsid w:val="00FA2C9F"/>
    <w:rsid w:val="00FA7868"/>
    <w:rsid w:val="00FB5086"/>
    <w:rsid w:val="00FC7F42"/>
    <w:rsid w:val="00FD56D0"/>
    <w:rsid w:val="00FF5B4A"/>
    <w:rsid w:val="01094D11"/>
    <w:rsid w:val="049F168E"/>
    <w:rsid w:val="05860ADC"/>
    <w:rsid w:val="05C9691D"/>
    <w:rsid w:val="06624721"/>
    <w:rsid w:val="07B471FE"/>
    <w:rsid w:val="08153021"/>
    <w:rsid w:val="08E0142B"/>
    <w:rsid w:val="09CD548F"/>
    <w:rsid w:val="0AFF2E0C"/>
    <w:rsid w:val="0B8E420A"/>
    <w:rsid w:val="0CDF03CF"/>
    <w:rsid w:val="0D3C216F"/>
    <w:rsid w:val="0DC268D3"/>
    <w:rsid w:val="0EAE1EE2"/>
    <w:rsid w:val="0EE47D02"/>
    <w:rsid w:val="0F8472AC"/>
    <w:rsid w:val="10266B06"/>
    <w:rsid w:val="10A42405"/>
    <w:rsid w:val="13A2286C"/>
    <w:rsid w:val="14EE46EB"/>
    <w:rsid w:val="151E24ED"/>
    <w:rsid w:val="1537321C"/>
    <w:rsid w:val="15706BA3"/>
    <w:rsid w:val="15752CAB"/>
    <w:rsid w:val="15E60482"/>
    <w:rsid w:val="16103159"/>
    <w:rsid w:val="16A764B2"/>
    <w:rsid w:val="17042AA9"/>
    <w:rsid w:val="176B052A"/>
    <w:rsid w:val="17D9680D"/>
    <w:rsid w:val="1860792E"/>
    <w:rsid w:val="19595E57"/>
    <w:rsid w:val="1CBC4716"/>
    <w:rsid w:val="1D4E37F9"/>
    <w:rsid w:val="1DB1371D"/>
    <w:rsid w:val="1E3B10E0"/>
    <w:rsid w:val="1EBF675C"/>
    <w:rsid w:val="1F5822FF"/>
    <w:rsid w:val="200E0B1A"/>
    <w:rsid w:val="20664C00"/>
    <w:rsid w:val="2119440A"/>
    <w:rsid w:val="2138787B"/>
    <w:rsid w:val="222A359C"/>
    <w:rsid w:val="231A1A8B"/>
    <w:rsid w:val="250A12DB"/>
    <w:rsid w:val="2589028C"/>
    <w:rsid w:val="25A1676E"/>
    <w:rsid w:val="25F9346C"/>
    <w:rsid w:val="272D6FB4"/>
    <w:rsid w:val="27812657"/>
    <w:rsid w:val="27D05B70"/>
    <w:rsid w:val="293164A9"/>
    <w:rsid w:val="2AF058DD"/>
    <w:rsid w:val="2BD31A99"/>
    <w:rsid w:val="2C2E1D7E"/>
    <w:rsid w:val="2CBE37BA"/>
    <w:rsid w:val="2CF84944"/>
    <w:rsid w:val="2E94296A"/>
    <w:rsid w:val="2EAC70DE"/>
    <w:rsid w:val="2F341E9C"/>
    <w:rsid w:val="2FE65A82"/>
    <w:rsid w:val="30FD526E"/>
    <w:rsid w:val="31BB30A3"/>
    <w:rsid w:val="31CF5374"/>
    <w:rsid w:val="32154805"/>
    <w:rsid w:val="32692574"/>
    <w:rsid w:val="344079D5"/>
    <w:rsid w:val="345C4E72"/>
    <w:rsid w:val="34B82A8C"/>
    <w:rsid w:val="35CF3ED2"/>
    <w:rsid w:val="35ED70C9"/>
    <w:rsid w:val="3619454C"/>
    <w:rsid w:val="366F3577"/>
    <w:rsid w:val="36AA1648"/>
    <w:rsid w:val="38C93CC7"/>
    <w:rsid w:val="3980739E"/>
    <w:rsid w:val="39CF2F7D"/>
    <w:rsid w:val="3AF26A71"/>
    <w:rsid w:val="3B247575"/>
    <w:rsid w:val="3C8828C7"/>
    <w:rsid w:val="3CC62304"/>
    <w:rsid w:val="3DE96EFA"/>
    <w:rsid w:val="3DF8632B"/>
    <w:rsid w:val="3DFF75A2"/>
    <w:rsid w:val="3E5847BC"/>
    <w:rsid w:val="3F661141"/>
    <w:rsid w:val="3FA27361"/>
    <w:rsid w:val="3FEF2A7C"/>
    <w:rsid w:val="402E3D8F"/>
    <w:rsid w:val="40730CFD"/>
    <w:rsid w:val="42285260"/>
    <w:rsid w:val="42B94406"/>
    <w:rsid w:val="43741014"/>
    <w:rsid w:val="44914EE4"/>
    <w:rsid w:val="449753BF"/>
    <w:rsid w:val="45E462DA"/>
    <w:rsid w:val="47393A08"/>
    <w:rsid w:val="48201390"/>
    <w:rsid w:val="4AD827D0"/>
    <w:rsid w:val="4B406D17"/>
    <w:rsid w:val="4C376A6D"/>
    <w:rsid w:val="4C787DC7"/>
    <w:rsid w:val="4F8F3A10"/>
    <w:rsid w:val="4FEF44AF"/>
    <w:rsid w:val="4FF32574"/>
    <w:rsid w:val="4FF7A1AF"/>
    <w:rsid w:val="507548F7"/>
    <w:rsid w:val="51497F84"/>
    <w:rsid w:val="521B775A"/>
    <w:rsid w:val="52EC6E19"/>
    <w:rsid w:val="532E665A"/>
    <w:rsid w:val="53334BBD"/>
    <w:rsid w:val="53BE4A36"/>
    <w:rsid w:val="54AA6EC6"/>
    <w:rsid w:val="5535133B"/>
    <w:rsid w:val="55653EF8"/>
    <w:rsid w:val="55D54FCF"/>
    <w:rsid w:val="567B5911"/>
    <w:rsid w:val="57870915"/>
    <w:rsid w:val="585E3A61"/>
    <w:rsid w:val="589B7D2A"/>
    <w:rsid w:val="5A911EA2"/>
    <w:rsid w:val="5B3D4B13"/>
    <w:rsid w:val="5B5F1393"/>
    <w:rsid w:val="5BBA1BF6"/>
    <w:rsid w:val="5C5369FE"/>
    <w:rsid w:val="5DBD1606"/>
    <w:rsid w:val="5EBC7D66"/>
    <w:rsid w:val="5EEB245D"/>
    <w:rsid w:val="5F7AECB8"/>
    <w:rsid w:val="5F7E235B"/>
    <w:rsid w:val="5FBEEEE2"/>
    <w:rsid w:val="623065F6"/>
    <w:rsid w:val="62EC2BEB"/>
    <w:rsid w:val="634B2982"/>
    <w:rsid w:val="6386611B"/>
    <w:rsid w:val="6663343E"/>
    <w:rsid w:val="66882EA5"/>
    <w:rsid w:val="66BB5B5D"/>
    <w:rsid w:val="66E94348"/>
    <w:rsid w:val="67F1BB04"/>
    <w:rsid w:val="680F5A43"/>
    <w:rsid w:val="6929442F"/>
    <w:rsid w:val="69A134ED"/>
    <w:rsid w:val="6A486BD3"/>
    <w:rsid w:val="6B2A277C"/>
    <w:rsid w:val="6B2D10AB"/>
    <w:rsid w:val="6BC75232"/>
    <w:rsid w:val="6C4D13CA"/>
    <w:rsid w:val="6C755BCE"/>
    <w:rsid w:val="6CE93F71"/>
    <w:rsid w:val="6CFF50B4"/>
    <w:rsid w:val="6D690322"/>
    <w:rsid w:val="6E7686A2"/>
    <w:rsid w:val="6E800B22"/>
    <w:rsid w:val="6EA63EC8"/>
    <w:rsid w:val="6EAC2A5F"/>
    <w:rsid w:val="6EF74724"/>
    <w:rsid w:val="6F5B1156"/>
    <w:rsid w:val="6F7D1229"/>
    <w:rsid w:val="6F7F3ADB"/>
    <w:rsid w:val="6FFFC2D5"/>
    <w:rsid w:val="703E6CDA"/>
    <w:rsid w:val="70A46B2D"/>
    <w:rsid w:val="70F755EB"/>
    <w:rsid w:val="7296529B"/>
    <w:rsid w:val="72A53BF3"/>
    <w:rsid w:val="72AC4F94"/>
    <w:rsid w:val="7309620B"/>
    <w:rsid w:val="742E0A28"/>
    <w:rsid w:val="74684BCC"/>
    <w:rsid w:val="74F13466"/>
    <w:rsid w:val="75026FB4"/>
    <w:rsid w:val="750E6C6B"/>
    <w:rsid w:val="76515061"/>
    <w:rsid w:val="767FA4CA"/>
    <w:rsid w:val="76950B8B"/>
    <w:rsid w:val="77065E4C"/>
    <w:rsid w:val="771B082F"/>
    <w:rsid w:val="773A15A8"/>
    <w:rsid w:val="776F1352"/>
    <w:rsid w:val="779F46D8"/>
    <w:rsid w:val="77BE1CDD"/>
    <w:rsid w:val="782D6ECE"/>
    <w:rsid w:val="78735458"/>
    <w:rsid w:val="78AE3082"/>
    <w:rsid w:val="78CC31C2"/>
    <w:rsid w:val="79267882"/>
    <w:rsid w:val="795D036E"/>
    <w:rsid w:val="7962758B"/>
    <w:rsid w:val="7A370136"/>
    <w:rsid w:val="7AFE3CB6"/>
    <w:rsid w:val="7BA06143"/>
    <w:rsid w:val="7BDE54D8"/>
    <w:rsid w:val="7C2C27A1"/>
    <w:rsid w:val="7C7B02D0"/>
    <w:rsid w:val="7C927221"/>
    <w:rsid w:val="7CC957AB"/>
    <w:rsid w:val="7D147CE0"/>
    <w:rsid w:val="7D5176F5"/>
    <w:rsid w:val="7D5B0573"/>
    <w:rsid w:val="7DDFFAC0"/>
    <w:rsid w:val="7E7A1CAE"/>
    <w:rsid w:val="7FFFC000"/>
    <w:rsid w:val="997E2EF4"/>
    <w:rsid w:val="AFBF9A89"/>
    <w:rsid w:val="AFFE3E23"/>
    <w:rsid w:val="BEE90132"/>
    <w:rsid w:val="DF5FCC3D"/>
    <w:rsid w:val="F3FF347A"/>
    <w:rsid w:val="F7FF01A8"/>
    <w:rsid w:val="FFBC5A52"/>
    <w:rsid w:val="FFCF18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76" w:lineRule="auto"/>
      <w:outlineLvl w:val="0"/>
    </w:pPr>
    <w:rPr>
      <w:b/>
      <w:kern w:val="44"/>
      <w:sz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unhideWhenUsed/>
    <w:qFormat/>
    <w:uiPriority w:val="0"/>
    <w:pPr>
      <w:spacing w:after="120"/>
    </w:pPr>
  </w:style>
  <w:style w:type="paragraph" w:styleId="4">
    <w:name w:val="annotation text"/>
    <w:basedOn w:val="1"/>
    <w:semiHidden/>
    <w:unhideWhenUsed/>
    <w:qFormat/>
    <w:uiPriority w:val="99"/>
    <w:pPr>
      <w:jc w:val="left"/>
    </w:p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link w:val="18"/>
    <w:qFormat/>
    <w:uiPriority w:val="11"/>
    <w:pPr>
      <w:spacing w:before="240" w:after="240" w:line="312" w:lineRule="auto"/>
      <w:jc w:val="center"/>
      <w:outlineLvl w:val="1"/>
    </w:pPr>
    <w:rPr>
      <w:rFonts w:ascii="等线" w:hAnsi="等线" w:eastAsia="等线"/>
      <w:kern w:val="28"/>
      <w:sz w:val="40"/>
      <w:szCs w:val="40"/>
    </w:rPr>
  </w:style>
  <w:style w:type="paragraph" w:styleId="9">
    <w:name w:val="Normal (Web)"/>
    <w:basedOn w:val="1"/>
    <w:qFormat/>
    <w:uiPriority w:val="0"/>
    <w:pPr>
      <w:spacing w:beforeAutospacing="1" w:afterAutospacing="1"/>
      <w:jc w:val="left"/>
    </w:pPr>
    <w:rPr>
      <w:kern w:val="0"/>
      <w:sz w:val="24"/>
    </w:rPr>
  </w:style>
  <w:style w:type="paragraph" w:styleId="10">
    <w:name w:val="Title"/>
    <w:basedOn w:val="1"/>
    <w:next w:val="1"/>
    <w:link w:val="17"/>
    <w:qFormat/>
    <w:uiPriority w:val="10"/>
    <w:pPr>
      <w:spacing w:before="120" w:after="120"/>
      <w:jc w:val="center"/>
      <w:outlineLvl w:val="0"/>
    </w:pPr>
    <w:rPr>
      <w:rFonts w:ascii="方正小标宋简体" w:hAnsi="等线 Light" w:eastAsia="方正小标宋简体"/>
      <w:sz w:val="44"/>
      <w:szCs w:val="44"/>
    </w:rPr>
  </w:style>
  <w:style w:type="paragraph" w:customStyle="1" w:styleId="13">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character" w:customStyle="1" w:styleId="14">
    <w:name w:val="页眉 字符"/>
    <w:basedOn w:val="12"/>
    <w:link w:val="7"/>
    <w:qFormat/>
    <w:uiPriority w:val="0"/>
    <w:rPr>
      <w:sz w:val="18"/>
      <w:szCs w:val="18"/>
    </w:rPr>
  </w:style>
  <w:style w:type="character" w:customStyle="1" w:styleId="15">
    <w:name w:val="页脚 字符"/>
    <w:basedOn w:val="12"/>
    <w:link w:val="6"/>
    <w:qFormat/>
    <w:uiPriority w:val="99"/>
    <w:rPr>
      <w:sz w:val="18"/>
      <w:szCs w:val="18"/>
    </w:rPr>
  </w:style>
  <w:style w:type="character" w:customStyle="1" w:styleId="16">
    <w:name w:val="正文文本 字符"/>
    <w:basedOn w:val="12"/>
    <w:link w:val="2"/>
    <w:qFormat/>
    <w:uiPriority w:val="0"/>
    <w:rPr>
      <w:rFonts w:ascii="Times New Roman" w:hAnsi="Times New Roman" w:eastAsia="宋体" w:cs="Times New Roman"/>
      <w:szCs w:val="24"/>
    </w:rPr>
  </w:style>
  <w:style w:type="character" w:customStyle="1" w:styleId="17">
    <w:name w:val="标题 字符"/>
    <w:basedOn w:val="12"/>
    <w:link w:val="10"/>
    <w:qFormat/>
    <w:uiPriority w:val="10"/>
    <w:rPr>
      <w:rFonts w:ascii="方正小标宋简体" w:hAnsi="等线 Light" w:eastAsia="方正小标宋简体" w:cs="Times New Roman"/>
      <w:sz w:val="44"/>
      <w:szCs w:val="44"/>
    </w:rPr>
  </w:style>
  <w:style w:type="character" w:customStyle="1" w:styleId="18">
    <w:name w:val="副标题 字符"/>
    <w:basedOn w:val="12"/>
    <w:link w:val="8"/>
    <w:qFormat/>
    <w:uiPriority w:val="11"/>
    <w:rPr>
      <w:rFonts w:ascii="等线" w:hAnsi="等线" w:eastAsia="等线" w:cs="Times New Roman"/>
      <w:kern w:val="28"/>
      <w:sz w:val="40"/>
      <w:szCs w:val="40"/>
    </w:rPr>
  </w:style>
  <w:style w:type="character" w:customStyle="1" w:styleId="19">
    <w:name w:val="批注框文本 字符"/>
    <w:basedOn w:val="12"/>
    <w:link w:val="5"/>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table" w:customStyle="1" w:styleId="21">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22">
    <w:name w:val="方正正文"/>
    <w:basedOn w:val="1"/>
    <w:qFormat/>
    <w:uiPriority w:val="0"/>
    <w:pPr>
      <w:snapToGrid w:val="0"/>
      <w:spacing w:line="319" w:lineRule="auto"/>
      <w:ind w:firstLine="200" w:firstLineChars="200"/>
    </w:pPr>
    <w:rPr>
      <w:rFonts w:ascii="Calibri" w:hAnsi="Calibri" w:eastAsia="方正仿宋"/>
      <w:sz w:val="32"/>
      <w:szCs w:val="22"/>
    </w:rPr>
  </w:style>
  <w:style w:type="character" w:customStyle="1" w:styleId="23">
    <w:name w:val="font11"/>
    <w:basedOn w:val="12"/>
    <w:qFormat/>
    <w:uiPriority w:val="0"/>
    <w:rPr>
      <w:rFonts w:hint="eastAsia" w:ascii="宋体" w:hAnsi="宋体" w:eastAsia="宋体" w:cs="宋体"/>
      <w:b/>
      <w:bCs/>
      <w:color w:val="000000"/>
      <w:sz w:val="24"/>
      <w:szCs w:val="24"/>
      <w:u w:val="none"/>
    </w:rPr>
  </w:style>
  <w:style w:type="character" w:customStyle="1" w:styleId="24">
    <w:name w:val="font21"/>
    <w:basedOn w:val="12"/>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0.pn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9578</Words>
  <Characters>9885</Characters>
  <Lines>733</Lines>
  <Paragraphs>594</Paragraphs>
  <TotalTime>19</TotalTime>
  <ScaleCrop>false</ScaleCrop>
  <LinksUpToDate>false</LinksUpToDate>
  <CharactersWithSpaces>9971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2023-12-08T19:27:00Z</dcterms:created>
  <dc:creator>Windows 用户</dc:creator>
  <cp:lastModifiedBy>皮卡皮卡</cp:lastModifiedBy>
  <cp:lastPrinted>2026-07-31T02:07:00Z</cp:lastPrinted>
  <dcterms:modified xsi:type="dcterms:W3CDTF">2026-09-08T10:49:42Z</dcterms:modified>
  <cp:revision>395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5B425AECFDE7401D82BE8A426E7C96EE_13</vt:lpwstr>
  </property>
  <property fmtid="{D5CDD505-2E9C-101B-9397-08002B2CF9AE}" pid="4" name="KSOTemplateDocerSaveRecord">
    <vt:lpwstr>eyJoZGlkIjoiY2I2NTI4ZmNlMzNmYzA0NDRhYzU4Y2FkYmExOTU3NmMiLCJ1c2VySWQiOiIyOTE1OTk0MDIifQ==</vt:lpwstr>
  </property>
</Properties>
</file>