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FE52C4">
      <w:pPr>
        <w:keepNext w:val="0"/>
        <w:keepLines w:val="0"/>
        <w:pageBreakBefore w:val="0"/>
        <w:widowControl w:val="0"/>
        <w:kinsoku/>
        <w:wordWrap/>
        <w:overflowPunct/>
        <w:topLinePunct w:val="0"/>
        <w:autoSpaceDE/>
        <w:autoSpaceDN/>
        <w:bidi w:val="0"/>
        <w:adjustRightInd/>
        <w:snapToGrid w:val="0"/>
        <w:spacing w:line="317" w:lineRule="auto"/>
        <w:jc w:val="center"/>
        <w:textAlignment w:val="auto"/>
        <w:rPr>
          <w:rFonts w:hint="eastAsia" w:ascii="方正小标宋简体" w:hAnsi="方正小标宋简体" w:eastAsia="方正小标宋简体" w:cs="方正小标宋简体"/>
          <w:color w:val="000000"/>
          <w:kern w:val="0"/>
          <w:sz w:val="44"/>
          <w:szCs w:val="44"/>
          <w:lang w:val="en-US" w:eastAsia="zh-CN" w:bidi="ar"/>
        </w:rPr>
      </w:pPr>
      <w:r>
        <w:rPr>
          <w:rFonts w:hint="eastAsia" w:ascii="方正小标宋简体" w:hAnsi="方正小标宋简体" w:eastAsia="方正小标宋简体" w:cs="方正小标宋简体"/>
          <w:color w:val="000000"/>
          <w:kern w:val="0"/>
          <w:sz w:val="44"/>
          <w:szCs w:val="44"/>
          <w:lang w:val="en-US" w:eastAsia="zh-CN" w:bidi="ar"/>
        </w:rPr>
        <w:t>《云南省澄江市烟草制品零售点合理布局规划（草案2026）》听证报告</w:t>
      </w:r>
    </w:p>
    <w:p w14:paraId="237CF974">
      <w:pPr>
        <w:pStyle w:val="7"/>
        <w:rPr>
          <w:rFonts w:hint="eastAsia"/>
          <w:lang w:val="en-US" w:eastAsia="zh-CN"/>
        </w:rPr>
      </w:pPr>
    </w:p>
    <w:p w14:paraId="01871794">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一、听证事由</w:t>
      </w:r>
    </w:p>
    <w:p w14:paraId="560FAA8A">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充分发扬民主，反映民意，集中民智，广泛征求社会各方面意见，增加工作的透明度和公众参与度，根据《云南省人民政府重大决策听证制度实施办法》和《玉溪市重大决策听证制度实施细则（试行）》的规定，澄江市烟草专卖局于2026年9月29日举行了《云南省澄江市烟草制品零售点合理布局规划（草案2026）》听证会。</w:t>
      </w:r>
    </w:p>
    <w:p w14:paraId="1272E8B3">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二、听证会举行的时间、地点、参加人</w:t>
      </w:r>
    </w:p>
    <w:p w14:paraId="71F5781F">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2026年9月29日下午15：00至16：30，听证会在澄江市烟草专卖局综合楼三楼举行。听证会由澄江市烟草专卖局副局长汤晓江主持，决策发言人为澄江市烟草专卖局专卖监督管理室主任计尊律，听证监察人为</w:t>
      </w:r>
      <w:r>
        <w:rPr>
          <w:rFonts w:hint="eastAsia" w:ascii="仿宋_GB2312" w:hAnsi="仿宋_GB2312" w:eastAsia="仿宋_GB2312" w:cs="仿宋_GB2312"/>
          <w:sz w:val="32"/>
          <w:szCs w:val="32"/>
        </w:rPr>
        <w:t>澄江市人民政府办公室政策法规股高志刚</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澄江市司法局法制股张祝红</w:t>
      </w:r>
      <w:r>
        <w:rPr>
          <w:rFonts w:hint="eastAsia" w:ascii="仿宋_GB2312" w:hAnsi="仿宋_GB2312" w:eastAsia="仿宋_GB2312" w:cs="仿宋_GB2312"/>
          <w:sz w:val="32"/>
          <w:szCs w:val="32"/>
          <w:lang w:val="en-US" w:eastAsia="zh-CN"/>
        </w:rPr>
        <w:t>，公证人为</w:t>
      </w:r>
      <w:r>
        <w:rPr>
          <w:rFonts w:hint="eastAsia" w:ascii="仿宋_GB2312" w:eastAsia="仿宋_GB2312" w:cs="仿宋_GB2312"/>
          <w:color w:val="000000"/>
          <w:sz w:val="32"/>
          <w:szCs w:val="32"/>
          <w:shd w:val="clear" w:color="auto" w:fill="FFFFFF"/>
        </w:rPr>
        <w:t>玉溪市国立公证处王芳、包春燕</w:t>
      </w:r>
      <w:r>
        <w:rPr>
          <w:rFonts w:hint="eastAsia" w:ascii="仿宋_GB2312" w:hAnsi="仿宋_GB2312" w:eastAsia="仿宋_GB2312" w:cs="仿宋_GB2312"/>
          <w:sz w:val="32"/>
          <w:szCs w:val="32"/>
          <w:lang w:val="en-US" w:eastAsia="zh-CN"/>
        </w:rPr>
        <w:t>。其他参会人员的到会情况为：听证记录人2人、听证代表25人、听证旁听人员3人。</w:t>
      </w:r>
    </w:p>
    <w:p w14:paraId="2631D34E">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三、听证代表的主要意见及理由</w:t>
      </w:r>
    </w:p>
    <w:p w14:paraId="4E572559">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会前，各听证代表认真研读了听证资料。听证会上，到会的25名听证代表中，有4名听证代表对《云南省澄江市烟草制品零售点合理布局规划（草案2026）》内容提出建议；有5名听证代表同意规划内容，对烟草专卖局其他工作提出意见建议；有2名听证代表未对内容提出意见、建议，就自己的经营情况提出疑问；有14名听证代表明确表示无意见。对于烟草专卖局的工作提出意见建议的，决策发言人已表示后续会加强市场监管。经过整理归纳，就《规划（草案2026）》内容、程序，听证代表共提出以下几点意见、建议。</w:t>
      </w:r>
    </w:p>
    <w:p w14:paraId="5CC7741E">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建议起草单位在正式公布前完成公平竞争审查程序，并将审查结论向社会公开</w:t>
      </w:r>
      <w:r>
        <w:rPr>
          <w:rFonts w:hint="eastAsia" w:ascii="仿宋_GB2312" w:hAnsi="仿宋_GB2312" w:eastAsia="仿宋_GB2312" w:cs="仿宋_GB2312"/>
          <w:b w:val="0"/>
          <w:bCs w:val="0"/>
          <w:sz w:val="32"/>
          <w:szCs w:val="32"/>
          <w:lang w:eastAsia="zh-CN"/>
        </w:rPr>
        <w:t>；</w:t>
      </w:r>
    </w:p>
    <w:p w14:paraId="631CB2E8">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建议将第十一条中“不受区域单元网格规划数量、距离限制”修改为“可适当放宽区域单元网格规划数量和距离标准”,具体放宽幅度由发证机关根据实际情况确定</w:t>
      </w:r>
      <w:r>
        <w:rPr>
          <w:rFonts w:hint="eastAsia" w:ascii="仿宋_GB2312" w:hAnsi="仿宋_GB2312" w:eastAsia="仿宋_GB2312" w:cs="仿宋_GB2312"/>
          <w:b w:val="0"/>
          <w:bCs w:val="0"/>
          <w:sz w:val="32"/>
          <w:szCs w:val="32"/>
          <w:lang w:eastAsia="zh-CN"/>
        </w:rPr>
        <w:t>；</w:t>
      </w:r>
    </w:p>
    <w:p w14:paraId="790CC5AF">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建议在正式公布时明确规划施行日期，确保与公布日期的间隔不少于30日</w:t>
      </w:r>
      <w:r>
        <w:rPr>
          <w:rFonts w:hint="eastAsia" w:ascii="仿宋_GB2312" w:hAnsi="仿宋_GB2312" w:eastAsia="仿宋_GB2312" w:cs="仿宋_GB2312"/>
          <w:b w:val="0"/>
          <w:bCs w:val="0"/>
          <w:sz w:val="32"/>
          <w:szCs w:val="32"/>
          <w:lang w:eastAsia="zh-CN"/>
        </w:rPr>
        <w:t>；</w:t>
      </w:r>
    </w:p>
    <w:p w14:paraId="13CCDEA9">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建议完善附件6中排队轮候制度的救济条款，保障申请人在不可抗力等情形下的合法权益</w:t>
      </w:r>
      <w:r>
        <w:rPr>
          <w:rFonts w:hint="eastAsia" w:ascii="仿宋_GB2312" w:hAnsi="仿宋_GB2312" w:eastAsia="仿宋_GB2312" w:cs="仿宋_GB2312"/>
          <w:b w:val="0"/>
          <w:bCs w:val="0"/>
          <w:sz w:val="32"/>
          <w:szCs w:val="32"/>
          <w:lang w:eastAsia="zh-CN"/>
        </w:rPr>
        <w:t>；</w:t>
      </w:r>
    </w:p>
    <w:p w14:paraId="4D3919B0">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建议对旧规划下已排队轮候的申请人，明确</w:t>
      </w:r>
      <w:r>
        <w:rPr>
          <w:rFonts w:hint="eastAsia" w:ascii="仿宋_GB2312" w:hAnsi="仿宋_GB2312" w:eastAsia="仿宋_GB2312" w:cs="仿宋_GB2312"/>
          <w:sz w:val="32"/>
          <w:szCs w:val="32"/>
        </w:rPr>
        <w:t>过渡衔接方案，体现信赖利益保护原则</w:t>
      </w:r>
      <w:r>
        <w:rPr>
          <w:rFonts w:hint="eastAsia" w:ascii="仿宋_GB2312" w:hAnsi="仿宋_GB2312" w:eastAsia="仿宋_GB2312" w:cs="仿宋_GB2312"/>
          <w:sz w:val="32"/>
          <w:szCs w:val="32"/>
          <w:lang w:eastAsia="zh-CN"/>
        </w:rPr>
        <w:t>；</w:t>
      </w:r>
    </w:p>
    <w:p w14:paraId="34235629">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6.建议合理布局规划实施前，要向上一级烟草专卖局报备；</w:t>
      </w:r>
    </w:p>
    <w:p w14:paraId="6D389C3B">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7.建议在规划第一条中增加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关于完善烟草专卖零售许可管理</w:t>
      </w:r>
      <w:r>
        <w:rPr>
          <w:rFonts w:hint="eastAsia" w:ascii="仿宋_GB2312" w:hAnsi="仿宋_GB2312" w:eastAsia="仿宋_GB2312" w:cs="仿宋_GB2312"/>
          <w:sz w:val="32"/>
          <w:szCs w:val="32"/>
        </w:rPr>
        <w:t>优化政务服务工作指引的通知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国烟法〔2024〕55号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作为制定依据；</w:t>
      </w:r>
    </w:p>
    <w:p w14:paraId="3403C0E0">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8.建议将200</w:t>
      </w:r>
      <w:r>
        <w:rPr>
          <w:rFonts w:hint="eastAsia" w:ascii="仿宋_GB2312" w:hAnsi="仿宋_GB2312" w:eastAsia="仿宋_GB2312" w:cs="仿宋_GB2312"/>
          <w:sz w:val="32"/>
          <w:szCs w:val="32"/>
        </w:rPr>
        <w:t>平方</w:t>
      </w:r>
      <w:r>
        <w:rPr>
          <w:rFonts w:hint="eastAsia" w:ascii="仿宋_GB2312" w:hAnsi="仿宋_GB2312" w:eastAsia="仿宋_GB2312" w:cs="仿宋_GB2312"/>
          <w:sz w:val="32"/>
          <w:szCs w:val="32"/>
          <w:lang w:val="en-US" w:eastAsia="zh-CN"/>
        </w:rPr>
        <w:t>以上的超市、商场、便利店、烟草专业店的</w:t>
      </w:r>
      <w:r>
        <w:rPr>
          <w:rFonts w:hint="eastAsia" w:ascii="仿宋_GB2312" w:hAnsi="仿宋_GB2312" w:eastAsia="仿宋_GB2312" w:cs="仿宋_GB2312"/>
          <w:sz w:val="32"/>
          <w:szCs w:val="32"/>
        </w:rPr>
        <w:t>烟柜陈列面积</w:t>
      </w:r>
      <w:r>
        <w:rPr>
          <w:rFonts w:hint="eastAsia" w:ascii="仿宋_GB2312" w:hAnsi="仿宋_GB2312" w:eastAsia="仿宋_GB2312" w:cs="仿宋_GB2312"/>
          <w:sz w:val="32"/>
          <w:szCs w:val="32"/>
          <w:lang w:val="en-US" w:eastAsia="zh-CN"/>
        </w:rPr>
        <w:t>明确为8至10个平方以上；</w:t>
      </w:r>
    </w:p>
    <w:p w14:paraId="4493B5CF">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9.建议按照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军人抚恤优待条例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将草案</w:t>
      </w:r>
      <w:r>
        <w:rPr>
          <w:rFonts w:hint="eastAsia" w:ascii="仿宋_GB2312" w:hAnsi="仿宋_GB2312" w:eastAsia="仿宋_GB2312" w:cs="仿宋_GB2312"/>
          <w:sz w:val="32"/>
          <w:szCs w:val="32"/>
        </w:rPr>
        <w:t>第十七条</w:t>
      </w:r>
      <w:r>
        <w:rPr>
          <w:rFonts w:hint="eastAsia" w:ascii="仿宋_GB2312" w:hAnsi="仿宋_GB2312" w:eastAsia="仿宋_GB2312" w:cs="仿宋_GB2312"/>
          <w:sz w:val="32"/>
          <w:szCs w:val="32"/>
          <w:lang w:val="en-US" w:eastAsia="zh-CN"/>
        </w:rPr>
        <w:t>中的烈士家属、因公牺牲军人家属统一成遗属；</w:t>
      </w:r>
    </w:p>
    <w:p w14:paraId="638644BD">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10.建议增加零售点数量，解决排队轮候申请人、偏远乡镇的需求；</w:t>
      </w:r>
    </w:p>
    <w:p w14:paraId="79426C18">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11.建议对于面积无法达到200平方以上的店，调取最近半年或一年的</w:t>
      </w:r>
      <w:r>
        <w:rPr>
          <w:rFonts w:hint="eastAsia" w:ascii="仿宋_GB2312" w:hAnsi="仿宋_GB2312" w:eastAsia="仿宋_GB2312" w:cs="仿宋_GB2312"/>
          <w:sz w:val="32"/>
          <w:szCs w:val="32"/>
        </w:rPr>
        <w:t>销售数据作为参考标准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办理烟证</w:t>
      </w:r>
      <w:r>
        <w:rPr>
          <w:rFonts w:hint="eastAsia" w:ascii="仿宋_GB2312" w:hAnsi="仿宋_GB2312" w:eastAsia="仿宋_GB2312" w:cs="仿宋_GB2312"/>
          <w:sz w:val="32"/>
          <w:szCs w:val="32"/>
          <w:lang w:eastAsia="zh-CN"/>
        </w:rPr>
        <w:t>。</w:t>
      </w:r>
    </w:p>
    <w:p w14:paraId="77749E5C">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四、决策发言人的主要意见及理由</w:t>
      </w:r>
    </w:p>
    <w:p w14:paraId="74DA08DE">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对听证代表提出的意见、建议，逐条对应进行答复。</w:t>
      </w:r>
    </w:p>
    <w:p w14:paraId="0267A107">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公平竞争审查程序</w:t>
      </w:r>
      <w:r>
        <w:rPr>
          <w:rFonts w:hint="eastAsia" w:ascii="仿宋_GB2312" w:hAnsi="仿宋_GB2312" w:eastAsia="仿宋_GB2312" w:cs="仿宋_GB2312"/>
          <w:b w:val="0"/>
          <w:bCs w:val="0"/>
          <w:sz w:val="32"/>
          <w:szCs w:val="32"/>
          <w:lang w:val="en-US" w:eastAsia="zh-CN"/>
        </w:rPr>
        <w:t>已于2026年9月9日完成，并形成《公平竞争审查意见书》，公平竞争审查通过，审查结论在后期公告中予以公开</w:t>
      </w:r>
      <w:r>
        <w:rPr>
          <w:rFonts w:hint="eastAsia" w:ascii="仿宋_GB2312" w:hAnsi="仿宋_GB2312" w:eastAsia="仿宋_GB2312" w:cs="仿宋_GB2312"/>
          <w:b w:val="0"/>
          <w:bCs w:val="0"/>
          <w:sz w:val="32"/>
          <w:szCs w:val="32"/>
          <w:lang w:eastAsia="zh-CN"/>
        </w:rPr>
        <w:t>；</w:t>
      </w:r>
    </w:p>
    <w:p w14:paraId="12244667">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第十一条</w:t>
      </w:r>
      <w:r>
        <w:rPr>
          <w:rFonts w:hint="eastAsia" w:ascii="仿宋_GB2312" w:hAnsi="仿宋_GB2312" w:eastAsia="仿宋_GB2312" w:cs="仿宋_GB2312"/>
          <w:b w:val="0"/>
          <w:bCs w:val="0"/>
          <w:sz w:val="32"/>
          <w:szCs w:val="32"/>
          <w:lang w:val="en-US" w:eastAsia="zh-CN"/>
        </w:rPr>
        <w:t>内容为《云南省烟草专卖局办公室关于优化和调整烟草专卖零售许可证办理有关措施的通知》中要求的优化措施，全省标准统一，放宽幅度一致</w:t>
      </w:r>
      <w:r>
        <w:rPr>
          <w:rFonts w:hint="eastAsia" w:ascii="仿宋_GB2312" w:hAnsi="仿宋_GB2312" w:eastAsia="仿宋_GB2312" w:cs="仿宋_GB2312"/>
          <w:b w:val="0"/>
          <w:bCs w:val="0"/>
          <w:sz w:val="32"/>
          <w:szCs w:val="32"/>
          <w:lang w:eastAsia="zh-CN"/>
        </w:rPr>
        <w:t>；</w:t>
      </w:r>
    </w:p>
    <w:p w14:paraId="1109DA9E">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3.修订说明中已明确</w:t>
      </w:r>
      <w:r>
        <w:rPr>
          <w:rFonts w:hint="eastAsia" w:ascii="仿宋_GB2312" w:hAnsi="仿宋_GB2312" w:eastAsia="仿宋_GB2312" w:cs="仿宋_GB2312"/>
          <w:b w:val="0"/>
          <w:bCs w:val="0"/>
          <w:sz w:val="32"/>
          <w:szCs w:val="32"/>
        </w:rPr>
        <w:t>规划施行日期</w:t>
      </w:r>
      <w:r>
        <w:rPr>
          <w:rFonts w:hint="eastAsia" w:ascii="仿宋_GB2312" w:hAnsi="仿宋_GB2312" w:eastAsia="仿宋_GB2312" w:cs="仿宋_GB2312"/>
          <w:b w:val="0"/>
          <w:bCs w:val="0"/>
          <w:sz w:val="32"/>
          <w:szCs w:val="32"/>
          <w:lang w:val="en-US" w:eastAsia="zh-CN"/>
        </w:rPr>
        <w:t>需等</w:t>
      </w:r>
      <w:r>
        <w:rPr>
          <w:rFonts w:hint="eastAsia" w:ascii="仿宋_GB2312" w:hAnsi="仿宋_GB2312" w:eastAsia="仿宋_GB2312" w:cs="仿宋_GB2312"/>
          <w:b w:val="0"/>
          <w:bCs w:val="0"/>
          <w:sz w:val="32"/>
          <w:szCs w:val="32"/>
        </w:rPr>
        <w:t>正式公布时</w:t>
      </w:r>
      <w:r>
        <w:rPr>
          <w:rFonts w:hint="eastAsia" w:ascii="仿宋_GB2312" w:hAnsi="仿宋_GB2312" w:eastAsia="仿宋_GB2312" w:cs="仿宋_GB2312"/>
          <w:b w:val="0"/>
          <w:bCs w:val="0"/>
          <w:sz w:val="32"/>
          <w:szCs w:val="32"/>
          <w:lang w:val="en-US" w:eastAsia="zh-CN"/>
        </w:rPr>
        <w:t>再确定</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并</w:t>
      </w:r>
      <w:r>
        <w:rPr>
          <w:rFonts w:hint="eastAsia" w:ascii="仿宋_GB2312" w:hAnsi="仿宋_GB2312" w:eastAsia="仿宋_GB2312" w:cs="仿宋_GB2312"/>
          <w:b w:val="0"/>
          <w:bCs w:val="0"/>
          <w:sz w:val="32"/>
          <w:szCs w:val="32"/>
        </w:rPr>
        <w:t>确保与公布日期的间隔不少于30日</w:t>
      </w:r>
      <w:r>
        <w:rPr>
          <w:rFonts w:hint="eastAsia" w:ascii="仿宋_GB2312" w:hAnsi="仿宋_GB2312" w:eastAsia="仿宋_GB2312" w:cs="仿宋_GB2312"/>
          <w:b w:val="0"/>
          <w:bCs w:val="0"/>
          <w:sz w:val="32"/>
          <w:szCs w:val="32"/>
          <w:lang w:eastAsia="zh-CN"/>
        </w:rPr>
        <w:t>；</w:t>
      </w:r>
    </w:p>
    <w:p w14:paraId="231ECD11">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4.</w:t>
      </w:r>
      <w:r>
        <w:rPr>
          <w:rFonts w:hint="eastAsia" w:ascii="仿宋_GB2312" w:hAnsi="仿宋_GB2312" w:eastAsia="仿宋_GB2312" w:cs="仿宋_GB2312"/>
          <w:b w:val="0"/>
          <w:bCs w:val="0"/>
          <w:color w:val="auto"/>
          <w:sz w:val="32"/>
          <w:szCs w:val="32"/>
        </w:rPr>
        <w:t>排队轮候制度</w:t>
      </w:r>
      <w:r>
        <w:rPr>
          <w:rFonts w:hint="eastAsia" w:ascii="仿宋_GB2312" w:hAnsi="仿宋_GB2312" w:eastAsia="仿宋_GB2312" w:cs="仿宋_GB2312"/>
          <w:b w:val="0"/>
          <w:bCs w:val="0"/>
          <w:color w:val="auto"/>
          <w:sz w:val="32"/>
          <w:szCs w:val="32"/>
          <w:lang w:eastAsia="zh-CN"/>
        </w:rPr>
        <w:t>不属于独立行政行为，是</w:t>
      </w:r>
      <w:r>
        <w:rPr>
          <w:rFonts w:hint="eastAsia" w:ascii="仿宋_GB2312" w:hAnsi="仿宋_GB2312" w:eastAsia="仿宋_GB2312" w:cs="仿宋_GB2312"/>
          <w:b w:val="0"/>
          <w:bCs w:val="0"/>
          <w:color w:val="auto"/>
          <w:sz w:val="32"/>
          <w:szCs w:val="32"/>
          <w:lang w:val="en-US" w:eastAsia="zh-CN"/>
        </w:rPr>
        <w:t>烟草制品零售点</w:t>
      </w:r>
      <w:r>
        <w:rPr>
          <w:rFonts w:hint="eastAsia" w:ascii="仿宋_GB2312" w:hAnsi="仿宋_GB2312" w:eastAsia="仿宋_GB2312" w:cs="仿宋_GB2312"/>
          <w:b w:val="0"/>
          <w:bCs w:val="0"/>
          <w:color w:val="auto"/>
          <w:sz w:val="32"/>
          <w:szCs w:val="32"/>
          <w:lang w:eastAsia="zh-CN"/>
        </w:rPr>
        <w:t>总量管控下的配套排序机制；申请人若后续收到不予许可决定，依法享有复议、诉讼等法定救济途径；</w:t>
      </w:r>
    </w:p>
    <w:p w14:paraId="63FDFAA5">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5.因排队轮候制度未改变，实际操作中，</w:t>
      </w:r>
      <w:r>
        <w:rPr>
          <w:rFonts w:hint="eastAsia" w:ascii="仿宋_GB2312" w:hAnsi="仿宋_GB2312" w:eastAsia="仿宋_GB2312" w:cs="仿宋_GB2312"/>
          <w:b w:val="0"/>
          <w:bCs w:val="0"/>
          <w:color w:val="auto"/>
          <w:sz w:val="32"/>
          <w:szCs w:val="32"/>
        </w:rPr>
        <w:t>已排队轮候的申请人</w:t>
      </w:r>
      <w:r>
        <w:rPr>
          <w:rFonts w:hint="eastAsia" w:ascii="仿宋_GB2312" w:hAnsi="仿宋_GB2312" w:eastAsia="仿宋_GB2312" w:cs="仿宋_GB2312"/>
          <w:b w:val="0"/>
          <w:bCs w:val="0"/>
          <w:color w:val="auto"/>
          <w:sz w:val="32"/>
          <w:szCs w:val="32"/>
          <w:lang w:val="en-US" w:eastAsia="zh-CN"/>
        </w:rPr>
        <w:t>排队仍旧有效。排队轮候制度在2024年修订合理布局规划时新增，</w:t>
      </w:r>
      <w:r>
        <w:rPr>
          <w:rFonts w:hint="eastAsia" w:ascii="仿宋_GB2312" w:hAnsi="仿宋_GB2312" w:eastAsia="仿宋_GB2312" w:cs="仿宋_GB2312"/>
          <w:color w:val="auto"/>
          <w:sz w:val="32"/>
          <w:szCs w:val="32"/>
          <w:lang w:val="en-US" w:eastAsia="zh-CN"/>
        </w:rPr>
        <w:t>2025年修订合理布局规划时，修订之前申请排队的仍旧有效，至今该制度施行以来也比较稳定；</w:t>
      </w:r>
    </w:p>
    <w:p w14:paraId="27F53E86">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6.按照修订程序要求，我局会经集体审议印发后，依法报玉溪市烟草专卖局备案；</w:t>
      </w:r>
    </w:p>
    <w:p w14:paraId="7BE86FDE">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国家烟草专卖局关于印发完善烟草专卖零售许可管理</w:t>
      </w:r>
      <w:r>
        <w:rPr>
          <w:rFonts w:hint="eastAsia" w:ascii="仿宋_GB2312" w:hAnsi="仿宋_GB2312" w:eastAsia="仿宋_GB2312" w:cs="仿宋_GB2312"/>
          <w:sz w:val="32"/>
          <w:szCs w:val="32"/>
        </w:rPr>
        <w:t>优化政务服务工作指引的通知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国烟法〔2024〕55号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属于国家烟草专卖局下发的一个工作指引，适用于指导烟草制品零售许可管理服务。国家烟草专卖局于2024年4月3日印发工作指引，云南省烟草专卖局于2024年7月8日下发合理布局规划模板，模板中未将该工作指引作为制定依据；</w:t>
      </w:r>
    </w:p>
    <w:p w14:paraId="1515F4A7">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8.实际业务中，</w:t>
      </w:r>
      <w:r>
        <w:rPr>
          <w:rFonts w:hint="eastAsia" w:ascii="仿宋_GB2312" w:hAnsi="仿宋_GB2312" w:eastAsia="仿宋_GB2312" w:cs="仿宋_GB2312"/>
          <w:sz w:val="32"/>
          <w:szCs w:val="32"/>
        </w:rPr>
        <w:t>烟柜陈列面积</w:t>
      </w:r>
      <w:r>
        <w:rPr>
          <w:rFonts w:hint="eastAsia" w:ascii="仿宋_GB2312" w:hAnsi="仿宋_GB2312" w:eastAsia="仿宋_GB2312" w:cs="仿宋_GB2312"/>
          <w:sz w:val="32"/>
          <w:szCs w:val="32"/>
          <w:lang w:val="en-US" w:eastAsia="zh-CN"/>
        </w:rPr>
        <w:t>会影响档</w:t>
      </w:r>
      <w:r>
        <w:rPr>
          <w:rFonts w:hint="eastAsia" w:ascii="仿宋_GB2312" w:hAnsi="仿宋_GB2312" w:eastAsia="仿宋_GB2312" w:cs="仿宋_GB2312"/>
          <w:color w:val="auto"/>
          <w:sz w:val="32"/>
          <w:szCs w:val="32"/>
          <w:lang w:val="en-US" w:eastAsia="zh-CN"/>
        </w:rPr>
        <w:t>位评定，但《烟草专卖许可证管理办法》等规定的烟草专卖许可证准入条件未涉及</w:t>
      </w:r>
      <w:r>
        <w:rPr>
          <w:rFonts w:hint="eastAsia" w:ascii="仿宋_GB2312" w:hAnsi="仿宋_GB2312" w:eastAsia="仿宋_GB2312" w:cs="仿宋_GB2312"/>
          <w:color w:val="auto"/>
          <w:sz w:val="32"/>
          <w:szCs w:val="32"/>
        </w:rPr>
        <w:t>烟柜陈列面积</w:t>
      </w:r>
      <w:r>
        <w:rPr>
          <w:rFonts w:hint="eastAsia" w:ascii="仿宋_GB2312" w:hAnsi="仿宋_GB2312" w:eastAsia="仿宋_GB2312" w:cs="仿宋_GB2312"/>
          <w:color w:val="auto"/>
          <w:sz w:val="32"/>
          <w:szCs w:val="32"/>
          <w:lang w:val="en-US" w:eastAsia="zh-CN"/>
        </w:rPr>
        <w:t>；</w:t>
      </w:r>
    </w:p>
    <w:p w14:paraId="36C51284">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9.此条修改内容为</w:t>
      </w:r>
      <w:r>
        <w:rPr>
          <w:rFonts w:hint="eastAsia" w:ascii="仿宋_GB2312" w:hAnsi="仿宋_GB2312" w:eastAsia="仿宋_GB2312" w:cs="仿宋_GB2312"/>
          <w:b w:val="0"/>
          <w:bCs w:val="0"/>
          <w:sz w:val="32"/>
          <w:szCs w:val="32"/>
          <w:lang w:val="en-US" w:eastAsia="zh-CN"/>
        </w:rPr>
        <w:t>《云南省烟草专卖局办公室关于优化和调整烟草专卖零售许可证办理有关措施的通知》中要求的优化措施，条款</w:t>
      </w:r>
      <w:bookmarkStart w:id="0" w:name="_GoBack"/>
      <w:bookmarkEnd w:id="0"/>
      <w:r>
        <w:rPr>
          <w:rFonts w:hint="eastAsia" w:ascii="仿宋_GB2312" w:hAnsi="仿宋_GB2312" w:eastAsia="仿宋_GB2312" w:cs="仿宋_GB2312"/>
          <w:b w:val="0"/>
          <w:bCs w:val="0"/>
          <w:sz w:val="32"/>
          <w:szCs w:val="32"/>
          <w:lang w:val="en-US" w:eastAsia="zh-CN"/>
        </w:rPr>
        <w:t>已经对家属、遗属范围进行明确</w:t>
      </w:r>
      <w:r>
        <w:rPr>
          <w:rFonts w:hint="eastAsia" w:ascii="仿宋_GB2312" w:hAnsi="仿宋_GB2312" w:eastAsia="仿宋_GB2312" w:cs="仿宋_GB2312"/>
          <w:sz w:val="32"/>
          <w:szCs w:val="32"/>
          <w:lang w:val="en-US" w:eastAsia="zh-CN"/>
        </w:rPr>
        <w:t>；</w:t>
      </w:r>
    </w:p>
    <w:p w14:paraId="049EF256">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10.零售点总量此次已经调整至1216户，较现在的规划数量1110户，已增加106户的规划数量；</w:t>
      </w:r>
    </w:p>
    <w:p w14:paraId="547C4BFA">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销售数据作为参考标准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缺乏上位法依据</w:t>
      </w:r>
      <w:r>
        <w:rPr>
          <w:rFonts w:hint="eastAsia" w:ascii="仿宋_GB2312" w:hAnsi="仿宋_GB2312" w:eastAsia="仿宋_GB2312" w:cs="仿宋_GB2312"/>
          <w:sz w:val="32"/>
          <w:szCs w:val="32"/>
          <w:lang w:eastAsia="zh-CN"/>
        </w:rPr>
        <w:t>。</w:t>
      </w:r>
    </w:p>
    <w:p w14:paraId="487EA748">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五、听证意见和建议的采纳情况</w:t>
      </w:r>
    </w:p>
    <w:p w14:paraId="3D135DC3">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结合实际情况，经对意见、建议充分研讨后，采纳情况如下。第1条建议已经按照程序完成；第3、6、10条建议予以采纳，确保公布时间与间隔时间不少于三十日，修订后报玉溪市烟草专卖局备案，增加零售点规划数量解决排队轮候人的需求；其余建议不予采纳，执行云南省烟草专卖局统一规定的优化措施</w:t>
      </w:r>
      <w:r>
        <w:rPr>
          <w:rFonts w:hint="eastAsia" w:ascii="仿宋_GB2312" w:hAnsi="仿宋_GB2312" w:eastAsia="仿宋_GB2312" w:cs="仿宋_GB2312"/>
          <w:b w:val="0"/>
          <w:bCs w:val="0"/>
          <w:sz w:val="32"/>
          <w:szCs w:val="32"/>
          <w:lang w:val="en-US" w:eastAsia="zh-CN"/>
        </w:rPr>
        <w:t>。</w:t>
      </w:r>
    </w:p>
    <w:p w14:paraId="3CC92457">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再次感谢各听证代表提出的建议！</w:t>
      </w:r>
    </w:p>
    <w:p w14:paraId="4BF497DC">
      <w:pPr>
        <w:pStyle w:val="7"/>
        <w:keepNext w:val="0"/>
        <w:keepLines w:val="0"/>
        <w:pageBreakBefore w:val="0"/>
        <w:kinsoku/>
        <w:wordWrap/>
        <w:overflowPunct/>
        <w:topLinePunct w:val="0"/>
        <w:autoSpaceDE/>
        <w:autoSpaceDN/>
        <w:bidi w:val="0"/>
        <w:adjustRightInd/>
        <w:snapToGrid/>
        <w:spacing w:line="336" w:lineRule="auto"/>
        <w:ind w:left="0" w:leftChars="0" w:firstLine="0" w:firstLineChars="0"/>
        <w:textAlignment w:val="auto"/>
        <w:rPr>
          <w:rFonts w:hint="eastAsia"/>
          <w:lang w:val="en-US" w:eastAsia="zh-CN"/>
        </w:rPr>
      </w:pPr>
    </w:p>
    <w:p w14:paraId="04E49A77">
      <w:pPr>
        <w:rPr>
          <w:rFonts w:hint="eastAsia"/>
          <w:lang w:val="en-US" w:eastAsia="zh-CN"/>
        </w:rPr>
      </w:pPr>
    </w:p>
    <w:p w14:paraId="09BBE8F2">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澄江市烟草专卖局</w:t>
      </w:r>
    </w:p>
    <w:p w14:paraId="73FE3A8C">
      <w:pPr>
        <w:keepNext w:val="0"/>
        <w:keepLines w:val="0"/>
        <w:pageBreakBefore w:val="0"/>
        <w:widowControl/>
        <w:numPr>
          <w:ilvl w:val="0"/>
          <w:numId w:val="0"/>
        </w:numPr>
        <w:kinsoku/>
        <w:wordWrap/>
        <w:overflowPunct/>
        <w:topLinePunct w:val="0"/>
        <w:autoSpaceDE/>
        <w:autoSpaceDN/>
        <w:bidi w:val="0"/>
        <w:adjustRightInd/>
        <w:snapToGrid/>
        <w:spacing w:line="336" w:lineRule="auto"/>
        <w:ind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2026年9月30日</w:t>
      </w:r>
    </w:p>
    <w:sectPr>
      <w:footerReference r:id="rId3" w:type="default"/>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1364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4E9C74">
                          <w:pPr>
                            <w:pStyle w:val="5"/>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44E9C74">
                    <w:pPr>
                      <w:pStyle w:val="5"/>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F23682"/>
    <w:rsid w:val="103C08AA"/>
    <w:rsid w:val="14057036"/>
    <w:rsid w:val="14B33B02"/>
    <w:rsid w:val="16643565"/>
    <w:rsid w:val="18E062E5"/>
    <w:rsid w:val="209F310B"/>
    <w:rsid w:val="31A25173"/>
    <w:rsid w:val="359B3497"/>
    <w:rsid w:val="3A8D708B"/>
    <w:rsid w:val="3B851BFD"/>
    <w:rsid w:val="40137C63"/>
    <w:rsid w:val="44AB6CB7"/>
    <w:rsid w:val="464B00F0"/>
    <w:rsid w:val="48197EB1"/>
    <w:rsid w:val="48BA286F"/>
    <w:rsid w:val="4A5708FA"/>
    <w:rsid w:val="53802D97"/>
    <w:rsid w:val="593908DE"/>
    <w:rsid w:val="5AF41AF7"/>
    <w:rsid w:val="63F23682"/>
    <w:rsid w:val="66471059"/>
    <w:rsid w:val="67DE31A7"/>
    <w:rsid w:val="70627D41"/>
    <w:rsid w:val="77B533CE"/>
    <w:rsid w:val="781B34A1"/>
    <w:rsid w:val="7CDD7E53"/>
    <w:rsid w:val="7D72724B"/>
    <w:rsid w:val="7DA56932"/>
    <w:rsid w:val="7F0200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pPr>
  </w:style>
  <w:style w:type="paragraph" w:styleId="3">
    <w:name w:val="Body Text"/>
    <w:basedOn w:val="1"/>
    <w:qFormat/>
    <w:uiPriority w:val="1"/>
    <w:pPr>
      <w:spacing w:before="11"/>
    </w:pPr>
    <w:rPr>
      <w:rFonts w:ascii="宋体" w:hAnsi="宋体" w:eastAsia="宋体" w:cs="宋体"/>
      <w:sz w:val="22"/>
      <w:szCs w:val="22"/>
      <w:lang w:val="en-US" w:eastAsia="zh-CN" w:bidi="ar-SA"/>
    </w:rPr>
  </w:style>
  <w:style w:type="paragraph" w:styleId="4">
    <w:name w:val="Body Text Indent"/>
    <w:basedOn w:val="1"/>
    <w:qFormat/>
    <w:uiPriority w:val="0"/>
    <w:pPr>
      <w:ind w:firstLine="630"/>
    </w:pPr>
    <w:rPr>
      <w:rFonts w:hint="eastAsia"/>
      <w:sz w:val="32"/>
      <w:szCs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2"/>
    <w:basedOn w:val="4"/>
    <w:next w:val="1"/>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2108</Words>
  <Characters>2203</Characters>
  <Lines>0</Lines>
  <Paragraphs>0</Paragraphs>
  <TotalTime>43</TotalTime>
  <ScaleCrop>false</ScaleCrop>
  <LinksUpToDate>false</LinksUpToDate>
  <CharactersWithSpaces>2203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2023-05-30T10:40:00Z</dcterms:created>
  <dc:creator>daxiaohong2746</dc:creator>
  <cp:lastModifiedBy>皮卡皮卡</cp:lastModifiedBy>
  <cp:lastPrinted>2026-10-08T01:11:22Z</cp:lastPrinted>
  <dcterms:modified xsi:type="dcterms:W3CDTF">2026-10-08T01:47:16Z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eyJoZGlkIjoiY2I2NTI4ZmNlMzNmYzA0NDRhYzU4Y2FkYmExOTU3NmMiLCJ1c2VySWQiOiIyOTE1OTk0MDIifQ==</vt:lpwstr>
  </property>
  <property fmtid="{D5CDD505-2E9C-101B-9397-08002B2CF9AE}" pid="4" name="ICV">
    <vt:lpwstr>EABB3488DC60472F8A32D3B7DC118C77_12</vt:lpwstr>
  </property>
</Properties>
</file>