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jc w:val="both"/>
        <w:rPr>
          <w:rFonts w:hint="eastAsia" w:ascii="方正黑体_GBK" w:hAnsi="Times New Roman" w:eastAsia="方正黑体_GBK" w:cs="Times New Roman"/>
          <w:kern w:val="2"/>
          <w:sz w:val="32"/>
          <w:szCs w:val="32"/>
          <w:lang w:val="en-US" w:eastAsia="zh-CN"/>
        </w:rPr>
      </w:pPr>
      <w:r>
        <w:rPr>
          <w:rFonts w:hint="eastAsia" w:ascii="方正黑体_GBK" w:hAnsi="Times New Roman" w:eastAsia="方正黑体_GBK" w:cs="Times New Roman"/>
          <w:kern w:val="2"/>
          <w:sz w:val="32"/>
          <w:szCs w:val="32"/>
        </w:rPr>
        <w:t>附件</w:t>
      </w:r>
      <w:r>
        <w:rPr>
          <w:rFonts w:hint="eastAsia" w:ascii="方正黑体_GBK" w:hAnsi="Times New Roman" w:eastAsia="方正黑体_GBK" w:cs="Times New Roman"/>
          <w:kern w:val="2"/>
          <w:sz w:val="32"/>
          <w:szCs w:val="32"/>
          <w:lang w:val="en-US" w:eastAsia="zh-CN"/>
        </w:rPr>
        <w:t>1</w:t>
      </w:r>
      <w:bookmarkStart w:id="0" w:name="_GoBack"/>
      <w:bookmarkEnd w:id="0"/>
    </w:p>
    <w:p>
      <w:pPr>
        <w:widowControl w:val="0"/>
        <w:adjustRightInd/>
        <w:snapToGrid/>
        <w:spacing w:after="0" w:line="540" w:lineRule="exact"/>
        <w:jc w:val="both"/>
        <w:rPr>
          <w:rFonts w:hint="eastAsia" w:ascii="Times New Roman" w:hAnsi="Times New Roman" w:eastAsia="方正仿宋_GBK" w:cs="Times New Roman"/>
          <w:kern w:val="2"/>
          <w:sz w:val="32"/>
          <w:szCs w:val="32"/>
        </w:rPr>
      </w:pPr>
    </w:p>
    <w:p>
      <w:pPr>
        <w:widowControl w:val="0"/>
        <w:adjustRightInd/>
        <w:snapToGrid/>
        <w:spacing w:after="0" w:line="540" w:lineRule="exact"/>
        <w:jc w:val="center"/>
        <w:rPr>
          <w:rFonts w:hint="eastAsia" w:ascii="方正小标宋_GBK" w:hAnsi="Times New Roman" w:eastAsia="方正小标宋_GBK" w:cs="Times New Roman"/>
          <w:kern w:val="2"/>
          <w:sz w:val="44"/>
          <w:szCs w:val="44"/>
          <w:lang w:eastAsia="zh-CN"/>
        </w:rPr>
      </w:pPr>
      <w:r>
        <w:rPr>
          <w:rFonts w:hint="eastAsia" w:ascii="方正小标宋_GBK" w:hAnsi="Times New Roman" w:eastAsia="方正小标宋_GBK" w:cs="Times New Roman"/>
          <w:kern w:val="2"/>
          <w:sz w:val="44"/>
          <w:szCs w:val="44"/>
          <w:lang w:eastAsia="zh-CN"/>
        </w:rPr>
        <w:t>澄江市住房和城乡建设局</w:t>
      </w:r>
    </w:p>
    <w:p>
      <w:pPr>
        <w:widowControl w:val="0"/>
        <w:adjustRightInd/>
        <w:snapToGrid/>
        <w:spacing w:after="0" w:line="540" w:lineRule="exact"/>
        <w:jc w:val="center"/>
        <w:rPr>
          <w:rFonts w:hint="eastAsia" w:ascii="方正小标宋_GBK" w:hAnsi="Times New Roman" w:eastAsia="方正小标宋_GBK" w:cs="Times New Roman"/>
          <w:kern w:val="2"/>
          <w:sz w:val="44"/>
          <w:szCs w:val="44"/>
        </w:rPr>
      </w:pPr>
      <w:r>
        <w:rPr>
          <w:rFonts w:hint="eastAsia" w:ascii="方正小标宋_GBK" w:hAnsi="Times New Roman" w:eastAsia="方正小标宋_GBK" w:cs="Times New Roman"/>
          <w:kern w:val="2"/>
          <w:sz w:val="44"/>
          <w:szCs w:val="44"/>
        </w:rPr>
        <w:t>现行有效的行政规范性文件</w:t>
      </w:r>
      <w:r>
        <w:rPr>
          <w:rFonts w:hint="eastAsia" w:ascii="方正小标宋_GBK" w:hAnsi="Times New Roman" w:eastAsia="方正小标宋_GBK" w:cs="Times New Roman"/>
          <w:kern w:val="2"/>
          <w:sz w:val="44"/>
          <w:szCs w:val="44"/>
          <w:lang w:eastAsia="zh-CN"/>
        </w:rPr>
        <w:t>目录</w:t>
      </w:r>
    </w:p>
    <w:tbl>
      <w:tblPr>
        <w:tblStyle w:val="3"/>
        <w:tblpPr w:leftFromText="180" w:rightFromText="180" w:vertAnchor="text" w:horzAnchor="page" w:tblpX="750" w:tblpY="382"/>
        <w:tblOverlap w:val="never"/>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375"/>
        <w:gridCol w:w="2625"/>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Times New Roman" w:hAnsi="Times New Roman" w:eastAsia="方正黑体_GBK" w:cs="Times New Roman"/>
                <w:kern w:val="2"/>
                <w:sz w:val="24"/>
                <w:szCs w:val="24"/>
                <w:lang w:eastAsia="zh-CN"/>
              </w:rPr>
            </w:pPr>
            <w:r>
              <w:rPr>
                <w:rFonts w:hint="eastAsia" w:ascii="Times New Roman" w:hAnsi="Times New Roman" w:eastAsia="方正黑体_GBK" w:cs="Times New Roman"/>
                <w:kern w:val="2"/>
                <w:sz w:val="24"/>
                <w:szCs w:val="24"/>
                <w:lang w:eastAsia="zh-CN"/>
              </w:rPr>
              <w:t>序号</w:t>
            </w:r>
          </w:p>
        </w:tc>
        <w:tc>
          <w:tcPr>
            <w:tcW w:w="4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pPr>
            <w:r>
              <w:rPr>
                <w:rFonts w:hint="eastAsia" w:ascii="Times New Roman" w:hAnsi="Times New Roman" w:eastAsia="方正黑体_GBK" w:cs="Times New Roman"/>
                <w:kern w:val="2"/>
                <w:sz w:val="24"/>
                <w:szCs w:val="24"/>
              </w:rPr>
              <w:t>文件名称</w:t>
            </w:r>
          </w:p>
        </w:tc>
        <w:tc>
          <w:tcPr>
            <w:tcW w:w="26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pPr>
            <w:r>
              <w:rPr>
                <w:rFonts w:hint="eastAsia" w:ascii="Times New Roman" w:hAnsi="Times New Roman" w:eastAsia="方正黑体_GBK" w:cs="Times New Roman"/>
                <w:kern w:val="2"/>
                <w:sz w:val="24"/>
                <w:szCs w:val="24"/>
              </w:rPr>
              <w:t>文号</w:t>
            </w:r>
          </w:p>
        </w:tc>
        <w:tc>
          <w:tcPr>
            <w:tcW w:w="22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pPr>
            <w:r>
              <w:rPr>
                <w:rFonts w:hint="eastAsia" w:ascii="Times New Roman" w:hAnsi="Times New Roman" w:eastAsia="方正黑体_GBK" w:cs="Times New Roman"/>
                <w:kern w:val="2"/>
                <w:sz w:val="24"/>
                <w:szCs w:val="24"/>
              </w:rPr>
              <w:t>发文日期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Times New Roman" w:hAnsi="Times New Roman" w:eastAsia="仿宋_GB2312" w:cs="Times New Roman"/>
                <w:kern w:val="2"/>
                <w:sz w:val="24"/>
                <w:szCs w:val="24"/>
                <w:highlight w:val="none"/>
                <w:lang w:val="en-US" w:eastAsia="zh-CN"/>
              </w:rPr>
            </w:pPr>
            <w:r>
              <w:rPr>
                <w:rFonts w:hint="eastAsia" w:ascii="Times New Roman" w:hAnsi="Times New Roman" w:eastAsia="仿宋_GB2312" w:cs="Times New Roman"/>
                <w:kern w:val="2"/>
                <w:sz w:val="24"/>
                <w:szCs w:val="24"/>
                <w:highlight w:val="none"/>
                <w:lang w:val="en-US" w:eastAsia="zh-CN"/>
              </w:rPr>
              <w:t>1</w:t>
            </w:r>
          </w:p>
        </w:tc>
        <w:tc>
          <w:tcPr>
            <w:tcW w:w="4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rPr>
              <w:t>澂江县二次供水卫生管理办法</w:t>
            </w:r>
            <w:r>
              <w:rPr>
                <w:rFonts w:hint="eastAsia" w:ascii="Times New Roman" w:hAnsi="Times New Roman" w:eastAsia="方正仿宋_GBK" w:cs="Times New Roman"/>
                <w:sz w:val="24"/>
                <w:szCs w:val="24"/>
                <w:highlight w:val="none"/>
                <w:lang w:eastAsia="zh-CN"/>
              </w:rPr>
              <w:t>》</w:t>
            </w:r>
          </w:p>
        </w:tc>
        <w:tc>
          <w:tcPr>
            <w:tcW w:w="26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Times New Roman" w:hAnsi="Times New Roman" w:eastAsia="仿宋_GB2312" w:cs="Times New Roman"/>
                <w:kern w:val="2"/>
                <w:sz w:val="21"/>
                <w:szCs w:val="21"/>
                <w:highlight w:val="none"/>
                <w:lang w:eastAsia="zh-CN"/>
              </w:rPr>
              <w:t>公告</w:t>
            </w:r>
            <w:r>
              <w:rPr>
                <w:rFonts w:hint="eastAsia" w:ascii="Times New Roman" w:hAnsi="Times New Roman" w:eastAsia="仿宋_GB2312" w:cs="Times New Roman"/>
                <w:kern w:val="2"/>
                <w:sz w:val="21"/>
                <w:szCs w:val="21"/>
                <w:lang w:eastAsia="zh-CN"/>
              </w:rPr>
              <w:t>〔</w:t>
            </w:r>
            <w:r>
              <w:rPr>
                <w:rFonts w:hint="eastAsia" w:ascii="Times New Roman" w:hAnsi="Times New Roman" w:eastAsia="仿宋_GB2312" w:cs="Times New Roman"/>
                <w:kern w:val="2"/>
                <w:sz w:val="21"/>
                <w:szCs w:val="21"/>
                <w:lang w:val="en-US" w:eastAsia="zh-CN"/>
              </w:rPr>
              <w:t>2012</w:t>
            </w:r>
            <w:r>
              <w:rPr>
                <w:rFonts w:hint="eastAsia" w:ascii="Times New Roman" w:hAnsi="Times New Roman" w:eastAsia="仿宋_GB2312" w:cs="Times New Roman"/>
                <w:kern w:val="2"/>
                <w:sz w:val="21"/>
                <w:szCs w:val="21"/>
                <w:lang w:eastAsia="zh-CN"/>
              </w:rPr>
              <w:t>〕</w:t>
            </w:r>
            <w:r>
              <w:rPr>
                <w:rFonts w:hint="eastAsia" w:ascii="Times New Roman" w:hAnsi="Times New Roman" w:eastAsia="仿宋_GB2312" w:cs="Times New Roman"/>
                <w:kern w:val="2"/>
                <w:sz w:val="21"/>
                <w:szCs w:val="21"/>
                <w:lang w:val="en-US" w:eastAsia="zh-CN"/>
              </w:rPr>
              <w:t>15号</w:t>
            </w:r>
          </w:p>
        </w:tc>
        <w:tc>
          <w:tcPr>
            <w:tcW w:w="22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Times New Roman" w:hAnsi="Times New Roman" w:eastAsia="仿宋_GB2312" w:cs="Times New Roman"/>
                <w:kern w:val="2"/>
                <w:sz w:val="24"/>
                <w:szCs w:val="24"/>
                <w:highlight w:val="none"/>
                <w:lang w:val="en-US" w:eastAsia="zh-CN"/>
              </w:rPr>
              <w:t>2012年6月28日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2</w:t>
            </w:r>
          </w:p>
        </w:tc>
        <w:tc>
          <w:tcPr>
            <w:tcW w:w="4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方正仿宋_GBK" w:hAnsi="方正仿宋_GBK" w:eastAsia="方正仿宋_GBK" w:cs="方正仿宋_GBK"/>
                <w:kern w:val="2"/>
                <w:sz w:val="24"/>
                <w:szCs w:val="24"/>
                <w:lang w:eastAsia="zh-CN"/>
              </w:rPr>
              <w:t>澄江县公共租赁住房管理实施细则（试行）</w:t>
            </w:r>
          </w:p>
        </w:tc>
        <w:tc>
          <w:tcPr>
            <w:tcW w:w="26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Times New Roman" w:hAnsi="Times New Roman" w:eastAsia="仿宋_GB2312" w:cs="Times New Roman"/>
                <w:kern w:val="2"/>
                <w:sz w:val="21"/>
                <w:szCs w:val="21"/>
                <w:lang w:eastAsia="zh-CN"/>
              </w:rPr>
              <w:t>公告〔</w:t>
            </w:r>
            <w:r>
              <w:rPr>
                <w:rFonts w:hint="eastAsia" w:ascii="Times New Roman" w:hAnsi="Times New Roman" w:eastAsia="仿宋_GB2312" w:cs="Times New Roman"/>
                <w:kern w:val="2"/>
                <w:sz w:val="21"/>
                <w:szCs w:val="21"/>
                <w:lang w:val="en-US" w:eastAsia="zh-CN"/>
              </w:rPr>
              <w:t>2016</w:t>
            </w:r>
            <w:r>
              <w:rPr>
                <w:rFonts w:hint="eastAsia" w:ascii="Times New Roman" w:hAnsi="Times New Roman" w:eastAsia="仿宋_GB2312" w:cs="Times New Roman"/>
                <w:kern w:val="2"/>
                <w:sz w:val="21"/>
                <w:szCs w:val="21"/>
                <w:lang w:eastAsia="zh-CN"/>
              </w:rPr>
              <w:t>〕第</w:t>
            </w:r>
            <w:r>
              <w:rPr>
                <w:rFonts w:hint="eastAsia" w:ascii="Times New Roman" w:hAnsi="Times New Roman" w:eastAsia="仿宋_GB2312" w:cs="Times New Roman"/>
                <w:kern w:val="2"/>
                <w:sz w:val="21"/>
                <w:szCs w:val="21"/>
                <w:lang w:val="en-US" w:eastAsia="zh-CN"/>
              </w:rPr>
              <w:t>24号</w:t>
            </w:r>
          </w:p>
        </w:tc>
        <w:tc>
          <w:tcPr>
            <w:tcW w:w="22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Times New Roman" w:hAnsi="Times New Roman" w:eastAsia="仿宋_GB2312" w:cs="Times New Roman"/>
                <w:kern w:val="2"/>
                <w:sz w:val="24"/>
                <w:szCs w:val="24"/>
                <w:lang w:val="en-US" w:eastAsia="zh-CN"/>
              </w:rPr>
              <w:t>2016年8月31日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3</w:t>
            </w:r>
          </w:p>
        </w:tc>
        <w:tc>
          <w:tcPr>
            <w:tcW w:w="43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0" w:lineRule="atLeast"/>
              <w:jc w:val="left"/>
              <w:textAlignment w:val="auto"/>
            </w:pPr>
            <w:r>
              <w:rPr>
                <w:rFonts w:hint="eastAsia" w:ascii="方正仿宋_GBK" w:hAnsi="方正仿宋_GBK" w:eastAsia="方正仿宋_GBK" w:cs="方正仿宋_GBK"/>
                <w:kern w:val="2"/>
                <w:sz w:val="24"/>
                <w:szCs w:val="24"/>
                <w:lang w:eastAsia="zh-CN"/>
              </w:rPr>
              <w:t>澄江县人民政府办公室关于印发《澄江县公共租赁补贴发放管理办法（试行）》的通知</w:t>
            </w:r>
          </w:p>
        </w:tc>
        <w:tc>
          <w:tcPr>
            <w:tcW w:w="26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Times New Roman" w:hAnsi="Times New Roman" w:eastAsia="仿宋_GB2312" w:cs="Times New Roman"/>
                <w:kern w:val="2"/>
                <w:sz w:val="24"/>
                <w:szCs w:val="24"/>
                <w:lang w:eastAsia="zh-CN"/>
              </w:rPr>
              <w:t>澄政办发</w:t>
            </w:r>
            <w:r>
              <w:rPr>
                <w:rFonts w:hint="eastAsia" w:ascii="Times New Roman" w:hAnsi="Times New Roman" w:eastAsia="仿宋_GB2312" w:cs="Times New Roman"/>
                <w:kern w:val="2"/>
                <w:sz w:val="21"/>
                <w:szCs w:val="21"/>
                <w:lang w:eastAsia="zh-CN"/>
              </w:rPr>
              <w:t>〔</w:t>
            </w:r>
            <w:r>
              <w:rPr>
                <w:rFonts w:hint="eastAsia" w:ascii="Times New Roman" w:hAnsi="Times New Roman" w:eastAsia="仿宋_GB2312" w:cs="Times New Roman"/>
                <w:kern w:val="2"/>
                <w:sz w:val="21"/>
                <w:szCs w:val="21"/>
                <w:lang w:val="en-US" w:eastAsia="zh-CN"/>
              </w:rPr>
              <w:t>2019</w:t>
            </w:r>
            <w:r>
              <w:rPr>
                <w:rFonts w:hint="eastAsia" w:ascii="Times New Roman" w:hAnsi="Times New Roman" w:eastAsia="仿宋_GB2312" w:cs="Times New Roman"/>
                <w:kern w:val="2"/>
                <w:sz w:val="21"/>
                <w:szCs w:val="21"/>
                <w:lang w:eastAsia="zh-CN"/>
              </w:rPr>
              <w:t>〕</w:t>
            </w:r>
            <w:r>
              <w:rPr>
                <w:rFonts w:hint="eastAsia" w:ascii="Times New Roman" w:hAnsi="Times New Roman" w:eastAsia="仿宋_GB2312" w:cs="Times New Roman"/>
                <w:kern w:val="2"/>
                <w:sz w:val="21"/>
                <w:szCs w:val="21"/>
                <w:lang w:val="en-US" w:eastAsia="zh-CN"/>
              </w:rPr>
              <w:t>68号</w:t>
            </w:r>
          </w:p>
        </w:tc>
        <w:tc>
          <w:tcPr>
            <w:tcW w:w="22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Times New Roman" w:hAnsi="Times New Roman" w:eastAsia="仿宋_GB2312" w:cs="Times New Roman"/>
                <w:kern w:val="2"/>
                <w:sz w:val="24"/>
                <w:szCs w:val="24"/>
                <w:lang w:val="en-US" w:eastAsia="zh-CN"/>
              </w:rPr>
              <w:t>2019年8月15日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4</w:t>
            </w:r>
          </w:p>
        </w:tc>
        <w:tc>
          <w:tcPr>
            <w:tcW w:w="4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Times New Roman" w:hAnsi="Times New Roman" w:eastAsia="仿宋_GB2312" w:cs="Times New Roman"/>
                <w:kern w:val="2"/>
                <w:sz w:val="24"/>
                <w:szCs w:val="24"/>
                <w:lang w:eastAsia="zh-CN"/>
              </w:rPr>
              <w:t>关于进一步加强人民防空工程建设管理工作的通知</w:t>
            </w:r>
          </w:p>
        </w:tc>
        <w:tc>
          <w:tcPr>
            <w:tcW w:w="26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Times New Roman" w:hAnsi="Times New Roman" w:eastAsia="仿宋_GB2312" w:cs="Times New Roman"/>
                <w:kern w:val="2"/>
                <w:sz w:val="24"/>
                <w:szCs w:val="24"/>
                <w:lang w:eastAsia="zh-CN"/>
              </w:rPr>
              <w:t>澄政办发</w:t>
            </w:r>
            <w:r>
              <w:rPr>
                <w:rFonts w:hint="eastAsia" w:ascii="Times New Roman" w:hAnsi="Times New Roman" w:eastAsia="仿宋_GB2312" w:cs="Times New Roman"/>
                <w:kern w:val="2"/>
                <w:sz w:val="21"/>
                <w:szCs w:val="21"/>
                <w:lang w:eastAsia="zh-CN"/>
              </w:rPr>
              <w:t>〔</w:t>
            </w:r>
            <w:r>
              <w:rPr>
                <w:rFonts w:hint="eastAsia" w:ascii="Times New Roman" w:hAnsi="Times New Roman" w:eastAsia="仿宋_GB2312" w:cs="Times New Roman"/>
                <w:kern w:val="2"/>
                <w:sz w:val="21"/>
                <w:szCs w:val="21"/>
                <w:lang w:val="en-US" w:eastAsia="zh-CN"/>
              </w:rPr>
              <w:t>2011</w:t>
            </w:r>
            <w:r>
              <w:rPr>
                <w:rFonts w:hint="eastAsia" w:ascii="Times New Roman" w:hAnsi="Times New Roman" w:eastAsia="仿宋_GB2312" w:cs="Times New Roman"/>
                <w:kern w:val="2"/>
                <w:sz w:val="21"/>
                <w:szCs w:val="21"/>
                <w:lang w:eastAsia="zh-CN"/>
              </w:rPr>
              <w:t>〕</w:t>
            </w:r>
            <w:r>
              <w:rPr>
                <w:rFonts w:hint="eastAsia" w:ascii="Times New Roman" w:hAnsi="Times New Roman" w:eastAsia="仿宋_GB2312" w:cs="Times New Roman"/>
                <w:kern w:val="2"/>
                <w:sz w:val="21"/>
                <w:szCs w:val="21"/>
                <w:lang w:val="en-US" w:eastAsia="zh-CN"/>
              </w:rPr>
              <w:t>67号</w:t>
            </w:r>
          </w:p>
        </w:tc>
        <w:tc>
          <w:tcPr>
            <w:tcW w:w="22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Times New Roman" w:hAnsi="Times New Roman" w:eastAsia="仿宋_GB2312" w:cs="Times New Roman"/>
                <w:kern w:val="2"/>
                <w:sz w:val="24"/>
                <w:szCs w:val="24"/>
                <w:lang w:val="en-US" w:eastAsia="zh-CN"/>
              </w:rPr>
              <w:t>2011年5月11日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5</w:t>
            </w:r>
          </w:p>
        </w:tc>
        <w:tc>
          <w:tcPr>
            <w:tcW w:w="4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Times New Roman" w:hAnsi="Times New Roman" w:eastAsia="仿宋_GB2312" w:cs="Times New Roman"/>
                <w:kern w:val="2"/>
                <w:sz w:val="24"/>
                <w:szCs w:val="24"/>
                <w:lang w:eastAsia="zh-CN"/>
              </w:rPr>
              <w:t>澄江县工程建设不良行为记录和黑名单管理办法</w:t>
            </w:r>
          </w:p>
        </w:tc>
        <w:tc>
          <w:tcPr>
            <w:tcW w:w="26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Times New Roman" w:hAnsi="Times New Roman" w:eastAsia="仿宋_GB2312" w:cs="Times New Roman"/>
                <w:kern w:val="2"/>
                <w:sz w:val="24"/>
                <w:szCs w:val="24"/>
                <w:lang w:eastAsia="zh-CN"/>
              </w:rPr>
              <w:t>县政府公告第</w:t>
            </w:r>
            <w:r>
              <w:rPr>
                <w:rFonts w:hint="eastAsia" w:ascii="Times New Roman" w:hAnsi="Times New Roman" w:eastAsia="仿宋_GB2312" w:cs="Times New Roman"/>
                <w:kern w:val="2"/>
                <w:sz w:val="24"/>
                <w:szCs w:val="24"/>
                <w:lang w:val="en-US" w:eastAsia="zh-CN"/>
              </w:rPr>
              <w:t>22号</w:t>
            </w:r>
          </w:p>
        </w:tc>
        <w:tc>
          <w:tcPr>
            <w:tcW w:w="22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Times New Roman" w:hAnsi="Times New Roman" w:eastAsia="仿宋_GB2312" w:cs="Times New Roman"/>
                <w:kern w:val="2"/>
                <w:sz w:val="24"/>
                <w:szCs w:val="24"/>
                <w:lang w:val="en-US" w:eastAsia="zh-CN"/>
              </w:rPr>
              <w:t>2015年6月1日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6</w:t>
            </w:r>
          </w:p>
        </w:tc>
        <w:tc>
          <w:tcPr>
            <w:tcW w:w="4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Times New Roman" w:hAnsi="Times New Roman" w:eastAsia="仿宋_GB2312" w:cs="Times New Roman"/>
                <w:kern w:val="2"/>
                <w:sz w:val="24"/>
                <w:szCs w:val="24"/>
                <w:lang w:eastAsia="zh-CN"/>
              </w:rPr>
              <w:t>澄江市人民政府办公室关于印发澄江市城镇排水管理办法（试行）的通知</w:t>
            </w:r>
          </w:p>
        </w:tc>
        <w:tc>
          <w:tcPr>
            <w:tcW w:w="26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Times New Roman" w:hAnsi="Times New Roman" w:eastAsia="仿宋_GB2312" w:cs="Times New Roman"/>
                <w:kern w:val="2"/>
                <w:sz w:val="24"/>
                <w:szCs w:val="24"/>
                <w:lang w:eastAsia="zh-CN"/>
              </w:rPr>
              <w:t>澄政办发</w:t>
            </w:r>
            <w:r>
              <w:rPr>
                <w:rFonts w:hint="eastAsia" w:ascii="Times New Roman" w:hAnsi="Times New Roman" w:eastAsia="仿宋_GB2312" w:cs="Times New Roman"/>
                <w:kern w:val="2"/>
                <w:sz w:val="21"/>
                <w:szCs w:val="21"/>
                <w:lang w:eastAsia="zh-CN"/>
              </w:rPr>
              <w:t>〔</w:t>
            </w:r>
            <w:r>
              <w:rPr>
                <w:rFonts w:hint="eastAsia" w:ascii="Times New Roman" w:hAnsi="Times New Roman" w:eastAsia="仿宋_GB2312" w:cs="Times New Roman"/>
                <w:kern w:val="2"/>
                <w:sz w:val="21"/>
                <w:szCs w:val="21"/>
                <w:lang w:val="en-US" w:eastAsia="zh-CN"/>
              </w:rPr>
              <w:t>2021</w:t>
            </w:r>
            <w:r>
              <w:rPr>
                <w:rFonts w:hint="eastAsia" w:ascii="Times New Roman" w:hAnsi="Times New Roman" w:eastAsia="仿宋_GB2312" w:cs="Times New Roman"/>
                <w:kern w:val="2"/>
                <w:sz w:val="21"/>
                <w:szCs w:val="21"/>
                <w:lang w:eastAsia="zh-CN"/>
              </w:rPr>
              <w:t>〕</w:t>
            </w:r>
            <w:r>
              <w:rPr>
                <w:rFonts w:hint="eastAsia" w:ascii="Times New Roman" w:hAnsi="Times New Roman" w:eastAsia="仿宋_GB2312" w:cs="Times New Roman"/>
                <w:kern w:val="2"/>
                <w:sz w:val="21"/>
                <w:szCs w:val="21"/>
                <w:lang w:val="en-US" w:eastAsia="zh-CN"/>
              </w:rPr>
              <w:t>10号</w:t>
            </w:r>
          </w:p>
        </w:tc>
        <w:tc>
          <w:tcPr>
            <w:tcW w:w="22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pPr>
            <w:r>
              <w:rPr>
                <w:rFonts w:hint="eastAsia" w:ascii="Times New Roman" w:hAnsi="Times New Roman" w:eastAsia="仿宋_GB2312" w:cs="Times New Roman"/>
                <w:kern w:val="2"/>
                <w:sz w:val="24"/>
                <w:szCs w:val="24"/>
                <w:lang w:val="en-US" w:eastAsia="zh-CN"/>
              </w:rPr>
              <w:t>2021年3月8日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7</w:t>
            </w:r>
          </w:p>
        </w:tc>
        <w:tc>
          <w:tcPr>
            <w:tcW w:w="43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澄江市人民政府办公室关于印发澄江市限价商品住房管理实施办法的通知</w:t>
            </w:r>
          </w:p>
        </w:tc>
        <w:tc>
          <w:tcPr>
            <w:tcW w:w="26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Times New Roman" w:hAnsi="Times New Roman" w:eastAsia="仿宋_GB2312" w:cs="Times New Roman"/>
                <w:kern w:val="2"/>
                <w:sz w:val="24"/>
                <w:szCs w:val="24"/>
                <w:lang w:eastAsia="zh-CN"/>
              </w:rPr>
            </w:pPr>
            <w:r>
              <w:rPr>
                <w:rFonts w:hint="eastAsia" w:ascii="Times New Roman" w:hAnsi="Times New Roman" w:eastAsia="仿宋_GB2312" w:cs="Times New Roman"/>
                <w:kern w:val="2"/>
                <w:sz w:val="24"/>
                <w:szCs w:val="24"/>
                <w:lang w:eastAsia="zh-CN"/>
              </w:rPr>
              <w:t>澄政办发〔2022〕54号</w:t>
            </w:r>
          </w:p>
        </w:tc>
        <w:tc>
          <w:tcPr>
            <w:tcW w:w="22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Times New Roman" w:hAnsi="Times New Roman" w:eastAsia="仿宋_GB2312" w:cs="Times New Roman"/>
                <w:kern w:val="2"/>
                <w:sz w:val="24"/>
                <w:szCs w:val="24"/>
                <w:lang w:val="en-US" w:eastAsia="zh-CN"/>
              </w:rPr>
            </w:pPr>
            <w:r>
              <w:rPr>
                <w:rFonts w:hint="eastAsia" w:ascii="Times New Roman" w:hAnsi="Times New Roman" w:eastAsia="仿宋_GB2312" w:cs="Times New Roman"/>
                <w:kern w:val="2"/>
                <w:sz w:val="24"/>
                <w:szCs w:val="24"/>
                <w:lang w:val="en-US" w:eastAsia="zh-CN"/>
              </w:rPr>
              <w:t>2022年6月20日</w:t>
            </w:r>
          </w:p>
        </w:tc>
      </w:tr>
    </w:tbl>
    <w:p>
      <w:pPr>
        <w:widowControl w:val="0"/>
        <w:adjustRightInd/>
        <w:snapToGrid/>
        <w:spacing w:after="0" w:line="540" w:lineRule="exact"/>
        <w:jc w:val="both"/>
        <w:rPr>
          <w:rFonts w:hint="eastAsia" w:ascii="Times New Roman" w:hAnsi="Times New Roman" w:eastAsia="方正仿宋_GBK" w:cs="Times New Roman"/>
          <w:kern w:val="2"/>
          <w:sz w:val="30"/>
          <w:szCs w:val="30"/>
        </w:rPr>
      </w:pPr>
    </w:p>
    <w:p>
      <w:pPr>
        <w:widowControl w:val="0"/>
        <w:adjustRightInd/>
        <w:snapToGrid/>
        <w:spacing w:after="0" w:line="540" w:lineRule="exact"/>
        <w:jc w:val="both"/>
        <w:rPr>
          <w:rFonts w:hint="eastAsia" w:ascii="方正黑体_GBK" w:hAnsi="Times New Roman" w:eastAsia="方正黑体_GBK" w:cs="Times New Roman"/>
          <w:kern w:val="2"/>
          <w:sz w:val="32"/>
          <w:szCs w:val="32"/>
        </w:rPr>
      </w:pPr>
    </w:p>
    <w:p>
      <w:pPr>
        <w:widowControl w:val="0"/>
        <w:adjustRightInd/>
        <w:snapToGrid/>
        <w:spacing w:after="0" w:line="540" w:lineRule="exact"/>
        <w:jc w:val="both"/>
        <w:rPr>
          <w:rFonts w:hint="eastAsia" w:ascii="方正黑体_GBK" w:hAnsi="Times New Roman" w:eastAsia="方正黑体_GBK" w:cs="Times New Roman"/>
          <w:kern w:val="2"/>
          <w:sz w:val="32"/>
          <w:szCs w:val="32"/>
        </w:rPr>
      </w:pPr>
    </w:p>
    <w:p>
      <w:pPr>
        <w:widowControl w:val="0"/>
        <w:adjustRightInd/>
        <w:snapToGrid/>
        <w:spacing w:after="0" w:line="540" w:lineRule="exact"/>
        <w:jc w:val="both"/>
        <w:rPr>
          <w:rFonts w:hint="eastAsia" w:ascii="方正黑体_GBK" w:hAnsi="Times New Roman" w:eastAsia="方正黑体_GBK" w:cs="Times New Roman"/>
          <w:kern w:val="2"/>
          <w:sz w:val="32"/>
          <w:szCs w:val="32"/>
        </w:rPr>
      </w:pPr>
    </w:p>
    <w:p>
      <w:pPr>
        <w:widowControl w:val="0"/>
        <w:adjustRightInd/>
        <w:snapToGrid/>
        <w:spacing w:after="0" w:line="540" w:lineRule="exact"/>
        <w:jc w:val="both"/>
        <w:rPr>
          <w:rFonts w:hint="eastAsia" w:ascii="方正黑体_GBK" w:hAnsi="Times New Roman" w:eastAsia="方正黑体_GBK" w:cs="Times New Roman"/>
          <w:kern w:val="2"/>
          <w:sz w:val="32"/>
          <w:szCs w:val="32"/>
        </w:rPr>
      </w:pPr>
    </w:p>
    <w:p>
      <w:pPr>
        <w:widowControl w:val="0"/>
        <w:adjustRightInd/>
        <w:snapToGrid/>
        <w:spacing w:after="0" w:line="540" w:lineRule="exact"/>
        <w:jc w:val="both"/>
        <w:rPr>
          <w:rFonts w:hint="eastAsia" w:ascii="方正黑体_GBK" w:hAnsi="Times New Roman" w:eastAsia="方正黑体_GBK" w:cs="Times New Roman"/>
          <w:kern w:val="2"/>
          <w:sz w:val="32"/>
          <w:szCs w:val="32"/>
        </w:rPr>
      </w:pPr>
    </w:p>
    <w:p>
      <w:pPr>
        <w:widowControl w:val="0"/>
        <w:adjustRightInd/>
        <w:snapToGrid/>
        <w:spacing w:after="0" w:line="540" w:lineRule="exact"/>
        <w:jc w:val="both"/>
        <w:rPr>
          <w:rFonts w:hint="eastAsia" w:ascii="方正黑体_GBK" w:hAnsi="Times New Roman" w:eastAsia="方正黑体_GBK" w:cs="Times New Roman"/>
          <w:kern w:val="2"/>
          <w:sz w:val="32"/>
          <w:szCs w:val="32"/>
        </w:rPr>
      </w:pPr>
    </w:p>
    <w:p>
      <w:pPr>
        <w:spacing w:line="220" w:lineRule="atLeast"/>
      </w:pPr>
    </w:p>
    <w:sectPr>
      <w:pgSz w:w="11906" w:h="16838"/>
      <w:pgMar w:top="2041" w:right="1474" w:bottom="1304" w:left="1587"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1A3352CE"/>
    <w:rsid w:val="1B6147A7"/>
    <w:rsid w:val="230B6461"/>
    <w:rsid w:val="23146824"/>
    <w:rsid w:val="285176DA"/>
    <w:rsid w:val="2F631A3F"/>
    <w:rsid w:val="303066BE"/>
    <w:rsid w:val="41C046FA"/>
    <w:rsid w:val="49310334"/>
    <w:rsid w:val="4C1C4657"/>
    <w:rsid w:val="5A004A93"/>
    <w:rsid w:val="5B000E28"/>
    <w:rsid w:val="5CEB1AAE"/>
    <w:rsid w:val="5D150FE8"/>
    <w:rsid w:val="5E03040A"/>
    <w:rsid w:val="5EF0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eastAsia="黑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圝冬圝</cp:lastModifiedBy>
  <dcterms:modified xsi:type="dcterms:W3CDTF">2022-09-02T09:41:46Z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