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重大政策和重点项目等绩效执行结果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2022年澄江市财政局组织开展2021年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重大政策和重点项目绩效评价结果已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在澄江市人民政府信息公开网站上公开（网址见附表）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。此次重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政策和重点项目绩效评价共选取了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4个项目及1个部门整体。4个项目分别是：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澄江市医疗保障局2021年城乡居民基本医疗保险补助资金、澄江市教育体育局2021年建设及教育综合改革项目专项资金、澄江市林业和草原局森林抚仙湖、澄江市交通运输局车辆购置税收入补助地方专项资金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；1个部门整体是：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澄江市自然资源局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整体支出绩效评价。通过对重点项目资金使用情况绩效评价，切实把好资金入口关，提高财政资金使用效益，切实发挥了绩效评价在预算执行过程中的纠偏、促进作用，确保绩效目标按质、保量实现。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2022年财政绩效评价报告公开网址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050" w:rightChars="500"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澄江市财政局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840" w:rightChars="400"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2022年财政绩效评价报告公开网址</w:t>
      </w:r>
    </w:p>
    <w:tbl>
      <w:tblPr>
        <w:tblStyle w:val="4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5469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报告名称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公开网址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澄江市医疗保障局2021年城乡居民基本医疗保险补助资金</w:t>
            </w:r>
          </w:p>
        </w:tc>
        <w:tc>
          <w:tcPr>
            <w:tcW w:w="3075" w:type="dxa"/>
            <w:vAlign w:val="center"/>
          </w:tcPr>
          <w:p>
            <w:pPr>
              <w:jc w:val="both"/>
              <w:rPr>
                <w:rStyle w:val="6"/>
                <w:rFonts w:hint="default" w:ascii="Times New Roman" w:hAnsi="Times New Roman" w:cs="Times New Roman"/>
                <w:color w:val="0000FF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"http://www.yncj.gov.cn/cjxzfxxgk/yjsgk9972/20230106/1410419.html"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lang w:val="en-US" w:eastAsia="zh-CN"/>
              </w:rPr>
              <w:t>http://www.yncj.gov.cn//cjxzfxxgk/yjsgk9972/20230106/1410419.html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澄江市教育体育局2021年建设及教育综合改革项目专项资金</w:t>
            </w:r>
          </w:p>
        </w:tc>
        <w:tc>
          <w:tcPr>
            <w:tcW w:w="3075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"http://www.yncj.gov.cn/cjxzfxxgk/cjxjyjysjsgk/20221220/1471694.html"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lang w:val="en-US" w:eastAsia="zh-CN"/>
              </w:rPr>
              <w:t>http://www.yncj.gov.cn/cjxzfxxgk/cjxjyjysjsgk/20221220/1471694.html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澄江市林业和草原局森林抚仙湖</w:t>
            </w:r>
          </w:p>
        </w:tc>
        <w:tc>
          <w:tcPr>
            <w:tcW w:w="3075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"http://www.yncj.gov.cn/cjxzfxxgk/yjsgk7698/20230913/1471839.html"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lang w:val="en-US" w:eastAsia="zh-CN"/>
              </w:rPr>
              <w:t>http://www.yncj.gov.cn//cjxzfxxgk/yjsgk7698/20230913/1471839.html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澄江市交通运输局车辆购置税收入补助地方专项资金</w:t>
            </w:r>
          </w:p>
        </w:tc>
        <w:tc>
          <w:tcPr>
            <w:tcW w:w="3075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"http://www.yncj.gov.cn/cjxzfxxgk/bmyjsgkcjxjtysj/20230103/1409261.html"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lang w:val="en-US" w:eastAsia="zh-CN"/>
              </w:rPr>
              <w:t>http://www.yncj.gov.cn//cjxzfxxgk/bmyjsgkcjxjtysj/20230103/1409261.html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澄江市自然资源局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整体支出绩效评价</w:t>
            </w:r>
          </w:p>
        </w:tc>
        <w:tc>
          <w:tcPr>
            <w:tcW w:w="3075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"http://www.yncj.gov.cn/cjxzfxxgk/yjsxxgkcjcgtzyj/20230112/1471860.html"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lang w:val="en-US" w:eastAsia="zh-CN"/>
              </w:rPr>
              <w:t>http://www.yncj.gov.cn/cjxzfxxgk/yjsxxgkcjcgtzyj/20230112/1471860.html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B53EE"/>
    <w:rsid w:val="105D71C1"/>
    <w:rsid w:val="13E11A39"/>
    <w:rsid w:val="2EBF4C91"/>
    <w:rsid w:val="57F63C91"/>
    <w:rsid w:val="6A7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2023-09-08T10:39:00Z</dcterms:created>
  <dc:creator>Administrator</dc:creator>
  <cp:lastModifiedBy>兔子</cp:lastModifiedBy>
  <dcterms:modified xsi:type="dcterms:W3CDTF">2023-09-18T13:17:26Z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