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default" w:ascii="Times New Roman" w:hAnsi="Times New Roman" w:eastAsia="方正仿宋_GBK" w:cs="Times New Roman"/>
          <w:sz w:val="32"/>
          <w:szCs w:val="32"/>
          <w:lang w:eastAsia="zh-CN"/>
        </w:rPr>
      </w:pPr>
      <w:bookmarkStart w:id="0" w:name="_GoBack"/>
      <w:bookmarkEnd w:id="0"/>
    </w:p>
    <w:p>
      <w:pPr>
        <w:rPr>
          <w:rFonts w:hint="default" w:ascii="Times New Roman" w:hAnsi="Times New Roman" w:eastAsia="方正仿宋_GBK" w:cs="Times New Roman"/>
          <w:sz w:val="32"/>
          <w:szCs w:val="32"/>
          <w:lang w:eastAsia="zh-CN"/>
        </w:rPr>
      </w:pPr>
    </w:p>
    <w:p>
      <w:pPr>
        <w:jc w:val="center"/>
        <w:rPr>
          <w:rFonts w:hint="default" w:ascii="Times New Roman" w:hAnsi="Times New Roman" w:eastAsia="方正仿宋_GBK" w:cs="Times New Roman"/>
          <w:sz w:val="32"/>
          <w:szCs w:val="32"/>
        </w:rPr>
      </w:pPr>
      <w:r>
        <w:rPr>
          <w:rFonts w:hint="eastAsia"/>
          <w:b/>
          <w:color w:val="FF0000"/>
          <w:spacing w:val="-28"/>
          <w:sz w:val="32"/>
          <w:szCs w:val="32"/>
        </w:rPr>
        <w:pict>
          <v:line id="直线 14" o:spid="_x0000_s1026" o:spt="20" style="position:absolute;left:0pt;margin-left:6.8pt;margin-top:29.85pt;height:0.05pt;width:442.2pt;z-index:251660288;mso-width-relative:page;mso-height-relative:page;" filled="f" stroked="t" coordsize="21600,21600">
            <v:path arrowok="t"/>
            <v:fill on="f" focussize="0,0"/>
            <v:stroke weight="2.25pt" color="#FF0000"/>
            <v:imagedata o:title=""/>
            <o:lock v:ext="edit" aspectratio="f"/>
          </v:line>
        </w:pict>
      </w:r>
      <w:r>
        <w:rPr>
          <w:rFonts w:hint="default" w:ascii="Times New Roman" w:hAnsi="Times New Roman" w:eastAsia="方正仿宋_GBK" w:cs="Times New Roman"/>
          <w:sz w:val="32"/>
          <w:szCs w:val="32"/>
          <w:lang w:eastAsia="zh-CN"/>
        </w:rPr>
        <w:t>澄财</w:t>
      </w:r>
      <w:r>
        <w:rPr>
          <w:rFonts w:hint="eastAsia" w:ascii="Times New Roman" w:hAnsi="Times New Roman" w:cs="Times New Roman"/>
          <w:sz w:val="32"/>
          <w:szCs w:val="32"/>
          <w:lang w:eastAsia="zh-CN"/>
        </w:rPr>
        <w:t>农</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2023</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48</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1"/>
          <w:w w:val="90"/>
          <w:sz w:val="44"/>
          <w:szCs w:val="44"/>
          <w:lang w:eastAsia="zh-CN"/>
        </w:rPr>
        <w:t>澄江市财政局</w:t>
      </w:r>
      <w:r>
        <w:rPr>
          <w:rFonts w:hint="eastAsia" w:ascii="方正小标宋_GBK" w:hAnsi="方正小标宋_GBK" w:eastAsia="方正小标宋_GBK" w:cs="方正小标宋_GBK"/>
          <w:spacing w:val="-11"/>
          <w:w w:val="90"/>
          <w:sz w:val="44"/>
          <w:szCs w:val="44"/>
          <w:lang w:val="en-US" w:eastAsia="zh-CN"/>
        </w:rPr>
        <w:t xml:space="preserve"> 中共澄江市委组织部 </w:t>
      </w:r>
      <w:r>
        <w:rPr>
          <w:rFonts w:hint="eastAsia" w:ascii="方正小标宋_GBK" w:hAnsi="方正小标宋_GBK" w:eastAsia="方正小标宋_GBK" w:cs="方正小标宋_GBK"/>
          <w:spacing w:val="-11"/>
          <w:w w:val="90"/>
          <w:sz w:val="44"/>
          <w:szCs w:val="44"/>
          <w:lang w:eastAsia="zh-CN"/>
        </w:rPr>
        <w:t>澄江市农业农村局</w:t>
      </w:r>
      <w:r>
        <w:rPr>
          <w:rFonts w:hint="eastAsia" w:ascii="方正小标宋_GBK" w:hAnsi="方正小标宋_GBK" w:eastAsia="方正小标宋_GBK" w:cs="方正小标宋_GBK"/>
          <w:spacing w:val="14"/>
          <w:sz w:val="44"/>
          <w:szCs w:val="44"/>
          <w:lang w:eastAsia="zh-CN"/>
        </w:rPr>
        <w:t>关于调整下达2023年</w:t>
      </w:r>
      <w:r>
        <w:rPr>
          <w:rFonts w:hint="eastAsia" w:ascii="方正小标宋_GBK" w:hAnsi="方正小标宋_GBK" w:eastAsia="方正小标宋_GBK" w:cs="方正小标宋_GBK"/>
          <w:spacing w:val="14"/>
          <w:sz w:val="44"/>
          <w:szCs w:val="44"/>
          <w:lang w:val="en-US" w:eastAsia="zh-CN"/>
        </w:rPr>
        <w:t>中央</w:t>
      </w:r>
      <w:r>
        <w:rPr>
          <w:rFonts w:hint="eastAsia" w:ascii="方正小标宋_GBK" w:hAnsi="方正小标宋_GBK" w:eastAsia="方正小标宋_GBK" w:cs="方正小标宋_GBK"/>
          <w:spacing w:val="14"/>
          <w:sz w:val="44"/>
          <w:szCs w:val="44"/>
          <w:lang w:eastAsia="zh-CN"/>
        </w:rPr>
        <w:t>财政衔接推进乡村振兴补助资金的通知</w:t>
      </w:r>
    </w:p>
    <w:p>
      <w:pPr>
        <w:keepNext w:val="0"/>
        <w:keepLines w:val="0"/>
        <w:pageBreakBefore w:val="0"/>
        <w:widowControl w:val="0"/>
        <w:numPr>
          <w:ilvl w:val="0"/>
          <w:numId w:val="0"/>
        </w:numPr>
        <w:tabs>
          <w:tab w:val="left" w:pos="7095"/>
        </w:tabs>
        <w:kinsoku/>
        <w:wordWrap/>
        <w:overflowPunct/>
        <w:topLinePunct w:val="0"/>
        <w:autoSpaceDE/>
        <w:autoSpaceDN/>
        <w:bidi w:val="0"/>
        <w:adjustRightInd/>
        <w:snapToGrid w:val="0"/>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路居镇、海口镇、九村镇人民政府，财政所：</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cs="Times New Roman"/>
          <w:color w:val="000000"/>
          <w:sz w:val="32"/>
          <w:szCs w:val="32"/>
          <w:lang w:val="en-US" w:eastAsia="zh-CN"/>
        </w:rPr>
      </w:pPr>
      <w:r>
        <w:rPr>
          <w:rFonts w:hint="default" w:ascii="Times New Roman" w:hAnsi="Times New Roman" w:eastAsia="方正仿宋_GBK" w:cs="Times New Roman"/>
          <w:sz w:val="32"/>
          <w:szCs w:val="32"/>
        </w:rPr>
        <w:t>为保证</w:t>
      </w:r>
      <w:r>
        <w:rPr>
          <w:rFonts w:hint="default" w:ascii="Times New Roman" w:hAnsi="Times New Roman" w:cs="Times New Roman"/>
          <w:sz w:val="32"/>
          <w:szCs w:val="32"/>
          <w:lang w:eastAsia="zh-CN"/>
        </w:rPr>
        <w:t>我市</w:t>
      </w:r>
      <w:r>
        <w:rPr>
          <w:rFonts w:hint="eastAsia" w:cs="Times New Roman"/>
          <w:sz w:val="32"/>
          <w:szCs w:val="32"/>
          <w:lang w:eastAsia="zh-CN"/>
        </w:rPr>
        <w:t>202</w:t>
      </w:r>
      <w:r>
        <w:rPr>
          <w:rFonts w:hint="eastAsia" w:cs="Times New Roman"/>
          <w:sz w:val="32"/>
          <w:szCs w:val="32"/>
          <w:lang w:val="en-US" w:eastAsia="zh-CN"/>
        </w:rPr>
        <w:t>3</w:t>
      </w:r>
      <w:r>
        <w:rPr>
          <w:rFonts w:hint="default" w:ascii="Times New Roman" w:hAnsi="Times New Roman" w:eastAsia="方正仿宋_GBK" w:cs="Times New Roman"/>
          <w:sz w:val="32"/>
          <w:szCs w:val="32"/>
        </w:rPr>
        <w:t>年</w:t>
      </w:r>
      <w:r>
        <w:rPr>
          <w:rFonts w:hint="eastAsia" w:cs="Times New Roman"/>
          <w:sz w:val="32"/>
          <w:szCs w:val="32"/>
          <w:lang w:val="en-US" w:eastAsia="zh-CN"/>
        </w:rPr>
        <w:t>中央财政衔接推进乡村振兴补助资金</w:t>
      </w:r>
      <w:r>
        <w:rPr>
          <w:rFonts w:hint="default" w:ascii="Times New Roman" w:hAnsi="Times New Roman" w:eastAsia="方正仿宋_GBK" w:cs="Times New Roman"/>
          <w:sz w:val="32"/>
          <w:szCs w:val="32"/>
        </w:rPr>
        <w:t>项目建设的顺利进行，</w:t>
      </w:r>
      <w:r>
        <w:rPr>
          <w:rFonts w:hint="default" w:ascii="Times New Roman" w:hAnsi="Times New Roman" w:eastAsia="方正仿宋_GBK" w:cs="Times New Roman"/>
          <w:color w:val="auto"/>
          <w:sz w:val="32"/>
          <w:szCs w:val="32"/>
        </w:rPr>
        <w:t>根据《玉溪市财政局关于下达2023年中央财政衔接推进乡村振兴补助资金的通知》（玉财农〔2023〕62号）</w:t>
      </w:r>
      <w:r>
        <w:rPr>
          <w:rFonts w:hint="default" w:ascii="Times New Roman" w:hAnsi="Times New Roman" w:eastAsia="方正仿宋_GBK" w:cs="Times New Roman"/>
          <w:sz w:val="32"/>
          <w:szCs w:val="32"/>
        </w:rPr>
        <w:t>文件</w:t>
      </w:r>
      <w:r>
        <w:rPr>
          <w:rFonts w:hint="eastAsia" w:cs="Times New Roman"/>
          <w:sz w:val="32"/>
          <w:szCs w:val="32"/>
          <w:lang w:val="en-US" w:eastAsia="zh-CN"/>
        </w:rPr>
        <w:t>精神</w:t>
      </w:r>
      <w:r>
        <w:rPr>
          <w:rFonts w:hint="default" w:ascii="Times New Roman" w:hAnsi="Times New Roman" w:eastAsia="方正仿宋_GBK" w:cs="Times New Roman"/>
          <w:sz w:val="32"/>
          <w:szCs w:val="32"/>
          <w:lang w:eastAsia="zh-CN"/>
        </w:rPr>
        <w:t>，结合</w:t>
      </w:r>
      <w:r>
        <w:rPr>
          <w:rFonts w:hint="default" w:ascii="Times New Roman" w:hAnsi="Times New Roman" w:eastAsia="方正仿宋_GBK" w:cs="Times New Roman"/>
          <w:color w:val="000000"/>
          <w:sz w:val="32"/>
          <w:szCs w:val="32"/>
          <w:highlight w:val="none"/>
          <w:lang w:val="en-US" w:eastAsia="zh-CN"/>
        </w:rPr>
        <w:t>《澄江市人民政府关于调整2023年中央财政衔接推进乡村振兴发展新型农村集体经济专项补助资金的批复》（澄政复〔2023〕</w:t>
      </w:r>
      <w:r>
        <w:rPr>
          <w:rFonts w:hint="eastAsia" w:cs="Times New Roman"/>
          <w:color w:val="000000"/>
          <w:sz w:val="32"/>
          <w:szCs w:val="32"/>
          <w:highlight w:val="none"/>
          <w:lang w:val="en-US" w:eastAsia="zh-CN"/>
        </w:rPr>
        <w:t>133</w:t>
      </w:r>
      <w:r>
        <w:rPr>
          <w:rFonts w:hint="default" w:ascii="Times New Roman" w:hAnsi="Times New Roman" w:eastAsia="方正仿宋_GBK" w:cs="Times New Roman"/>
          <w:color w:val="000000"/>
          <w:sz w:val="32"/>
          <w:szCs w:val="32"/>
          <w:highlight w:val="none"/>
          <w:lang w:val="en-US" w:eastAsia="zh-CN"/>
        </w:rPr>
        <w:t>号）</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lang w:val="en-US" w:eastAsia="zh-CN"/>
        </w:rPr>
        <w:t>《澄江市人民政府关于澄江市路居镇2023年财政衔接推进乡村振兴—路居镇小凹村旅游基础设施升级改造项目实施方案的批复》（澄政复〔2023〕</w:t>
      </w:r>
      <w:r>
        <w:rPr>
          <w:rFonts w:hint="eastAsia" w:cs="Times New Roman"/>
          <w:color w:val="000000"/>
          <w:sz w:val="32"/>
          <w:szCs w:val="32"/>
          <w:highlight w:val="none"/>
          <w:lang w:val="en-US" w:eastAsia="zh-CN"/>
        </w:rPr>
        <w:t>129</w:t>
      </w:r>
      <w:r>
        <w:rPr>
          <w:rFonts w:hint="default" w:ascii="Times New Roman" w:hAnsi="Times New Roman" w:eastAsia="方正仿宋_GBK" w:cs="Times New Roman"/>
          <w:color w:val="000000"/>
          <w:sz w:val="32"/>
          <w:szCs w:val="32"/>
          <w:highlight w:val="none"/>
          <w:lang w:val="en-US" w:eastAsia="zh-CN"/>
        </w:rPr>
        <w:t>号</w:t>
      </w:r>
      <w:r>
        <w:rPr>
          <w:rFonts w:hint="eastAsia" w:cs="Times New Roman"/>
          <w:color w:val="000000"/>
          <w:sz w:val="32"/>
          <w:szCs w:val="32"/>
          <w:highlight w:val="none"/>
          <w:lang w:val="en-US" w:eastAsia="zh-CN"/>
        </w:rPr>
        <w:t>）等3</w:t>
      </w:r>
      <w:r>
        <w:rPr>
          <w:rFonts w:hint="default" w:ascii="Times New Roman" w:hAnsi="Times New Roman" w:eastAsia="方正仿宋_GBK" w:cs="Times New Roman"/>
          <w:color w:val="000000"/>
          <w:sz w:val="32"/>
          <w:szCs w:val="32"/>
          <w:highlight w:val="none"/>
        </w:rPr>
        <w:t>个</w:t>
      </w:r>
      <w:r>
        <w:rPr>
          <w:rFonts w:hint="default" w:ascii="Times New Roman" w:hAnsi="Times New Roman" w:eastAsia="方正仿宋_GBK" w:cs="Times New Roman"/>
          <w:color w:val="000000"/>
          <w:sz w:val="32"/>
          <w:szCs w:val="32"/>
          <w:lang w:val="en-US" w:eastAsia="zh-CN"/>
        </w:rPr>
        <w:t>项目</w:t>
      </w:r>
      <w:r>
        <w:rPr>
          <w:rFonts w:hint="default" w:ascii="Times New Roman" w:hAnsi="Times New Roman" w:eastAsia="方正仿宋_GBK" w:cs="Times New Roman"/>
          <w:color w:val="000000"/>
          <w:sz w:val="32"/>
          <w:szCs w:val="32"/>
        </w:rPr>
        <w:t>批复，</w:t>
      </w:r>
      <w:r>
        <w:rPr>
          <w:rFonts w:hint="eastAsia" w:cs="Times New Roman"/>
          <w:color w:val="000000"/>
          <w:sz w:val="32"/>
          <w:szCs w:val="32"/>
          <w:lang w:val="en-US" w:eastAsia="zh-CN"/>
        </w:rPr>
        <w:t>考虑年内已安排的部分项目存在无法按期推进、项目权属结构有变更等因素，</w:t>
      </w:r>
      <w:r>
        <w:rPr>
          <w:rFonts w:hint="default" w:ascii="Times New Roman" w:hAnsi="Times New Roman" w:eastAsia="方正仿宋_GBK" w:cs="Times New Roman"/>
          <w:color w:val="000000"/>
          <w:sz w:val="32"/>
          <w:szCs w:val="32"/>
        </w:rPr>
        <w:t>现</w:t>
      </w:r>
      <w:r>
        <w:rPr>
          <w:rFonts w:hint="eastAsia" w:cs="Times New Roman"/>
          <w:color w:val="000000"/>
          <w:sz w:val="32"/>
          <w:szCs w:val="32"/>
          <w:lang w:val="en-US" w:eastAsia="zh-CN"/>
        </w:rPr>
        <w:t>需调整</w:t>
      </w:r>
      <w:r>
        <w:rPr>
          <w:rFonts w:hint="eastAsia" w:cs="Times New Roman"/>
          <w:color w:val="000000"/>
          <w:sz w:val="32"/>
          <w:szCs w:val="32"/>
          <w:lang w:eastAsia="zh-CN"/>
        </w:rPr>
        <w:t>202</w:t>
      </w:r>
      <w:r>
        <w:rPr>
          <w:rFonts w:hint="eastAsia" w:cs="Times New Roman"/>
          <w:color w:val="000000"/>
          <w:sz w:val="32"/>
          <w:szCs w:val="32"/>
          <w:lang w:val="en-US" w:eastAsia="zh-CN"/>
        </w:rPr>
        <w:t>3</w:t>
      </w:r>
      <w:r>
        <w:rPr>
          <w:rFonts w:hint="default" w:ascii="Times New Roman" w:hAnsi="Times New Roman" w:eastAsia="方正仿宋_GBK" w:cs="Times New Roman"/>
          <w:color w:val="000000"/>
          <w:sz w:val="32"/>
          <w:szCs w:val="32"/>
        </w:rPr>
        <w:t>年</w:t>
      </w:r>
      <w:r>
        <w:rPr>
          <w:rFonts w:hint="eastAsia" w:cs="Times New Roman"/>
          <w:color w:val="000000"/>
          <w:sz w:val="32"/>
          <w:szCs w:val="32"/>
          <w:lang w:val="en-US" w:eastAsia="zh-CN"/>
        </w:rPr>
        <w:t>第二批</w:t>
      </w:r>
      <w:r>
        <w:rPr>
          <w:rFonts w:hint="eastAsia" w:cs="Times New Roman"/>
          <w:color w:val="000000"/>
          <w:sz w:val="32"/>
          <w:szCs w:val="32"/>
          <w:lang w:eastAsia="zh-CN"/>
        </w:rPr>
        <w:t>中央财政衔接推进乡村振兴补助资金</w:t>
      </w:r>
      <w:r>
        <w:rPr>
          <w:rFonts w:hint="eastAsia" w:cs="Times New Roman"/>
          <w:color w:val="auto"/>
          <w:sz w:val="32"/>
          <w:szCs w:val="32"/>
          <w:lang w:val="en-US" w:eastAsia="zh-CN"/>
        </w:rPr>
        <w:t>210</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000000"/>
          <w:sz w:val="32"/>
          <w:szCs w:val="32"/>
        </w:rPr>
        <w:t>（详见附</w:t>
      </w:r>
      <w:r>
        <w:rPr>
          <w:rFonts w:hint="eastAsia" w:cs="Times New Roman"/>
          <w:color w:val="000000"/>
          <w:sz w:val="32"/>
          <w:szCs w:val="32"/>
          <w:lang w:val="en-US" w:eastAsia="zh-CN"/>
        </w:rPr>
        <w:t>件1</w:t>
      </w:r>
      <w:r>
        <w:rPr>
          <w:rFonts w:hint="default" w:ascii="Times New Roman" w:hAnsi="Times New Roman" w:eastAsia="方正仿宋_GBK" w:cs="Times New Roman"/>
          <w:color w:val="000000"/>
          <w:sz w:val="32"/>
          <w:szCs w:val="32"/>
        </w:rPr>
        <w:t>）</w:t>
      </w:r>
      <w:r>
        <w:rPr>
          <w:rFonts w:hint="eastAsia" w:cs="Times New Roman"/>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请</w:t>
      </w:r>
      <w:r>
        <w:rPr>
          <w:rFonts w:hint="eastAsia" w:cs="Times New Roman"/>
          <w:sz w:val="32"/>
          <w:szCs w:val="32"/>
          <w:lang w:val="en-US" w:eastAsia="zh-CN"/>
        </w:rPr>
        <w:t>路居、海口、九村</w:t>
      </w:r>
      <w:r>
        <w:rPr>
          <w:rFonts w:hint="default" w:ascii="Times New Roman" w:hAnsi="Times New Roman" w:eastAsia="方正仿宋_GBK" w:cs="Times New Roman"/>
          <w:sz w:val="32"/>
          <w:szCs w:val="32"/>
          <w:lang w:val="en-US" w:eastAsia="zh-CN"/>
        </w:rPr>
        <w:t>镇人民政府根据被调</w:t>
      </w:r>
      <w:r>
        <w:rPr>
          <w:rFonts w:hint="eastAsia" w:cs="Times New Roman"/>
          <w:sz w:val="32"/>
          <w:szCs w:val="32"/>
          <w:lang w:val="en-US" w:eastAsia="zh-CN"/>
        </w:rPr>
        <w:t>整</w:t>
      </w:r>
      <w:r>
        <w:rPr>
          <w:rFonts w:hint="default" w:ascii="Times New Roman" w:hAnsi="Times New Roman" w:eastAsia="方正仿宋_GBK" w:cs="Times New Roman"/>
          <w:sz w:val="32"/>
          <w:szCs w:val="32"/>
          <w:lang w:val="en-US" w:eastAsia="zh-CN"/>
        </w:rPr>
        <w:t>的资金，查漏补缺，适时安排好财政衔接推进乡村振兴工作，确保工程进度与资金报账相匹配，全力完成今年的财政衔接推进乡村振兴工作。</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Times New Roman" w:hAnsi="Times New Roman" w:eastAsia="方正仿宋_GBK" w:cs="Times New Roman"/>
          <w:color w:val="0000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1840" w:leftChars="200" w:hanging="1200" w:hangingChars="375"/>
        <w:jc w:val="both"/>
        <w:textAlignment w:val="auto"/>
        <w:rPr>
          <w:rFonts w:hint="eastAsia" w:ascii="Times New Roman" w:hAnsi="Times New Roman" w:eastAsia="方正仿宋_GBK" w:cs="Times New Roman"/>
          <w:color w:val="000000"/>
          <w:sz w:val="32"/>
          <w:szCs w:val="32"/>
          <w:highlight w:val="none"/>
          <w:lang w:val="en-US" w:eastAsia="zh-CN"/>
        </w:rPr>
      </w:pPr>
      <w:r>
        <w:rPr>
          <w:rFonts w:hint="eastAsia" w:ascii="Times New Roman" w:hAnsi="Times New Roman" w:eastAsia="方正仿宋_GBK" w:cs="Times New Roman"/>
          <w:color w:val="000000"/>
          <w:sz w:val="32"/>
          <w:szCs w:val="32"/>
          <w:highlight w:val="none"/>
          <w:lang w:val="en-US" w:eastAsia="zh-CN"/>
        </w:rPr>
        <w:t>附件：1.</w:t>
      </w:r>
      <w:r>
        <w:rPr>
          <w:rFonts w:hint="default" w:ascii="Times New Roman" w:hAnsi="Times New Roman" w:eastAsia="方正仿宋_GBK" w:cs="Times New Roman"/>
          <w:color w:val="000000"/>
          <w:sz w:val="32"/>
          <w:szCs w:val="32"/>
          <w:highlight w:val="none"/>
          <w:lang w:val="en-US" w:eastAsia="zh-CN"/>
        </w:rPr>
        <w:t>澄江市202</w:t>
      </w:r>
      <w:r>
        <w:rPr>
          <w:rFonts w:hint="eastAsia" w:ascii="Times New Roman" w:hAnsi="Times New Roman" w:eastAsia="方正仿宋_GBK" w:cs="Times New Roman"/>
          <w:color w:val="000000"/>
          <w:sz w:val="32"/>
          <w:szCs w:val="32"/>
          <w:highlight w:val="none"/>
          <w:lang w:val="en-US" w:eastAsia="zh-CN"/>
        </w:rPr>
        <w:t>3</w:t>
      </w:r>
      <w:r>
        <w:rPr>
          <w:rFonts w:hint="default" w:ascii="Times New Roman" w:hAnsi="Times New Roman" w:eastAsia="方正仿宋_GBK" w:cs="Times New Roman"/>
          <w:color w:val="000000"/>
          <w:sz w:val="32"/>
          <w:szCs w:val="32"/>
          <w:highlight w:val="none"/>
          <w:lang w:val="en-US" w:eastAsia="zh-CN"/>
        </w:rPr>
        <w:t>年</w:t>
      </w:r>
      <w:r>
        <w:rPr>
          <w:rFonts w:hint="eastAsia" w:ascii="Times New Roman" w:hAnsi="Times New Roman" w:eastAsia="方正仿宋_GBK" w:cs="Times New Roman"/>
          <w:color w:val="000000"/>
          <w:sz w:val="32"/>
          <w:szCs w:val="32"/>
          <w:highlight w:val="none"/>
          <w:lang w:val="en-US" w:eastAsia="zh-CN"/>
        </w:rPr>
        <w:t>中央</w:t>
      </w:r>
      <w:r>
        <w:rPr>
          <w:rFonts w:hint="default" w:ascii="Times New Roman" w:hAnsi="Times New Roman" w:eastAsia="方正仿宋_GBK" w:cs="Times New Roman"/>
          <w:color w:val="000000"/>
          <w:sz w:val="32"/>
          <w:szCs w:val="32"/>
          <w:highlight w:val="none"/>
          <w:lang w:val="en-US" w:eastAsia="zh-CN"/>
        </w:rPr>
        <w:t>财政衔接推进乡村振兴补助资金调</w:t>
      </w:r>
      <w:r>
        <w:rPr>
          <w:rFonts w:hint="eastAsia" w:ascii="Times New Roman" w:hAnsi="Times New Roman" w:eastAsia="方正仿宋_GBK" w:cs="Times New Roman"/>
          <w:color w:val="000000"/>
          <w:sz w:val="32"/>
          <w:szCs w:val="32"/>
          <w:highlight w:val="none"/>
          <w:lang w:val="en-US" w:eastAsia="zh-CN"/>
        </w:rPr>
        <w:t>整</w:t>
      </w:r>
      <w:r>
        <w:rPr>
          <w:rFonts w:hint="default" w:ascii="Times New Roman" w:hAnsi="Times New Roman" w:eastAsia="方正仿宋_GBK" w:cs="Times New Roman"/>
          <w:color w:val="000000"/>
          <w:sz w:val="32"/>
          <w:szCs w:val="32"/>
          <w:highlight w:val="none"/>
          <w:lang w:val="en-US" w:eastAsia="zh-CN"/>
        </w:rPr>
        <w:t>表</w:t>
      </w:r>
    </w:p>
    <w:p>
      <w:pPr>
        <w:keepNext w:val="0"/>
        <w:keepLines w:val="0"/>
        <w:pageBreakBefore w:val="0"/>
        <w:widowControl w:val="0"/>
        <w:kinsoku/>
        <w:wordWrap/>
        <w:overflowPunct/>
        <w:topLinePunct w:val="0"/>
        <w:autoSpaceDE/>
        <w:autoSpaceDN/>
        <w:bidi w:val="0"/>
        <w:adjustRightInd/>
        <w:snapToGrid w:val="0"/>
        <w:spacing w:line="560" w:lineRule="exact"/>
        <w:ind w:left="1840" w:leftChars="500" w:hanging="240" w:hangingChars="75"/>
        <w:jc w:val="both"/>
        <w:textAlignment w:val="auto"/>
        <w:rPr>
          <w:rFonts w:hint="default" w:ascii="Times New Roman" w:hAnsi="Times New Roman" w:eastAsia="方正仿宋_GBK" w:cs="Times New Roman"/>
          <w:color w:val="000000"/>
          <w:sz w:val="32"/>
          <w:szCs w:val="32"/>
          <w:highlight w:val="none"/>
          <w:lang w:val="en-US" w:eastAsia="zh-CN"/>
        </w:rPr>
      </w:pPr>
      <w:r>
        <w:rPr>
          <w:rFonts w:hint="eastAsia" w:ascii="Times New Roman" w:hAnsi="Times New Roman" w:eastAsia="方正仿宋_GBK" w:cs="Times New Roman"/>
          <w:color w:val="000000"/>
          <w:sz w:val="32"/>
          <w:szCs w:val="32"/>
          <w:highlight w:val="none"/>
          <w:lang w:val="en-US" w:eastAsia="zh-CN"/>
        </w:rPr>
        <w:t>2.</w:t>
      </w:r>
      <w:r>
        <w:rPr>
          <w:rFonts w:hint="default" w:ascii="Times New Roman" w:hAnsi="Times New Roman" w:eastAsia="方正仿宋_GBK" w:cs="Times New Roman"/>
          <w:color w:val="000000"/>
          <w:sz w:val="32"/>
          <w:szCs w:val="32"/>
          <w:highlight w:val="none"/>
          <w:lang w:val="en-US" w:eastAsia="zh-CN"/>
        </w:rPr>
        <w:t>澄江市202</w:t>
      </w:r>
      <w:r>
        <w:rPr>
          <w:rFonts w:hint="eastAsia" w:ascii="Times New Roman" w:hAnsi="Times New Roman" w:eastAsia="方正仿宋_GBK" w:cs="Times New Roman"/>
          <w:color w:val="000000"/>
          <w:sz w:val="32"/>
          <w:szCs w:val="32"/>
          <w:highlight w:val="none"/>
          <w:lang w:val="en-US" w:eastAsia="zh-CN"/>
        </w:rPr>
        <w:t>3</w:t>
      </w:r>
      <w:r>
        <w:rPr>
          <w:rFonts w:hint="default" w:ascii="Times New Roman" w:hAnsi="Times New Roman" w:eastAsia="方正仿宋_GBK" w:cs="Times New Roman"/>
          <w:color w:val="000000"/>
          <w:sz w:val="32"/>
          <w:szCs w:val="32"/>
          <w:highlight w:val="none"/>
          <w:lang w:val="en-US" w:eastAsia="zh-CN"/>
        </w:rPr>
        <w:t>年</w:t>
      </w:r>
      <w:r>
        <w:rPr>
          <w:rFonts w:hint="eastAsia" w:ascii="Times New Roman" w:hAnsi="Times New Roman" w:eastAsia="方正仿宋_GBK" w:cs="Times New Roman"/>
          <w:color w:val="000000"/>
          <w:sz w:val="32"/>
          <w:szCs w:val="32"/>
          <w:highlight w:val="none"/>
          <w:lang w:val="en-US" w:eastAsia="zh-CN"/>
        </w:rPr>
        <w:t>中央</w:t>
      </w:r>
      <w:r>
        <w:rPr>
          <w:rFonts w:hint="default" w:ascii="Times New Roman" w:hAnsi="Times New Roman" w:eastAsia="方正仿宋_GBK" w:cs="Times New Roman"/>
          <w:color w:val="000000"/>
          <w:sz w:val="32"/>
          <w:szCs w:val="32"/>
          <w:highlight w:val="none"/>
          <w:lang w:val="en-US" w:eastAsia="zh-CN"/>
        </w:rPr>
        <w:t>财政衔接推进乡村振兴补助资金</w:t>
      </w:r>
      <w:r>
        <w:rPr>
          <w:rFonts w:hint="eastAsia" w:ascii="Times New Roman" w:hAnsi="Times New Roman" w:cs="Times New Roman"/>
          <w:color w:val="000000"/>
          <w:sz w:val="32"/>
          <w:szCs w:val="32"/>
          <w:highlight w:val="none"/>
          <w:lang w:val="en-US" w:eastAsia="zh-CN"/>
        </w:rPr>
        <w:t>产业扶持建设</w:t>
      </w:r>
      <w:r>
        <w:rPr>
          <w:rFonts w:hint="eastAsia" w:ascii="Times New Roman" w:hAnsi="Times New Roman" w:eastAsia="方正仿宋_GBK" w:cs="Times New Roman"/>
          <w:color w:val="000000"/>
          <w:sz w:val="32"/>
          <w:szCs w:val="32"/>
          <w:highlight w:val="none"/>
          <w:lang w:val="en-US" w:eastAsia="zh-CN"/>
        </w:rPr>
        <w:t>项目绩效目标表</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960" w:firstLineChars="300"/>
        <w:textAlignment w:val="auto"/>
        <w:outlineLvl w:val="9"/>
        <w:rPr>
          <w:rFonts w:hint="eastAsia"/>
          <w:color w:val="282828"/>
          <w:sz w:val="32"/>
          <w:szCs w:val="32"/>
          <w:lang w:val="en-US" w:eastAsia="zh-CN"/>
        </w:rPr>
      </w:pPr>
      <w:r>
        <w:rPr>
          <w:rFonts w:hint="eastAsia"/>
          <w:color w:val="282828"/>
          <w:sz w:val="32"/>
          <w:szCs w:val="32"/>
          <w:lang w:eastAsia="zh-CN"/>
        </w:rPr>
        <w:t>澄江市财政局</w:t>
      </w:r>
      <w:r>
        <w:rPr>
          <w:rFonts w:hint="eastAsia"/>
          <w:color w:val="282828"/>
          <w:sz w:val="32"/>
          <w:szCs w:val="32"/>
          <w:lang w:val="en-US" w:eastAsia="zh-CN"/>
        </w:rPr>
        <w:t xml:space="preserve">               中共澄江市委组织部</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outlineLvl w:val="9"/>
        <w:rPr>
          <w:rFonts w:hint="eastAsia"/>
          <w:color w:val="28282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center"/>
        <w:textAlignment w:val="auto"/>
        <w:outlineLvl w:val="9"/>
        <w:rPr>
          <w:rFonts w:hint="eastAsia"/>
          <w:color w:val="28282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outlineLvl w:val="9"/>
        <w:rPr>
          <w:rFonts w:hint="eastAsia"/>
          <w:color w:val="282828"/>
          <w:sz w:val="32"/>
          <w:szCs w:val="32"/>
          <w:lang w:val="en-US" w:eastAsia="zh-CN"/>
        </w:rPr>
      </w:pPr>
      <w:r>
        <w:rPr>
          <w:rFonts w:hint="eastAsia"/>
          <w:color w:val="282828"/>
          <w:sz w:val="32"/>
          <w:szCs w:val="32"/>
          <w:lang w:val="en-US" w:eastAsia="zh-CN"/>
        </w:rPr>
        <w:t>澄江市农业农村局</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eastAsia="方正仿宋_GBK"/>
          <w:color w:val="282828"/>
          <w:sz w:val="32"/>
          <w:szCs w:val="32"/>
        </w:rPr>
      </w:pPr>
      <w:r>
        <w:rPr>
          <w:rFonts w:hint="eastAsia" w:ascii="Times New Roman" w:hAnsi="Times New Roman" w:cs="Times New Roman"/>
          <w:sz w:val="32"/>
          <w:szCs w:val="32"/>
          <w:lang w:val="en-US" w:eastAsia="zh-CN"/>
        </w:rPr>
        <w:t>2023</w:t>
      </w:r>
      <w:r>
        <w:rPr>
          <w:rFonts w:eastAsia="方正仿宋_GBK"/>
          <w:color w:val="282828"/>
          <w:sz w:val="32"/>
          <w:szCs w:val="32"/>
        </w:rPr>
        <w:t>年</w:t>
      </w:r>
      <w:r>
        <w:rPr>
          <w:rFonts w:hint="eastAsia" w:ascii="Times New Roman" w:hAnsi="Times New Roman" w:cs="Times New Roman"/>
          <w:sz w:val="32"/>
          <w:szCs w:val="32"/>
          <w:lang w:val="en-US" w:eastAsia="zh-CN"/>
        </w:rPr>
        <w:t>9</w:t>
      </w:r>
      <w:r>
        <w:rPr>
          <w:rFonts w:eastAsia="方正仿宋_GBK"/>
          <w:color w:val="282828"/>
          <w:sz w:val="32"/>
          <w:szCs w:val="32"/>
        </w:rPr>
        <w:t>月</w:t>
      </w:r>
      <w:r>
        <w:rPr>
          <w:rFonts w:hint="eastAsia" w:ascii="Times New Roman" w:hAnsi="Times New Roman" w:cs="Times New Roman"/>
          <w:sz w:val="32"/>
          <w:szCs w:val="32"/>
          <w:lang w:val="en-US" w:eastAsia="zh-CN"/>
        </w:rPr>
        <w:t>19</w:t>
      </w:r>
      <w:r>
        <w:rPr>
          <w:rFonts w:eastAsia="方正仿宋_GBK"/>
          <w:color w:val="282828"/>
          <w:sz w:val="32"/>
          <w:szCs w:val="32"/>
        </w:rPr>
        <w:t>日</w:t>
      </w: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keepNext w:val="0"/>
        <w:keepLines w:val="0"/>
        <w:widowControl/>
        <w:suppressLineNumbers w:val="0"/>
        <w:jc w:val="left"/>
        <w:textAlignment w:val="center"/>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黑体_GBK" w:cs="Times New Roman"/>
          <w:i w:val="0"/>
          <w:color w:val="000000"/>
          <w:kern w:val="0"/>
          <w:sz w:val="24"/>
          <w:szCs w:val="24"/>
          <w:u w:val="none"/>
          <w:lang w:val="en-US" w:eastAsia="zh-CN" w:bidi="ar"/>
        </w:rPr>
        <w:t>附件1</w:t>
      </w:r>
    </w:p>
    <w:p>
      <w:pPr>
        <w:ind w:firstLine="2880" w:firstLineChars="800"/>
        <w:jc w:val="both"/>
        <w:rPr>
          <w:rFonts w:hint="default" w:ascii="Times New Roman" w:hAnsi="Times New Roman" w:eastAsia="方正黑体_GBK" w:cs="Times New Roman"/>
          <w:i w:val="0"/>
          <w:color w:val="000000"/>
          <w:kern w:val="0"/>
          <w:sz w:val="24"/>
          <w:szCs w:val="24"/>
          <w:u w:val="none"/>
          <w:lang w:val="en-US" w:eastAsia="zh-CN" w:bidi="ar"/>
        </w:rPr>
      </w:pPr>
      <w:r>
        <w:rPr>
          <w:rFonts w:hint="default" w:ascii="Times New Roman" w:hAnsi="Times New Roman" w:eastAsia="方正小标宋_GBK" w:cs="Times New Roman"/>
          <w:color w:val="282828"/>
          <w:sz w:val="36"/>
          <w:szCs w:val="36"/>
        </w:rPr>
        <w:t>澄江市2023年中央财政衔接推进乡村振兴补助资金调整表</w:t>
      </w:r>
      <w:r>
        <w:rPr>
          <w:rFonts w:hint="default" w:ascii="Times New Roman" w:hAnsi="Times New Roman" w:eastAsia="方正小标宋_GBK" w:cs="Times New Roman"/>
          <w:color w:val="282828"/>
          <w:sz w:val="36"/>
          <w:szCs w:val="36"/>
          <w:lang w:val="en-US" w:eastAsia="zh-CN"/>
        </w:rPr>
        <w:t xml:space="preserve">  </w:t>
      </w:r>
      <w:r>
        <w:rPr>
          <w:rFonts w:hint="eastAsia" w:eastAsia="方正小标宋_GBK" w:cs="Times New Roman"/>
          <w:color w:val="282828"/>
          <w:sz w:val="36"/>
          <w:szCs w:val="36"/>
          <w:lang w:val="en-US" w:eastAsia="zh-CN"/>
        </w:rPr>
        <w:t xml:space="preserve">  </w:t>
      </w:r>
      <w:r>
        <w:rPr>
          <w:rFonts w:hint="default" w:ascii="Times New Roman" w:hAnsi="Times New Roman" w:eastAsia="方正小标宋_GBK" w:cs="Times New Roman"/>
          <w:color w:val="282828"/>
          <w:sz w:val="36"/>
          <w:szCs w:val="36"/>
          <w:lang w:val="en-US" w:eastAsia="zh-CN"/>
        </w:rPr>
        <w:t xml:space="preserve">  </w:t>
      </w:r>
      <w:r>
        <w:rPr>
          <w:rFonts w:hint="default" w:ascii="Times New Roman" w:hAnsi="Times New Roman" w:eastAsia="宋体" w:cs="Times New Roman"/>
          <w:color w:val="282828"/>
          <w:sz w:val="52"/>
          <w:szCs w:val="52"/>
          <w:vertAlign w:val="subscript"/>
          <w:lang w:val="en-US" w:eastAsia="zh-CN"/>
        </w:rPr>
        <w:t>单位：万元</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4"/>
        <w:gridCol w:w="690"/>
        <w:gridCol w:w="4115"/>
        <w:gridCol w:w="718"/>
        <w:gridCol w:w="1405"/>
        <w:gridCol w:w="933"/>
        <w:gridCol w:w="1384"/>
        <w:gridCol w:w="1733"/>
        <w:gridCol w:w="1267"/>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6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6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乡镇名称</w:t>
            </w:r>
          </w:p>
        </w:tc>
        <w:tc>
          <w:tcPr>
            <w:tcW w:w="41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7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资金来源级次</w:t>
            </w:r>
          </w:p>
        </w:tc>
        <w:tc>
          <w:tcPr>
            <w:tcW w:w="140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指标文号</w:t>
            </w:r>
          </w:p>
        </w:tc>
        <w:tc>
          <w:tcPr>
            <w:tcW w:w="93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3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73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本次调增调减资金情况（正数调增，负数调减）</w:t>
            </w:r>
          </w:p>
        </w:tc>
        <w:tc>
          <w:tcPr>
            <w:tcW w:w="12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批复文号</w:t>
            </w:r>
          </w:p>
        </w:tc>
        <w:tc>
          <w:tcPr>
            <w:tcW w:w="256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46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7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40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3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3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73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2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6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 w:hRule="atLeast"/>
        </w:trPr>
        <w:tc>
          <w:tcPr>
            <w:tcW w:w="464" w:type="dxa"/>
            <w:tcBorders>
              <w:top w:val="nil"/>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w:t>
            </w:r>
          </w:p>
        </w:tc>
        <w:tc>
          <w:tcPr>
            <w:tcW w:w="69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海口镇</w:t>
            </w:r>
          </w:p>
        </w:tc>
        <w:tc>
          <w:tcPr>
            <w:tcW w:w="411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1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46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海口镇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澄江市海口镇松元村委会2023年财政衔接推进乡村振兴松元工业辣椒烘干基础设施建设项目</w:t>
            </w: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w:t>
            </w: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玉财农〔2023〕62号</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2130505生产发展</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50499其他资本性支出</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-700,000.00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澄政复〔</w:t>
            </w:r>
            <w:r>
              <w:rPr>
                <w:rStyle w:val="12"/>
                <w:sz w:val="20"/>
                <w:szCs w:val="20"/>
                <w:lang w:val="en-US" w:eastAsia="zh-CN" w:bidi="ar"/>
              </w:rPr>
              <w:t>2023〕133号</w:t>
            </w: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澄财农〔2023〕24号已下达该项目70万元，本次做调减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海口镇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澄江市海口镇永和村委会2023年财政衔接推进乡村振兴松元工业辣椒烘干基础设施建设项目</w:t>
            </w: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w:t>
            </w: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玉财农〔2023〕62号</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2130505生产发展</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50499其他资本性支出</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700,000.00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lang w:val="en-US" w:eastAsia="zh-CN" w:bidi="ar"/>
              </w:rPr>
              <w:t>澄政复〔</w:t>
            </w:r>
            <w:r>
              <w:rPr>
                <w:rStyle w:val="12"/>
                <w:color w:val="auto"/>
                <w:sz w:val="20"/>
                <w:szCs w:val="20"/>
                <w:lang w:val="en-US" w:eastAsia="zh-CN" w:bidi="ar"/>
              </w:rPr>
              <w:t>2023〕133号</w:t>
            </w: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路居镇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路居镇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澄江市路居镇2023年财政衔接推进乡村振兴路居集镇集贸市场改造提升建设项目</w:t>
            </w: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w:t>
            </w: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玉财农〔2023〕62号</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2130505生产发展</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50499其他资本性支出</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-1,400,000.00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澄政复〔</w:t>
            </w:r>
            <w:r>
              <w:rPr>
                <w:rStyle w:val="12"/>
                <w:sz w:val="20"/>
                <w:szCs w:val="20"/>
                <w:lang w:val="en-US" w:eastAsia="zh-CN" w:bidi="ar"/>
              </w:rPr>
              <w:t>2023〕133号</w:t>
            </w: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澄财农〔2023〕24号已下达该项目140万元，本次做调减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路居镇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澄江市路居镇2023年财政衔接推进乡村振兴小凹村旅游基础设施升级改造项目</w:t>
            </w: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w:t>
            </w: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玉财农〔2023〕62号</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2130505生产发展</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50499其他资本性支出</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700,000.00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澄政复〔</w:t>
            </w:r>
            <w:r>
              <w:rPr>
                <w:rStyle w:val="12"/>
                <w:sz w:val="20"/>
                <w:szCs w:val="20"/>
                <w:lang w:val="en-US" w:eastAsia="zh-CN" w:bidi="ar"/>
              </w:rPr>
              <w:t>2023〕129号</w:t>
            </w: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九村镇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九村镇</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澄江市九村镇九村社区2023年财政衔接推进乡村振兴蔬菜（食用菌）产业种植基地建设项目</w:t>
            </w: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中央</w:t>
            </w: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玉财农〔2023〕62号</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2130505生产发展</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50499其他资本性支出</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700,000.00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澄政复〔</w:t>
            </w:r>
            <w:r>
              <w:rPr>
                <w:rStyle w:val="12"/>
                <w:sz w:val="20"/>
                <w:szCs w:val="20"/>
                <w:lang w:val="en-US" w:eastAsia="zh-CN" w:bidi="ar"/>
              </w:rPr>
              <w:t>2023〕13</w:t>
            </w:r>
            <w:r>
              <w:rPr>
                <w:rStyle w:val="12"/>
                <w:rFonts w:hint="eastAsia"/>
                <w:sz w:val="20"/>
                <w:szCs w:val="20"/>
                <w:lang w:val="en-US" w:eastAsia="zh-CN" w:bidi="ar"/>
              </w:rPr>
              <w:t>6</w:t>
            </w:r>
            <w:r>
              <w:rPr>
                <w:rStyle w:val="12"/>
                <w:sz w:val="20"/>
                <w:szCs w:val="20"/>
                <w:lang w:val="en-US" w:eastAsia="zh-CN" w:bidi="ar"/>
              </w:rPr>
              <w:t>号</w:t>
            </w: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2"/>
                <w:szCs w:val="22"/>
                <w:u w:val="none"/>
                <w:lang w:val="en-US" w:eastAsia="zh-CN" w:bidi="ar"/>
              </w:rPr>
              <w:t>合计</w:t>
            </w:r>
          </w:p>
        </w:tc>
        <w:tc>
          <w:tcPr>
            <w:tcW w:w="4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4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0.00 </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b/>
                <w:i w:val="0"/>
                <w:color w:val="000000"/>
                <w:sz w:val="22"/>
                <w:szCs w:val="22"/>
                <w:u w:val="none"/>
              </w:rPr>
            </w:pPr>
          </w:p>
        </w:tc>
        <w:tc>
          <w:tcPr>
            <w:tcW w:w="25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b/>
                <w:i w:val="0"/>
                <w:color w:val="000000"/>
                <w:sz w:val="22"/>
                <w:szCs w:val="22"/>
                <w:u w:val="none"/>
              </w:rPr>
            </w:pPr>
          </w:p>
        </w:tc>
      </w:tr>
    </w:tbl>
    <w:p>
      <w:pPr>
        <w:jc w:val="both"/>
        <w:rPr>
          <w:rFonts w:hint="eastAsia" w:ascii="宋体" w:hAnsi="宋体" w:eastAsia="宋体" w:cs="宋体"/>
          <w:spacing w:val="-20"/>
          <w:sz w:val="24"/>
          <w:szCs w:val="24"/>
        </w:rPr>
        <w:sectPr>
          <w:pgSz w:w="16838" w:h="11906" w:orient="landscape"/>
          <w:pgMar w:top="850" w:right="850" w:bottom="850" w:left="850" w:header="851" w:footer="992" w:gutter="0"/>
          <w:cols w:space="720" w:num="1"/>
          <w:rtlGutter w:val="0"/>
          <w:docGrid w:type="lines" w:linePitch="443" w:charSpace="0"/>
        </w:sectPr>
      </w:pPr>
    </w:p>
    <w:p>
      <w:pPr>
        <w:rPr>
          <w:rFonts w:hint="eastAsia" w:ascii="宋体" w:hAnsi="宋体" w:eastAsia="宋体" w:cs="宋体"/>
          <w:spacing w:val="-20"/>
          <w:sz w:val="24"/>
          <w:szCs w:val="24"/>
          <w:lang w:val="en-US" w:eastAsia="zh-CN"/>
        </w:rPr>
      </w:pPr>
      <w:r>
        <w:rPr>
          <w:rFonts w:hint="eastAsia" w:ascii="方正黑体_GBK" w:hAnsi="方正黑体_GBK" w:eastAsia="方正黑体_GBK" w:cs="方正黑体_GBK"/>
          <w:spacing w:val="-20"/>
          <w:sz w:val="24"/>
          <w:szCs w:val="24"/>
        </w:rPr>
        <w:t>附件</w:t>
      </w:r>
      <w:r>
        <w:rPr>
          <w:rFonts w:hint="eastAsia" w:ascii="方正黑体_GBK" w:hAnsi="方正黑体_GBK" w:eastAsia="方正黑体_GBK" w:cs="方正黑体_GBK"/>
          <w:spacing w:val="-20"/>
          <w:sz w:val="24"/>
          <w:szCs w:val="24"/>
          <w:lang w:val="en-US" w:eastAsia="zh-CN"/>
        </w:rPr>
        <w:t>2</w:t>
      </w: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澄江市2023年中央财政衔接推进乡村振兴补助资金</w:t>
      </w:r>
    </w:p>
    <w:p>
      <w:pPr>
        <w:jc w:val="center"/>
        <w:rPr>
          <w:rFonts w:hint="eastAsia" w:eastAsia="方正小标宋_GBK"/>
          <w:spacing w:val="-20"/>
          <w:sz w:val="40"/>
          <w:szCs w:val="40"/>
        </w:rPr>
      </w:pPr>
      <w:r>
        <w:rPr>
          <w:rFonts w:hint="eastAsia" w:ascii="方正小标宋_GBK" w:hAnsi="方正小标宋_GBK" w:eastAsia="方正小标宋_GBK" w:cs="方正小标宋_GBK"/>
          <w:spacing w:val="-20"/>
          <w:sz w:val="36"/>
          <w:szCs w:val="36"/>
          <w:lang w:val="en-US" w:eastAsia="zh-CN"/>
        </w:rPr>
        <w:t>产业扶持建设项目绩效目标表</w:t>
      </w:r>
    </w:p>
    <w:tbl>
      <w:tblPr>
        <w:tblStyle w:val="8"/>
        <w:tblW w:w="0" w:type="auto"/>
        <w:tblInd w:w="0" w:type="dxa"/>
        <w:tblLayout w:type="fixed"/>
        <w:tblCellMar>
          <w:top w:w="15" w:type="dxa"/>
          <w:left w:w="15" w:type="dxa"/>
          <w:bottom w:w="15" w:type="dxa"/>
          <w:right w:w="15" w:type="dxa"/>
        </w:tblCellMar>
      </w:tblPr>
      <w:tblGrid>
        <w:gridCol w:w="1002"/>
        <w:gridCol w:w="1002"/>
        <w:gridCol w:w="1603"/>
        <w:gridCol w:w="2117"/>
        <w:gridCol w:w="3336"/>
      </w:tblGrid>
      <w:tr>
        <w:tblPrEx>
          <w:tblCellMar>
            <w:top w:w="15" w:type="dxa"/>
            <w:left w:w="15" w:type="dxa"/>
            <w:bottom w:w="15" w:type="dxa"/>
            <w:right w:w="15" w:type="dxa"/>
          </w:tblCellMar>
        </w:tblPrEx>
        <w:trPr>
          <w:trHeight w:val="1620"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专项名称</w:t>
            </w:r>
          </w:p>
        </w:tc>
        <w:tc>
          <w:tcPr>
            <w:tcW w:w="705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lang w:val="en-US" w:eastAsia="zh-CN"/>
              </w:rPr>
            </w:pPr>
            <w:r>
              <w:rPr>
                <w:rFonts w:hint="default" w:ascii="宋体" w:hAnsi="宋体" w:eastAsia="宋体" w:cs="宋体"/>
                <w:color w:val="auto"/>
                <w:sz w:val="20"/>
                <w:szCs w:val="20"/>
                <w:lang w:val="en-US" w:eastAsia="zh-CN"/>
              </w:rPr>
              <w:t>澄江市2023年</w:t>
            </w:r>
            <w:r>
              <w:rPr>
                <w:rFonts w:hint="eastAsia" w:ascii="宋体" w:hAnsi="宋体" w:eastAsia="宋体" w:cs="宋体"/>
                <w:color w:val="auto"/>
                <w:sz w:val="20"/>
                <w:szCs w:val="20"/>
                <w:lang w:val="en-US" w:eastAsia="zh-CN"/>
              </w:rPr>
              <w:t>中央</w:t>
            </w:r>
            <w:r>
              <w:rPr>
                <w:rFonts w:hint="default" w:ascii="宋体" w:hAnsi="宋体" w:eastAsia="宋体" w:cs="宋体"/>
                <w:color w:val="auto"/>
                <w:sz w:val="20"/>
                <w:szCs w:val="20"/>
                <w:lang w:val="en-US" w:eastAsia="zh-CN"/>
              </w:rPr>
              <w:t>财政衔接推进乡村振兴</w:t>
            </w:r>
            <w:r>
              <w:rPr>
                <w:rFonts w:hint="eastAsia" w:ascii="宋体" w:hAnsi="宋体" w:eastAsia="宋体" w:cs="宋体"/>
                <w:color w:val="auto"/>
                <w:sz w:val="20"/>
                <w:szCs w:val="20"/>
                <w:lang w:val="en-US" w:eastAsia="zh-CN"/>
              </w:rPr>
              <w:t>补助资金</w:t>
            </w:r>
          </w:p>
          <w:p>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color w:val="auto"/>
                <w:sz w:val="20"/>
                <w:szCs w:val="20"/>
                <w:lang w:val="en-US" w:eastAsia="zh-CN"/>
              </w:rPr>
              <w:t>产业扶持</w:t>
            </w:r>
            <w:r>
              <w:rPr>
                <w:rFonts w:hint="default" w:ascii="宋体" w:hAnsi="宋体" w:eastAsia="宋体" w:cs="宋体"/>
                <w:color w:val="auto"/>
                <w:sz w:val="20"/>
                <w:szCs w:val="20"/>
                <w:lang w:val="en-US" w:eastAsia="zh-CN"/>
              </w:rPr>
              <w:t>建设项目</w:t>
            </w:r>
          </w:p>
        </w:tc>
      </w:tr>
      <w:tr>
        <w:tblPrEx>
          <w:tblCellMar>
            <w:top w:w="15" w:type="dxa"/>
            <w:left w:w="15" w:type="dxa"/>
            <w:bottom w:w="15" w:type="dxa"/>
            <w:right w:w="15" w:type="dxa"/>
          </w:tblCellMar>
        </w:tblPrEx>
        <w:trPr>
          <w:trHeight w:val="1882"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年度总体目标</w:t>
            </w:r>
          </w:p>
        </w:tc>
        <w:tc>
          <w:tcPr>
            <w:tcW w:w="8058"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ind w:firstLine="392" w:firstLineChars="200"/>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完成中央财政衔接推进乡村振兴补助资金产业扶持项目建设</w:t>
            </w:r>
            <w:r>
              <w:rPr>
                <w:rFonts w:hint="eastAsia" w:ascii="宋体" w:hAnsi="宋体" w:eastAsia="宋体" w:cs="宋体"/>
                <w:color w:val="auto"/>
                <w:sz w:val="20"/>
                <w:szCs w:val="20"/>
                <w:lang w:val="en-US" w:eastAsia="zh-CN"/>
              </w:rPr>
              <w:t>3</w:t>
            </w:r>
            <w:r>
              <w:rPr>
                <w:rFonts w:hint="eastAsia" w:ascii="宋体" w:hAnsi="宋体" w:eastAsia="宋体" w:cs="宋体"/>
                <w:color w:val="auto"/>
                <w:sz w:val="20"/>
                <w:szCs w:val="20"/>
                <w:lang w:eastAsia="zh-CN"/>
              </w:rPr>
              <w:t>个，扶持</w:t>
            </w: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人口发展产业，筑牢</w:t>
            </w: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人口增收平台，防止返贫情况</w:t>
            </w:r>
            <w:r>
              <w:rPr>
                <w:rFonts w:hint="eastAsia" w:ascii="宋体" w:hAnsi="宋体" w:eastAsia="宋体" w:cs="宋体"/>
                <w:color w:val="auto"/>
                <w:sz w:val="20"/>
                <w:szCs w:val="20"/>
                <w:lang w:val="en-US" w:eastAsia="zh-CN"/>
              </w:rPr>
              <w:t>现</w:t>
            </w:r>
            <w:r>
              <w:rPr>
                <w:rFonts w:hint="eastAsia" w:ascii="宋体" w:hAnsi="宋体" w:eastAsia="宋体" w:cs="宋体"/>
                <w:color w:val="auto"/>
                <w:sz w:val="20"/>
                <w:szCs w:val="20"/>
                <w:lang w:eastAsia="zh-CN"/>
              </w:rPr>
              <w:t>象的发生。</w:t>
            </w:r>
          </w:p>
        </w:tc>
      </w:tr>
      <w:tr>
        <w:tblPrEx>
          <w:tblCellMar>
            <w:top w:w="15" w:type="dxa"/>
            <w:left w:w="15" w:type="dxa"/>
            <w:bottom w:w="15" w:type="dxa"/>
            <w:right w:w="15" w:type="dxa"/>
          </w:tblCellMar>
        </w:tblPrEx>
        <w:trPr>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一级指标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二级指标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三级指标</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指标值</w:t>
            </w:r>
          </w:p>
        </w:tc>
      </w:tr>
      <w:tr>
        <w:tblPrEx>
          <w:tblCellMar>
            <w:top w:w="15" w:type="dxa"/>
            <w:left w:w="15" w:type="dxa"/>
            <w:bottom w:w="15" w:type="dxa"/>
            <w:right w:w="15" w:type="dxa"/>
          </w:tblCellMar>
        </w:tblPrEx>
        <w:trPr>
          <w:trHeight w:val="1170"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产出指标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数量指标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完成实施项目个数（个）</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w:t>
            </w:r>
          </w:p>
        </w:tc>
      </w:tr>
      <w:tr>
        <w:tblPrEx>
          <w:tblCellMar>
            <w:top w:w="15" w:type="dxa"/>
            <w:left w:w="15" w:type="dxa"/>
            <w:bottom w:w="15" w:type="dxa"/>
            <w:right w:w="15" w:type="dxa"/>
          </w:tblCellMar>
        </w:tblPrEx>
        <w:trPr>
          <w:trHeight w:val="928"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成本指标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财政资金投入（万元）</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210</w:t>
            </w:r>
          </w:p>
        </w:tc>
      </w:tr>
      <w:tr>
        <w:tblPrEx>
          <w:tblCellMar>
            <w:top w:w="15" w:type="dxa"/>
            <w:left w:w="15" w:type="dxa"/>
            <w:bottom w:w="15" w:type="dxa"/>
            <w:right w:w="15" w:type="dxa"/>
          </w:tblCellMar>
        </w:tblPrEx>
        <w:trPr>
          <w:trHeight w:val="80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时效指标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工程建设工期（月）</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w:t>
            </w:r>
          </w:p>
        </w:tc>
      </w:tr>
      <w:tr>
        <w:tblPrEx>
          <w:tblCellMar>
            <w:top w:w="15" w:type="dxa"/>
            <w:left w:w="15" w:type="dxa"/>
            <w:bottom w:w="15" w:type="dxa"/>
            <w:right w:w="15" w:type="dxa"/>
          </w:tblCellMar>
        </w:tblPrEx>
        <w:trPr>
          <w:trHeight w:val="76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质量指标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项目质量合格率（</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lang w:eastAsia="zh-CN"/>
              </w:rPr>
              <w:t>）</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100%</w:t>
            </w:r>
          </w:p>
        </w:tc>
      </w:tr>
      <w:tr>
        <w:tblPrEx>
          <w:tblCellMar>
            <w:top w:w="15" w:type="dxa"/>
            <w:left w:w="15" w:type="dxa"/>
            <w:bottom w:w="15" w:type="dxa"/>
            <w:right w:w="15" w:type="dxa"/>
          </w:tblCellMar>
        </w:tblPrEx>
        <w:trPr>
          <w:trHeight w:val="1119"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效益指标</w:t>
            </w:r>
          </w:p>
        </w:tc>
        <w:tc>
          <w:tcPr>
            <w:tcW w:w="1603" w:type="dxa"/>
            <w:tcBorders>
              <w:top w:val="single" w:color="000000" w:sz="4" w:space="0"/>
              <w:left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经济效益指标</w:t>
            </w:r>
          </w:p>
        </w:tc>
        <w:tc>
          <w:tcPr>
            <w:tcW w:w="2117" w:type="dxa"/>
            <w:tcBorders>
              <w:top w:val="single" w:color="000000" w:sz="4" w:space="0"/>
              <w:left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受益</w:t>
            </w:r>
            <w:r>
              <w:rPr>
                <w:rFonts w:hint="eastAsia" w:ascii="宋体" w:hAnsi="宋体" w:eastAsia="宋体" w:cs="宋体"/>
                <w:color w:val="auto"/>
                <w:sz w:val="20"/>
                <w:szCs w:val="20"/>
                <w:lang w:val="en-US" w:eastAsia="zh-CN"/>
              </w:rPr>
              <w:t>脱贫</w:t>
            </w:r>
            <w:r>
              <w:rPr>
                <w:rFonts w:hint="eastAsia" w:ascii="宋体" w:hAnsi="宋体" w:eastAsia="宋体" w:cs="宋体"/>
                <w:color w:val="auto"/>
                <w:sz w:val="20"/>
                <w:szCs w:val="20"/>
                <w:lang w:eastAsia="zh-CN"/>
              </w:rPr>
              <w:t>人口年均增收（元）</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400</w:t>
            </w:r>
          </w:p>
        </w:tc>
      </w:tr>
      <w:tr>
        <w:tblPrEx>
          <w:tblCellMar>
            <w:top w:w="15" w:type="dxa"/>
            <w:left w:w="15" w:type="dxa"/>
            <w:bottom w:w="15" w:type="dxa"/>
            <w:right w:w="15" w:type="dxa"/>
          </w:tblCellMar>
        </w:tblPrEx>
        <w:trPr>
          <w:trHeight w:val="1103"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可持续影响指标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工程设计使用年限</w:t>
            </w:r>
            <w:r>
              <w:rPr>
                <w:rFonts w:hint="eastAsia" w:ascii="宋体" w:hAnsi="宋体" w:eastAsia="宋体" w:cs="宋体"/>
                <w:color w:val="auto"/>
                <w:sz w:val="20"/>
                <w:szCs w:val="20"/>
                <w:lang w:eastAsia="zh-CN"/>
              </w:rPr>
              <w:t>（年）</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10</w:t>
            </w:r>
          </w:p>
        </w:tc>
      </w:tr>
      <w:tr>
        <w:tblPrEx>
          <w:tblCellMar>
            <w:top w:w="15" w:type="dxa"/>
            <w:left w:w="15" w:type="dxa"/>
            <w:bottom w:w="15" w:type="dxa"/>
            <w:right w:w="15" w:type="dxa"/>
          </w:tblCellMar>
        </w:tblPrEx>
        <w:trPr>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满意度指标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color w:val="auto"/>
                <w:kern w:val="0"/>
                <w:sz w:val="20"/>
                <w:szCs w:val="20"/>
                <w:u w:val="none"/>
                <w:lang w:val="en-US" w:eastAsia="zh-CN" w:bidi="ar"/>
              </w:rPr>
              <w:t>服务对象满意度指标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人口满意率（</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lang w:eastAsia="zh-CN"/>
              </w:rPr>
              <w:t>）</w:t>
            </w:r>
          </w:p>
        </w:tc>
        <w:tc>
          <w:tcPr>
            <w:tcW w:w="33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lang w:val="en-US" w:eastAsia="zh-CN"/>
              </w:rPr>
              <w:t>95%</w:t>
            </w:r>
          </w:p>
        </w:tc>
      </w:tr>
    </w:tbl>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pgSz w:w="11906" w:h="16838"/>
          <w:pgMar w:top="964" w:right="1474" w:bottom="1134" w:left="1587" w:header="1361" w:footer="1191" w:gutter="0"/>
          <w:pgBorders>
            <w:top w:val="none" w:sz="0" w:space="0"/>
            <w:left w:val="none" w:sz="0" w:space="0"/>
            <w:bottom w:val="none" w:sz="0" w:space="0"/>
            <w:right w:val="none" w:sz="0" w:space="0"/>
          </w:pgBorders>
          <w:pgNumType w:fmt="decimal"/>
          <w:cols w:space="720" w:num="1"/>
          <w:rtlGutter w:val="0"/>
          <w:docGrid w:type="linesAndChars" w:linePitch="631" w:charSpace="-842"/>
        </w:sectPr>
      </w:pPr>
    </w:p>
    <w:p/>
    <w:sectPr>
      <w:pgSz w:w="11906" w:h="16838"/>
      <w:pgMar w:top="2041" w:right="1474" w:bottom="1304" w:left="1587" w:header="1361" w:footer="1191" w:gutter="0"/>
      <w:pgBorders>
        <w:top w:val="none" w:sz="0" w:space="0"/>
        <w:left w:val="none" w:sz="0" w:space="0"/>
        <w:bottom w:val="none" w:sz="0" w:space="0"/>
        <w:right w:val="none" w:sz="0" w:space="0"/>
      </w:pgBorders>
      <w:pgNumType w:fmt="decimal"/>
      <w:cols w:space="720" w:num="1"/>
      <w:rtlGutter w:val="0"/>
      <w:docGrid w:type="linesAndChars" w:linePitch="631"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w:pict>
        <v:shape id="文本框 6" o:spid="_x0000_s2050" o:spt="202" type="#_x0000_t202" style="position:absolute;left:0pt;margin-left:462.05pt;margin-top:786.15pt;height:144pt;width:144pt;mso-position-horizontal-relative:page;mso-position-vertical-relative:page;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w:pict>
        <v:shape id="文本框 7" o:spid="_x0000_s2049" o:spt="202" type="#_x0000_t202" style="position:absolute;left:0pt;margin-left:93.55pt;margin-top:786.15pt;height:144pt;width:144pt;mso-position-horizontal-relative:page;mso-position-vertical-relative:page;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zViOTJjMTAwMjljMTllMzI5MThlYjEyNWJjZTIifQ=="/>
  </w:docVars>
  <w:rsids>
    <w:rsidRoot w:val="00172A27"/>
    <w:rsid w:val="00000C26"/>
    <w:rsid w:val="00005E58"/>
    <w:rsid w:val="00017A33"/>
    <w:rsid w:val="00045B30"/>
    <w:rsid w:val="00060730"/>
    <w:rsid w:val="000645DF"/>
    <w:rsid w:val="00064609"/>
    <w:rsid w:val="000747FB"/>
    <w:rsid w:val="000776F6"/>
    <w:rsid w:val="0009224A"/>
    <w:rsid w:val="0009278E"/>
    <w:rsid w:val="000A29D7"/>
    <w:rsid w:val="000A3D39"/>
    <w:rsid w:val="000A4809"/>
    <w:rsid w:val="000B26AE"/>
    <w:rsid w:val="000D4C05"/>
    <w:rsid w:val="000E6EEA"/>
    <w:rsid w:val="000F5278"/>
    <w:rsid w:val="00124366"/>
    <w:rsid w:val="00125B02"/>
    <w:rsid w:val="00142A2F"/>
    <w:rsid w:val="0014704E"/>
    <w:rsid w:val="00167499"/>
    <w:rsid w:val="00171F24"/>
    <w:rsid w:val="00173495"/>
    <w:rsid w:val="00176973"/>
    <w:rsid w:val="00185E84"/>
    <w:rsid w:val="001A615B"/>
    <w:rsid w:val="001D3705"/>
    <w:rsid w:val="001D5804"/>
    <w:rsid w:val="001F781E"/>
    <w:rsid w:val="002008D2"/>
    <w:rsid w:val="002012C9"/>
    <w:rsid w:val="002014A1"/>
    <w:rsid w:val="00232591"/>
    <w:rsid w:val="00234BCB"/>
    <w:rsid w:val="00246B65"/>
    <w:rsid w:val="00250134"/>
    <w:rsid w:val="002A7EA8"/>
    <w:rsid w:val="00314D6A"/>
    <w:rsid w:val="00317AE8"/>
    <w:rsid w:val="003407C8"/>
    <w:rsid w:val="00350CC7"/>
    <w:rsid w:val="003632DA"/>
    <w:rsid w:val="003A041B"/>
    <w:rsid w:val="003A6A2A"/>
    <w:rsid w:val="003B0071"/>
    <w:rsid w:val="003B30C6"/>
    <w:rsid w:val="003B6670"/>
    <w:rsid w:val="00421F7F"/>
    <w:rsid w:val="00432F0D"/>
    <w:rsid w:val="00442DB6"/>
    <w:rsid w:val="00454337"/>
    <w:rsid w:val="00471DE8"/>
    <w:rsid w:val="00472582"/>
    <w:rsid w:val="004B3B1D"/>
    <w:rsid w:val="004C623A"/>
    <w:rsid w:val="004D2D34"/>
    <w:rsid w:val="004D7C31"/>
    <w:rsid w:val="004F234A"/>
    <w:rsid w:val="0051198C"/>
    <w:rsid w:val="00513F32"/>
    <w:rsid w:val="005161B7"/>
    <w:rsid w:val="00533DF9"/>
    <w:rsid w:val="00537338"/>
    <w:rsid w:val="00543D02"/>
    <w:rsid w:val="00547DCF"/>
    <w:rsid w:val="0055467F"/>
    <w:rsid w:val="005616EB"/>
    <w:rsid w:val="0057291B"/>
    <w:rsid w:val="005768BB"/>
    <w:rsid w:val="00577612"/>
    <w:rsid w:val="0059073A"/>
    <w:rsid w:val="005C38FA"/>
    <w:rsid w:val="005D4CB9"/>
    <w:rsid w:val="005D7118"/>
    <w:rsid w:val="005F257E"/>
    <w:rsid w:val="005F7F31"/>
    <w:rsid w:val="00601F16"/>
    <w:rsid w:val="00660E4E"/>
    <w:rsid w:val="0066587C"/>
    <w:rsid w:val="00681C2F"/>
    <w:rsid w:val="006A4636"/>
    <w:rsid w:val="006A5B77"/>
    <w:rsid w:val="006A6AD4"/>
    <w:rsid w:val="006A6BD5"/>
    <w:rsid w:val="006E2B3E"/>
    <w:rsid w:val="006E3D72"/>
    <w:rsid w:val="00700635"/>
    <w:rsid w:val="00722466"/>
    <w:rsid w:val="00724D0C"/>
    <w:rsid w:val="0074252B"/>
    <w:rsid w:val="007475CD"/>
    <w:rsid w:val="007651E7"/>
    <w:rsid w:val="0077328F"/>
    <w:rsid w:val="00777A34"/>
    <w:rsid w:val="007850E6"/>
    <w:rsid w:val="007904B1"/>
    <w:rsid w:val="007A66BC"/>
    <w:rsid w:val="0081007F"/>
    <w:rsid w:val="00833B66"/>
    <w:rsid w:val="008368D6"/>
    <w:rsid w:val="00851712"/>
    <w:rsid w:val="0086143D"/>
    <w:rsid w:val="008614C3"/>
    <w:rsid w:val="0086573B"/>
    <w:rsid w:val="00865840"/>
    <w:rsid w:val="0088778B"/>
    <w:rsid w:val="008D54FA"/>
    <w:rsid w:val="008F52EC"/>
    <w:rsid w:val="00931E2C"/>
    <w:rsid w:val="00937ED2"/>
    <w:rsid w:val="00942FAE"/>
    <w:rsid w:val="009569D3"/>
    <w:rsid w:val="00985170"/>
    <w:rsid w:val="009903D3"/>
    <w:rsid w:val="009A0AA4"/>
    <w:rsid w:val="009D5E0C"/>
    <w:rsid w:val="00A13ED4"/>
    <w:rsid w:val="00A1738E"/>
    <w:rsid w:val="00A20CBB"/>
    <w:rsid w:val="00A31677"/>
    <w:rsid w:val="00A35ED4"/>
    <w:rsid w:val="00A4084F"/>
    <w:rsid w:val="00A41F01"/>
    <w:rsid w:val="00A431F5"/>
    <w:rsid w:val="00A4502B"/>
    <w:rsid w:val="00A4674F"/>
    <w:rsid w:val="00A47714"/>
    <w:rsid w:val="00A52962"/>
    <w:rsid w:val="00A57C0D"/>
    <w:rsid w:val="00A71218"/>
    <w:rsid w:val="00A777BA"/>
    <w:rsid w:val="00AA154D"/>
    <w:rsid w:val="00AB3D86"/>
    <w:rsid w:val="00AC3810"/>
    <w:rsid w:val="00AC691B"/>
    <w:rsid w:val="00AC6BE1"/>
    <w:rsid w:val="00AE49B6"/>
    <w:rsid w:val="00AF3849"/>
    <w:rsid w:val="00AF4583"/>
    <w:rsid w:val="00B116C6"/>
    <w:rsid w:val="00B67CEF"/>
    <w:rsid w:val="00B72BF2"/>
    <w:rsid w:val="00B74CD4"/>
    <w:rsid w:val="00B836D8"/>
    <w:rsid w:val="00B871A2"/>
    <w:rsid w:val="00BB01FF"/>
    <w:rsid w:val="00BB2158"/>
    <w:rsid w:val="00BD103C"/>
    <w:rsid w:val="00BD42BC"/>
    <w:rsid w:val="00BE2801"/>
    <w:rsid w:val="00C14297"/>
    <w:rsid w:val="00C20931"/>
    <w:rsid w:val="00C25475"/>
    <w:rsid w:val="00C32189"/>
    <w:rsid w:val="00C41DF2"/>
    <w:rsid w:val="00C45E1D"/>
    <w:rsid w:val="00C73A2A"/>
    <w:rsid w:val="00C7643B"/>
    <w:rsid w:val="00C861C4"/>
    <w:rsid w:val="00C90233"/>
    <w:rsid w:val="00CA4C52"/>
    <w:rsid w:val="00CA64A5"/>
    <w:rsid w:val="00CD56A1"/>
    <w:rsid w:val="00CD7A5A"/>
    <w:rsid w:val="00CF3D85"/>
    <w:rsid w:val="00D10D89"/>
    <w:rsid w:val="00D2379D"/>
    <w:rsid w:val="00D37790"/>
    <w:rsid w:val="00D41CEE"/>
    <w:rsid w:val="00D42501"/>
    <w:rsid w:val="00D453C2"/>
    <w:rsid w:val="00D456C8"/>
    <w:rsid w:val="00D60E7F"/>
    <w:rsid w:val="00D64A29"/>
    <w:rsid w:val="00D72462"/>
    <w:rsid w:val="00D74C6D"/>
    <w:rsid w:val="00DA687F"/>
    <w:rsid w:val="00DC4D14"/>
    <w:rsid w:val="00DD461D"/>
    <w:rsid w:val="00DE1E82"/>
    <w:rsid w:val="00DE51B8"/>
    <w:rsid w:val="00DE731E"/>
    <w:rsid w:val="00E07697"/>
    <w:rsid w:val="00E50EE3"/>
    <w:rsid w:val="00EA17F2"/>
    <w:rsid w:val="00EC3CB8"/>
    <w:rsid w:val="00F53834"/>
    <w:rsid w:val="00F6233A"/>
    <w:rsid w:val="00F81910"/>
    <w:rsid w:val="00F93D2B"/>
    <w:rsid w:val="00FC3AAF"/>
    <w:rsid w:val="00FF231F"/>
    <w:rsid w:val="02E05D2F"/>
    <w:rsid w:val="0C2B243A"/>
    <w:rsid w:val="10CF5C28"/>
    <w:rsid w:val="121847FC"/>
    <w:rsid w:val="1328413D"/>
    <w:rsid w:val="14391A89"/>
    <w:rsid w:val="1542304F"/>
    <w:rsid w:val="155528F8"/>
    <w:rsid w:val="1F3C2D47"/>
    <w:rsid w:val="221F7D80"/>
    <w:rsid w:val="24886862"/>
    <w:rsid w:val="288071E7"/>
    <w:rsid w:val="2989266A"/>
    <w:rsid w:val="2A3F5F07"/>
    <w:rsid w:val="2B363345"/>
    <w:rsid w:val="2EED3346"/>
    <w:rsid w:val="2F13171B"/>
    <w:rsid w:val="384A568A"/>
    <w:rsid w:val="395F5F75"/>
    <w:rsid w:val="3D26032F"/>
    <w:rsid w:val="3F0C2800"/>
    <w:rsid w:val="41D77981"/>
    <w:rsid w:val="4463719D"/>
    <w:rsid w:val="46EB2B88"/>
    <w:rsid w:val="47F070D9"/>
    <w:rsid w:val="490052A2"/>
    <w:rsid w:val="49CD5BB8"/>
    <w:rsid w:val="58E46BC9"/>
    <w:rsid w:val="5C8478DC"/>
    <w:rsid w:val="5D760A73"/>
    <w:rsid w:val="5E8B2CF0"/>
    <w:rsid w:val="5EBC3307"/>
    <w:rsid w:val="5ED11452"/>
    <w:rsid w:val="5F6847DE"/>
    <w:rsid w:val="5FB80D9A"/>
    <w:rsid w:val="62D924C0"/>
    <w:rsid w:val="64431E89"/>
    <w:rsid w:val="6822440C"/>
    <w:rsid w:val="69FB0113"/>
    <w:rsid w:val="6B0E067E"/>
    <w:rsid w:val="6F373CF2"/>
    <w:rsid w:val="73C24BDF"/>
    <w:rsid w:val="76321E0E"/>
    <w:rsid w:val="7AD7519C"/>
    <w:rsid w:val="7E1C4E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方正仿宋_GBK" w:hAnsi="Courier New" w:cs="Courier New"/>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jc w:val="left"/>
    </w:pPr>
    <w:rPr>
      <w:rFonts w:ascii="Calibri" w:hAnsi="Calibri" w:eastAsia="宋体"/>
      <w:kern w:val="0"/>
      <w:sz w:val="24"/>
      <w:szCs w:val="24"/>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rPr>
      <w:rFonts w:ascii="Times New Roman" w:hAnsi="Times New Roman" w:eastAsia="宋体" w:cs="Times New Roman"/>
    </w:rPr>
  </w:style>
  <w:style w:type="character" w:customStyle="1" w:styleId="12">
    <w:name w:val="font81"/>
    <w:basedOn w:val="10"/>
    <w:qFormat/>
    <w:uiPriority w:val="0"/>
    <w:rPr>
      <w:rFonts w:hint="eastAsia" w:ascii="宋体" w:hAnsi="宋体" w:eastAsia="宋体" w:cs="宋体"/>
      <w:color w:val="000000"/>
      <w:sz w:val="22"/>
      <w:szCs w:val="22"/>
      <w:u w:val="none"/>
    </w:rPr>
  </w:style>
  <w:style w:type="paragraph" w:customStyle="1" w:styleId="13">
    <w:name w:val="Char Char1"/>
    <w:basedOn w:val="1"/>
    <w:qFormat/>
    <w:uiPriority w:val="0"/>
    <w:rPr>
      <w:rFonts w:eastAsia="宋体"/>
      <w:sz w:val="21"/>
      <w:szCs w:val="24"/>
    </w:rPr>
  </w:style>
  <w:style w:type="paragraph" w:customStyle="1" w:styleId="14">
    <w:name w:val="p15"/>
    <w:basedOn w:val="1"/>
    <w:qFormat/>
    <w:uiPriority w:val="0"/>
    <w:pPr>
      <w:widowControl/>
    </w:pPr>
    <w:rPr>
      <w:rFonts w:eastAsia="宋体"/>
      <w:kern w:val="0"/>
      <w:sz w:val="21"/>
      <w:szCs w:val="21"/>
    </w:rPr>
  </w:style>
  <w:style w:type="paragraph" w:customStyle="1" w:styleId="15">
    <w:name w:val=" Char Char Char Char Char Char Char"/>
    <w:basedOn w:val="1"/>
    <w:qFormat/>
    <w:uiPriority w:val="0"/>
    <w:rPr>
      <w:rFonts w:eastAsia="宋体"/>
      <w:sz w:val="21"/>
      <w:szCs w:val="24"/>
    </w:rPr>
  </w:style>
  <w:style w:type="paragraph" w:customStyle="1" w:styleId="16">
    <w:name w:val="Char"/>
    <w:basedOn w:val="1"/>
    <w:qFormat/>
    <w:uiPriority w:val="0"/>
    <w:pPr>
      <w:widowControl/>
      <w:spacing w:after="160" w:line="240" w:lineRule="exact"/>
      <w:jc w:val="left"/>
    </w:pPr>
    <w:rPr>
      <w:rFonts w:ascii="Verdana" w:hAnsi="Verdana"/>
      <w:kern w:val="0"/>
      <w:sz w:val="24"/>
      <w:szCs w:val="20"/>
      <w:u w:val="words" w:color="FFFFFF"/>
      <w:lang w:eastAsia="en-US"/>
    </w:rPr>
  </w:style>
  <w:style w:type="paragraph" w:customStyle="1" w:styleId="17">
    <w:name w:val="默认段落字体 Para Char Char Char Char Char Char Char"/>
    <w:basedOn w:val="1"/>
    <w:qFormat/>
    <w:uiPriority w:val="0"/>
    <w:rPr>
      <w:rFonts w:eastAsia="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textRotate="1"/>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1351</Words>
  <Characters>1593</Characters>
  <Lines>0</Lines>
  <Paragraphs>0</Paragraphs>
  <TotalTime>2</TotalTime>
  <ScaleCrop>false</ScaleCrop>
  <LinksUpToDate>false</LinksUpToDate>
  <CharactersWithSpaces>1623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2023-09-27T02:15:00Z</dcterms:created>
  <dc:creator>桃夭</dc:creator>
  <cp:lastModifiedBy>WPS_1653276125</cp:lastModifiedBy>
  <dcterms:modified xsi:type="dcterms:W3CDTF">2023-09-27T08:18:28Z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D5732106ED274005AA69EC941C07ECD3_13</vt:lpwstr>
  </property>
</Properties>
</file>