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监督索引号53042200156001000</w:t>
      </w:r>
    </w:p>
    <w:p>
      <w:pPr>
        <w:adjustRightInd w:val="0"/>
        <w:spacing w:before="100" w:beforeAutospacing="1" w:after="100" w:afterAutospacing="1" w:line="59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玉溪市澄江县龙街街道办事处2019年度部门决算</w:t>
      </w:r>
    </w:p>
    <w:p>
      <w:pPr>
        <w:adjustRightInd w:val="0"/>
        <w:spacing w:before="100" w:beforeAutospacing="1" w:after="100" w:afterAutospacing="1" w:line="59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 xml:space="preserve"> </w:t>
      </w:r>
    </w:p>
    <w:p>
      <w:pPr>
        <w:adjustRightInd w:val="0"/>
        <w:spacing w:before="100" w:beforeAutospacing="1" w:after="100" w:afterAutospacing="1" w:line="590" w:lineRule="exact"/>
        <w:jc w:val="center"/>
        <w:rPr>
          <w:rFonts w:ascii="Times New Roman" w:hAnsi="Times New Roman" w:eastAsia="黑体" w:cs="Times New Roman"/>
          <w:sz w:val="36"/>
          <w:szCs w:val="36"/>
        </w:rPr>
      </w:pPr>
      <w:r>
        <w:rPr>
          <w:rFonts w:hint="eastAsia" w:ascii="黑体" w:hAnsi="黑体" w:eastAsia="黑体"/>
          <w:sz w:val="36"/>
          <w:szCs w:val="36"/>
        </w:rPr>
        <w:t>目录</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第一部分</w:t>
      </w:r>
      <w:r>
        <w:rPr>
          <w:rFonts w:hint="eastAsia" w:ascii="黑体" w:hAnsi="Times New Roman" w:eastAsia="黑体"/>
          <w:sz w:val="30"/>
          <w:szCs w:val="30"/>
        </w:rPr>
        <w:t xml:space="preserve">  </w:t>
      </w:r>
      <w:r>
        <w:rPr>
          <w:rFonts w:hint="eastAsia" w:ascii="黑体" w:hAnsi="黑体" w:eastAsia="黑体"/>
          <w:sz w:val="30"/>
          <w:szCs w:val="30"/>
        </w:rPr>
        <w:t>玉溪市澄江县龙街街道办事处概况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一、主要职能</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二、部门基本情况</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第二部分</w:t>
      </w:r>
      <w:r>
        <w:rPr>
          <w:rFonts w:hint="eastAsia" w:ascii="黑体" w:hAnsi="Times New Roman" w:eastAsia="黑体"/>
          <w:sz w:val="30"/>
          <w:szCs w:val="30"/>
        </w:rPr>
        <w:t xml:space="preserve">  2019</w:t>
      </w:r>
      <w:r>
        <w:rPr>
          <w:rFonts w:hint="eastAsia" w:ascii="黑体" w:hAnsi="黑体" w:eastAsia="黑体"/>
          <w:sz w:val="30"/>
          <w:szCs w:val="30"/>
        </w:rPr>
        <w:t>年度部门决算表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一、收入支出决算总表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二、收入决算表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四、财政拨款收入支出决算总表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五、一般公共预算财政拨款收入支出决算表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六、一般公共预算财政拨款基本支出决算表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七、政府性基金预算财政拨款收入支出决算表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八、</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经费、行政参公单位机关运行经费情况表</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第三部分</w:t>
      </w:r>
      <w:r>
        <w:rPr>
          <w:rFonts w:hint="eastAsia" w:ascii="黑体" w:hAnsi="Times New Roman" w:eastAsia="黑体"/>
          <w:sz w:val="30"/>
          <w:szCs w:val="30"/>
        </w:rPr>
        <w:t xml:space="preserve">  2019</w:t>
      </w:r>
      <w:r>
        <w:rPr>
          <w:rFonts w:hint="eastAsia" w:ascii="黑体" w:hAnsi="黑体" w:eastAsia="黑体"/>
          <w:sz w:val="30"/>
          <w:szCs w:val="30"/>
        </w:rPr>
        <w:t>年度部门决算情况说明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一、收入决算情况说明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二、支出决算情况说明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三、一般公共预算财政拨款支出决算情况说明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经费支出决算情况说明</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第四部分</w:t>
      </w:r>
      <w:r>
        <w:rPr>
          <w:rFonts w:hint="eastAsia" w:ascii="黑体" w:hAnsi="Times New Roman" w:eastAsia="黑体"/>
          <w:sz w:val="30"/>
          <w:szCs w:val="30"/>
        </w:rPr>
        <w:t xml:space="preserve">  </w:t>
      </w:r>
      <w:r>
        <w:rPr>
          <w:rFonts w:hint="eastAsia" w:ascii="黑体" w:hAnsi="黑体" w:eastAsia="黑体"/>
          <w:sz w:val="30"/>
          <w:szCs w:val="30"/>
        </w:rPr>
        <w:t>其他重要事项及相关口径情况说明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一、机关运行经费支出情况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二、国有资产占有情况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三、政府采购支出情况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四、部门绩效自评情况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（一）项目支出绩效自评</w:t>
      </w:r>
      <w:r>
        <w:rPr>
          <w:rFonts w:hint="eastAsia" w:ascii="楷体" w:hAnsi="Times New Roman" w:eastAsia="楷体"/>
          <w:sz w:val="30"/>
          <w:szCs w:val="30"/>
        </w:rPr>
        <w:t>/</w:t>
      </w:r>
      <w:r>
        <w:rPr>
          <w:rFonts w:hint="eastAsia" w:ascii="楷体" w:hAnsi="楷体" w:eastAsia="楷体"/>
          <w:sz w:val="30"/>
          <w:szCs w:val="30"/>
        </w:rPr>
        <w:t>项目支出绩效自评报告（表）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（二）部门整体支出绩效自评报告</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（三）部门整体支出绩效自评表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五、其他重要事项情况说明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六、相关口径说明</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第五部分</w:t>
      </w:r>
      <w:r>
        <w:rPr>
          <w:rFonts w:hint="eastAsia" w:ascii="黑体" w:hAnsi="Times New Roman" w:eastAsia="黑体"/>
          <w:sz w:val="30"/>
          <w:szCs w:val="30"/>
        </w:rPr>
        <w:t xml:space="preserve">  </w:t>
      </w:r>
      <w:r>
        <w:rPr>
          <w:rFonts w:hint="eastAsia" w:ascii="黑体" w:hAnsi="黑体" w:eastAsia="黑体"/>
          <w:sz w:val="30"/>
          <w:szCs w:val="30"/>
        </w:rPr>
        <w:t>名词解释</w:t>
      </w:r>
    </w:p>
    <w:p>
      <w:pPr>
        <w:adjustRightInd w:val="0"/>
        <w:spacing w:before="100" w:beforeAutospacing="1" w:after="100" w:afterAutospacing="1" w:line="600" w:lineRule="exact"/>
        <w:rPr>
          <w:rFonts w:ascii="黑体" w:hAnsi="黑体" w:eastAsia="黑体"/>
          <w:sz w:val="32"/>
          <w:szCs w:val="32"/>
        </w:rPr>
      </w:pPr>
      <w:r>
        <w:rPr>
          <w:rFonts w:ascii="Times New Roman" w:hAnsi="Times New Roman" w:eastAsia="黑体" w:cs="Times New Roman"/>
          <w:sz w:val="30"/>
          <w:szCs w:val="30"/>
        </w:rPr>
        <w:t xml:space="preserve"> </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第一部分</w:t>
      </w:r>
      <w:r>
        <w:rPr>
          <w:rFonts w:hint="eastAsia" w:ascii="黑体" w:hAnsi="Times New Roman" w:eastAsia="黑体"/>
          <w:sz w:val="32"/>
          <w:szCs w:val="32"/>
        </w:rPr>
        <w:t xml:space="preserve">  </w:t>
      </w:r>
      <w:r>
        <w:rPr>
          <w:rFonts w:hint="eastAsia" w:ascii="黑体" w:hAnsi="黑体" w:eastAsia="黑体"/>
          <w:sz w:val="32"/>
          <w:szCs w:val="32"/>
        </w:rPr>
        <w:t>玉溪市澄江县龙街街道办事处概况</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一、主要职能</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（一）主要职能</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参照政府批准的“三定”方案,2019年，龙街街道办主要围绕“促进经济发展、增加农民收入，强化公共服务、着力改善民生，加强社会管理、维护农村稳定，推进基层民主、促进农村和谐”四个方面全面推进街道各项工作</w:t>
      </w:r>
      <w:r>
        <w:rPr>
          <w:rFonts w:hint="eastAsia" w:ascii="仿宋" w:hAnsi="仿宋" w:eastAsia="仿宋" w:cs="仿宋"/>
          <w:sz w:val="30"/>
          <w:szCs w:val="30"/>
          <w:shd w:val="clear" w:color="auto" w:fill="FFFFFF"/>
        </w:rPr>
        <w:t>。</w:t>
      </w:r>
      <w:r>
        <w:rPr>
          <w:rFonts w:hint="eastAsia" w:ascii="仿宋" w:hAnsi="仿宋" w:eastAsia="仿宋" w:cs="仿宋"/>
          <w:sz w:val="30"/>
          <w:szCs w:val="30"/>
        </w:rPr>
        <w:t>在龙街街道办事处党委的领导下，带领下属各部门履行政治、经济、文化、社会职能；提供公共产品服务；发展科学技术；发展教育；发展文化事业；发展卫生体育；保护生态环境和自然资源；促进社会化服务体系建立的职能；提高人口质量，实行计划生育的职能。具体行使以下职能：</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(1)执行本级人民代表大会的决议和上级国家行政机关的决定和命令；</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(2)执行本行政区域内的经济和社会发展计划、预算，管理本行政区域内的经济、教育、科学、文化、卫生、计划生育体育事业和财政、民政、公安、司法等行政工作；</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(3)保护社会主义的全民所有的财产和劳动群众集体所有的财产，保护公民私人所有的合法财产，维护社会秩序，保障公民的人身权利、民主权利和其他权利；</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(4)保护各种经济组织的合法权益；</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(5)保障宪法和法律赋予妇女的男女平等、同工同酬和婚姻自由等各项权利；</w:t>
      </w:r>
    </w:p>
    <w:p>
      <w:pPr>
        <w:snapToGrid w:val="0"/>
        <w:spacing w:line="590" w:lineRule="exact"/>
        <w:ind w:firstLine="600" w:firstLineChars="200"/>
        <w:rPr>
          <w:rFonts w:ascii="仿宋" w:hAnsi="仿宋" w:eastAsia="仿宋" w:cs="仿宋"/>
          <w:sz w:val="30"/>
          <w:szCs w:val="30"/>
        </w:rPr>
      </w:pPr>
      <w:r>
        <w:rPr>
          <w:rFonts w:hint="eastAsia" w:ascii="仿宋" w:hAnsi="仿宋" w:eastAsia="仿宋" w:cs="仿宋"/>
          <w:sz w:val="30"/>
          <w:szCs w:val="30"/>
        </w:rPr>
        <w:t>(6)办理上级人民政府交办的其他事项。</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w:t>
      </w:r>
      <w:r>
        <w:rPr>
          <w:rFonts w:hint="eastAsia" w:ascii="楷体" w:hAnsi="Times New Roman" w:eastAsia="楷体"/>
          <w:sz w:val="30"/>
          <w:szCs w:val="30"/>
        </w:rPr>
        <w:t>2019</w:t>
      </w:r>
      <w:r>
        <w:rPr>
          <w:rFonts w:hint="eastAsia" w:ascii="楷体" w:hAnsi="楷体" w:eastAsia="楷体"/>
          <w:sz w:val="30"/>
          <w:szCs w:val="30"/>
        </w:rPr>
        <w:t>年度重点工作任务介绍</w:t>
      </w:r>
    </w:p>
    <w:p>
      <w:pPr>
        <w:widowControl w:val="0"/>
        <w:overflowPunct w:val="0"/>
        <w:topLinePunct/>
        <w:autoSpaceDN w:val="0"/>
        <w:spacing w:line="590" w:lineRule="exact"/>
        <w:ind w:left="120" w:leftChars="50" w:firstLine="600" w:firstLineChars="200"/>
        <w:jc w:val="both"/>
        <w:rPr>
          <w:rFonts w:ascii="仿宋" w:hAnsi="仿宋" w:eastAsia="仿宋" w:cs="仿宋"/>
          <w:sz w:val="30"/>
          <w:szCs w:val="30"/>
        </w:rPr>
      </w:pPr>
      <w:r>
        <w:rPr>
          <w:rFonts w:hint="eastAsia" w:ascii="仿宋" w:hAnsi="仿宋" w:eastAsia="仿宋" w:cs="仿宋"/>
          <w:sz w:val="30"/>
          <w:szCs w:val="30"/>
        </w:rPr>
        <w:t>1.加大投入、真抓严管，生态文明建设成效显著</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雷霆治湖彰显龙街担当，抚仙湖水质总体保持I类。积极开展保护抚仙湖百日攻坚雷霆行动。全面完成抚仙湖雷霆行动一、二、三阶段76个问题整改销号，顺利推进第四阶段工作。抚仙湖一级保护区6家中央和省市县属企事业单位全部退出，拆除建筑面积4.31万平方米；开展规模畜禽养殖隐患整治，签订了170户规模养殖户的关停协议；开展水产养殖退出，签订协议61户335.32亩；办结中央环境保护督察“回头看”转办件5件，完成环保督察反馈意见问题整改5项。全面推行河长制。1-9月份街道、社区两级河长巡河2457次。人居环境不断提升。启动县城网格化截污治污工作，完成高西、忠窑2个社区9个小组1225户农户截污治污情况排查工作，形成户档资料，并制定相关整改工作方案。启动抚仙湖径流区10万亩退耕还林植被恢复生态建设项目，完成养白牛和尖山社区6129亩土地流转工作。实施石漠化管理工程封山育林3.6万亩的巩固提高，开展4950亩人工造林的补苗，完成双树社区森林抚育202亩。</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2.转方式、调结构，产业转型统筹推进</w:t>
      </w:r>
    </w:p>
    <w:p>
      <w:pPr>
        <w:widowControl w:val="0"/>
        <w:autoSpaceDN w:val="0"/>
        <w:spacing w:line="59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rPr>
        <w:t>生态农业特色凸显。种植烤烟7300亩，其中田烟5300亩，地烟2000亩，收购110.76万公斤。组建华光、双树、龙街、高西4个农民专业合作社，农业产业化、规模化、生态化发展体系初步形成。农村集体“三资”管理系统提档升级，完成农村集体产权制度改革，农民权益保障有效提升。新型工业稳步发展。加强提古片区招商引资，加快园区基础设施建设，重点引进商贸物流、农特产品精深加工、高新技术等新兴产业。启动</w:t>
      </w:r>
      <w:r>
        <w:rPr>
          <w:rStyle w:val="9"/>
          <w:rFonts w:hint="eastAsia" w:ascii="仿宋" w:hAnsi="仿宋" w:eastAsia="仿宋" w:cs="仿宋"/>
          <w:sz w:val="30"/>
          <w:szCs w:val="30"/>
        </w:rPr>
        <w:t>三创公司、鑫诚鹏、瓦楞纸箱</w:t>
      </w:r>
      <w:r>
        <w:rPr>
          <w:rFonts w:hint="eastAsia" w:ascii="仿宋" w:hAnsi="仿宋" w:eastAsia="仿宋" w:cs="仿宋"/>
          <w:sz w:val="30"/>
          <w:szCs w:val="30"/>
        </w:rPr>
        <w:t>厂三家企业</w:t>
      </w:r>
      <w:r>
        <w:rPr>
          <w:rStyle w:val="9"/>
          <w:rFonts w:hint="eastAsia" w:ascii="仿宋" w:hAnsi="仿宋" w:eastAsia="仿宋" w:cs="仿宋"/>
          <w:sz w:val="30"/>
          <w:szCs w:val="30"/>
        </w:rPr>
        <w:t>产房建设</w:t>
      </w:r>
      <w:r>
        <w:rPr>
          <w:rFonts w:hint="eastAsia" w:ascii="仿宋" w:hAnsi="仿宋" w:eastAsia="仿宋" w:cs="仿宋"/>
          <w:sz w:val="30"/>
          <w:szCs w:val="30"/>
        </w:rPr>
        <w:t>。文化旅游产业快速发展。</w:t>
      </w:r>
      <w:r>
        <w:rPr>
          <w:rFonts w:hint="eastAsia" w:ascii="仿宋" w:hAnsi="仿宋" w:eastAsia="仿宋" w:cs="仿宋"/>
          <w:sz w:val="30"/>
          <w:szCs w:val="30"/>
          <w:shd w:val="clear" w:color="auto" w:fill="FFFFFF"/>
        </w:rPr>
        <w:t>积极推行“旅游厕所革命”，投入150余万元拆除公厕1座、新建公厕1座、改扩建公厕3座。</w:t>
      </w:r>
      <w:r>
        <w:rPr>
          <w:rFonts w:hint="eastAsia" w:ascii="仿宋" w:hAnsi="仿宋" w:eastAsia="仿宋" w:cs="仿宋"/>
          <w:sz w:val="30"/>
          <w:szCs w:val="30"/>
        </w:rPr>
        <w:t>结合“一部手机游云南”平台建设，</w:t>
      </w:r>
      <w:r>
        <w:rPr>
          <w:rFonts w:hint="eastAsia" w:ascii="仿宋" w:hAnsi="仿宋" w:eastAsia="仿宋" w:cs="仿宋"/>
          <w:sz w:val="30"/>
          <w:szCs w:val="30"/>
          <w:shd w:val="clear" w:color="auto" w:fill="FFFFFF"/>
        </w:rPr>
        <w:t>完成景区名片、导游导览、智慧厕所、闸机改造、慢直播、AI识景、停车场改造等七个模块的建设。</w:t>
      </w:r>
      <w:r>
        <w:rPr>
          <w:rFonts w:hint="eastAsia" w:ascii="仿宋" w:hAnsi="仿宋" w:eastAsia="仿宋" w:cs="仿宋"/>
          <w:sz w:val="30"/>
          <w:szCs w:val="30"/>
        </w:rPr>
        <w:t>广龙旅游小镇等在建文旅项目稳步推进，成功打造左所荷藕庄园、澄蓝蓝莓等旅游新亮点，旅游业态不断丰富。通过抚仙湖铜锅美食旅游文化节、禄充高香文化节、禄充春节联欢晚会等节庆活动的开展，影响力和吸引力显著提升。1-9月，接待国内外游客195.17万人次，同比增长2.2%；实现旅游经济收入15789万元，同比增长3.9%；禄充景区门票收入758.05万元，同比减少23%。（原由是门票从2018年10月1日的20元/人下调至15元/人）</w:t>
      </w:r>
    </w:p>
    <w:p>
      <w:pPr>
        <w:widowControl w:val="0"/>
        <w:overflowPunct w:val="0"/>
        <w:topLinePunct/>
        <w:autoSpaceDN w:val="0"/>
        <w:spacing w:line="590" w:lineRule="exact"/>
        <w:ind w:left="120" w:leftChars="50" w:firstLine="600" w:firstLineChars="200"/>
        <w:jc w:val="both"/>
        <w:rPr>
          <w:rFonts w:ascii="仿宋" w:hAnsi="仿宋" w:eastAsia="仿宋" w:cs="仿宋"/>
          <w:sz w:val="30"/>
          <w:szCs w:val="30"/>
        </w:rPr>
      </w:pPr>
      <w:r>
        <w:rPr>
          <w:rFonts w:hint="eastAsia" w:ascii="仿宋" w:hAnsi="仿宋" w:eastAsia="仿宋" w:cs="仿宋"/>
          <w:sz w:val="30"/>
          <w:szCs w:val="30"/>
        </w:rPr>
        <w:t>3.规划先行、基础夯实，城乡融合发展协调并进</w:t>
      </w:r>
    </w:p>
    <w:p>
      <w:pPr>
        <w:widowControl w:val="0"/>
        <w:shd w:val="clear" w:color="auto" w:fill="FFFFFF"/>
        <w:autoSpaceDN w:val="0"/>
        <w:spacing w:line="59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完成广龙小镇全部662栋安置房建设，立昌小镇建成42栋安置房，金湖佳园项目建设有序推进，启动环湖棚户区改造暨生态移民搬迁项目，完成万海片区1219户4042人搬迁工作，完成尖山片区3个居民小组1000户2686人一榜数据核对工作，严防搬迁区域内的各种形式的房屋改扩建勒令拆除私自改建10余起。以文明示范建设为载体，推进文明美丽家园建设，城乡互补、产村融合的“一城三镇多村”发展布局初具雏形。仙湖路改扩建、东南绕城高速公路部分路段建成通车，澄川高速加快推进。积极开展61户新增四类对象及非四类对象抗震安居工程改造危房认定工作，启动45户四类人员和无力建房户CD级危房修缮加固和拆除重建工作。实施全国农村截污治污示范县项目，完成辖区内“农污项目”一期28个小组污水管网铺设、沿湖小组投入5台一体化污水处理设施，建成主管网3600米，支管8650米，新接入户数2900户。实施雨污分流改造一期工程12公里，改造公厕85座，实现生活污水收集处理率89%，实现生活垃圾收集处理率100%。</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4.强基础、惠民生，社会稳定促和谐</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脱贫攻坚更加精准。实施整村推进、小额信贷、雨露计划、科技培训、扶志教育等扶贫项目，养白牛社区猴子箐小组易地扶贫项目17户顺利搬入新居；完成“挂包帮，转走访”回访以及遍访工作，进一步掌握建档立卡户脱贫情况。社会保障更加完善。1-9月发放各类民政资金502.56万元，救济3565人次；1-9月城乡居民基本养老保险参保30389人，基本医疗保险参保率达99.8%，零星报销住院922人次894.36万元，统筹基金支付448.58万元，发放《特殊病慢性病就医证》297本。全力推进殡葬改革，火化率、公墓安葬率均为100%。教育事业更加优质。完成二中</w:t>
      </w:r>
      <w:r>
        <w:rPr>
          <w:rFonts w:hint="eastAsia" w:ascii="仿宋" w:hAnsi="仿宋" w:eastAsia="仿宋" w:cs="仿宋"/>
          <w:sz w:val="30"/>
          <w:szCs w:val="30"/>
          <w:lang w:val="en-US" w:eastAsia="zh-CN"/>
        </w:rPr>
        <w:t>易</w:t>
      </w:r>
      <w:r>
        <w:rPr>
          <w:rFonts w:hint="eastAsia" w:ascii="仿宋" w:hAnsi="仿宋" w:eastAsia="仿宋" w:cs="仿宋"/>
          <w:sz w:val="30"/>
          <w:szCs w:val="30"/>
        </w:rPr>
        <w:t>地迁建，新建华光、双树、梁王、提古、忠窑5所幼儿园9月1日顺利开园；</w:t>
      </w:r>
      <w:r>
        <w:rPr>
          <w:rFonts w:hint="eastAsia" w:ascii="仿宋" w:hAnsi="仿宋" w:eastAsia="仿宋" w:cs="仿宋"/>
          <w:kern w:val="2"/>
          <w:sz w:val="30"/>
          <w:szCs w:val="30"/>
        </w:rPr>
        <w:t>投入230万元完成辖区14所小学二期、三期教育信息化数字化校园建设；</w:t>
      </w:r>
      <w:r>
        <w:rPr>
          <w:rFonts w:hint="eastAsia" w:ascii="仿宋" w:hAnsi="仿宋" w:eastAsia="仿宋" w:cs="仿宋"/>
          <w:sz w:val="30"/>
          <w:szCs w:val="30"/>
        </w:rPr>
        <w:t>发放1149人次贫困家庭初中生生活补助，资金130万余元；</w:t>
      </w:r>
      <w:r>
        <w:rPr>
          <w:rFonts w:hint="eastAsia" w:ascii="仿宋" w:hAnsi="仿宋" w:eastAsia="仿宋" w:cs="仿宋"/>
          <w:kern w:val="2"/>
          <w:sz w:val="30"/>
          <w:szCs w:val="30"/>
        </w:rPr>
        <w:t>龙街中心小学参加玉溪市第七届“聂耳杯”乡村少年宫才艺大赛获优秀组织奖；澄江五中在玉溪市足球赛中，女足一举夺冠，实现三连冠；</w:t>
      </w:r>
      <w:r>
        <w:rPr>
          <w:rFonts w:hint="eastAsia" w:ascii="仿宋" w:hAnsi="仿宋" w:eastAsia="仿宋" w:cs="仿宋"/>
          <w:sz w:val="30"/>
          <w:szCs w:val="30"/>
        </w:rPr>
        <w:t>继续做好控辍保学工作。文体活动更加丰富。以传统节日和现代节日为契机，开展丰富多彩的文艺活动40余场次。以本地民间节日为契机开展丰富多彩的民间文艺活动，组织立夏节期间交流演出10余场。举办青少年寒假免费开放培训班18期，开设项目有瑜伽、肚皮舞、化妆、刺绣、葫芦丝、书法6个项目。医卫服务更加贴心。中山大学合作办医项目推进顺利，建档立卡贫困户家庭医生签约率、家庭病床意愿建床率均为100%，居民健康档案建档率达90%以上。扫黑除恶成效显著。按照“有黑扫黑、有恶除恶、有乱治乱、有伞必打”的要求，深入推进扫黑除恶专项斗争。1-9月份，接受涉黑涉恶线索举报55条（上级转办44条，工作中发现11条），已核实48条，正在核实7条；其中办理寻衅滋事2起，批准逮捕5人，移送起诉6人。整治社会治安乱点查处各类违法犯罪嫌疑人300余人，其中刑事拘留19人，行政拘留200余人。</w:t>
      </w:r>
      <w:r>
        <w:rPr>
          <w:rFonts w:hint="eastAsia" w:ascii="仿宋" w:hAnsi="仿宋" w:eastAsia="仿宋" w:cs="仿宋"/>
          <w:sz w:val="30"/>
          <w:szCs w:val="30"/>
          <w:shd w:val="clear" w:color="auto" w:fill="FFFFFF"/>
        </w:rPr>
        <w:t>民族宗教、青年、妇女、老龄、关心下一代、统计等各项事业稳步推进，工会、残联、妇联发挥重要作用。</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5.党要管党、从严治党，党的建设深入推进</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党建工作全面提升。全面落实党要管党、从严治党各项要求，不断增强党员干部队伍和党组织的创造力、凝聚力、战斗力。完成2018年35个党组织达标创建，扎实推进89个党组织规范化建设。扎实有序地组织开展换届补选工作，1-9月份选优配强社区、小组干部47人。</w:t>
      </w:r>
      <w:r>
        <w:rPr>
          <w:rFonts w:hint="eastAsia" w:ascii="仿宋" w:hAnsi="仿宋" w:eastAsia="仿宋" w:cs="仿宋"/>
          <w:sz w:val="30"/>
          <w:szCs w:val="30"/>
          <w:shd w:val="clear" w:color="auto" w:fill="FFFFFF"/>
        </w:rPr>
        <w:t>成立万海环湖棚户区改造项目临时党总支部，</w:t>
      </w:r>
      <w:r>
        <w:rPr>
          <w:rFonts w:hint="eastAsia" w:ascii="仿宋" w:hAnsi="仿宋" w:eastAsia="仿宋" w:cs="仿宋"/>
          <w:sz w:val="30"/>
          <w:szCs w:val="30"/>
        </w:rPr>
        <w:t>开展党员先锋引领专项行动，推动生态移民搬迁、乡村振兴等重点工作落地见效。组织69名入党积极分子培训，发展党员30名。1-9月份开展“万名党员进党校”2次240余人，开展主题党日活动507次9474人次。慰问困难党员和老乡干共计248人，慰问金额12.4万元，60岁以上党员补助486人，困难党员补助93人。注重把开展“三会一课”、主题党日、党务公开、党员积分与运用“云岭先锋”APP融合起来，实现线上、线下有机结合、互为补充。结合扫黑除恶专项斗争，对社区班子成员和小组干部进行任职资格联审，有违法犯罪、“村霸”和涉黑涉恶情况的14人，已清理13名，1名待司法机关作出判决后，作进一步处理。对有受到治安或行政处罚、受到党纪处分、违反计划生育政策、不胜任、不履职等问题的村组干部14名，结合实际，已清理2名，留任12名。2019年在街道146个党组织中开展分类定级工作，排查出了18个软弱涣散党组织，明确街道领导联系社区负责整顿工作，实行“一村一策”整改措施。组织开展以爱湖护湖主题的志愿服务活动137次，参加人员3117人。年内撤销党内职务2人，开除党籍5人，自动退党1人，终止党员权利1人。</w:t>
      </w:r>
    </w:p>
    <w:p>
      <w:pPr>
        <w:widowControl w:val="0"/>
        <w:autoSpaceDN w:val="0"/>
        <w:spacing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作风建设持续强化。强化党风廉政建设责任制，党工委书记与14个社区党总支和直属的2个党总支、6个直属党支部签订了主体责任责任书，与班子成员签订“一岗双责”责任书。落实纪工委的监督责任，街道纪工委与14个社区监督委员会签订了监督责任责任书，督促各社区党总支对责任书进行逐级签订，将从严治党主体责任层层传导到基层党支部。向各社区党总支、班子成员派发主体责任清单90余件。党工委书记为班子成员、社区党总支书记、居委会主任，街道中心站所长59人讲授廉政党课。结合环湖棚户区改造暨生态移民搬迁工作，对万海片区、尖山片区抽调工作队员开设“廉政课堂”。 精准运用“四种形态”，规范问题线索处置。1-9月份，街道纪工委共收到县纪委交办的问题线索21件，提级办理1件，办结11件，正在办理10件。对收到的18件信访问题进行核实。立案审查6件7人，给予撤销党内职务处分1人，党内严重警告处分1人。给予2名村组干部通报批评、书面检查、停薪停职检查三个月的问责。做好畅通群众诉求渠道工作。1-9月份，镇、村两级群众诉求中心共录入群众诉求五级联动信息2493条；录入脱贫攻坚五级联动信息1784条。聚焦监督首责，不断提升监督质效。一是坚持脱贫攻坚监督检查。对养白牛社区、华光社区、忠窑社区、尖山社区21户建档立卡贫困户进行了抽查，对扶贫政策落实进行入户走访；对低保资金发放进行监督检查；二是组织开展专项检查。开展“小金库”暨账外保管资金专项检查，对14个社区120个居民小组账外保管资金进行自查，对各中心站所私设“小金库”问题进行自查。对定制赠送收受高档烟酒茶及其他特殊定制品进行自查。认真开展排查整治“天价烟”背后“四风”问题，16名班子成员进行了自查并签订了承诺。</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二、部门基本情况</w:t>
      </w:r>
    </w:p>
    <w:p>
      <w:pPr>
        <w:adjustRightInd w:val="0"/>
        <w:spacing w:before="100" w:beforeAutospacing="1" w:after="100" w:afterAutospacing="1" w:line="590" w:lineRule="exact"/>
        <w:ind w:firstLine="600" w:firstLineChars="200"/>
        <w:rPr>
          <w:rFonts w:ascii="楷体" w:hAnsi="楷体" w:eastAsia="楷体"/>
          <w:sz w:val="30"/>
          <w:szCs w:val="30"/>
        </w:rPr>
      </w:pPr>
      <w:r>
        <w:rPr>
          <w:rFonts w:hint="eastAsia" w:ascii="楷体" w:hAnsi="楷体" w:eastAsia="楷体"/>
          <w:sz w:val="30"/>
          <w:szCs w:val="30"/>
        </w:rPr>
        <w:t xml:space="preserve">（一）部门决算单位构成          </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纳入玉溪市澄江县龙街街道办事处</w:t>
      </w:r>
      <w:r>
        <w:rPr>
          <w:rFonts w:hint="eastAsia" w:ascii="仿宋" w:hAnsi="Times New Roman" w:eastAsia="仿宋"/>
          <w:sz w:val="30"/>
          <w:szCs w:val="30"/>
        </w:rPr>
        <w:t>2019</w:t>
      </w:r>
      <w:r>
        <w:rPr>
          <w:rFonts w:hint="eastAsia" w:ascii="仿宋" w:hAnsi="仿宋" w:eastAsia="仿宋"/>
          <w:sz w:val="30"/>
          <w:szCs w:val="30"/>
        </w:rPr>
        <w:t>年度部门决算编报的单位共</w:t>
      </w:r>
      <w:r>
        <w:rPr>
          <w:rFonts w:hint="eastAsia" w:ascii="仿宋" w:hAnsi="Times New Roman" w:eastAsia="仿宋"/>
          <w:sz w:val="30"/>
          <w:szCs w:val="30"/>
        </w:rPr>
        <w:t>11</w:t>
      </w:r>
      <w:r>
        <w:rPr>
          <w:rFonts w:hint="eastAsia" w:ascii="仿宋" w:hAnsi="仿宋" w:eastAsia="仿宋"/>
          <w:sz w:val="30"/>
          <w:szCs w:val="30"/>
        </w:rPr>
        <w:t>个。其中：行政单位</w:t>
      </w:r>
      <w:r>
        <w:rPr>
          <w:rFonts w:hint="eastAsia" w:ascii="仿宋" w:hAnsi="Times New Roman" w:eastAsia="仿宋"/>
          <w:sz w:val="30"/>
          <w:szCs w:val="30"/>
        </w:rPr>
        <w:t>4</w:t>
      </w:r>
      <w:r>
        <w:rPr>
          <w:rFonts w:hint="eastAsia" w:ascii="仿宋" w:hAnsi="仿宋" w:eastAsia="仿宋"/>
          <w:sz w:val="30"/>
          <w:szCs w:val="30"/>
        </w:rPr>
        <w:t>个，参照公务员法管理的事业单位</w:t>
      </w:r>
      <w:r>
        <w:rPr>
          <w:rFonts w:hint="eastAsia" w:ascii="仿宋" w:hAnsi="Times New Roman" w:eastAsia="仿宋"/>
          <w:sz w:val="30"/>
          <w:szCs w:val="30"/>
        </w:rPr>
        <w:t>2</w:t>
      </w:r>
      <w:r>
        <w:rPr>
          <w:rFonts w:hint="eastAsia" w:ascii="仿宋" w:hAnsi="仿宋" w:eastAsia="仿宋"/>
          <w:sz w:val="30"/>
          <w:szCs w:val="30"/>
        </w:rPr>
        <w:t>个，其他事业单位</w:t>
      </w:r>
      <w:r>
        <w:rPr>
          <w:rFonts w:hint="eastAsia" w:ascii="仿宋" w:hAnsi="Times New Roman" w:eastAsia="仿宋"/>
          <w:sz w:val="30"/>
          <w:szCs w:val="30"/>
        </w:rPr>
        <w:t>5</w:t>
      </w:r>
      <w:r>
        <w:rPr>
          <w:rFonts w:hint="eastAsia" w:ascii="仿宋" w:hAnsi="仿宋" w:eastAsia="仿宋"/>
          <w:sz w:val="30"/>
          <w:szCs w:val="30"/>
        </w:rPr>
        <w:t>个。分别是：行政单位</w:t>
      </w:r>
      <w:r>
        <w:rPr>
          <w:rFonts w:hint="eastAsia" w:ascii="仿宋" w:hAnsi="Times New Roman" w:eastAsia="仿宋"/>
          <w:sz w:val="30"/>
          <w:szCs w:val="30"/>
        </w:rPr>
        <w:t>4个</w:t>
      </w:r>
      <w:r>
        <w:rPr>
          <w:rFonts w:hint="eastAsia" w:ascii="仿宋" w:hAnsi="仿宋" w:eastAsia="仿宋"/>
          <w:sz w:val="30"/>
          <w:szCs w:val="30"/>
        </w:rPr>
        <w:t>：龙街街道办、龙街党工委、龙街团体</w:t>
      </w:r>
      <w:r>
        <w:rPr>
          <w:rFonts w:hint="eastAsia" w:ascii="仿宋" w:hAnsi="Times New Roman" w:eastAsia="仿宋"/>
          <w:sz w:val="30"/>
          <w:szCs w:val="30"/>
        </w:rPr>
        <w:t xml:space="preserve"> </w:t>
      </w:r>
      <w:r>
        <w:rPr>
          <w:rFonts w:hint="eastAsia" w:ascii="仿宋" w:hAnsi="仿宋" w:eastAsia="仿宋"/>
          <w:sz w:val="30"/>
          <w:szCs w:val="30"/>
        </w:rPr>
        <w:t>、龙街人大工委；参公单位</w:t>
      </w:r>
      <w:r>
        <w:rPr>
          <w:rFonts w:hint="eastAsia" w:ascii="仿宋" w:hAnsi="Times New Roman" w:eastAsia="仿宋"/>
          <w:sz w:val="30"/>
          <w:szCs w:val="30"/>
        </w:rPr>
        <w:t>2个：龙街财政所、禄充管委会；事业单位5个：龙街农业综合服务中心、龙街事务中心、龙街文化中心、龙街规划建设和</w:t>
      </w:r>
      <w:r>
        <w:rPr>
          <w:rFonts w:hint="eastAsia" w:ascii="仿宋" w:hAnsi="仿宋" w:eastAsia="仿宋"/>
          <w:sz w:val="30"/>
          <w:szCs w:val="30"/>
        </w:rPr>
        <w:t>环境保护中心、龙街经济管理中心。</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（二）部门人员和车辆的编制及实有情况</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玉溪市澄江县龙街街道办事处</w:t>
      </w:r>
      <w:r>
        <w:rPr>
          <w:rFonts w:hint="eastAsia" w:ascii="仿宋" w:hAnsi="Times New Roman" w:eastAsia="仿宋"/>
          <w:sz w:val="30"/>
          <w:szCs w:val="30"/>
        </w:rPr>
        <w:t>2019</w:t>
      </w:r>
      <w:r>
        <w:rPr>
          <w:rFonts w:hint="eastAsia" w:ascii="仿宋" w:hAnsi="仿宋" w:eastAsia="仿宋"/>
          <w:sz w:val="30"/>
          <w:szCs w:val="30"/>
        </w:rPr>
        <w:t>年末实有人员编制</w:t>
      </w:r>
      <w:r>
        <w:rPr>
          <w:rFonts w:hint="eastAsia" w:ascii="仿宋" w:hAnsi="Times New Roman" w:eastAsia="仿宋"/>
          <w:sz w:val="30"/>
          <w:szCs w:val="30"/>
        </w:rPr>
        <w:t>87</w:t>
      </w:r>
      <w:r>
        <w:rPr>
          <w:rFonts w:hint="eastAsia" w:ascii="仿宋" w:hAnsi="仿宋" w:eastAsia="仿宋"/>
          <w:sz w:val="30"/>
          <w:szCs w:val="30"/>
        </w:rPr>
        <w:t>人。其中：行政编制</w:t>
      </w:r>
      <w:r>
        <w:rPr>
          <w:rFonts w:hint="eastAsia" w:ascii="仿宋" w:hAnsi="Times New Roman" w:eastAsia="仿宋"/>
          <w:sz w:val="30"/>
          <w:szCs w:val="30"/>
        </w:rPr>
        <w:t>30</w:t>
      </w:r>
      <w:r>
        <w:rPr>
          <w:rFonts w:hint="eastAsia" w:ascii="仿宋" w:hAnsi="仿宋" w:eastAsia="仿宋"/>
          <w:sz w:val="30"/>
          <w:szCs w:val="30"/>
        </w:rPr>
        <w:t>人（含行政工勤编制</w:t>
      </w:r>
      <w:r>
        <w:rPr>
          <w:rFonts w:hint="eastAsia" w:ascii="仿宋" w:hAnsi="Times New Roman" w:eastAsia="仿宋"/>
          <w:sz w:val="30"/>
          <w:szCs w:val="30"/>
        </w:rPr>
        <w:t>0</w:t>
      </w:r>
      <w:r>
        <w:rPr>
          <w:rFonts w:hint="eastAsia" w:ascii="仿宋" w:hAnsi="仿宋" w:eastAsia="仿宋"/>
          <w:sz w:val="30"/>
          <w:szCs w:val="30"/>
        </w:rPr>
        <w:t>人），事业编制</w:t>
      </w:r>
      <w:r>
        <w:rPr>
          <w:rFonts w:hint="eastAsia" w:ascii="仿宋" w:hAnsi="Times New Roman" w:eastAsia="仿宋"/>
          <w:sz w:val="30"/>
          <w:szCs w:val="30"/>
        </w:rPr>
        <w:t>57</w:t>
      </w:r>
      <w:r>
        <w:rPr>
          <w:rFonts w:hint="eastAsia" w:ascii="仿宋" w:hAnsi="仿宋" w:eastAsia="仿宋"/>
          <w:sz w:val="30"/>
          <w:szCs w:val="30"/>
        </w:rPr>
        <w:t>人（含参公管理事业编制</w:t>
      </w:r>
      <w:r>
        <w:rPr>
          <w:rFonts w:hint="eastAsia" w:ascii="仿宋" w:hAnsi="Times New Roman" w:eastAsia="仿宋"/>
          <w:sz w:val="30"/>
          <w:szCs w:val="30"/>
        </w:rPr>
        <w:t>6</w:t>
      </w:r>
      <w:r>
        <w:rPr>
          <w:rFonts w:hint="eastAsia" w:ascii="仿宋" w:hAnsi="仿宋" w:eastAsia="仿宋"/>
          <w:sz w:val="30"/>
          <w:szCs w:val="30"/>
        </w:rPr>
        <w:t>人）；在职在编实有行政人员</w:t>
      </w:r>
      <w:r>
        <w:rPr>
          <w:rFonts w:hint="eastAsia" w:ascii="仿宋" w:hAnsi="Times New Roman" w:eastAsia="仿宋"/>
          <w:sz w:val="30"/>
          <w:szCs w:val="30"/>
        </w:rPr>
        <w:t>30</w:t>
      </w:r>
      <w:r>
        <w:rPr>
          <w:rFonts w:hint="eastAsia" w:ascii="仿宋" w:hAnsi="仿宋" w:eastAsia="仿宋"/>
          <w:sz w:val="30"/>
          <w:szCs w:val="30"/>
        </w:rPr>
        <w:t>人（含行政工勤人员</w:t>
      </w:r>
      <w:r>
        <w:rPr>
          <w:rFonts w:hint="eastAsia" w:ascii="仿宋" w:hAnsi="Times New Roman" w:eastAsia="仿宋"/>
          <w:sz w:val="30"/>
          <w:szCs w:val="30"/>
        </w:rPr>
        <w:t>0</w:t>
      </w:r>
      <w:r>
        <w:rPr>
          <w:rFonts w:hint="eastAsia" w:ascii="仿宋" w:hAnsi="仿宋" w:eastAsia="仿宋"/>
          <w:sz w:val="30"/>
          <w:szCs w:val="30"/>
        </w:rPr>
        <w:t>人），事业人员</w:t>
      </w:r>
      <w:r>
        <w:rPr>
          <w:rFonts w:hint="eastAsia" w:ascii="仿宋" w:hAnsi="Times New Roman" w:eastAsia="仿宋"/>
          <w:sz w:val="30"/>
          <w:szCs w:val="30"/>
        </w:rPr>
        <w:t>63</w:t>
      </w:r>
      <w:r>
        <w:rPr>
          <w:rFonts w:hint="eastAsia" w:ascii="仿宋" w:hAnsi="仿宋" w:eastAsia="仿宋"/>
          <w:sz w:val="30"/>
          <w:szCs w:val="30"/>
        </w:rPr>
        <w:t>人（含参公管理事业人员</w:t>
      </w:r>
      <w:r>
        <w:rPr>
          <w:rFonts w:hint="eastAsia" w:ascii="仿宋" w:hAnsi="Times New Roman" w:eastAsia="仿宋"/>
          <w:sz w:val="30"/>
          <w:szCs w:val="30"/>
        </w:rPr>
        <w:t>19</w:t>
      </w:r>
      <w:r>
        <w:rPr>
          <w:rFonts w:hint="eastAsia" w:ascii="仿宋" w:hAnsi="仿宋" w:eastAsia="仿宋"/>
          <w:sz w:val="30"/>
          <w:szCs w:val="30"/>
        </w:rPr>
        <w:t>人），其他人员</w:t>
      </w:r>
      <w:r>
        <w:rPr>
          <w:rFonts w:hint="eastAsia" w:ascii="仿宋" w:hAnsi="Times New Roman" w:eastAsia="仿宋"/>
          <w:sz w:val="30"/>
          <w:szCs w:val="30"/>
        </w:rPr>
        <w:t>0</w:t>
      </w:r>
      <w:r>
        <w:rPr>
          <w:rFonts w:hint="eastAsia" w:ascii="仿宋" w:hAnsi="仿宋" w:eastAsia="仿宋"/>
          <w:sz w:val="30"/>
          <w:szCs w:val="30"/>
        </w:rPr>
        <w:t>人，主要是行政人员龙街街道办</w:t>
      </w:r>
      <w:r>
        <w:rPr>
          <w:rFonts w:hint="eastAsia" w:ascii="仿宋" w:hAnsi="Times New Roman" w:eastAsia="仿宋"/>
          <w:sz w:val="30"/>
          <w:szCs w:val="30"/>
        </w:rPr>
        <w:t>30人，参公19人为龙街财政所和禄充管委会，其他44人为事业单位人员。</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离退休人员</w:t>
      </w:r>
      <w:r>
        <w:rPr>
          <w:rFonts w:hint="eastAsia" w:ascii="仿宋" w:hAnsi="Times New Roman" w:eastAsia="仿宋"/>
          <w:sz w:val="30"/>
          <w:szCs w:val="30"/>
        </w:rPr>
        <w:t>0.00</w:t>
      </w:r>
      <w:r>
        <w:rPr>
          <w:rFonts w:hint="eastAsia" w:ascii="仿宋" w:hAnsi="仿宋" w:eastAsia="仿宋"/>
          <w:sz w:val="30"/>
          <w:szCs w:val="30"/>
        </w:rPr>
        <w:t>人。其中：离休</w:t>
      </w:r>
      <w:r>
        <w:rPr>
          <w:rFonts w:hint="eastAsia" w:ascii="仿宋" w:hAnsi="Times New Roman" w:eastAsia="仿宋"/>
          <w:sz w:val="30"/>
          <w:szCs w:val="30"/>
        </w:rPr>
        <w:t>0</w:t>
      </w:r>
      <w:r>
        <w:rPr>
          <w:rFonts w:hint="eastAsia" w:ascii="仿宋" w:hAnsi="仿宋" w:eastAsia="仿宋"/>
          <w:sz w:val="30"/>
          <w:szCs w:val="30"/>
        </w:rPr>
        <w:t>人，退休</w:t>
      </w:r>
      <w:r>
        <w:rPr>
          <w:rFonts w:hint="eastAsia" w:ascii="仿宋" w:hAnsi="Times New Roman" w:eastAsia="仿宋"/>
          <w:sz w:val="30"/>
          <w:szCs w:val="30"/>
        </w:rPr>
        <w:t>0</w:t>
      </w:r>
      <w:r>
        <w:rPr>
          <w:rFonts w:hint="eastAsia" w:ascii="仿宋" w:hAnsi="仿宋" w:eastAsia="仿宋"/>
          <w:sz w:val="30"/>
          <w:szCs w:val="30"/>
        </w:rPr>
        <w:t>人。</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仿宋" w:eastAsia="仿宋"/>
          <w:sz w:val="30"/>
          <w:szCs w:val="30"/>
        </w:rPr>
        <w:t>实有车辆编制</w:t>
      </w:r>
      <w:r>
        <w:rPr>
          <w:rFonts w:hint="eastAsia" w:ascii="仿宋" w:hAnsi="Times New Roman" w:eastAsia="仿宋"/>
          <w:sz w:val="30"/>
          <w:szCs w:val="30"/>
        </w:rPr>
        <w:t>13</w:t>
      </w:r>
      <w:r>
        <w:rPr>
          <w:rFonts w:hint="eastAsia" w:ascii="仿宋" w:hAnsi="仿宋" w:eastAsia="仿宋"/>
          <w:sz w:val="30"/>
          <w:szCs w:val="30"/>
        </w:rPr>
        <w:t>辆，在编实有车辆</w:t>
      </w:r>
      <w:r>
        <w:rPr>
          <w:rFonts w:hint="eastAsia" w:ascii="仿宋" w:hAnsi="Times New Roman" w:eastAsia="仿宋"/>
          <w:sz w:val="30"/>
          <w:szCs w:val="30"/>
        </w:rPr>
        <w:t>3</w:t>
      </w:r>
      <w:r>
        <w:rPr>
          <w:rFonts w:hint="eastAsia" w:ascii="仿宋" w:hAnsi="仿宋" w:eastAsia="仿宋"/>
          <w:sz w:val="30"/>
          <w:szCs w:val="30"/>
        </w:rPr>
        <w:t>辆。</w:t>
      </w:r>
    </w:p>
    <w:p>
      <w:pPr>
        <w:tabs>
          <w:tab w:val="left" w:pos="711"/>
        </w:tabs>
        <w:jc w:val="center"/>
      </w:pPr>
      <w:r>
        <w:rPr>
          <w:rFonts w:hint="eastAsia"/>
        </w:rPr>
        <w:drawing>
          <wp:inline distT="0" distB="0" distL="0" distR="0">
            <wp:extent cx="4300220" cy="2392680"/>
            <wp:effectExtent l="4445" t="5080" r="19685" b="21590"/>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第二部分</w:t>
      </w:r>
      <w:r>
        <w:rPr>
          <w:rFonts w:hint="eastAsia" w:ascii="黑体" w:hAnsi="Times New Roman" w:eastAsia="黑体"/>
          <w:sz w:val="32"/>
          <w:szCs w:val="32"/>
        </w:rPr>
        <w:t xml:space="preserve">  2019</w:t>
      </w:r>
      <w:r>
        <w:rPr>
          <w:rFonts w:hint="eastAsia" w:ascii="黑体" w:hAnsi="黑体" w:eastAsia="黑体"/>
          <w:sz w:val="32"/>
          <w:szCs w:val="32"/>
        </w:rPr>
        <w:t>年度部门决算表</w:t>
      </w:r>
    </w:p>
    <w:p>
      <w:pPr>
        <w:adjustRightInd w:val="0"/>
        <w:spacing w:before="100" w:beforeAutospacing="1" w:after="100" w:afterAutospacing="1" w:line="590" w:lineRule="exact"/>
        <w:jc w:val="center"/>
        <w:rPr>
          <w:rFonts w:ascii="Times New Roman" w:hAnsi="Times New Roman" w:eastAsia="仿宋" w:cs="Times New Roman"/>
          <w:sz w:val="30"/>
          <w:szCs w:val="30"/>
        </w:rPr>
      </w:pPr>
      <w:r>
        <w:rPr>
          <w:rFonts w:hint="eastAsia" w:ascii="仿宋" w:hAnsi="仿宋" w:eastAsia="仿宋"/>
          <w:sz w:val="30"/>
          <w:szCs w:val="30"/>
        </w:rPr>
        <w:t>（详见附件）</w:t>
      </w:r>
    </w:p>
    <w:p>
      <w:pPr>
        <w:adjustRightInd w:val="0"/>
        <w:spacing w:before="100" w:beforeAutospacing="1" w:after="100" w:afterAutospacing="1" w:line="590" w:lineRule="exact"/>
        <w:jc w:val="center"/>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第三部分</w:t>
      </w:r>
      <w:r>
        <w:rPr>
          <w:rFonts w:hint="eastAsia" w:ascii="黑体" w:hAnsi="Times New Roman" w:eastAsia="黑体"/>
          <w:sz w:val="32"/>
          <w:szCs w:val="32"/>
        </w:rPr>
        <w:t xml:space="preserve">  2019</w:t>
      </w:r>
      <w:r>
        <w:rPr>
          <w:rFonts w:hint="eastAsia" w:ascii="黑体" w:hAnsi="黑体" w:eastAsia="黑体"/>
          <w:sz w:val="32"/>
          <w:szCs w:val="32"/>
        </w:rPr>
        <w:t>年度部门决算情况说明</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一、收入决算情况说明</w:t>
      </w:r>
    </w:p>
    <w:p>
      <w:pPr>
        <w:adjustRightInd w:val="0"/>
        <w:spacing w:before="100" w:beforeAutospacing="1" w:after="100" w:afterAutospacing="1" w:line="590" w:lineRule="exact"/>
        <w:ind w:firstLine="600" w:firstLineChars="200"/>
        <w:jc w:val="both"/>
        <w:rPr>
          <w:rFonts w:ascii="仿宋_GB2312" w:hAnsi="仿宋"/>
          <w:color w:val="FF0000"/>
          <w:sz w:val="32"/>
          <w:szCs w:val="32"/>
        </w:rPr>
      </w:pPr>
      <w:r>
        <w:rPr>
          <w:rFonts w:hint="eastAsia" w:ascii="仿宋" w:hAnsi="仿宋" w:eastAsia="仿宋" w:cs="仿宋"/>
          <w:sz w:val="30"/>
          <w:szCs w:val="30"/>
        </w:rPr>
        <w:t>玉溪市澄江县龙街街道办事处2019年度收入合计8,498.04万元。其中：财政拨款收入8,498.04万元，占总收入的100.00%；上级补助收入0.00万元，占总收入的0.00%；事业收入0.00万元，占总收入的0.00%；经营收入0.00万元，占总收入的0.00%；附属单位缴款收入0.00万元，占总收入的0.00%；其他收入0.00万元，占总收入的0.00%。与上年的6552.4万元对比，增加1945.64万元，增29.69%，主要原因分析执行抚仙湖保护，对沿湖的广龙补区进行整体搬迁后，补助广龙社区5000多人的生活补助，增加生活补助费2000万元及扶贫项目资金安排，同时，因完成财政收入任务，奖励奖补资金800万元所致。</w:t>
      </w:r>
    </w:p>
    <w:p>
      <w:pPr>
        <w:jc w:val="center"/>
        <w:rPr>
          <w:rFonts w:ascii="仿宋_GB2312" w:hAnsi="仿宋"/>
          <w:sz w:val="32"/>
          <w:szCs w:val="32"/>
        </w:rPr>
      </w:pPr>
      <w:r>
        <w:rPr>
          <w:rFonts w:hint="eastAsia" w:ascii="仿宋_GB2312" w:hAnsi="仿宋"/>
          <w:sz w:val="32"/>
          <w:szCs w:val="32"/>
        </w:rPr>
        <w:drawing>
          <wp:inline distT="0" distB="0" distL="114300" distR="114300">
            <wp:extent cx="4592320" cy="3016250"/>
            <wp:effectExtent l="4445" t="5080" r="13335"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二、支出决算情况说明</w:t>
      </w:r>
    </w:p>
    <w:p>
      <w:pPr>
        <w:adjustRightInd w:val="0"/>
        <w:spacing w:before="100" w:beforeAutospacing="1" w:after="100" w:afterAutospacing="1" w:line="590" w:lineRule="exact"/>
        <w:ind w:firstLine="600" w:firstLineChars="200"/>
      </w:pPr>
      <w:r>
        <w:rPr>
          <w:rFonts w:hint="eastAsia" w:ascii="仿宋" w:hAnsi="仿宋" w:eastAsia="仿宋" w:cs="仿宋"/>
          <w:sz w:val="30"/>
          <w:szCs w:val="30"/>
        </w:rPr>
        <w:t>玉溪市澄江县龙街街道办事处2019年度支出合计8,498.04万元。其中：基本支出2,990.99万元，占总支出的35.20%；项目支出5,507.05万元，占总支出的64.80%；上缴上级支出、经营支出、对附属单位补助支出共0.00万元，占总支出的0.00%。与上年对比增支1945.64万元，增29.69%，其中，基本支出减支174.21万元，项目支出增支2119.84万元。主要原因：基本支出减支为2018年人员工资调整，补发工资致2018年基本支出大于2019年，项目支出增加为执行抚仙湖保护，对沿湖的广龙补区进行整体搬迁后，补助广龙社区5000多人的生活补助，增加生活补助费2000万元及扶贫项目资金安排，同时，因完成财政收入任务，奖励奖补资金800万元所致。</w:t>
      </w:r>
    </w:p>
    <w:p/>
    <w:p>
      <w:pPr>
        <w:pStyle w:val="2"/>
        <w:jc w:val="center"/>
      </w:pPr>
      <w:r>
        <w:rPr>
          <w:rFonts w:hint="eastAsia"/>
        </w:rPr>
        <w:drawing>
          <wp:inline distT="0" distB="0" distL="114300" distR="114300">
            <wp:extent cx="4508500" cy="2730500"/>
            <wp:effectExtent l="4445" t="4445" r="2095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（一）基本支出情况</w:t>
      </w:r>
    </w:p>
    <w:p>
      <w:pPr>
        <w:spacing w:line="590" w:lineRule="exact"/>
        <w:ind w:firstLine="600" w:firstLineChars="200"/>
      </w:pPr>
      <w:r>
        <w:rPr>
          <w:rFonts w:hint="eastAsia" w:ascii="仿宋" w:hAnsi="Times New Roman" w:eastAsia="仿宋"/>
          <w:sz w:val="30"/>
          <w:szCs w:val="30"/>
        </w:rPr>
        <w:t>2019</w:t>
      </w:r>
      <w:r>
        <w:rPr>
          <w:rFonts w:hint="eastAsia" w:ascii="仿宋" w:hAnsi="仿宋" w:eastAsia="仿宋"/>
          <w:sz w:val="30"/>
          <w:szCs w:val="30"/>
        </w:rPr>
        <w:t>年度用于保障玉溪市澄江县龙街街道办事处机关、下属事业单位等机构正常运转的日常支出</w:t>
      </w:r>
      <w:r>
        <w:rPr>
          <w:rFonts w:hint="eastAsia" w:ascii="仿宋" w:hAnsi="Times New Roman" w:eastAsia="仿宋"/>
          <w:sz w:val="30"/>
          <w:szCs w:val="30"/>
        </w:rPr>
        <w:t>2,990.99</w:t>
      </w:r>
      <w:r>
        <w:rPr>
          <w:rFonts w:hint="eastAsia" w:ascii="仿宋" w:hAnsi="仿宋" w:eastAsia="仿宋"/>
          <w:sz w:val="30"/>
          <w:szCs w:val="30"/>
        </w:rPr>
        <w:t>万元。与上年的</w:t>
      </w:r>
      <w:r>
        <w:rPr>
          <w:rFonts w:hint="eastAsia" w:ascii="仿宋" w:hAnsi="Times New Roman" w:eastAsia="仿宋"/>
          <w:sz w:val="30"/>
          <w:szCs w:val="30"/>
        </w:rPr>
        <w:t>3165.20万元</w:t>
      </w:r>
      <w:r>
        <w:rPr>
          <w:rFonts w:hint="eastAsia" w:ascii="仿宋" w:hAnsi="仿宋" w:eastAsia="仿宋"/>
          <w:sz w:val="30"/>
          <w:szCs w:val="30"/>
        </w:rPr>
        <w:t>对比，减支</w:t>
      </w:r>
      <w:r>
        <w:rPr>
          <w:rFonts w:hint="eastAsia" w:ascii="仿宋" w:hAnsi="Times New Roman" w:eastAsia="仿宋"/>
          <w:sz w:val="30"/>
          <w:szCs w:val="30"/>
        </w:rPr>
        <w:t>174.21万元</w:t>
      </w:r>
      <w:r>
        <w:rPr>
          <w:rFonts w:hint="eastAsia" w:ascii="仿宋" w:hAnsi="仿宋" w:eastAsia="仿宋"/>
          <w:sz w:val="30"/>
          <w:szCs w:val="30"/>
        </w:rPr>
        <w:t>，主要原因分析：对比几项基本支出来看，工资和福利支出减支</w:t>
      </w:r>
      <w:r>
        <w:rPr>
          <w:rFonts w:hint="eastAsia" w:ascii="仿宋" w:hAnsi="Times New Roman" w:eastAsia="仿宋"/>
          <w:sz w:val="30"/>
          <w:szCs w:val="30"/>
        </w:rPr>
        <w:t>107.76万元，主要是2018年工资调整，补发数额大导致比2019年增支；商品和服务支出增支156.26万元，主要是办公费增加；对个人和家庭的补助2018年比2019年增加222.71万元，主是村社区人员的生活补助增加所致，综合上述几项，致使2019年的基本支出比2018年减支174.21万元。</w:t>
      </w:r>
      <w:r>
        <w:rPr>
          <w:rFonts w:hint="eastAsia" w:ascii="仿宋" w:hAnsi="仿宋" w:eastAsia="仿宋"/>
          <w:sz w:val="30"/>
          <w:szCs w:val="30"/>
        </w:rPr>
        <w:t>从支出结构看，基本工资、津贴补贴等人员经费支出占基本支出的</w:t>
      </w:r>
      <w:r>
        <w:rPr>
          <w:rFonts w:hint="eastAsia" w:ascii="仿宋" w:hAnsi="Times New Roman" w:eastAsia="仿宋"/>
          <w:sz w:val="30"/>
          <w:szCs w:val="30"/>
        </w:rPr>
        <w:t>84.53%</w:t>
      </w:r>
      <w:r>
        <w:rPr>
          <w:rFonts w:hint="eastAsia" w:ascii="仿宋" w:hAnsi="仿宋" w:eastAsia="仿宋"/>
          <w:sz w:val="30"/>
          <w:szCs w:val="30"/>
        </w:rPr>
        <w:t>；办公费、印刷费、水电费、办公设备购置等日常公用经费占基本支出的</w:t>
      </w:r>
      <w:r>
        <w:rPr>
          <w:rFonts w:hint="eastAsia" w:ascii="仿宋" w:hAnsi="Times New Roman" w:eastAsia="仿宋"/>
          <w:sz w:val="30"/>
          <w:szCs w:val="30"/>
        </w:rPr>
        <w:t>15.47%</w:t>
      </w:r>
      <w:r>
        <w:rPr>
          <w:rFonts w:hint="eastAsia"/>
        </w:rPr>
        <w:t>。</w:t>
      </w:r>
    </w:p>
    <w:p>
      <w:pPr>
        <w:pStyle w:val="2"/>
        <w:jc w:val="center"/>
      </w:pPr>
      <w:r>
        <w:rPr>
          <w:rFonts w:hint="eastAsia"/>
        </w:rPr>
        <w:drawing>
          <wp:inline distT="0" distB="0" distL="114300" distR="114300">
            <wp:extent cx="4222115" cy="2688590"/>
            <wp:effectExtent l="4445" t="4445" r="2159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（二）项目支出情况</w:t>
      </w:r>
    </w:p>
    <w:p>
      <w:pPr>
        <w:adjustRightInd w:val="0"/>
        <w:spacing w:before="100" w:beforeAutospacing="1" w:after="100" w:afterAutospacing="1"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2019年度用于保障玉溪市澄江县龙街街道办事处机构、下属事业单位等机构为完成特定的行政工作任务或事业发展目标，用于专项业务工作的经费支出5,507.05万元。与上年的3387.21万元对比，增支2119.84万元，增长63%。主要原因分析：增支原因主要是执行抚仙湖保护，对沿湖的广龙社区进行整体搬迁后，补助广龙社区5000多人的生活补助，增加生活补助费2000多万元及扶贫项目资金安排，同时，因完成财政收入任务，奖励奖补资金800万元所致。具体项目开支及开展工作情况，具体为：1.人大事务经费8万元，用于人大活动室建设及人大代表活动；2.一般行政管理事务经费2910.91万元，其中：48.84万元用于街道日常办公费支出，2062万元用于广龙社区抚仙湖搬迁人员生活补助，800万元为财政奖补资金，龙街街道办用于化解历年拖欠的政府性债务；3.标准化财政所建设经费9万元，用于财政所临时人员生活补助及日常办公支出，4.纪检监察事务经费3万元，用于纪工委开展纪检工作支出；5.群众团体经费1万元用于群团组织开展工作支出；6.基层党建经费25万元用于加强基层党组织建设支出；7.网格员工作实绩考核经费5.1万元用于网格员生活补助；8.自然灾害防治经费1217万元用于万海社区许士营村的征租地经费支出；9.公共安全经费2万元用于武装部开展征兵工作支出；10.教育支出186.95万元，其中166.95万元用于华光幼儿园建设经费，20万元用于中小学乡村两级办学补助支出；11.敬老院及老龄工作经费10万元用于敬老院临时人员生活补助及日常经费支出；12.墓碑购置费198.9万元用于龙街青龙山公墓基础设施建设；13.人口信息化建设经费19.1万元用于人口信息化建设支出；14.节能环保支出465.23万元，其中200万元用于龙街街道辖区内的人居环境整治，265.23万元用于抚仙湖沿湖三个社区退田还湖土地租金的支付；15.森林防火经费7万元用于森林防火的装备购置用灭火人员生活补助；16.城乡社区支出51万元，其中7万元用于执法人员工作经费，36万元用于村庄规划专管员生活补助，8万元用于养白牛社区人居环境整治；17、农林水支出371.79万元，其中扶贫支出281.79万元用于</w:t>
      </w:r>
      <w:r>
        <w:rPr>
          <w:rFonts w:hint="eastAsia" w:ascii="仿宋" w:hAnsi="仿宋" w:eastAsia="仿宋" w:cs="仿宋"/>
          <w:sz w:val="30"/>
          <w:szCs w:val="30"/>
          <w:lang w:val="en-US" w:eastAsia="zh-CN"/>
        </w:rPr>
        <w:t>脱贫攻坚</w:t>
      </w:r>
      <w:r>
        <w:rPr>
          <w:rFonts w:hint="eastAsia" w:ascii="仿宋" w:hAnsi="仿宋" w:eastAsia="仿宋" w:cs="仿宋"/>
          <w:sz w:val="30"/>
          <w:szCs w:val="30"/>
        </w:rPr>
        <w:t>项目建设，90万元用于一事一议项目建设，改善农村基础设施建设。</w:t>
      </w:r>
    </w:p>
    <w:p>
      <w:pPr>
        <w:pStyle w:val="2"/>
      </w:pPr>
      <w:r>
        <w:rPr>
          <w:rFonts w:hint="eastAsia"/>
        </w:rPr>
        <w:drawing>
          <wp:inline distT="0" distB="0" distL="0" distR="0">
            <wp:extent cx="5603875" cy="5307965"/>
            <wp:effectExtent l="4445" t="4445" r="11430" b="21590"/>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三、一般公共预算财政拨款支出决算情况说明</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（一）一般公共预算财政拨款支出决算总体情况</w:t>
      </w:r>
    </w:p>
    <w:p>
      <w:pPr>
        <w:adjustRightInd w:val="0"/>
        <w:spacing w:before="100" w:beforeAutospacing="1" w:after="100" w:afterAutospacing="1" w:line="59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玉溪市澄江县龙街街道办事处2019年度一般公共预算财政拨款支出8,498.04万元,占本年支出合计的100.00%。与上年的对比增支1945.64万元，增29.69%，其中，基本支出减支174.21万元，项目支出增支2119.84万元。主要原因：基本支出减支为2018年人员工资调整，补发工资致2018年基本支出大于2019年，项目支出增加为执行抚仙湖保护，对沿湖的广龙补区进行整体搬迁后，补助广龙社区5000多人的生活补助，增加生活补助费2000万元及扶贫项目资金安排，同时，因完成财政收入任务，奖励奖补资金800万元所致。</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（二）一般公共预算财政拨款支出决算具体情况</w:t>
      </w:r>
    </w:p>
    <w:p>
      <w:pPr>
        <w:adjustRightInd w:val="0"/>
        <w:spacing w:before="100" w:beforeAutospacing="1" w:after="100" w:afterAutospacing="1" w:line="590" w:lineRule="exact"/>
        <w:ind w:firstLine="600" w:firstLineChars="200"/>
        <w:jc w:val="both"/>
        <w:rPr>
          <w:rFonts w:ascii="仿宋" w:hAnsi="Times New Roman" w:eastAsia="仿宋"/>
          <w:sz w:val="30"/>
          <w:szCs w:val="30"/>
        </w:rPr>
      </w:pPr>
      <w:r>
        <w:rPr>
          <w:rFonts w:hint="eastAsia" w:ascii="仿宋" w:hAnsi="Times New Roman" w:eastAsia="仿宋"/>
          <w:sz w:val="30"/>
          <w:szCs w:val="30"/>
        </w:rPr>
        <w:t>1.</w:t>
      </w:r>
      <w:r>
        <w:rPr>
          <w:rFonts w:hint="eastAsia" w:ascii="仿宋" w:hAnsi="仿宋" w:eastAsia="仿宋"/>
          <w:sz w:val="30"/>
          <w:szCs w:val="30"/>
        </w:rPr>
        <w:t>一般公共服务（类）支出</w:t>
      </w:r>
      <w:r>
        <w:rPr>
          <w:rFonts w:hint="eastAsia" w:ascii="仿宋" w:hAnsi="Times New Roman" w:eastAsia="仿宋"/>
          <w:sz w:val="30"/>
          <w:szCs w:val="30"/>
        </w:rPr>
        <w:t>5,377.07</w:t>
      </w:r>
      <w:r>
        <w:rPr>
          <w:rFonts w:hint="eastAsia" w:ascii="仿宋" w:hAnsi="仿宋" w:eastAsia="仿宋"/>
          <w:sz w:val="30"/>
          <w:szCs w:val="30"/>
        </w:rPr>
        <w:t>万元，占一般公共预算财政拨款总支出的</w:t>
      </w:r>
      <w:r>
        <w:rPr>
          <w:rFonts w:hint="eastAsia" w:ascii="仿宋" w:hAnsi="Times New Roman" w:eastAsia="仿宋"/>
          <w:sz w:val="30"/>
          <w:szCs w:val="30"/>
        </w:rPr>
        <w:t>63.27%，</w:t>
      </w:r>
      <w:r>
        <w:rPr>
          <w:rFonts w:hint="eastAsia" w:ascii="仿宋" w:hAnsi="仿宋" w:eastAsia="仿宋"/>
          <w:sz w:val="30"/>
          <w:szCs w:val="30"/>
        </w:rPr>
        <w:t>主要用于(1)人员工资支出1179万元，(2)人大事务经费</w:t>
      </w:r>
      <w:r>
        <w:rPr>
          <w:rFonts w:hint="eastAsia" w:ascii="仿宋" w:hAnsi="Times New Roman" w:eastAsia="仿宋"/>
          <w:sz w:val="30"/>
          <w:szCs w:val="30"/>
        </w:rPr>
        <w:t>8万元，用于人大活动室建设及人大代表活动；(3)一般行政管理事务经费2910.91万元，其中：48.84万元用于街道日常办公费支出，2062万元用于广龙社区抚仙湖搬迁人员生活补助，800万元为财政奖补资金，龙街街道办用于化解历年拖欠的政府性债务；(4)标准化财政所建设经费9万元，用于财政所临时人员生活补助及日常办公支出，(5)纪检监察事务经费3万元，用于纪工委开展纪检工作支出；(6)群众团体经费1万元用于群团组织开展工作支出；(7)基层党建经费25万元用于加强基层党组织建设支出；</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2.</w:t>
      </w:r>
      <w:r>
        <w:rPr>
          <w:rFonts w:hint="eastAsia" w:ascii="仿宋" w:hAnsi="仿宋" w:eastAsia="仿宋"/>
          <w:sz w:val="30"/>
          <w:szCs w:val="30"/>
        </w:rPr>
        <w:t>外交（类）支出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3.</w:t>
      </w:r>
      <w:r>
        <w:rPr>
          <w:rFonts w:hint="eastAsia" w:ascii="仿宋" w:hAnsi="仿宋" w:eastAsia="仿宋"/>
          <w:sz w:val="30"/>
          <w:szCs w:val="30"/>
        </w:rPr>
        <w:t>国防（类）支出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Times New Roman" w:eastAsia="仿宋"/>
          <w:sz w:val="30"/>
          <w:szCs w:val="30"/>
        </w:rPr>
        <w:t>4.</w:t>
      </w:r>
      <w:r>
        <w:rPr>
          <w:rFonts w:hint="eastAsia" w:ascii="仿宋" w:hAnsi="仿宋" w:eastAsia="仿宋"/>
          <w:sz w:val="30"/>
          <w:szCs w:val="30"/>
        </w:rPr>
        <w:t>公共安全（类）支出</w:t>
      </w:r>
      <w:r>
        <w:rPr>
          <w:rFonts w:hint="eastAsia" w:ascii="仿宋" w:hAnsi="Times New Roman" w:eastAsia="仿宋"/>
          <w:sz w:val="30"/>
          <w:szCs w:val="30"/>
        </w:rPr>
        <w:t>2.00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0.02%，</w:t>
      </w:r>
      <w:r>
        <w:rPr>
          <w:rFonts w:hint="eastAsia" w:ascii="仿宋" w:hAnsi="仿宋" w:eastAsia="仿宋"/>
          <w:sz w:val="30"/>
          <w:szCs w:val="30"/>
        </w:rPr>
        <w:t>主要</w:t>
      </w:r>
      <w:r>
        <w:rPr>
          <w:rFonts w:hint="eastAsia" w:ascii="仿宋" w:hAnsi="仿宋" w:eastAsia="仿宋"/>
          <w:sz w:val="30"/>
          <w:szCs w:val="30"/>
          <w:lang w:eastAsia="zh-CN"/>
        </w:rPr>
        <w:t>用于</w:t>
      </w:r>
      <w:r>
        <w:rPr>
          <w:rFonts w:hint="eastAsia" w:ascii="仿宋" w:hAnsi="仿宋" w:eastAsia="仿宋"/>
          <w:sz w:val="30"/>
          <w:szCs w:val="30"/>
        </w:rPr>
        <w:t>武装部开展征兵工作支出；</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Times New Roman" w:eastAsia="仿宋"/>
          <w:sz w:val="30"/>
          <w:szCs w:val="30"/>
        </w:rPr>
        <w:t>5.</w:t>
      </w:r>
      <w:r>
        <w:rPr>
          <w:rFonts w:hint="eastAsia" w:ascii="仿宋" w:hAnsi="仿宋" w:eastAsia="仿宋"/>
          <w:sz w:val="30"/>
          <w:szCs w:val="30"/>
        </w:rPr>
        <w:t>教育（类）支出</w:t>
      </w:r>
      <w:r>
        <w:rPr>
          <w:rFonts w:hint="eastAsia" w:ascii="仿宋" w:hAnsi="Times New Roman" w:eastAsia="仿宋"/>
          <w:sz w:val="30"/>
          <w:szCs w:val="30"/>
        </w:rPr>
        <w:t>186.95</w:t>
      </w:r>
      <w:r>
        <w:rPr>
          <w:rFonts w:hint="eastAsia" w:ascii="仿宋" w:hAnsi="仿宋" w:eastAsia="仿宋"/>
          <w:sz w:val="30"/>
          <w:szCs w:val="30"/>
        </w:rPr>
        <w:t>万元，占一般公共预算财政拨款总支出的</w:t>
      </w:r>
      <w:r>
        <w:rPr>
          <w:rFonts w:hint="eastAsia" w:ascii="仿宋" w:hAnsi="Times New Roman" w:eastAsia="仿宋"/>
          <w:sz w:val="30"/>
          <w:szCs w:val="30"/>
        </w:rPr>
        <w:t>2.20%，</w:t>
      </w:r>
      <w:r>
        <w:rPr>
          <w:rFonts w:hint="eastAsia" w:ascii="仿宋" w:hAnsi="仿宋" w:eastAsia="仿宋"/>
          <w:sz w:val="30"/>
          <w:szCs w:val="30"/>
        </w:rPr>
        <w:t>主要用于其中</w:t>
      </w:r>
      <w:r>
        <w:rPr>
          <w:rFonts w:hint="eastAsia" w:ascii="仿宋" w:hAnsi="Times New Roman" w:eastAsia="仿宋"/>
          <w:sz w:val="30"/>
          <w:szCs w:val="30"/>
        </w:rPr>
        <w:t>166.95万元用于华光幼儿园建设经费，20万元用于中小学乡村两级办学补助支出；</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6.</w:t>
      </w:r>
      <w:r>
        <w:rPr>
          <w:rFonts w:hint="eastAsia" w:ascii="仿宋" w:hAnsi="仿宋" w:eastAsia="仿宋"/>
          <w:sz w:val="30"/>
          <w:szCs w:val="30"/>
        </w:rPr>
        <w:t>科学技术（类）支出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7.</w:t>
      </w:r>
      <w:r>
        <w:rPr>
          <w:rFonts w:hint="eastAsia" w:ascii="仿宋" w:hAnsi="仿宋" w:eastAsia="仿宋"/>
          <w:sz w:val="30"/>
          <w:szCs w:val="30"/>
        </w:rPr>
        <w:t>文化旅游体育与传媒（类）支出</w:t>
      </w:r>
      <w:r>
        <w:rPr>
          <w:rFonts w:hint="eastAsia" w:ascii="仿宋" w:hAnsi="Times New Roman" w:eastAsia="仿宋"/>
          <w:sz w:val="30"/>
          <w:szCs w:val="30"/>
        </w:rPr>
        <w:t>56.07</w:t>
      </w:r>
      <w:r>
        <w:rPr>
          <w:rFonts w:hint="eastAsia" w:ascii="仿宋" w:hAnsi="仿宋" w:eastAsia="仿宋"/>
          <w:sz w:val="30"/>
          <w:szCs w:val="30"/>
        </w:rPr>
        <w:t>万元，占一般公共预算财政拨款总支出的</w:t>
      </w:r>
      <w:r>
        <w:rPr>
          <w:rFonts w:hint="eastAsia" w:ascii="仿宋" w:hAnsi="Times New Roman" w:eastAsia="仿宋"/>
          <w:sz w:val="30"/>
          <w:szCs w:val="30"/>
        </w:rPr>
        <w:t>0.66%</w:t>
      </w:r>
      <w:r>
        <w:rPr>
          <w:rFonts w:hint="eastAsia" w:ascii="仿宋" w:hAnsi="仿宋" w:eastAsia="仿宋"/>
          <w:sz w:val="30"/>
          <w:szCs w:val="30"/>
        </w:rPr>
        <w:t>。主要用于文化中心人员工资支出；</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8.</w:t>
      </w:r>
      <w:r>
        <w:rPr>
          <w:rFonts w:hint="eastAsia" w:ascii="仿宋" w:hAnsi="仿宋" w:eastAsia="仿宋"/>
          <w:sz w:val="30"/>
          <w:szCs w:val="30"/>
        </w:rPr>
        <w:t>社会保障和就业（类）支出</w:t>
      </w:r>
      <w:r>
        <w:rPr>
          <w:rFonts w:hint="eastAsia" w:ascii="仿宋" w:hAnsi="Times New Roman" w:eastAsia="仿宋"/>
          <w:sz w:val="30"/>
          <w:szCs w:val="30"/>
        </w:rPr>
        <w:t>505.10</w:t>
      </w:r>
      <w:r>
        <w:rPr>
          <w:rFonts w:hint="eastAsia" w:ascii="仿宋" w:hAnsi="仿宋" w:eastAsia="仿宋"/>
          <w:sz w:val="30"/>
          <w:szCs w:val="30"/>
        </w:rPr>
        <w:t>万元，占一般公共预算财政拨款总支出的</w:t>
      </w:r>
      <w:r>
        <w:rPr>
          <w:rFonts w:hint="eastAsia" w:ascii="仿宋" w:hAnsi="Times New Roman" w:eastAsia="仿宋"/>
          <w:sz w:val="30"/>
          <w:szCs w:val="30"/>
        </w:rPr>
        <w:t>5.94%</w:t>
      </w:r>
      <w:r>
        <w:rPr>
          <w:rFonts w:hint="eastAsia" w:ascii="仿宋" w:hAnsi="仿宋" w:eastAsia="仿宋"/>
          <w:sz w:val="30"/>
          <w:szCs w:val="30"/>
        </w:rPr>
        <w:t>。主要用于事务中心人员工资支出；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Times New Roman" w:eastAsia="仿宋"/>
          <w:sz w:val="30"/>
          <w:szCs w:val="30"/>
        </w:rPr>
        <w:t>9.</w:t>
      </w:r>
      <w:r>
        <w:rPr>
          <w:rFonts w:hint="eastAsia" w:ascii="仿宋" w:hAnsi="仿宋" w:eastAsia="仿宋"/>
          <w:sz w:val="30"/>
          <w:szCs w:val="30"/>
        </w:rPr>
        <w:t>卫生健康（类）支出</w:t>
      </w:r>
      <w:r>
        <w:rPr>
          <w:rFonts w:hint="eastAsia" w:ascii="仿宋" w:hAnsi="Times New Roman" w:eastAsia="仿宋"/>
          <w:sz w:val="30"/>
          <w:szCs w:val="30"/>
        </w:rPr>
        <w:t>152.32</w:t>
      </w:r>
      <w:r>
        <w:rPr>
          <w:rFonts w:hint="eastAsia" w:ascii="仿宋" w:hAnsi="仿宋" w:eastAsia="仿宋"/>
          <w:sz w:val="30"/>
          <w:szCs w:val="30"/>
        </w:rPr>
        <w:t>万元，占一般公共预算财政拨款总支出的</w:t>
      </w:r>
      <w:r>
        <w:rPr>
          <w:rFonts w:hint="eastAsia" w:ascii="仿宋" w:hAnsi="Times New Roman" w:eastAsia="仿宋"/>
          <w:sz w:val="30"/>
          <w:szCs w:val="30"/>
        </w:rPr>
        <w:t>1.79%，</w:t>
      </w:r>
      <w:r>
        <w:rPr>
          <w:rFonts w:hint="eastAsia" w:ascii="仿宋" w:hAnsi="仿宋" w:eastAsia="仿宋"/>
          <w:sz w:val="30"/>
          <w:szCs w:val="30"/>
        </w:rPr>
        <w:t>主要用于行政事业单位的行政事业单位医疗的缴纳；</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Times New Roman" w:eastAsia="仿宋"/>
          <w:sz w:val="30"/>
          <w:szCs w:val="30"/>
        </w:rPr>
        <w:t>10.</w:t>
      </w:r>
      <w:r>
        <w:rPr>
          <w:rFonts w:hint="eastAsia" w:ascii="仿宋" w:hAnsi="仿宋" w:eastAsia="仿宋"/>
          <w:sz w:val="30"/>
          <w:szCs w:val="30"/>
        </w:rPr>
        <w:t>节能环保（类）支出</w:t>
      </w:r>
      <w:r>
        <w:rPr>
          <w:rFonts w:hint="eastAsia" w:ascii="仿宋" w:hAnsi="Times New Roman" w:eastAsia="仿宋"/>
          <w:sz w:val="30"/>
          <w:szCs w:val="30"/>
        </w:rPr>
        <w:t>536.10</w:t>
      </w:r>
      <w:r>
        <w:rPr>
          <w:rFonts w:hint="eastAsia" w:ascii="仿宋" w:hAnsi="仿宋" w:eastAsia="仿宋"/>
          <w:sz w:val="30"/>
          <w:szCs w:val="30"/>
        </w:rPr>
        <w:t>万元，占一般公共预算财政拨款总支出的</w:t>
      </w:r>
      <w:r>
        <w:rPr>
          <w:rFonts w:hint="eastAsia" w:ascii="仿宋" w:hAnsi="Times New Roman" w:eastAsia="仿宋"/>
          <w:sz w:val="30"/>
          <w:szCs w:val="30"/>
        </w:rPr>
        <w:t>6.31%</w:t>
      </w:r>
      <w:r>
        <w:rPr>
          <w:rFonts w:hint="eastAsia" w:ascii="仿宋" w:hAnsi="仿宋" w:eastAsia="仿宋"/>
          <w:sz w:val="30"/>
          <w:szCs w:val="30"/>
        </w:rPr>
        <w:t>。主要用于环境建设和规划中心人员支出270.86万元，</w:t>
      </w:r>
      <w:r>
        <w:rPr>
          <w:rFonts w:hint="eastAsia" w:ascii="仿宋" w:hAnsi="Times New Roman" w:eastAsia="仿宋"/>
          <w:sz w:val="30"/>
          <w:szCs w:val="30"/>
        </w:rPr>
        <w:t>抚仙湖沿湖三个社区退田还湖土地租金265.30万元；</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11.</w:t>
      </w:r>
      <w:r>
        <w:rPr>
          <w:rFonts w:hint="eastAsia" w:ascii="仿宋" w:hAnsi="仿宋" w:eastAsia="仿宋"/>
          <w:sz w:val="30"/>
          <w:szCs w:val="30"/>
        </w:rPr>
        <w:t>城乡社区（类）支出</w:t>
      </w:r>
      <w:r>
        <w:rPr>
          <w:rFonts w:hint="eastAsia" w:ascii="仿宋" w:hAnsi="Times New Roman" w:eastAsia="仿宋"/>
          <w:sz w:val="30"/>
          <w:szCs w:val="30"/>
        </w:rPr>
        <w:t>184.28</w:t>
      </w:r>
      <w:r>
        <w:rPr>
          <w:rFonts w:hint="eastAsia" w:ascii="仿宋" w:hAnsi="仿宋" w:eastAsia="仿宋"/>
          <w:sz w:val="30"/>
          <w:szCs w:val="30"/>
        </w:rPr>
        <w:t>万元，占一般公共预算财政拨款总支出的</w:t>
      </w:r>
      <w:r>
        <w:rPr>
          <w:rFonts w:hint="eastAsia" w:ascii="仿宋" w:hAnsi="Times New Roman" w:eastAsia="仿宋"/>
          <w:sz w:val="30"/>
          <w:szCs w:val="30"/>
        </w:rPr>
        <w:t>2.17%</w:t>
      </w:r>
      <w:r>
        <w:rPr>
          <w:rFonts w:hint="eastAsia" w:ascii="仿宋" w:hAnsi="仿宋" w:eastAsia="仿宋"/>
          <w:sz w:val="30"/>
          <w:szCs w:val="30"/>
        </w:rPr>
        <w:t>。主要用于执法人员行活补助，另外的</w:t>
      </w:r>
      <w:r>
        <w:rPr>
          <w:rFonts w:hint="eastAsia" w:ascii="仿宋" w:hAnsi="Times New Roman" w:eastAsia="仿宋"/>
          <w:sz w:val="30"/>
          <w:szCs w:val="30"/>
        </w:rPr>
        <w:t>7万元用于执法人员工作经费，36万元用于村庄规划专管员生活补助，8万元用于养白牛社区人居环境整治</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jc w:val="both"/>
        <w:rPr>
          <w:rFonts w:ascii="仿宋" w:hAnsi="Times New Roman" w:eastAsia="仿宋"/>
          <w:sz w:val="30"/>
          <w:szCs w:val="30"/>
        </w:rPr>
      </w:pPr>
      <w:r>
        <w:rPr>
          <w:rFonts w:hint="eastAsia" w:ascii="仿宋" w:hAnsi="Times New Roman" w:eastAsia="仿宋"/>
          <w:sz w:val="30"/>
          <w:szCs w:val="30"/>
        </w:rPr>
        <w:t>12.</w:t>
      </w:r>
      <w:r>
        <w:rPr>
          <w:rFonts w:hint="eastAsia" w:ascii="仿宋" w:hAnsi="仿宋" w:eastAsia="仿宋"/>
          <w:sz w:val="30"/>
          <w:szCs w:val="30"/>
        </w:rPr>
        <w:t>农林水（类）支出</w:t>
      </w:r>
      <w:r>
        <w:rPr>
          <w:rFonts w:hint="eastAsia" w:ascii="仿宋" w:hAnsi="Times New Roman" w:eastAsia="仿宋"/>
          <w:sz w:val="30"/>
          <w:szCs w:val="30"/>
        </w:rPr>
        <w:t>1,369.88</w:t>
      </w:r>
      <w:r>
        <w:rPr>
          <w:rFonts w:hint="eastAsia" w:ascii="仿宋" w:hAnsi="仿宋" w:eastAsia="仿宋"/>
          <w:sz w:val="30"/>
          <w:szCs w:val="30"/>
        </w:rPr>
        <w:t>万元，占一般公共预算财政拨款总支出的</w:t>
      </w:r>
      <w:r>
        <w:rPr>
          <w:rFonts w:hint="eastAsia" w:ascii="仿宋" w:hAnsi="Times New Roman" w:eastAsia="仿宋"/>
          <w:sz w:val="30"/>
          <w:szCs w:val="30"/>
        </w:rPr>
        <w:t>16.12%</w:t>
      </w:r>
      <w:r>
        <w:rPr>
          <w:rFonts w:hint="eastAsia" w:ascii="仿宋" w:hAnsi="仿宋" w:eastAsia="仿宋"/>
          <w:sz w:val="30"/>
          <w:szCs w:val="30"/>
        </w:rPr>
        <w:t>。主要用于农林水事业单位人员工资448.33万元，村社区人员生活补助549.76万元，扶贫支出</w:t>
      </w:r>
      <w:r>
        <w:rPr>
          <w:rFonts w:hint="eastAsia" w:ascii="仿宋" w:hAnsi="Times New Roman" w:eastAsia="仿宋"/>
          <w:sz w:val="30"/>
          <w:szCs w:val="30"/>
        </w:rPr>
        <w:t>281.79万元用于脱贫</w:t>
      </w:r>
      <w:r>
        <w:rPr>
          <w:rFonts w:hint="eastAsia" w:ascii="仿宋" w:hAnsi="Times New Roman" w:eastAsia="仿宋"/>
          <w:sz w:val="30"/>
          <w:szCs w:val="30"/>
          <w:lang w:val="en-US" w:eastAsia="zh-CN"/>
        </w:rPr>
        <w:t>攻坚</w:t>
      </w:r>
      <w:r>
        <w:rPr>
          <w:rFonts w:hint="eastAsia" w:ascii="仿宋" w:hAnsi="Times New Roman" w:eastAsia="仿宋"/>
          <w:sz w:val="30"/>
          <w:szCs w:val="30"/>
        </w:rPr>
        <w:t>项目建设，90万元用于一事一议项目建设，改善农村基础设施建设；</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13.</w:t>
      </w:r>
      <w:r>
        <w:rPr>
          <w:rFonts w:hint="eastAsia" w:ascii="仿宋" w:hAnsi="仿宋" w:eastAsia="仿宋"/>
          <w:sz w:val="30"/>
          <w:szCs w:val="30"/>
        </w:rPr>
        <w:t>交通运输（类）支出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14.</w:t>
      </w:r>
      <w:r>
        <w:rPr>
          <w:rFonts w:hint="eastAsia" w:ascii="仿宋" w:hAnsi="仿宋" w:eastAsia="仿宋"/>
          <w:sz w:val="30"/>
          <w:szCs w:val="30"/>
        </w:rPr>
        <w:t>资源勘探信息等（类）支出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15.</w:t>
      </w:r>
      <w:r>
        <w:rPr>
          <w:rFonts w:hint="eastAsia" w:ascii="仿宋" w:hAnsi="仿宋" w:eastAsia="仿宋"/>
          <w:sz w:val="30"/>
          <w:szCs w:val="30"/>
        </w:rPr>
        <w:t>商业服务业等（类）支出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16.</w:t>
      </w:r>
      <w:r>
        <w:rPr>
          <w:rFonts w:hint="eastAsia" w:ascii="仿宋" w:hAnsi="仿宋" w:eastAsia="仿宋"/>
          <w:sz w:val="30"/>
          <w:szCs w:val="30"/>
        </w:rPr>
        <w:t>金融（类）支出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17.</w:t>
      </w:r>
      <w:r>
        <w:rPr>
          <w:rFonts w:hint="eastAsia" w:ascii="仿宋" w:hAnsi="仿宋" w:eastAsia="仿宋"/>
          <w:sz w:val="30"/>
          <w:szCs w:val="30"/>
        </w:rPr>
        <w:t>援助其他地区（类）支出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18.</w:t>
      </w:r>
      <w:r>
        <w:rPr>
          <w:rFonts w:hint="eastAsia" w:ascii="仿宋" w:hAnsi="仿宋" w:eastAsia="仿宋"/>
          <w:sz w:val="30"/>
          <w:szCs w:val="30"/>
        </w:rPr>
        <w:t>自然资源海洋气象等（类）支出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19.</w:t>
      </w:r>
      <w:r>
        <w:rPr>
          <w:rFonts w:hint="eastAsia" w:ascii="仿宋" w:hAnsi="仿宋" w:eastAsia="仿宋"/>
          <w:sz w:val="30"/>
          <w:szCs w:val="30"/>
        </w:rPr>
        <w:t>住房保障（类）支出</w:t>
      </w:r>
      <w:r>
        <w:rPr>
          <w:rFonts w:hint="eastAsia" w:ascii="仿宋" w:hAnsi="Times New Roman" w:eastAsia="仿宋"/>
          <w:sz w:val="30"/>
          <w:szCs w:val="30"/>
        </w:rPr>
        <w:t>128.27</w:t>
      </w:r>
      <w:r>
        <w:rPr>
          <w:rFonts w:hint="eastAsia" w:ascii="仿宋" w:hAnsi="仿宋" w:eastAsia="仿宋"/>
          <w:sz w:val="30"/>
          <w:szCs w:val="30"/>
        </w:rPr>
        <w:t>万元，占一般公共预算财政拨款总支出的</w:t>
      </w:r>
      <w:r>
        <w:rPr>
          <w:rFonts w:hint="eastAsia" w:ascii="仿宋" w:hAnsi="Times New Roman" w:eastAsia="仿宋"/>
          <w:sz w:val="30"/>
          <w:szCs w:val="30"/>
        </w:rPr>
        <w:t>1.51%，</w:t>
      </w:r>
      <w:r>
        <w:rPr>
          <w:rFonts w:hint="eastAsia" w:ascii="仿宋" w:hAnsi="仿宋" w:eastAsia="仿宋"/>
          <w:sz w:val="30"/>
          <w:szCs w:val="30"/>
        </w:rPr>
        <w:t>主要用于缴纳街道职工的公积金补助；</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20.</w:t>
      </w:r>
      <w:r>
        <w:rPr>
          <w:rFonts w:hint="eastAsia" w:ascii="仿宋" w:hAnsi="仿宋" w:eastAsia="仿宋"/>
          <w:sz w:val="30"/>
          <w:szCs w:val="30"/>
        </w:rPr>
        <w:t>粮油物资储备（类）支出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21.</w:t>
      </w:r>
      <w:r>
        <w:rPr>
          <w:rFonts w:hint="eastAsia" w:ascii="仿宋" w:hAnsi="仿宋" w:eastAsia="仿宋"/>
          <w:sz w:val="30"/>
          <w:szCs w:val="30"/>
        </w:rPr>
        <w:t>灾害防治及应急管理（类）支出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22.</w:t>
      </w:r>
      <w:r>
        <w:rPr>
          <w:rFonts w:hint="eastAsia" w:ascii="仿宋" w:hAnsi="仿宋" w:eastAsia="仿宋"/>
          <w:sz w:val="30"/>
          <w:szCs w:val="30"/>
        </w:rPr>
        <w:t>其他（类）支出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Times New Roman" w:eastAsia="仿宋"/>
          <w:sz w:val="30"/>
          <w:szCs w:val="30"/>
        </w:rPr>
        <w:t>23.</w:t>
      </w:r>
      <w:r>
        <w:rPr>
          <w:rFonts w:hint="eastAsia" w:ascii="仿宋" w:hAnsi="仿宋" w:eastAsia="仿宋"/>
          <w:sz w:val="30"/>
          <w:szCs w:val="30"/>
        </w:rPr>
        <w:t>债务还本（类）支出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pPr>
      <w:r>
        <w:rPr>
          <w:rFonts w:hint="eastAsia" w:ascii="仿宋" w:hAnsi="Times New Roman" w:eastAsia="仿宋"/>
          <w:sz w:val="30"/>
          <w:szCs w:val="30"/>
        </w:rPr>
        <w:t>24.</w:t>
      </w:r>
      <w:r>
        <w:rPr>
          <w:rFonts w:hint="eastAsia" w:ascii="仿宋" w:hAnsi="仿宋" w:eastAsia="仿宋"/>
          <w:sz w:val="30"/>
          <w:szCs w:val="30"/>
        </w:rPr>
        <w:t>债务付息（类）支出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pStyle w:val="2"/>
        <w:jc w:val="center"/>
      </w:pPr>
      <w:r>
        <w:rPr>
          <w:rFonts w:hint="eastAsia"/>
        </w:rPr>
        <w:drawing>
          <wp:inline distT="0" distB="0" distL="0" distR="0">
            <wp:extent cx="5177155" cy="3688080"/>
            <wp:effectExtent l="4445" t="4445" r="19050"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djustRightInd w:val="0"/>
        <w:spacing w:before="100" w:beforeAutospacing="1" w:after="100" w:afterAutospacing="1" w:line="590" w:lineRule="exact"/>
        <w:ind w:firstLine="600" w:firstLineChars="200"/>
        <w:rPr>
          <w:rFonts w:ascii="仿宋" w:hAnsi="仿宋" w:eastAsia="仿宋"/>
          <w:color w:val="FF0000"/>
          <w:sz w:val="30"/>
          <w:szCs w:val="30"/>
        </w:rPr>
      </w:pP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四、一般公共预算财政拨款</w:t>
      </w:r>
      <w:r>
        <w:rPr>
          <w:rFonts w:ascii="Times New Roman" w:hAnsi="Times New Roman" w:eastAsia="黑体" w:cs="Times New Roman"/>
          <w:sz w:val="30"/>
          <w:szCs w:val="30"/>
        </w:rPr>
        <w:t>“</w:t>
      </w:r>
      <w:r>
        <w:rPr>
          <w:rFonts w:hint="eastAsia" w:ascii="黑体" w:hAnsi="黑体" w:eastAsia="黑体"/>
          <w:sz w:val="30"/>
          <w:szCs w:val="30"/>
        </w:rPr>
        <w:t>三公</w:t>
      </w:r>
      <w:r>
        <w:rPr>
          <w:rFonts w:ascii="Times New Roman" w:hAnsi="Times New Roman" w:eastAsia="黑体" w:cs="Times New Roman"/>
          <w:sz w:val="30"/>
          <w:szCs w:val="30"/>
        </w:rPr>
        <w:t>”</w:t>
      </w:r>
      <w:r>
        <w:rPr>
          <w:rFonts w:hint="eastAsia" w:ascii="黑体" w:hAnsi="黑体" w:eastAsia="黑体"/>
          <w:sz w:val="30"/>
          <w:szCs w:val="30"/>
        </w:rPr>
        <w:t>经费支出决算情况说明</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Times New Roman" w:eastAsia="楷体"/>
          <w:sz w:val="30"/>
          <w:szCs w:val="30"/>
        </w:rPr>
        <w:t>(</w:t>
      </w:r>
      <w:r>
        <w:rPr>
          <w:rFonts w:hint="eastAsia" w:ascii="楷体" w:hAnsi="楷体" w:eastAsia="楷体"/>
          <w:sz w:val="30"/>
          <w:szCs w:val="30"/>
        </w:rPr>
        <w:t>一</w:t>
      </w:r>
      <w:r>
        <w:rPr>
          <w:rFonts w:hint="eastAsia" w:ascii="楷体" w:hAnsi="Times New Roman" w:eastAsia="楷体"/>
          <w:sz w:val="30"/>
          <w:szCs w:val="30"/>
        </w:rPr>
        <w:t>)</w:t>
      </w:r>
      <w:r>
        <w:rPr>
          <w:rFonts w:hint="eastAsia" w:ascii="楷体" w:hAnsi="楷体" w:eastAsia="楷体"/>
          <w:sz w:val="30"/>
          <w:szCs w:val="30"/>
        </w:rPr>
        <w:t>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经费支出决算总体情况</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仿宋" w:eastAsia="仿宋"/>
          <w:sz w:val="30"/>
          <w:szCs w:val="30"/>
        </w:rPr>
        <w:t>玉溪市澄江县龙街街道办事处</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经费支出预算为</w:t>
      </w:r>
      <w:r>
        <w:rPr>
          <w:rFonts w:hint="eastAsia" w:ascii="仿宋" w:hAnsi="Times New Roman" w:eastAsia="仿宋"/>
          <w:sz w:val="30"/>
          <w:szCs w:val="30"/>
        </w:rPr>
        <w:t>14.5</w:t>
      </w:r>
      <w:r>
        <w:rPr>
          <w:rFonts w:hint="eastAsia" w:ascii="仿宋" w:hAnsi="仿宋" w:eastAsia="仿宋"/>
          <w:sz w:val="30"/>
          <w:szCs w:val="30"/>
        </w:rPr>
        <w:t>万元，支出决算为</w:t>
      </w:r>
      <w:r>
        <w:rPr>
          <w:rFonts w:hint="eastAsia" w:ascii="仿宋" w:hAnsi="Times New Roman" w:eastAsia="仿宋"/>
          <w:sz w:val="30"/>
          <w:szCs w:val="30"/>
        </w:rPr>
        <w:t>14.50</w:t>
      </w:r>
      <w:r>
        <w:rPr>
          <w:rFonts w:hint="eastAsia" w:ascii="仿宋" w:hAnsi="仿宋" w:eastAsia="仿宋"/>
          <w:sz w:val="30"/>
          <w:szCs w:val="30"/>
        </w:rPr>
        <w:t>万元，完成预算的</w:t>
      </w:r>
      <w:r>
        <w:rPr>
          <w:rFonts w:hint="eastAsia" w:ascii="仿宋" w:hAnsi="Times New Roman" w:eastAsia="仿宋"/>
          <w:sz w:val="30"/>
          <w:szCs w:val="30"/>
        </w:rPr>
        <w:t>100%</w:t>
      </w:r>
      <w:r>
        <w:rPr>
          <w:rFonts w:hint="eastAsia" w:ascii="仿宋" w:hAnsi="仿宋" w:eastAsia="仿宋"/>
          <w:sz w:val="30"/>
          <w:szCs w:val="30"/>
        </w:rPr>
        <w:t>。其中：因公出国（境）费支出决算为</w:t>
      </w:r>
      <w:r>
        <w:rPr>
          <w:rFonts w:hint="eastAsia" w:ascii="仿宋" w:hAnsi="Times New Roman" w:eastAsia="仿宋"/>
          <w:sz w:val="30"/>
          <w:szCs w:val="30"/>
        </w:rPr>
        <w:t>0.00</w:t>
      </w:r>
      <w:r>
        <w:rPr>
          <w:rFonts w:hint="eastAsia" w:ascii="仿宋" w:hAnsi="仿宋" w:eastAsia="仿宋"/>
          <w:sz w:val="30"/>
          <w:szCs w:val="30"/>
        </w:rPr>
        <w:t>万元，完成预算的</w:t>
      </w:r>
      <w:r>
        <w:rPr>
          <w:rFonts w:hint="eastAsia" w:ascii="仿宋" w:hAnsi="Times New Roman" w:eastAsia="仿宋"/>
          <w:sz w:val="30"/>
          <w:szCs w:val="30"/>
        </w:rPr>
        <w:t>0%</w:t>
      </w:r>
      <w:r>
        <w:rPr>
          <w:rFonts w:hint="eastAsia" w:ascii="仿宋" w:hAnsi="仿宋" w:eastAsia="仿宋"/>
          <w:sz w:val="30"/>
          <w:szCs w:val="30"/>
        </w:rPr>
        <w:t>；公务用车购置及运行费支出决算为</w:t>
      </w:r>
      <w:r>
        <w:rPr>
          <w:rFonts w:hint="eastAsia" w:ascii="仿宋" w:hAnsi="Times New Roman" w:eastAsia="仿宋"/>
          <w:sz w:val="30"/>
          <w:szCs w:val="30"/>
        </w:rPr>
        <w:t>7.50</w:t>
      </w:r>
      <w:r>
        <w:rPr>
          <w:rFonts w:hint="eastAsia" w:ascii="仿宋" w:hAnsi="仿宋" w:eastAsia="仿宋"/>
          <w:sz w:val="30"/>
          <w:szCs w:val="30"/>
        </w:rPr>
        <w:t>万元，完成预算的</w:t>
      </w:r>
      <w:r>
        <w:rPr>
          <w:rFonts w:hint="eastAsia" w:ascii="仿宋" w:hAnsi="Times New Roman" w:eastAsia="仿宋"/>
          <w:sz w:val="30"/>
          <w:szCs w:val="30"/>
        </w:rPr>
        <w:t>100%</w:t>
      </w:r>
      <w:r>
        <w:rPr>
          <w:rFonts w:hint="eastAsia" w:ascii="仿宋" w:hAnsi="仿宋" w:eastAsia="仿宋"/>
          <w:sz w:val="30"/>
          <w:szCs w:val="30"/>
        </w:rPr>
        <w:t>；公务接待费支出决算为</w:t>
      </w:r>
      <w:r>
        <w:rPr>
          <w:rFonts w:hint="eastAsia" w:ascii="仿宋" w:hAnsi="Times New Roman" w:eastAsia="仿宋"/>
          <w:sz w:val="30"/>
          <w:szCs w:val="30"/>
        </w:rPr>
        <w:t>7.00</w:t>
      </w:r>
      <w:r>
        <w:rPr>
          <w:rFonts w:hint="eastAsia" w:ascii="仿宋" w:hAnsi="仿宋" w:eastAsia="仿宋"/>
          <w:sz w:val="30"/>
          <w:szCs w:val="30"/>
        </w:rPr>
        <w:t>万元，完成预算的</w:t>
      </w:r>
      <w:r>
        <w:rPr>
          <w:rFonts w:hint="eastAsia" w:ascii="仿宋" w:hAnsi="Times New Roman" w:eastAsia="仿宋"/>
          <w:sz w:val="30"/>
          <w:szCs w:val="30"/>
        </w:rPr>
        <w:t>100%</w:t>
      </w:r>
      <w:r>
        <w:rPr>
          <w:rFonts w:hint="eastAsia" w:ascii="仿宋" w:hAnsi="仿宋" w:eastAsia="仿宋"/>
          <w:sz w:val="30"/>
          <w:szCs w:val="30"/>
        </w:rPr>
        <w:t>。</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经费支出决算数等预算数。</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经费支出决算数比</w:t>
      </w:r>
      <w:r>
        <w:rPr>
          <w:rFonts w:hint="eastAsia" w:ascii="仿宋" w:hAnsi="Times New Roman" w:eastAsia="仿宋"/>
          <w:sz w:val="30"/>
          <w:szCs w:val="30"/>
        </w:rPr>
        <w:t>2018</w:t>
      </w:r>
      <w:r>
        <w:rPr>
          <w:rFonts w:hint="eastAsia" w:ascii="仿宋" w:hAnsi="仿宋" w:eastAsia="仿宋"/>
          <w:sz w:val="30"/>
          <w:szCs w:val="30"/>
        </w:rPr>
        <w:t>年减少</w:t>
      </w:r>
      <w:r>
        <w:rPr>
          <w:rFonts w:hint="eastAsia" w:ascii="仿宋" w:hAnsi="Times New Roman" w:eastAsia="仿宋"/>
          <w:sz w:val="30"/>
          <w:szCs w:val="30"/>
        </w:rPr>
        <w:t>0.02</w:t>
      </w:r>
      <w:r>
        <w:rPr>
          <w:rFonts w:hint="eastAsia" w:ascii="仿宋" w:hAnsi="仿宋" w:eastAsia="仿宋"/>
          <w:sz w:val="30"/>
          <w:szCs w:val="30"/>
        </w:rPr>
        <w:t>万元，下降-</w:t>
      </w:r>
      <w:r>
        <w:rPr>
          <w:rFonts w:hint="eastAsia" w:ascii="仿宋" w:hAnsi="Times New Roman" w:eastAsia="仿宋"/>
          <w:sz w:val="30"/>
          <w:szCs w:val="30"/>
        </w:rPr>
        <w:t>0.14%</w:t>
      </w:r>
      <w:r>
        <w:rPr>
          <w:rFonts w:hint="eastAsia" w:ascii="仿宋" w:hAnsi="仿宋" w:eastAsia="仿宋"/>
          <w:sz w:val="30"/>
          <w:szCs w:val="30"/>
        </w:rPr>
        <w:t>。其中：因公出国（境）费支出决算</w:t>
      </w:r>
      <w:r>
        <w:rPr>
          <w:rFonts w:hint="eastAsia" w:ascii="仿宋" w:hAnsi="Times New Roman" w:eastAsia="仿宋"/>
          <w:sz w:val="30"/>
          <w:szCs w:val="30"/>
        </w:rPr>
        <w:t>0.00</w:t>
      </w:r>
      <w:r>
        <w:rPr>
          <w:rFonts w:hint="eastAsia" w:ascii="仿宋" w:hAnsi="仿宋" w:eastAsia="仿宋"/>
          <w:sz w:val="30"/>
          <w:szCs w:val="30"/>
        </w:rPr>
        <w:t>万元；公务用车购置及运行费支出决算增加</w:t>
      </w:r>
      <w:r>
        <w:rPr>
          <w:rFonts w:hint="eastAsia" w:ascii="仿宋" w:hAnsi="Times New Roman" w:eastAsia="仿宋"/>
          <w:sz w:val="30"/>
          <w:szCs w:val="30"/>
        </w:rPr>
        <w:t>0.00</w:t>
      </w:r>
      <w:r>
        <w:rPr>
          <w:rFonts w:hint="eastAsia" w:ascii="仿宋" w:hAnsi="仿宋" w:eastAsia="仿宋"/>
          <w:sz w:val="30"/>
          <w:szCs w:val="30"/>
        </w:rPr>
        <w:t>万元，增长</w:t>
      </w:r>
      <w:r>
        <w:rPr>
          <w:rFonts w:hint="eastAsia" w:ascii="仿宋" w:hAnsi="Times New Roman" w:eastAsia="仿宋"/>
          <w:sz w:val="30"/>
          <w:szCs w:val="30"/>
        </w:rPr>
        <w:t>0.00%</w:t>
      </w:r>
      <w:r>
        <w:rPr>
          <w:rFonts w:hint="eastAsia" w:ascii="仿宋" w:hAnsi="仿宋" w:eastAsia="仿宋"/>
          <w:sz w:val="30"/>
          <w:szCs w:val="30"/>
        </w:rPr>
        <w:t>；公务接待费支出决算减少</w:t>
      </w:r>
      <w:r>
        <w:rPr>
          <w:rFonts w:hint="eastAsia" w:ascii="仿宋" w:hAnsi="Times New Roman" w:eastAsia="仿宋"/>
          <w:sz w:val="30"/>
          <w:szCs w:val="30"/>
        </w:rPr>
        <w:t>0.02</w:t>
      </w:r>
      <w:r>
        <w:rPr>
          <w:rFonts w:hint="eastAsia" w:ascii="仿宋" w:hAnsi="仿宋" w:eastAsia="仿宋"/>
          <w:sz w:val="30"/>
          <w:szCs w:val="30"/>
        </w:rPr>
        <w:t>万元，下降</w:t>
      </w:r>
      <w:r>
        <w:rPr>
          <w:rFonts w:hint="eastAsia" w:ascii="仿宋" w:hAnsi="Times New Roman" w:eastAsia="仿宋"/>
          <w:sz w:val="30"/>
          <w:szCs w:val="30"/>
        </w:rPr>
        <w:t>0.28%</w:t>
      </w:r>
      <w:r>
        <w:rPr>
          <w:rFonts w:hint="eastAsia" w:ascii="仿宋" w:hAnsi="仿宋" w:eastAsia="仿宋"/>
          <w:sz w:val="30"/>
          <w:szCs w:val="30"/>
        </w:rPr>
        <w:t>。</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经费支出决算减少的主要原因执行中央八项规定，公车改革。</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Times New Roman" w:eastAsia="楷体"/>
          <w:sz w:val="30"/>
          <w:szCs w:val="30"/>
        </w:rPr>
        <w:t>(</w:t>
      </w:r>
      <w:r>
        <w:rPr>
          <w:rFonts w:hint="eastAsia" w:ascii="楷体" w:hAnsi="楷体" w:eastAsia="楷体"/>
          <w:sz w:val="30"/>
          <w:szCs w:val="30"/>
        </w:rPr>
        <w:t>二</w:t>
      </w:r>
      <w:r>
        <w:rPr>
          <w:rFonts w:hint="eastAsia" w:ascii="楷体" w:hAnsi="Times New Roman" w:eastAsia="楷体"/>
          <w:sz w:val="30"/>
          <w:szCs w:val="30"/>
        </w:rPr>
        <w:t>)</w:t>
      </w:r>
      <w:r>
        <w:rPr>
          <w:rFonts w:hint="eastAsia" w:ascii="楷体" w:hAnsi="楷体" w:eastAsia="楷体"/>
          <w:sz w:val="30"/>
          <w:szCs w:val="30"/>
        </w:rPr>
        <w:t>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经费支出决算具体情况</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经费支出决算中，因公出国（境）费支出</w:t>
      </w:r>
      <w:r>
        <w:rPr>
          <w:rFonts w:hint="eastAsia" w:ascii="仿宋" w:hAnsi="Times New Roman" w:eastAsia="仿宋"/>
          <w:sz w:val="30"/>
          <w:szCs w:val="30"/>
        </w:rPr>
        <w:t>0.00</w:t>
      </w:r>
      <w:r>
        <w:rPr>
          <w:rFonts w:hint="eastAsia" w:ascii="仿宋" w:hAnsi="仿宋" w:eastAsia="仿宋"/>
          <w:sz w:val="30"/>
          <w:szCs w:val="30"/>
        </w:rPr>
        <w:t>万元，占</w:t>
      </w:r>
      <w:r>
        <w:rPr>
          <w:rFonts w:hint="eastAsia" w:ascii="仿宋" w:hAnsi="Times New Roman" w:eastAsia="仿宋"/>
          <w:sz w:val="30"/>
          <w:szCs w:val="30"/>
        </w:rPr>
        <w:t>0.00%</w:t>
      </w:r>
      <w:r>
        <w:rPr>
          <w:rFonts w:hint="eastAsia" w:ascii="仿宋" w:hAnsi="仿宋" w:eastAsia="仿宋"/>
          <w:sz w:val="30"/>
          <w:szCs w:val="30"/>
        </w:rPr>
        <w:t>；公务用车购置及运行维护费支出</w:t>
      </w:r>
      <w:r>
        <w:rPr>
          <w:rFonts w:hint="eastAsia" w:ascii="仿宋" w:hAnsi="Times New Roman" w:eastAsia="仿宋"/>
          <w:sz w:val="30"/>
          <w:szCs w:val="30"/>
        </w:rPr>
        <w:t>7.50</w:t>
      </w:r>
      <w:r>
        <w:rPr>
          <w:rFonts w:hint="eastAsia" w:ascii="仿宋" w:hAnsi="仿宋" w:eastAsia="仿宋"/>
          <w:sz w:val="30"/>
          <w:szCs w:val="30"/>
        </w:rPr>
        <w:t>万元，占</w:t>
      </w:r>
      <w:r>
        <w:rPr>
          <w:rFonts w:hint="eastAsia" w:ascii="仿宋" w:hAnsi="Times New Roman" w:eastAsia="仿宋"/>
          <w:sz w:val="30"/>
          <w:szCs w:val="30"/>
        </w:rPr>
        <w:t>51.72%</w:t>
      </w:r>
      <w:r>
        <w:rPr>
          <w:rFonts w:hint="eastAsia" w:ascii="仿宋" w:hAnsi="仿宋" w:eastAsia="仿宋"/>
          <w:sz w:val="30"/>
          <w:szCs w:val="30"/>
        </w:rPr>
        <w:t>；公务接待费支出</w:t>
      </w:r>
      <w:r>
        <w:rPr>
          <w:rFonts w:hint="eastAsia" w:ascii="仿宋" w:hAnsi="Times New Roman" w:eastAsia="仿宋"/>
          <w:sz w:val="30"/>
          <w:szCs w:val="30"/>
        </w:rPr>
        <w:t>7.00</w:t>
      </w:r>
      <w:r>
        <w:rPr>
          <w:rFonts w:hint="eastAsia" w:ascii="仿宋" w:hAnsi="仿宋" w:eastAsia="仿宋"/>
          <w:sz w:val="30"/>
          <w:szCs w:val="30"/>
        </w:rPr>
        <w:t>万元，占</w:t>
      </w:r>
      <w:r>
        <w:rPr>
          <w:rFonts w:hint="eastAsia" w:ascii="仿宋" w:hAnsi="Times New Roman" w:eastAsia="仿宋"/>
          <w:sz w:val="30"/>
          <w:szCs w:val="30"/>
        </w:rPr>
        <w:t>48.28%</w:t>
      </w:r>
      <w:r>
        <w:rPr>
          <w:rFonts w:hint="eastAsia" w:ascii="仿宋" w:hAnsi="仿宋" w:eastAsia="仿宋"/>
          <w:sz w:val="30"/>
          <w:szCs w:val="30"/>
        </w:rPr>
        <w:t>。具体情况如下：</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Times New Roman" w:eastAsia="仿宋"/>
          <w:b/>
          <w:bCs/>
          <w:sz w:val="30"/>
          <w:szCs w:val="30"/>
        </w:rPr>
        <w:t>1.</w:t>
      </w:r>
      <w:r>
        <w:rPr>
          <w:rFonts w:hint="eastAsia" w:ascii="仿宋" w:hAnsi="仿宋" w:eastAsia="仿宋"/>
          <w:b/>
          <w:bCs/>
          <w:sz w:val="30"/>
          <w:szCs w:val="30"/>
        </w:rPr>
        <w:t>因公出国（境）费</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万元，共安排因公出国（境）团组</w:t>
      </w:r>
      <w:r>
        <w:rPr>
          <w:rFonts w:hint="eastAsia" w:ascii="仿宋" w:hAnsi="Times New Roman" w:eastAsia="仿宋"/>
          <w:sz w:val="30"/>
          <w:szCs w:val="30"/>
        </w:rPr>
        <w:t>0</w:t>
      </w:r>
      <w:r>
        <w:rPr>
          <w:rFonts w:hint="eastAsia" w:ascii="仿宋" w:hAnsi="仿宋" w:eastAsia="仿宋"/>
          <w:sz w:val="30"/>
          <w:szCs w:val="30"/>
        </w:rPr>
        <w:t>个，累计</w:t>
      </w:r>
      <w:r>
        <w:rPr>
          <w:rFonts w:hint="eastAsia" w:ascii="仿宋" w:hAnsi="Times New Roman" w:eastAsia="仿宋"/>
          <w:sz w:val="30"/>
          <w:szCs w:val="30"/>
        </w:rPr>
        <w:t>0</w:t>
      </w:r>
      <w:r>
        <w:rPr>
          <w:rFonts w:hint="eastAsia" w:ascii="仿宋" w:hAnsi="仿宋" w:eastAsia="仿宋"/>
          <w:sz w:val="30"/>
          <w:szCs w:val="30"/>
        </w:rPr>
        <w:t>人次。</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Times New Roman" w:eastAsia="仿宋"/>
          <w:b/>
          <w:bCs/>
          <w:sz w:val="30"/>
          <w:szCs w:val="30"/>
        </w:rPr>
        <w:t>2.</w:t>
      </w:r>
      <w:r>
        <w:rPr>
          <w:rFonts w:hint="eastAsia" w:ascii="仿宋" w:hAnsi="仿宋" w:eastAsia="仿宋"/>
          <w:b/>
          <w:bCs/>
          <w:sz w:val="30"/>
          <w:szCs w:val="30"/>
        </w:rPr>
        <w:t>公务用车购置及运行维护费</w:t>
      </w:r>
      <w:r>
        <w:rPr>
          <w:rFonts w:hint="eastAsia" w:ascii="仿宋" w:hAnsi="仿宋" w:eastAsia="仿宋"/>
          <w:sz w:val="30"/>
          <w:szCs w:val="30"/>
        </w:rPr>
        <w:t>支出</w:t>
      </w:r>
      <w:r>
        <w:rPr>
          <w:rFonts w:hint="eastAsia" w:ascii="仿宋" w:hAnsi="Times New Roman" w:eastAsia="仿宋"/>
          <w:sz w:val="30"/>
          <w:szCs w:val="30"/>
        </w:rPr>
        <w:t>7.50</w:t>
      </w:r>
      <w:r>
        <w:rPr>
          <w:rFonts w:hint="eastAsia" w:ascii="仿宋" w:hAnsi="仿宋" w:eastAsia="仿宋"/>
          <w:sz w:val="30"/>
          <w:szCs w:val="30"/>
        </w:rPr>
        <w:t>万元。其中：</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rPr>
        <w:t>公务用车购置</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万元，购置车辆</w:t>
      </w:r>
      <w:r>
        <w:rPr>
          <w:rFonts w:hint="eastAsia" w:ascii="仿宋" w:hAnsi="Times New Roman" w:eastAsia="仿宋"/>
          <w:sz w:val="30"/>
          <w:szCs w:val="30"/>
        </w:rPr>
        <w:t>0</w:t>
      </w:r>
      <w:r>
        <w:rPr>
          <w:rFonts w:hint="eastAsia" w:ascii="仿宋" w:hAnsi="仿宋" w:eastAsia="仿宋"/>
          <w:sz w:val="30"/>
          <w:szCs w:val="30"/>
        </w:rPr>
        <w:t>辆。</w:t>
      </w:r>
    </w:p>
    <w:p>
      <w:pPr>
        <w:adjustRightInd w:val="0"/>
        <w:spacing w:before="100" w:beforeAutospacing="1" w:after="100" w:afterAutospacing="1" w:line="590" w:lineRule="exact"/>
        <w:ind w:firstLine="602" w:firstLineChars="200"/>
        <w:jc w:val="both"/>
        <w:rPr>
          <w:rFonts w:ascii="Times New Roman" w:hAnsi="Times New Roman" w:eastAsia="仿宋" w:cs="Times New Roman"/>
          <w:sz w:val="30"/>
          <w:szCs w:val="30"/>
        </w:rPr>
      </w:pPr>
      <w:r>
        <w:rPr>
          <w:rFonts w:hint="eastAsia" w:ascii="仿宋" w:hAnsi="仿宋" w:eastAsia="仿宋"/>
          <w:b/>
          <w:bCs/>
          <w:sz w:val="30"/>
          <w:szCs w:val="30"/>
        </w:rPr>
        <w:t>公务用车运行维护</w:t>
      </w:r>
      <w:r>
        <w:rPr>
          <w:rFonts w:hint="eastAsia" w:ascii="仿宋" w:hAnsi="仿宋" w:eastAsia="仿宋"/>
          <w:sz w:val="30"/>
          <w:szCs w:val="30"/>
        </w:rPr>
        <w:t>支出</w:t>
      </w:r>
      <w:r>
        <w:rPr>
          <w:rFonts w:hint="eastAsia" w:ascii="仿宋" w:hAnsi="Times New Roman" w:eastAsia="仿宋"/>
          <w:sz w:val="30"/>
          <w:szCs w:val="30"/>
        </w:rPr>
        <w:t>7.50</w:t>
      </w:r>
      <w:r>
        <w:rPr>
          <w:rFonts w:hint="eastAsia" w:ascii="仿宋" w:hAnsi="仿宋" w:eastAsia="仿宋"/>
          <w:sz w:val="30"/>
          <w:szCs w:val="30"/>
        </w:rPr>
        <w:t>万元，开支财政拨款的公务用车保有量为</w:t>
      </w:r>
      <w:r>
        <w:rPr>
          <w:rFonts w:hint="eastAsia" w:ascii="仿宋" w:hAnsi="Times New Roman" w:eastAsia="仿宋"/>
          <w:sz w:val="30"/>
          <w:szCs w:val="30"/>
        </w:rPr>
        <w:t>5</w:t>
      </w:r>
      <w:r>
        <w:rPr>
          <w:rFonts w:hint="eastAsia" w:ascii="仿宋" w:hAnsi="仿宋" w:eastAsia="仿宋"/>
          <w:sz w:val="30"/>
          <w:szCs w:val="30"/>
        </w:rPr>
        <w:t>辆。主要用于开展业务所需车辆燃料费、维修费、过路过桥费、保险费等。</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Times New Roman" w:eastAsia="仿宋"/>
          <w:b/>
          <w:bCs/>
          <w:sz w:val="30"/>
          <w:szCs w:val="30"/>
        </w:rPr>
        <w:t>3.</w:t>
      </w:r>
      <w:r>
        <w:rPr>
          <w:rFonts w:hint="eastAsia" w:ascii="仿宋" w:hAnsi="仿宋" w:eastAsia="仿宋"/>
          <w:b/>
          <w:bCs/>
          <w:sz w:val="30"/>
          <w:szCs w:val="30"/>
        </w:rPr>
        <w:t>公务接待费</w:t>
      </w:r>
      <w:r>
        <w:rPr>
          <w:rFonts w:hint="eastAsia" w:ascii="仿宋" w:hAnsi="仿宋" w:eastAsia="仿宋"/>
          <w:sz w:val="30"/>
          <w:szCs w:val="30"/>
        </w:rPr>
        <w:t>支出</w:t>
      </w:r>
      <w:r>
        <w:rPr>
          <w:rFonts w:hint="eastAsia" w:ascii="仿宋" w:hAnsi="Times New Roman" w:eastAsia="仿宋"/>
          <w:sz w:val="30"/>
          <w:szCs w:val="30"/>
        </w:rPr>
        <w:t>7.00</w:t>
      </w:r>
      <w:r>
        <w:rPr>
          <w:rFonts w:hint="eastAsia" w:ascii="仿宋" w:hAnsi="仿宋" w:eastAsia="仿宋"/>
          <w:sz w:val="30"/>
          <w:szCs w:val="30"/>
        </w:rPr>
        <w:t>万元。其中：</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rPr>
        <w:t>国内接待费</w:t>
      </w:r>
      <w:r>
        <w:rPr>
          <w:rFonts w:hint="eastAsia" w:ascii="仿宋" w:hAnsi="仿宋" w:eastAsia="仿宋"/>
          <w:sz w:val="30"/>
          <w:szCs w:val="30"/>
        </w:rPr>
        <w:t>支出</w:t>
      </w:r>
      <w:r>
        <w:rPr>
          <w:rFonts w:hint="eastAsia" w:ascii="仿宋" w:hAnsi="Times New Roman" w:eastAsia="仿宋"/>
          <w:sz w:val="30"/>
          <w:szCs w:val="30"/>
        </w:rPr>
        <w:t>7.00</w:t>
      </w:r>
      <w:r>
        <w:rPr>
          <w:rFonts w:hint="eastAsia" w:ascii="仿宋" w:hAnsi="仿宋" w:eastAsia="仿宋"/>
          <w:sz w:val="30"/>
          <w:szCs w:val="30"/>
        </w:rPr>
        <w:t>万元（其中：外事接待费支出</w:t>
      </w:r>
      <w:r>
        <w:rPr>
          <w:rFonts w:hint="eastAsia" w:ascii="仿宋" w:hAnsi="Times New Roman" w:eastAsia="仿宋"/>
          <w:sz w:val="30"/>
          <w:szCs w:val="30"/>
        </w:rPr>
        <w:t>0.00</w:t>
      </w:r>
      <w:r>
        <w:rPr>
          <w:rFonts w:hint="eastAsia" w:ascii="仿宋" w:hAnsi="仿宋" w:eastAsia="仿宋"/>
          <w:sz w:val="30"/>
          <w:szCs w:val="30"/>
        </w:rPr>
        <w:t>万元），共安排国内公务接待</w:t>
      </w:r>
      <w:r>
        <w:rPr>
          <w:rFonts w:hint="eastAsia" w:ascii="仿宋" w:hAnsi="Times New Roman" w:eastAsia="仿宋"/>
          <w:sz w:val="30"/>
          <w:szCs w:val="30"/>
        </w:rPr>
        <w:t>32</w:t>
      </w:r>
      <w:r>
        <w:rPr>
          <w:rFonts w:hint="eastAsia" w:ascii="仿宋" w:hAnsi="仿宋" w:eastAsia="仿宋"/>
          <w:sz w:val="30"/>
          <w:szCs w:val="30"/>
        </w:rPr>
        <w:t>批次（其中：外事接待</w:t>
      </w:r>
      <w:r>
        <w:rPr>
          <w:rFonts w:hint="eastAsia" w:ascii="仿宋" w:hAnsi="Times New Roman" w:eastAsia="仿宋"/>
          <w:sz w:val="30"/>
          <w:szCs w:val="30"/>
        </w:rPr>
        <w:t>0</w:t>
      </w:r>
      <w:r>
        <w:rPr>
          <w:rFonts w:hint="eastAsia" w:ascii="仿宋" w:hAnsi="仿宋" w:eastAsia="仿宋"/>
          <w:sz w:val="30"/>
          <w:szCs w:val="30"/>
        </w:rPr>
        <w:t>批次），接待人次</w:t>
      </w:r>
      <w:r>
        <w:rPr>
          <w:rFonts w:hint="eastAsia" w:ascii="仿宋" w:hAnsi="Times New Roman" w:eastAsia="仿宋"/>
          <w:sz w:val="30"/>
          <w:szCs w:val="30"/>
        </w:rPr>
        <w:t>716</w:t>
      </w:r>
      <w:r>
        <w:rPr>
          <w:rFonts w:hint="eastAsia" w:ascii="仿宋" w:hAnsi="仿宋" w:eastAsia="仿宋"/>
          <w:sz w:val="30"/>
          <w:szCs w:val="30"/>
        </w:rPr>
        <w:t>人（其中：外事接待人次</w:t>
      </w:r>
      <w:r>
        <w:rPr>
          <w:rFonts w:hint="eastAsia" w:ascii="仿宋" w:hAnsi="Times New Roman" w:eastAsia="仿宋"/>
          <w:sz w:val="30"/>
          <w:szCs w:val="30"/>
        </w:rPr>
        <w:t>0</w:t>
      </w:r>
      <w:r>
        <w:rPr>
          <w:rFonts w:hint="eastAsia" w:ascii="仿宋" w:hAnsi="仿宋" w:eastAsia="仿宋"/>
          <w:sz w:val="30"/>
          <w:szCs w:val="30"/>
        </w:rPr>
        <w:t>人）。主要用于街道培训社区人员发生的接待支出。</w:t>
      </w:r>
    </w:p>
    <w:p>
      <w:pPr>
        <w:adjustRightInd w:val="0"/>
        <w:spacing w:before="100" w:beforeAutospacing="1" w:after="100" w:afterAutospacing="1" w:line="590" w:lineRule="exact"/>
        <w:ind w:firstLine="602" w:firstLineChars="200"/>
      </w:pPr>
      <w:r>
        <w:rPr>
          <w:rFonts w:hint="eastAsia" w:ascii="仿宋" w:hAnsi="仿宋" w:eastAsia="仿宋" w:cs="仿宋"/>
          <w:b/>
          <w:bCs/>
          <w:sz w:val="30"/>
          <w:szCs w:val="30"/>
        </w:rPr>
        <w:t>国（境）外接待费</w:t>
      </w:r>
      <w:r>
        <w:rPr>
          <w:rFonts w:hint="eastAsia" w:ascii="仿宋" w:hAnsi="仿宋" w:eastAsia="仿宋" w:cs="仿宋"/>
          <w:sz w:val="30"/>
          <w:szCs w:val="30"/>
        </w:rPr>
        <w:t>支出0.00万元，共安排国（境）外公务接待0批次，接待人次0人。</w:t>
      </w:r>
    </w:p>
    <w:p>
      <w:pPr>
        <w:adjustRightInd w:val="0"/>
        <w:spacing w:before="100" w:beforeAutospacing="1" w:after="100" w:afterAutospacing="1" w:line="590" w:lineRule="exact"/>
        <w:ind w:firstLine="640"/>
        <w:jc w:val="center"/>
        <w:rPr>
          <w:rFonts w:ascii="Times New Roman" w:hAnsi="Times New Roman" w:eastAsia="黑体" w:cs="Times New Roman"/>
          <w:sz w:val="32"/>
          <w:szCs w:val="32"/>
        </w:rPr>
      </w:pPr>
      <w:r>
        <w:rPr>
          <w:rFonts w:hint="eastAsia" w:ascii="黑体" w:hAnsi="黑体" w:eastAsia="黑体"/>
          <w:sz w:val="32"/>
          <w:szCs w:val="32"/>
        </w:rPr>
        <w:t>第四部分</w:t>
      </w:r>
      <w:r>
        <w:rPr>
          <w:rFonts w:hint="eastAsia" w:ascii="黑体" w:hAnsi="Times New Roman" w:eastAsia="黑体"/>
          <w:sz w:val="32"/>
          <w:szCs w:val="32"/>
        </w:rPr>
        <w:t xml:space="preserve">  </w:t>
      </w:r>
      <w:r>
        <w:rPr>
          <w:rFonts w:hint="eastAsia" w:ascii="黑体" w:hAnsi="黑体" w:eastAsia="黑体"/>
          <w:sz w:val="32"/>
          <w:szCs w:val="32"/>
        </w:rPr>
        <w:t>其他重要事项及相关口径情况说明</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一、机关运行经费支出情况</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仿宋" w:eastAsia="仿宋"/>
          <w:sz w:val="30"/>
          <w:szCs w:val="30"/>
        </w:rPr>
        <w:t>玉溪市澄江县龙街街道办事处</w:t>
      </w:r>
      <w:r>
        <w:rPr>
          <w:rFonts w:hint="eastAsia" w:ascii="仿宋" w:hAnsi="Times New Roman" w:eastAsia="仿宋"/>
          <w:sz w:val="30"/>
          <w:szCs w:val="30"/>
        </w:rPr>
        <w:t>2019</w:t>
      </w:r>
      <w:r>
        <w:rPr>
          <w:rFonts w:hint="eastAsia" w:ascii="仿宋" w:hAnsi="仿宋" w:eastAsia="仿宋"/>
          <w:sz w:val="30"/>
          <w:szCs w:val="30"/>
        </w:rPr>
        <w:t>年机关运行经费支出</w:t>
      </w:r>
      <w:r>
        <w:rPr>
          <w:rFonts w:hint="eastAsia" w:ascii="仿宋" w:hAnsi="Times New Roman" w:eastAsia="仿宋"/>
          <w:sz w:val="30"/>
          <w:szCs w:val="30"/>
        </w:rPr>
        <w:t>462.79</w:t>
      </w:r>
      <w:r>
        <w:rPr>
          <w:rFonts w:hint="eastAsia" w:ascii="仿宋" w:hAnsi="仿宋" w:eastAsia="仿宋"/>
          <w:sz w:val="30"/>
          <w:szCs w:val="30"/>
        </w:rPr>
        <w:t>万元，与上年的347.12万元对比增加115.67万元，主要原因分析购置办公用品。部门机关运行经费主要用于购置办公用品，保障机构正常运转。</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二、国有资产占用情况</w:t>
      </w:r>
    </w:p>
    <w:p>
      <w:pPr>
        <w:adjustRightInd w:val="0"/>
        <w:spacing w:before="100" w:beforeAutospacing="1" w:after="100" w:afterAutospacing="1" w:line="590" w:lineRule="exact"/>
        <w:ind w:firstLine="600" w:firstLineChars="200"/>
        <w:jc w:val="both"/>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截至2019年12月31日，玉溪市澄江县龙街街道办事处资产总额22080.17万元，其中，流动资产21518.84万元，固定资产512.56万元，对外投资及有价证券0万元，在建工程0万元，无形资产48.77万元，其他资产0万元（具体内容详见附表）。与上年相比，本年资产总额增加16733.78万元，其中：流动资产增加16748.78万元，固定资产减少13.1万元,对外投资及有价证券增加0万元，在建工程增加0万元，无形资产减少1.9万元，其他资产增加0万元。处置房屋建筑物0平方米，账面原值0万元；处置车辆0辆，账面原值0万元；报废报损资产0项，账面原值0万元，实现资产处置收入0万元；出租房屋0平方米，账面原值0万元，实现资产使用收入0万元。</w:t>
      </w:r>
    </w:p>
    <w:tbl>
      <w:tblPr>
        <w:tblStyle w:val="6"/>
        <w:tblW w:w="8552" w:type="dxa"/>
        <w:jc w:val="center"/>
        <w:tblLayout w:type="fixed"/>
        <w:tblCellMar>
          <w:top w:w="0" w:type="dxa"/>
          <w:left w:w="0" w:type="dxa"/>
          <w:bottom w:w="0" w:type="dxa"/>
          <w:right w:w="0" w:type="dxa"/>
        </w:tblCellMar>
      </w:tblPr>
      <w:tblGrid>
        <w:gridCol w:w="260"/>
        <w:gridCol w:w="247"/>
        <w:gridCol w:w="830"/>
        <w:gridCol w:w="990"/>
        <w:gridCol w:w="870"/>
        <w:gridCol w:w="753"/>
        <w:gridCol w:w="750"/>
        <w:gridCol w:w="528"/>
        <w:gridCol w:w="499"/>
        <w:gridCol w:w="394"/>
        <w:gridCol w:w="448"/>
        <w:gridCol w:w="423"/>
        <w:gridCol w:w="990"/>
        <w:gridCol w:w="90"/>
        <w:gridCol w:w="150"/>
        <w:gridCol w:w="90"/>
        <w:gridCol w:w="150"/>
        <w:gridCol w:w="90"/>
      </w:tblGrid>
      <w:tr>
        <w:tblPrEx>
          <w:tblCellMar>
            <w:top w:w="0" w:type="dxa"/>
            <w:left w:w="0" w:type="dxa"/>
            <w:bottom w:w="0" w:type="dxa"/>
            <w:right w:w="0" w:type="dxa"/>
          </w:tblCellMar>
        </w:tblPrEx>
        <w:trPr>
          <w:gridAfter w:val="1"/>
          <w:wAfter w:w="90" w:type="dxa"/>
          <w:trHeight w:val="287" w:hRule="atLeast"/>
          <w:jc w:val="center"/>
        </w:trPr>
        <w:tc>
          <w:tcPr>
            <w:tcW w:w="7982" w:type="dxa"/>
            <w:gridSpan w:val="13"/>
            <w:shd w:val="clear" w:color="auto" w:fill="FFFFFF"/>
            <w:tcMar>
              <w:top w:w="15" w:type="dxa"/>
              <w:left w:w="15" w:type="dxa"/>
              <w:bottom w:w="15" w:type="dxa"/>
              <w:right w:w="15" w:type="dxa"/>
            </w:tcMar>
            <w:vAlign w:val="center"/>
          </w:tcPr>
          <w:p>
            <w:pPr>
              <w:spacing w:before="100" w:beforeAutospacing="1" w:after="100" w:afterAutospacing="1"/>
              <w:jc w:val="center"/>
              <w:rPr>
                <w:rFonts w:ascii="仿宋_GB2312"/>
                <w:b/>
                <w:bCs/>
                <w:color w:val="000000" w:themeColor="text1"/>
                <w:sz w:val="30"/>
                <w:szCs w:val="30"/>
              </w:rPr>
            </w:pPr>
            <w:r>
              <w:rPr>
                <w:rFonts w:hint="eastAsia" w:ascii="仿宋_GB2312"/>
                <w:b/>
                <w:bCs/>
                <w:color w:val="000000" w:themeColor="text1"/>
                <w:sz w:val="30"/>
                <w:szCs w:val="30"/>
              </w:rPr>
              <w:t>国有资产占有使用情况表</w:t>
            </w:r>
          </w:p>
        </w:tc>
        <w:tc>
          <w:tcPr>
            <w:tcW w:w="480" w:type="dxa"/>
            <w:gridSpan w:val="4"/>
            <w:vAlign w:val="center"/>
          </w:tcPr>
          <w:p>
            <w:pPr>
              <w:spacing w:before="100" w:beforeAutospacing="1" w:after="100" w:afterAutospacing="1"/>
              <w:rPr>
                <w:color w:val="000000" w:themeColor="text1"/>
              </w:rPr>
            </w:pPr>
            <w:r>
              <w:rPr>
                <w:rFonts w:hint="eastAsia"/>
                <w:color w:val="000000" w:themeColor="text1"/>
              </w:rPr>
              <w:t> </w:t>
            </w:r>
          </w:p>
        </w:tc>
      </w:tr>
      <w:tr>
        <w:tblPrEx>
          <w:tblCellMar>
            <w:top w:w="0" w:type="dxa"/>
            <w:left w:w="0" w:type="dxa"/>
            <w:bottom w:w="0" w:type="dxa"/>
            <w:right w:w="0" w:type="dxa"/>
          </w:tblCellMar>
        </w:tblPrEx>
        <w:trPr>
          <w:gridAfter w:val="1"/>
          <w:wAfter w:w="90" w:type="dxa"/>
          <w:trHeight w:val="198" w:hRule="atLeast"/>
          <w:jc w:val="center"/>
        </w:trPr>
        <w:tc>
          <w:tcPr>
            <w:tcW w:w="5228" w:type="dxa"/>
            <w:gridSpan w:val="8"/>
            <w:shd w:val="clear" w:color="auto" w:fill="FFFFFF"/>
            <w:vAlign w:val="center"/>
          </w:tcPr>
          <w:p>
            <w:pPr>
              <w:spacing w:before="100" w:beforeAutospacing="1" w:after="100" w:afterAutospacing="1"/>
              <w:rPr>
                <w:color w:val="000000" w:themeColor="text1"/>
                <w:sz w:val="20"/>
                <w:szCs w:val="20"/>
              </w:rPr>
            </w:pPr>
            <w:r>
              <w:rPr>
                <w:rFonts w:hint="eastAsia"/>
                <w:color w:val="000000" w:themeColor="text1"/>
                <w:sz w:val="20"/>
                <w:szCs w:val="20"/>
              </w:rPr>
              <w:t> </w:t>
            </w:r>
          </w:p>
        </w:tc>
        <w:tc>
          <w:tcPr>
            <w:tcW w:w="499" w:type="dxa"/>
            <w:tcBorders>
              <w:top w:val="nil"/>
              <w:left w:val="nil"/>
              <w:bottom w:val="single" w:color="000000" w:sz="4" w:space="0"/>
              <w:right w:val="nil"/>
            </w:tcBorders>
            <w:shd w:val="clear" w:color="auto" w:fill="FFFFFF"/>
            <w:tcMar>
              <w:top w:w="15" w:type="dxa"/>
              <w:left w:w="15" w:type="dxa"/>
              <w:bottom w:w="15" w:type="dxa"/>
              <w:right w:w="15" w:type="dxa"/>
            </w:tcMar>
            <w:vAlign w:val="center"/>
          </w:tcPr>
          <w:p>
            <w:pPr>
              <w:spacing w:before="100" w:beforeAutospacing="1" w:after="100" w:afterAutospacing="1"/>
              <w:rPr>
                <w:color w:val="000000" w:themeColor="text1"/>
                <w:sz w:val="20"/>
                <w:szCs w:val="20"/>
              </w:rPr>
            </w:pPr>
          </w:p>
        </w:tc>
        <w:tc>
          <w:tcPr>
            <w:tcW w:w="2255" w:type="dxa"/>
            <w:gridSpan w:val="4"/>
            <w:tcBorders>
              <w:top w:val="nil"/>
              <w:left w:val="nil"/>
              <w:bottom w:val="single" w:color="000000" w:sz="4" w:space="0"/>
              <w:right w:val="nil"/>
            </w:tcBorders>
            <w:shd w:val="clear" w:color="auto" w:fill="FFFFFF"/>
            <w:tcMar>
              <w:top w:w="15" w:type="dxa"/>
              <w:left w:w="15" w:type="dxa"/>
              <w:bottom w:w="15" w:type="dxa"/>
              <w:right w:w="15" w:type="dxa"/>
            </w:tcMar>
            <w:vAlign w:val="center"/>
          </w:tcPr>
          <w:p>
            <w:pPr>
              <w:spacing w:before="100" w:beforeAutospacing="1" w:after="100" w:afterAutospacing="1"/>
              <w:jc w:val="right"/>
              <w:rPr>
                <w:color w:val="000000" w:themeColor="text1"/>
                <w:sz w:val="20"/>
                <w:szCs w:val="20"/>
              </w:rPr>
            </w:pPr>
            <w:r>
              <w:rPr>
                <w:rFonts w:hint="eastAsia"/>
                <w:color w:val="000000" w:themeColor="text1"/>
                <w:sz w:val="20"/>
                <w:szCs w:val="20"/>
              </w:rPr>
              <w:t>单位：万元</w:t>
            </w:r>
          </w:p>
        </w:tc>
        <w:tc>
          <w:tcPr>
            <w:tcW w:w="480" w:type="dxa"/>
            <w:gridSpan w:val="4"/>
            <w:vAlign w:val="center"/>
          </w:tcPr>
          <w:p>
            <w:pPr>
              <w:spacing w:before="100" w:beforeAutospacing="1" w:after="100" w:afterAutospacing="1"/>
              <w:rPr>
                <w:color w:val="000000" w:themeColor="text1"/>
              </w:rPr>
            </w:pPr>
            <w:r>
              <w:rPr>
                <w:rFonts w:hint="eastAsia"/>
                <w:color w:val="000000" w:themeColor="text1"/>
              </w:rPr>
              <w:t> </w:t>
            </w:r>
          </w:p>
        </w:tc>
      </w:tr>
      <w:tr>
        <w:tblPrEx>
          <w:tblCellMar>
            <w:top w:w="0" w:type="dxa"/>
            <w:left w:w="0" w:type="dxa"/>
            <w:bottom w:w="0" w:type="dxa"/>
            <w:right w:w="0" w:type="dxa"/>
          </w:tblCellMar>
        </w:tblPrEx>
        <w:trPr>
          <w:gridAfter w:val="1"/>
          <w:wAfter w:w="90" w:type="dxa"/>
          <w:trHeight w:val="198" w:hRule="atLeast"/>
          <w:jc w:val="center"/>
        </w:trPr>
        <w:tc>
          <w:tcPr>
            <w:tcW w:w="260" w:type="dxa"/>
            <w:vMerge w:val="restart"/>
            <w:tcBorders>
              <w:top w:val="single" w:color="000000" w:sz="4" w:space="0"/>
              <w:left w:val="single" w:color="000000" w:sz="4" w:space="0"/>
              <w:bottom w:val="single" w:color="000000" w:sz="4" w:space="0"/>
              <w:right w:val="single" w:color="auto" w:sz="4" w:space="0"/>
            </w:tcBorders>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项目</w:t>
            </w:r>
          </w:p>
        </w:tc>
        <w:tc>
          <w:tcPr>
            <w:tcW w:w="247" w:type="dxa"/>
            <w:vMerge w:val="restart"/>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行次</w:t>
            </w:r>
          </w:p>
        </w:tc>
        <w:tc>
          <w:tcPr>
            <w:tcW w:w="830"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资产总额</w:t>
            </w:r>
          </w:p>
        </w:tc>
        <w:tc>
          <w:tcPr>
            <w:tcW w:w="990" w:type="dxa"/>
            <w:vMerge w:val="restart"/>
            <w:tcBorders>
              <w:top w:val="single" w:color="000000" w:sz="4" w:space="0"/>
              <w:left w:val="single" w:color="auto" w:sz="4" w:space="0"/>
              <w:bottom w:val="single" w:color="000000" w:sz="4" w:space="0"/>
              <w:right w:val="single" w:color="000000" w:sz="4" w:space="0"/>
            </w:tcBorders>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流动资产</w:t>
            </w:r>
          </w:p>
        </w:tc>
        <w:tc>
          <w:tcPr>
            <w:tcW w:w="3400" w:type="dxa"/>
            <w:gridSpan w:val="5"/>
            <w:tcBorders>
              <w:top w:val="single" w:color="000000" w:sz="4" w:space="0"/>
              <w:left w:val="nil"/>
              <w:bottom w:val="single" w:color="000000" w:sz="4" w:space="0"/>
              <w:right w:val="single" w:color="000000" w:sz="4" w:space="0"/>
            </w:tcBorders>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固定资产</w:t>
            </w:r>
          </w:p>
        </w:tc>
        <w:tc>
          <w:tcPr>
            <w:tcW w:w="394"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对外投资/有价证券</w:t>
            </w:r>
          </w:p>
        </w:tc>
        <w:tc>
          <w:tcPr>
            <w:tcW w:w="448"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在建工程</w:t>
            </w:r>
          </w:p>
        </w:tc>
        <w:tc>
          <w:tcPr>
            <w:tcW w:w="423"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无形资产</w:t>
            </w:r>
          </w:p>
        </w:tc>
        <w:tc>
          <w:tcPr>
            <w:tcW w:w="99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其他资产</w:t>
            </w:r>
          </w:p>
        </w:tc>
        <w:tc>
          <w:tcPr>
            <w:tcW w:w="240" w:type="dxa"/>
            <w:gridSpan w:val="2"/>
            <w:vAlign w:val="center"/>
          </w:tcPr>
          <w:p>
            <w:pPr>
              <w:spacing w:before="100" w:beforeAutospacing="1" w:after="100" w:afterAutospacing="1"/>
              <w:rPr>
                <w:color w:val="000000" w:themeColor="text1"/>
              </w:rPr>
            </w:pPr>
            <w:r>
              <w:rPr>
                <w:rFonts w:hint="eastAsia"/>
                <w:color w:val="000000" w:themeColor="text1"/>
              </w:rPr>
              <w:t> </w:t>
            </w:r>
          </w:p>
        </w:tc>
        <w:tc>
          <w:tcPr>
            <w:tcW w:w="240" w:type="dxa"/>
            <w:gridSpan w:val="2"/>
            <w:vAlign w:val="center"/>
          </w:tcPr>
          <w:p>
            <w:pPr>
              <w:rPr>
                <w:color w:val="000000" w:themeColor="text1"/>
              </w:rPr>
            </w:pPr>
          </w:p>
        </w:tc>
      </w:tr>
      <w:tr>
        <w:tblPrEx>
          <w:tblCellMar>
            <w:top w:w="0" w:type="dxa"/>
            <w:left w:w="0" w:type="dxa"/>
            <w:bottom w:w="0" w:type="dxa"/>
            <w:right w:w="0" w:type="dxa"/>
          </w:tblCellMar>
        </w:tblPrEx>
        <w:trPr>
          <w:gridAfter w:val="1"/>
          <w:wAfter w:w="90" w:type="dxa"/>
          <w:trHeight w:val="229" w:hRule="atLeast"/>
          <w:jc w:val="center"/>
        </w:trPr>
        <w:tc>
          <w:tcPr>
            <w:tcW w:w="260"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themeColor="text1"/>
                <w:sz w:val="20"/>
                <w:szCs w:val="20"/>
              </w:rPr>
            </w:pPr>
          </w:p>
        </w:tc>
        <w:tc>
          <w:tcPr>
            <w:tcW w:w="247" w:type="dxa"/>
            <w:vMerge w:val="continue"/>
            <w:tcBorders>
              <w:top w:val="single" w:color="auto" w:sz="4" w:space="0"/>
              <w:left w:val="single" w:color="auto" w:sz="4" w:space="0"/>
              <w:bottom w:val="single" w:color="auto" w:sz="4" w:space="0"/>
              <w:right w:val="single" w:color="000000" w:sz="4" w:space="0"/>
            </w:tcBorders>
            <w:vAlign w:val="center"/>
          </w:tcPr>
          <w:p>
            <w:pPr>
              <w:rPr>
                <w:color w:val="000000" w:themeColor="text1"/>
                <w:sz w:val="20"/>
                <w:szCs w:val="20"/>
              </w:rPr>
            </w:pPr>
          </w:p>
        </w:tc>
        <w:tc>
          <w:tcPr>
            <w:tcW w:w="830" w:type="dxa"/>
            <w:vMerge w:val="continue"/>
            <w:tcBorders>
              <w:top w:val="single" w:color="auto" w:sz="4" w:space="0"/>
              <w:left w:val="nil"/>
              <w:bottom w:val="single" w:color="auto" w:sz="4" w:space="0"/>
              <w:right w:val="single" w:color="auto" w:sz="4" w:space="0"/>
            </w:tcBorders>
            <w:vAlign w:val="center"/>
          </w:tcPr>
          <w:p>
            <w:pPr>
              <w:rPr>
                <w:color w:val="000000" w:themeColor="text1"/>
                <w:sz w:val="20"/>
                <w:szCs w:val="20"/>
              </w:rPr>
            </w:pPr>
          </w:p>
        </w:tc>
        <w:tc>
          <w:tcPr>
            <w:tcW w:w="990" w:type="dxa"/>
            <w:vMerge w:val="continue"/>
            <w:tcBorders>
              <w:top w:val="single" w:color="000000" w:sz="4" w:space="0"/>
              <w:left w:val="single" w:color="auto" w:sz="4" w:space="0"/>
              <w:bottom w:val="single" w:color="000000" w:sz="4" w:space="0"/>
              <w:right w:val="single" w:color="000000" w:sz="4" w:space="0"/>
            </w:tcBorders>
            <w:vAlign w:val="center"/>
          </w:tcPr>
          <w:p>
            <w:pPr>
              <w:rPr>
                <w:color w:val="000000" w:themeColor="text1"/>
                <w:sz w:val="20"/>
                <w:szCs w:val="20"/>
              </w:rPr>
            </w:pPr>
          </w:p>
        </w:tc>
        <w:tc>
          <w:tcPr>
            <w:tcW w:w="870"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小计</w:t>
            </w:r>
          </w:p>
        </w:tc>
        <w:tc>
          <w:tcPr>
            <w:tcW w:w="753"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房屋构筑物</w:t>
            </w:r>
          </w:p>
        </w:tc>
        <w:tc>
          <w:tcPr>
            <w:tcW w:w="750"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车辆</w:t>
            </w:r>
          </w:p>
        </w:tc>
        <w:tc>
          <w:tcPr>
            <w:tcW w:w="528"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单价200万以上大型设备</w:t>
            </w:r>
          </w:p>
        </w:tc>
        <w:tc>
          <w:tcPr>
            <w:tcW w:w="499"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其他固定资产</w:t>
            </w:r>
          </w:p>
        </w:tc>
        <w:tc>
          <w:tcPr>
            <w:tcW w:w="394"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448"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423"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990"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240" w:type="dxa"/>
            <w:gridSpan w:val="2"/>
            <w:vAlign w:val="center"/>
          </w:tcPr>
          <w:p>
            <w:pPr>
              <w:spacing w:before="100" w:beforeAutospacing="1" w:after="100" w:afterAutospacing="1"/>
              <w:rPr>
                <w:color w:val="000000" w:themeColor="text1"/>
              </w:rPr>
            </w:pPr>
            <w:r>
              <w:rPr>
                <w:rFonts w:hint="eastAsia"/>
                <w:color w:val="000000" w:themeColor="text1"/>
              </w:rPr>
              <w:t> </w:t>
            </w:r>
          </w:p>
        </w:tc>
        <w:tc>
          <w:tcPr>
            <w:tcW w:w="240" w:type="dxa"/>
            <w:gridSpan w:val="2"/>
            <w:vAlign w:val="center"/>
          </w:tcPr>
          <w:p>
            <w:pPr>
              <w:rPr>
                <w:color w:val="000000" w:themeColor="text1"/>
              </w:rPr>
            </w:pPr>
          </w:p>
        </w:tc>
      </w:tr>
      <w:tr>
        <w:tblPrEx>
          <w:tblCellMar>
            <w:top w:w="0" w:type="dxa"/>
            <w:left w:w="0" w:type="dxa"/>
            <w:bottom w:w="0" w:type="dxa"/>
            <w:right w:w="0" w:type="dxa"/>
          </w:tblCellMar>
        </w:tblPrEx>
        <w:trPr>
          <w:gridAfter w:val="1"/>
          <w:wAfter w:w="90" w:type="dxa"/>
          <w:trHeight w:val="229" w:hRule="atLeast"/>
          <w:jc w:val="center"/>
        </w:trPr>
        <w:tc>
          <w:tcPr>
            <w:tcW w:w="260"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themeColor="text1"/>
                <w:sz w:val="20"/>
                <w:szCs w:val="20"/>
              </w:rPr>
            </w:pPr>
          </w:p>
        </w:tc>
        <w:tc>
          <w:tcPr>
            <w:tcW w:w="247" w:type="dxa"/>
            <w:vMerge w:val="continue"/>
            <w:tcBorders>
              <w:top w:val="single" w:color="auto" w:sz="4" w:space="0"/>
              <w:left w:val="single" w:color="auto" w:sz="4" w:space="0"/>
              <w:bottom w:val="single" w:color="auto" w:sz="4" w:space="0"/>
              <w:right w:val="single" w:color="000000" w:sz="4" w:space="0"/>
            </w:tcBorders>
            <w:vAlign w:val="center"/>
          </w:tcPr>
          <w:p>
            <w:pPr>
              <w:rPr>
                <w:color w:val="000000" w:themeColor="text1"/>
                <w:sz w:val="20"/>
                <w:szCs w:val="20"/>
              </w:rPr>
            </w:pPr>
          </w:p>
        </w:tc>
        <w:tc>
          <w:tcPr>
            <w:tcW w:w="830" w:type="dxa"/>
            <w:vMerge w:val="continue"/>
            <w:tcBorders>
              <w:top w:val="single" w:color="auto" w:sz="4" w:space="0"/>
              <w:left w:val="nil"/>
              <w:bottom w:val="single" w:color="auto" w:sz="4" w:space="0"/>
              <w:right w:val="single" w:color="auto" w:sz="4" w:space="0"/>
            </w:tcBorders>
            <w:vAlign w:val="center"/>
          </w:tcPr>
          <w:p>
            <w:pPr>
              <w:rPr>
                <w:color w:val="000000" w:themeColor="text1"/>
                <w:sz w:val="20"/>
                <w:szCs w:val="20"/>
              </w:rPr>
            </w:pPr>
          </w:p>
        </w:tc>
        <w:tc>
          <w:tcPr>
            <w:tcW w:w="990" w:type="dxa"/>
            <w:vMerge w:val="continue"/>
            <w:tcBorders>
              <w:top w:val="single" w:color="000000" w:sz="4" w:space="0"/>
              <w:left w:val="single" w:color="auto" w:sz="4" w:space="0"/>
              <w:bottom w:val="single" w:color="000000" w:sz="4" w:space="0"/>
              <w:right w:val="single" w:color="000000" w:sz="4" w:space="0"/>
            </w:tcBorders>
            <w:vAlign w:val="center"/>
          </w:tcPr>
          <w:p>
            <w:pPr>
              <w:rPr>
                <w:color w:val="000000" w:themeColor="text1"/>
                <w:sz w:val="20"/>
                <w:szCs w:val="20"/>
              </w:rPr>
            </w:pPr>
          </w:p>
        </w:tc>
        <w:tc>
          <w:tcPr>
            <w:tcW w:w="870" w:type="dxa"/>
            <w:vMerge w:val="continue"/>
            <w:tcBorders>
              <w:top w:val="nil"/>
              <w:left w:val="nil"/>
              <w:bottom w:val="single" w:color="000000" w:sz="4" w:space="0"/>
              <w:right w:val="single" w:color="000000" w:sz="4" w:space="0"/>
            </w:tcBorders>
            <w:vAlign w:val="center"/>
          </w:tcPr>
          <w:p>
            <w:pPr>
              <w:rPr>
                <w:color w:val="000000" w:themeColor="text1"/>
                <w:sz w:val="20"/>
                <w:szCs w:val="20"/>
              </w:rPr>
            </w:pPr>
          </w:p>
        </w:tc>
        <w:tc>
          <w:tcPr>
            <w:tcW w:w="753" w:type="dxa"/>
            <w:vMerge w:val="continue"/>
            <w:tcBorders>
              <w:top w:val="nil"/>
              <w:left w:val="nil"/>
              <w:bottom w:val="single" w:color="000000" w:sz="4" w:space="0"/>
              <w:right w:val="single" w:color="000000" w:sz="4" w:space="0"/>
            </w:tcBorders>
            <w:vAlign w:val="center"/>
          </w:tcPr>
          <w:p>
            <w:pPr>
              <w:rPr>
                <w:color w:val="000000" w:themeColor="text1"/>
                <w:sz w:val="20"/>
                <w:szCs w:val="20"/>
              </w:rPr>
            </w:pPr>
          </w:p>
        </w:tc>
        <w:tc>
          <w:tcPr>
            <w:tcW w:w="750" w:type="dxa"/>
            <w:vMerge w:val="continue"/>
            <w:tcBorders>
              <w:top w:val="nil"/>
              <w:left w:val="nil"/>
              <w:bottom w:val="single" w:color="000000" w:sz="4" w:space="0"/>
              <w:right w:val="single" w:color="000000" w:sz="4" w:space="0"/>
            </w:tcBorders>
            <w:vAlign w:val="center"/>
          </w:tcPr>
          <w:p>
            <w:pPr>
              <w:rPr>
                <w:color w:val="000000" w:themeColor="text1"/>
                <w:sz w:val="20"/>
                <w:szCs w:val="20"/>
              </w:rPr>
            </w:pPr>
          </w:p>
        </w:tc>
        <w:tc>
          <w:tcPr>
            <w:tcW w:w="528" w:type="dxa"/>
            <w:vMerge w:val="continue"/>
            <w:tcBorders>
              <w:top w:val="nil"/>
              <w:left w:val="nil"/>
              <w:bottom w:val="single" w:color="000000" w:sz="4" w:space="0"/>
              <w:right w:val="single" w:color="000000" w:sz="4" w:space="0"/>
            </w:tcBorders>
            <w:vAlign w:val="center"/>
          </w:tcPr>
          <w:p>
            <w:pPr>
              <w:rPr>
                <w:color w:val="000000" w:themeColor="text1"/>
                <w:sz w:val="20"/>
                <w:szCs w:val="20"/>
              </w:rPr>
            </w:pPr>
          </w:p>
        </w:tc>
        <w:tc>
          <w:tcPr>
            <w:tcW w:w="499" w:type="dxa"/>
            <w:vMerge w:val="continue"/>
            <w:tcBorders>
              <w:top w:val="nil"/>
              <w:left w:val="nil"/>
              <w:bottom w:val="single" w:color="000000" w:sz="4" w:space="0"/>
              <w:right w:val="single" w:color="000000" w:sz="4" w:space="0"/>
            </w:tcBorders>
            <w:vAlign w:val="center"/>
          </w:tcPr>
          <w:p>
            <w:pPr>
              <w:rPr>
                <w:color w:val="000000" w:themeColor="text1"/>
                <w:sz w:val="20"/>
                <w:szCs w:val="20"/>
              </w:rPr>
            </w:pPr>
          </w:p>
        </w:tc>
        <w:tc>
          <w:tcPr>
            <w:tcW w:w="394"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448"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423"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990" w:type="dxa"/>
            <w:vMerge w:val="continue"/>
            <w:tcBorders>
              <w:top w:val="single" w:color="000000" w:sz="4" w:space="0"/>
              <w:left w:val="nil"/>
              <w:bottom w:val="single" w:color="000000" w:sz="4" w:space="0"/>
              <w:right w:val="single" w:color="000000" w:sz="4" w:space="0"/>
            </w:tcBorders>
            <w:vAlign w:val="center"/>
          </w:tcPr>
          <w:p>
            <w:pPr>
              <w:rPr>
                <w:color w:val="000000" w:themeColor="text1"/>
                <w:sz w:val="20"/>
                <w:szCs w:val="20"/>
              </w:rPr>
            </w:pPr>
          </w:p>
        </w:tc>
        <w:tc>
          <w:tcPr>
            <w:tcW w:w="240" w:type="dxa"/>
            <w:gridSpan w:val="2"/>
            <w:vAlign w:val="center"/>
          </w:tcPr>
          <w:p>
            <w:pPr>
              <w:spacing w:before="100" w:beforeAutospacing="1" w:after="100" w:afterAutospacing="1"/>
              <w:rPr>
                <w:color w:val="000000" w:themeColor="text1"/>
              </w:rPr>
            </w:pPr>
            <w:r>
              <w:rPr>
                <w:rFonts w:hint="eastAsia"/>
                <w:color w:val="000000" w:themeColor="text1"/>
              </w:rPr>
              <w:t> </w:t>
            </w:r>
          </w:p>
        </w:tc>
        <w:tc>
          <w:tcPr>
            <w:tcW w:w="240" w:type="dxa"/>
            <w:gridSpan w:val="2"/>
            <w:vAlign w:val="center"/>
          </w:tcPr>
          <w:p>
            <w:pPr>
              <w:rPr>
                <w:color w:val="000000" w:themeColor="text1"/>
              </w:rPr>
            </w:pPr>
          </w:p>
        </w:tc>
      </w:tr>
      <w:tr>
        <w:tblPrEx>
          <w:tblCellMar>
            <w:top w:w="0" w:type="dxa"/>
            <w:left w:w="0" w:type="dxa"/>
            <w:bottom w:w="0" w:type="dxa"/>
            <w:right w:w="0" w:type="dxa"/>
          </w:tblCellMar>
        </w:tblPrEx>
        <w:trPr>
          <w:gridAfter w:val="1"/>
          <w:wAfter w:w="90" w:type="dxa"/>
          <w:trHeight w:val="220" w:hRule="atLeast"/>
          <w:jc w:val="center"/>
        </w:trPr>
        <w:tc>
          <w:tcPr>
            <w:tcW w:w="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栏次</w:t>
            </w:r>
          </w:p>
        </w:tc>
        <w:tc>
          <w:tcPr>
            <w:tcW w:w="247"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rPr>
                <w:color w:val="000000" w:themeColor="text1"/>
                <w:sz w:val="20"/>
                <w:szCs w:val="20"/>
              </w:rPr>
            </w:pPr>
            <w:r>
              <w:rPr>
                <w:rFonts w:hint="eastAsia"/>
                <w:color w:val="000000" w:themeColor="text1"/>
                <w:sz w:val="20"/>
                <w:szCs w:val="20"/>
              </w:rPr>
              <w:t> </w:t>
            </w:r>
          </w:p>
        </w:tc>
        <w:tc>
          <w:tcPr>
            <w:tcW w:w="830"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1</w:t>
            </w:r>
          </w:p>
        </w:tc>
        <w:tc>
          <w:tcPr>
            <w:tcW w:w="99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2</w:t>
            </w:r>
          </w:p>
        </w:tc>
        <w:tc>
          <w:tcPr>
            <w:tcW w:w="87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3</w:t>
            </w:r>
          </w:p>
        </w:tc>
        <w:tc>
          <w:tcPr>
            <w:tcW w:w="7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4</w:t>
            </w: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5</w:t>
            </w:r>
          </w:p>
        </w:tc>
        <w:tc>
          <w:tcPr>
            <w:tcW w:w="52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6</w:t>
            </w:r>
          </w:p>
        </w:tc>
        <w:tc>
          <w:tcPr>
            <w:tcW w:w="4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7</w:t>
            </w:r>
          </w:p>
        </w:tc>
        <w:tc>
          <w:tcPr>
            <w:tcW w:w="39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8</w:t>
            </w:r>
          </w:p>
        </w:tc>
        <w:tc>
          <w:tcPr>
            <w:tcW w:w="4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9</w:t>
            </w:r>
          </w:p>
        </w:tc>
        <w:tc>
          <w:tcPr>
            <w:tcW w:w="42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10</w:t>
            </w:r>
          </w:p>
        </w:tc>
        <w:tc>
          <w:tcPr>
            <w:tcW w:w="99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11</w:t>
            </w:r>
          </w:p>
        </w:tc>
        <w:tc>
          <w:tcPr>
            <w:tcW w:w="240" w:type="dxa"/>
            <w:gridSpan w:val="2"/>
            <w:vAlign w:val="center"/>
          </w:tcPr>
          <w:p>
            <w:pPr>
              <w:spacing w:before="100" w:beforeAutospacing="1" w:after="100" w:afterAutospacing="1"/>
              <w:rPr>
                <w:color w:val="000000" w:themeColor="text1"/>
              </w:rPr>
            </w:pPr>
            <w:r>
              <w:rPr>
                <w:rFonts w:hint="eastAsia"/>
                <w:color w:val="000000" w:themeColor="text1"/>
              </w:rPr>
              <w:t> </w:t>
            </w:r>
          </w:p>
        </w:tc>
        <w:tc>
          <w:tcPr>
            <w:tcW w:w="240" w:type="dxa"/>
            <w:gridSpan w:val="2"/>
            <w:vAlign w:val="center"/>
          </w:tcPr>
          <w:p>
            <w:pPr>
              <w:rPr>
                <w:color w:val="000000" w:themeColor="text1"/>
              </w:rPr>
            </w:pPr>
          </w:p>
        </w:tc>
      </w:tr>
      <w:tr>
        <w:tblPrEx>
          <w:tblCellMar>
            <w:top w:w="0" w:type="dxa"/>
            <w:left w:w="0" w:type="dxa"/>
            <w:bottom w:w="0" w:type="dxa"/>
            <w:right w:w="0" w:type="dxa"/>
          </w:tblCellMar>
        </w:tblPrEx>
        <w:trPr>
          <w:gridAfter w:val="1"/>
          <w:wAfter w:w="90" w:type="dxa"/>
          <w:trHeight w:val="242" w:hRule="atLeast"/>
          <w:jc w:val="center"/>
        </w:trPr>
        <w:tc>
          <w:tcPr>
            <w:tcW w:w="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合计</w:t>
            </w:r>
          </w:p>
        </w:tc>
        <w:tc>
          <w:tcPr>
            <w:tcW w:w="2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1</w:t>
            </w:r>
          </w:p>
        </w:tc>
        <w:tc>
          <w:tcPr>
            <w:tcW w:w="8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color w:val="000000" w:themeColor="text1"/>
                <w:sz w:val="20"/>
                <w:szCs w:val="20"/>
              </w:rPr>
            </w:pPr>
            <w:r>
              <w:rPr>
                <w:rFonts w:hint="eastAsia"/>
                <w:color w:val="000000" w:themeColor="text1"/>
                <w:sz w:val="20"/>
                <w:szCs w:val="20"/>
              </w:rPr>
              <w:t>22080.17</w:t>
            </w:r>
          </w:p>
        </w:tc>
        <w:tc>
          <w:tcPr>
            <w:tcW w:w="99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21518.84</w:t>
            </w:r>
          </w:p>
        </w:tc>
        <w:tc>
          <w:tcPr>
            <w:tcW w:w="87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512.56</w:t>
            </w:r>
          </w:p>
        </w:tc>
        <w:tc>
          <w:tcPr>
            <w:tcW w:w="7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307.52</w:t>
            </w: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15.71</w:t>
            </w:r>
          </w:p>
        </w:tc>
        <w:tc>
          <w:tcPr>
            <w:tcW w:w="52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0 </w:t>
            </w:r>
          </w:p>
        </w:tc>
        <w:tc>
          <w:tcPr>
            <w:tcW w:w="4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sz w:val="20"/>
                <w:szCs w:val="20"/>
              </w:rPr>
            </w:pPr>
            <w:r>
              <w:rPr>
                <w:rFonts w:hint="eastAsia"/>
                <w:color w:val="000000" w:themeColor="text1"/>
                <w:sz w:val="20"/>
                <w:szCs w:val="20"/>
              </w:rPr>
              <w:t>189.33</w:t>
            </w:r>
          </w:p>
        </w:tc>
        <w:tc>
          <w:tcPr>
            <w:tcW w:w="39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0</w:t>
            </w:r>
          </w:p>
        </w:tc>
        <w:tc>
          <w:tcPr>
            <w:tcW w:w="4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0</w:t>
            </w:r>
          </w:p>
        </w:tc>
        <w:tc>
          <w:tcPr>
            <w:tcW w:w="42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48.77</w:t>
            </w:r>
          </w:p>
        </w:tc>
        <w:tc>
          <w:tcPr>
            <w:tcW w:w="99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color w:val="000000" w:themeColor="text1"/>
              </w:rPr>
            </w:pPr>
            <w:r>
              <w:rPr>
                <w:rFonts w:hint="eastAsia"/>
                <w:color w:val="000000" w:themeColor="text1"/>
              </w:rPr>
              <w:t>0</w:t>
            </w:r>
          </w:p>
        </w:tc>
        <w:tc>
          <w:tcPr>
            <w:tcW w:w="240" w:type="dxa"/>
            <w:gridSpan w:val="2"/>
            <w:vAlign w:val="center"/>
          </w:tcPr>
          <w:p>
            <w:pPr>
              <w:spacing w:before="100" w:beforeAutospacing="1" w:after="100" w:afterAutospacing="1"/>
              <w:rPr>
                <w:color w:val="000000" w:themeColor="text1"/>
              </w:rPr>
            </w:pPr>
            <w:r>
              <w:rPr>
                <w:rFonts w:hint="eastAsia"/>
                <w:color w:val="000000" w:themeColor="text1"/>
              </w:rPr>
              <w:t> </w:t>
            </w:r>
          </w:p>
        </w:tc>
        <w:tc>
          <w:tcPr>
            <w:tcW w:w="240" w:type="dxa"/>
            <w:gridSpan w:val="2"/>
            <w:vAlign w:val="center"/>
          </w:tcPr>
          <w:p>
            <w:pPr>
              <w:rPr>
                <w:color w:val="000000" w:themeColor="text1"/>
              </w:rPr>
            </w:pPr>
          </w:p>
        </w:tc>
      </w:tr>
      <w:tr>
        <w:tblPrEx>
          <w:tblCellMar>
            <w:top w:w="0" w:type="dxa"/>
            <w:left w:w="0" w:type="dxa"/>
            <w:bottom w:w="0" w:type="dxa"/>
            <w:right w:w="0" w:type="dxa"/>
          </w:tblCellMar>
        </w:tblPrEx>
        <w:trPr>
          <w:gridAfter w:val="1"/>
          <w:wAfter w:w="90" w:type="dxa"/>
          <w:trHeight w:val="176" w:hRule="atLeast"/>
          <w:jc w:val="center"/>
        </w:trPr>
        <w:tc>
          <w:tcPr>
            <w:tcW w:w="6569" w:type="dxa"/>
            <w:gridSpan w:val="11"/>
            <w:vAlign w:val="bottom"/>
          </w:tcPr>
          <w:p>
            <w:pPr>
              <w:spacing w:before="100" w:beforeAutospacing="1" w:after="100" w:afterAutospacing="1"/>
              <w:jc w:val="right"/>
              <w:rPr>
                <w:color w:val="000000" w:themeColor="text1"/>
              </w:rPr>
            </w:pPr>
          </w:p>
        </w:tc>
        <w:tc>
          <w:tcPr>
            <w:tcW w:w="423" w:type="dxa"/>
            <w:tcMar>
              <w:top w:w="15" w:type="dxa"/>
              <w:left w:w="15" w:type="dxa"/>
              <w:bottom w:w="15" w:type="dxa"/>
              <w:right w:w="15" w:type="dxa"/>
            </w:tcMar>
            <w:vAlign w:val="bottom"/>
          </w:tcPr>
          <w:p>
            <w:pPr>
              <w:spacing w:before="100" w:beforeAutospacing="1" w:after="100" w:afterAutospacing="1"/>
              <w:rPr>
                <w:color w:val="000000" w:themeColor="text1"/>
              </w:rPr>
            </w:pPr>
          </w:p>
        </w:tc>
        <w:tc>
          <w:tcPr>
            <w:tcW w:w="990" w:type="dxa"/>
            <w:tcMar>
              <w:top w:w="15" w:type="dxa"/>
              <w:left w:w="15" w:type="dxa"/>
              <w:bottom w:w="15" w:type="dxa"/>
              <w:right w:w="15" w:type="dxa"/>
            </w:tcMar>
            <w:vAlign w:val="bottom"/>
          </w:tcPr>
          <w:p>
            <w:pPr>
              <w:spacing w:before="100" w:beforeAutospacing="1" w:after="100" w:afterAutospacing="1"/>
              <w:rPr>
                <w:color w:val="000000" w:themeColor="text1"/>
              </w:rPr>
            </w:pPr>
          </w:p>
        </w:tc>
        <w:tc>
          <w:tcPr>
            <w:tcW w:w="480" w:type="dxa"/>
            <w:gridSpan w:val="4"/>
            <w:vAlign w:val="center"/>
          </w:tcPr>
          <w:p>
            <w:pPr>
              <w:spacing w:before="100" w:beforeAutospacing="1" w:after="100" w:afterAutospacing="1"/>
              <w:rPr>
                <w:color w:val="000000" w:themeColor="text1"/>
              </w:rPr>
            </w:pPr>
            <w:r>
              <w:rPr>
                <w:rFonts w:hint="eastAsia"/>
                <w:color w:val="000000" w:themeColor="text1"/>
              </w:rPr>
              <w:t> </w:t>
            </w:r>
          </w:p>
        </w:tc>
      </w:tr>
      <w:tr>
        <w:tblPrEx>
          <w:tblCellMar>
            <w:top w:w="0" w:type="dxa"/>
            <w:left w:w="0" w:type="dxa"/>
            <w:bottom w:w="0" w:type="dxa"/>
            <w:right w:w="0" w:type="dxa"/>
          </w:tblCellMar>
        </w:tblPrEx>
        <w:trPr>
          <w:gridAfter w:val="1"/>
          <w:wAfter w:w="90" w:type="dxa"/>
          <w:trHeight w:val="220" w:hRule="atLeast"/>
          <w:jc w:val="center"/>
        </w:trPr>
        <w:tc>
          <w:tcPr>
            <w:tcW w:w="7982" w:type="dxa"/>
            <w:gridSpan w:val="13"/>
            <w:tcMar>
              <w:top w:w="15" w:type="dxa"/>
              <w:left w:w="15" w:type="dxa"/>
              <w:bottom w:w="15" w:type="dxa"/>
              <w:right w:w="15" w:type="dxa"/>
            </w:tcMar>
            <w:vAlign w:val="bottom"/>
          </w:tcPr>
          <w:p>
            <w:pPr>
              <w:spacing w:before="100" w:beforeAutospacing="1" w:after="100" w:afterAutospacing="1"/>
              <w:rPr>
                <w:rFonts w:ascii="仿宋_GB2312"/>
                <w:color w:val="000000" w:themeColor="text1"/>
              </w:rPr>
            </w:pPr>
            <w:r>
              <w:rPr>
                <w:rFonts w:hint="eastAsia" w:ascii="仿宋_GB2312"/>
                <w:color w:val="000000" w:themeColor="text1"/>
              </w:rPr>
              <w:t>填报说明：</w:t>
            </w:r>
            <w:r>
              <w:rPr>
                <w:rFonts w:ascii="仿宋_GB2312"/>
                <w:color w:val="000000" w:themeColor="text1"/>
              </w:rPr>
              <w:t>1.</w:t>
            </w:r>
            <w:r>
              <w:rPr>
                <w:rFonts w:hint="eastAsia" w:ascii="仿宋_GB2312"/>
                <w:color w:val="000000" w:themeColor="text1"/>
              </w:rPr>
              <w:t>资产总额＝流动资产＋固定资产＋对外投资／有价证券＋在建工程＋无形资产＋其他资产</w:t>
            </w:r>
            <w:r>
              <w:rPr>
                <w:rFonts w:ascii="仿宋_GB2312"/>
                <w:color w:val="000000" w:themeColor="text1"/>
              </w:rPr>
              <w:t>2.</w:t>
            </w:r>
            <w:r>
              <w:rPr>
                <w:rFonts w:hint="eastAsia" w:ascii="仿宋_GB2312"/>
                <w:color w:val="000000" w:themeColor="text1"/>
              </w:rPr>
              <w:t>固定资产＝房屋构筑物＋车辆＋单价</w:t>
            </w:r>
            <w:r>
              <w:rPr>
                <w:rFonts w:ascii="仿宋_GB2312"/>
                <w:color w:val="000000" w:themeColor="text1"/>
              </w:rPr>
              <w:t>200</w:t>
            </w:r>
            <w:r>
              <w:rPr>
                <w:rFonts w:hint="eastAsia" w:ascii="仿宋_GB2312"/>
                <w:color w:val="000000" w:themeColor="text1"/>
              </w:rPr>
              <w:t>万元以上大型设备＋其他固定资产</w:t>
            </w:r>
          </w:p>
        </w:tc>
        <w:tc>
          <w:tcPr>
            <w:tcW w:w="480" w:type="dxa"/>
            <w:gridSpan w:val="4"/>
            <w:vAlign w:val="center"/>
          </w:tcPr>
          <w:p>
            <w:pPr>
              <w:spacing w:before="100" w:beforeAutospacing="1" w:after="100" w:afterAutospacing="1"/>
              <w:rPr>
                <w:color w:val="000000" w:themeColor="text1"/>
              </w:rPr>
            </w:pPr>
            <w:r>
              <w:rPr>
                <w:rFonts w:hint="eastAsia"/>
                <w:color w:val="000000" w:themeColor="text1"/>
              </w:rPr>
              <w:t> </w:t>
            </w:r>
          </w:p>
        </w:tc>
      </w:tr>
      <w:tr>
        <w:tblPrEx>
          <w:tblCellMar>
            <w:top w:w="0" w:type="dxa"/>
            <w:left w:w="0" w:type="dxa"/>
            <w:bottom w:w="0" w:type="dxa"/>
            <w:right w:w="0" w:type="dxa"/>
          </w:tblCellMar>
        </w:tblPrEx>
        <w:trPr>
          <w:jc w:val="center"/>
        </w:trPr>
        <w:tc>
          <w:tcPr>
            <w:tcW w:w="260" w:type="dxa"/>
            <w:vAlign w:val="center"/>
          </w:tcPr>
          <w:p>
            <w:r>
              <w:rPr>
                <w:rFonts w:hint="eastAsia"/>
              </w:rPr>
              <w:t> </w:t>
            </w:r>
          </w:p>
        </w:tc>
        <w:tc>
          <w:tcPr>
            <w:tcW w:w="247" w:type="dxa"/>
            <w:vAlign w:val="center"/>
          </w:tcPr>
          <w:p>
            <w:r>
              <w:rPr>
                <w:rFonts w:hint="eastAsia"/>
              </w:rPr>
              <w:t> </w:t>
            </w:r>
          </w:p>
        </w:tc>
        <w:tc>
          <w:tcPr>
            <w:tcW w:w="830" w:type="dxa"/>
            <w:vAlign w:val="center"/>
          </w:tcPr>
          <w:p>
            <w:r>
              <w:rPr>
                <w:rFonts w:hint="eastAsia"/>
              </w:rPr>
              <w:t> </w:t>
            </w:r>
          </w:p>
        </w:tc>
        <w:tc>
          <w:tcPr>
            <w:tcW w:w="990" w:type="dxa"/>
            <w:vAlign w:val="center"/>
          </w:tcPr>
          <w:p>
            <w:r>
              <w:rPr>
                <w:rFonts w:hint="eastAsia"/>
              </w:rPr>
              <w:t> </w:t>
            </w:r>
          </w:p>
        </w:tc>
        <w:tc>
          <w:tcPr>
            <w:tcW w:w="870" w:type="dxa"/>
            <w:vAlign w:val="center"/>
          </w:tcPr>
          <w:p>
            <w:r>
              <w:rPr>
                <w:rFonts w:hint="eastAsia"/>
              </w:rPr>
              <w:t> </w:t>
            </w:r>
          </w:p>
        </w:tc>
        <w:tc>
          <w:tcPr>
            <w:tcW w:w="753" w:type="dxa"/>
            <w:vAlign w:val="center"/>
          </w:tcPr>
          <w:p>
            <w:r>
              <w:rPr>
                <w:rFonts w:hint="eastAsia"/>
              </w:rPr>
              <w:t> </w:t>
            </w:r>
          </w:p>
        </w:tc>
        <w:tc>
          <w:tcPr>
            <w:tcW w:w="750" w:type="dxa"/>
            <w:vAlign w:val="center"/>
          </w:tcPr>
          <w:p>
            <w:r>
              <w:rPr>
                <w:rFonts w:hint="eastAsia"/>
              </w:rPr>
              <w:t> </w:t>
            </w:r>
          </w:p>
        </w:tc>
        <w:tc>
          <w:tcPr>
            <w:tcW w:w="528" w:type="dxa"/>
            <w:vAlign w:val="center"/>
          </w:tcPr>
          <w:p>
            <w:r>
              <w:rPr>
                <w:rFonts w:hint="eastAsia"/>
              </w:rPr>
              <w:t> </w:t>
            </w:r>
          </w:p>
        </w:tc>
        <w:tc>
          <w:tcPr>
            <w:tcW w:w="499" w:type="dxa"/>
            <w:vAlign w:val="center"/>
          </w:tcPr>
          <w:p>
            <w:r>
              <w:rPr>
                <w:rFonts w:hint="eastAsia"/>
              </w:rPr>
              <w:t> </w:t>
            </w:r>
          </w:p>
        </w:tc>
        <w:tc>
          <w:tcPr>
            <w:tcW w:w="394" w:type="dxa"/>
            <w:vAlign w:val="center"/>
          </w:tcPr>
          <w:p>
            <w:r>
              <w:rPr>
                <w:rFonts w:hint="eastAsia"/>
              </w:rPr>
              <w:t> </w:t>
            </w:r>
          </w:p>
        </w:tc>
        <w:tc>
          <w:tcPr>
            <w:tcW w:w="448" w:type="dxa"/>
            <w:vAlign w:val="center"/>
          </w:tcPr>
          <w:p>
            <w:r>
              <w:rPr>
                <w:rFonts w:hint="eastAsia"/>
              </w:rPr>
              <w:t> </w:t>
            </w:r>
          </w:p>
        </w:tc>
        <w:tc>
          <w:tcPr>
            <w:tcW w:w="423" w:type="dxa"/>
            <w:vAlign w:val="center"/>
          </w:tcPr>
          <w:p>
            <w:r>
              <w:rPr>
                <w:rFonts w:hint="eastAsia"/>
              </w:rPr>
              <w:t> </w:t>
            </w:r>
          </w:p>
        </w:tc>
        <w:tc>
          <w:tcPr>
            <w:tcW w:w="990" w:type="dxa"/>
            <w:vAlign w:val="center"/>
          </w:tcPr>
          <w:p>
            <w:r>
              <w:rPr>
                <w:rFonts w:hint="eastAsia"/>
              </w:rPr>
              <w:t> </w:t>
            </w:r>
          </w:p>
        </w:tc>
        <w:tc>
          <w:tcPr>
            <w:tcW w:w="90" w:type="dxa"/>
            <w:vAlign w:val="center"/>
          </w:tcPr>
          <w:p>
            <w:r>
              <w:rPr>
                <w:rFonts w:hint="eastAsia"/>
              </w:rPr>
              <w:t> </w:t>
            </w:r>
          </w:p>
        </w:tc>
        <w:tc>
          <w:tcPr>
            <w:tcW w:w="240" w:type="dxa"/>
            <w:gridSpan w:val="2"/>
            <w:vAlign w:val="center"/>
          </w:tcPr>
          <w:p>
            <w:r>
              <w:rPr>
                <w:rFonts w:hint="eastAsia"/>
              </w:rPr>
              <w:t> </w:t>
            </w:r>
          </w:p>
        </w:tc>
        <w:tc>
          <w:tcPr>
            <w:tcW w:w="240" w:type="dxa"/>
            <w:gridSpan w:val="2"/>
            <w:vAlign w:val="center"/>
          </w:tcPr>
          <w:p>
            <w:r>
              <w:rPr>
                <w:rFonts w:hint="eastAsia"/>
              </w:rPr>
              <w:t> </w:t>
            </w:r>
          </w:p>
        </w:tc>
      </w:tr>
    </w:tbl>
    <w:p>
      <w:pPr>
        <w:adjustRightInd w:val="0"/>
        <w:spacing w:before="100" w:beforeAutospacing="1" w:after="100" w:afterAutospacing="1"/>
        <w:jc w:val="both"/>
        <w:rPr>
          <w:rFonts w:ascii="黑体" w:hAnsi="黑体" w:eastAsia="黑体"/>
          <w:sz w:val="30"/>
          <w:szCs w:val="30"/>
        </w:rPr>
      </w:pP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三、政府采购支出情况</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cs="仿宋"/>
          <w:sz w:val="30"/>
          <w:szCs w:val="30"/>
        </w:rPr>
        <w:t>2019年度，部门政府采购支出总额59.80万元,其中：政府采购货物支出42.55万元;政府采购工程支出0万元;政府采购服务支出17.25万元;授予中小企业合同金额0万元，占政府采购支出总额的0%。</w:t>
      </w:r>
    </w:p>
    <w:p>
      <w:pPr>
        <w:numPr>
          <w:ilvl w:val="0"/>
          <w:numId w:val="1"/>
        </w:numPr>
        <w:adjustRightInd w:val="0"/>
        <w:spacing w:before="100" w:beforeAutospacing="1" w:after="100" w:afterAutospacing="1" w:line="590" w:lineRule="exact"/>
        <w:ind w:firstLine="600" w:firstLineChars="200"/>
        <w:rPr>
          <w:rFonts w:ascii="黑体" w:hAnsi="黑体" w:eastAsia="黑体"/>
          <w:sz w:val="30"/>
          <w:szCs w:val="30"/>
        </w:rPr>
      </w:pPr>
      <w:r>
        <w:rPr>
          <w:rFonts w:hint="eastAsia" w:ascii="黑体" w:hAnsi="黑体" w:eastAsia="黑体"/>
          <w:sz w:val="30"/>
          <w:szCs w:val="30"/>
        </w:rPr>
        <w:t xml:space="preserve">部门绩效自评情况   </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仿宋" w:eastAsia="仿宋"/>
          <w:sz w:val="30"/>
          <w:szCs w:val="30"/>
        </w:rPr>
        <w:t>部门绩效自评情况表详见附表（附表</w:t>
      </w:r>
      <w:r>
        <w:rPr>
          <w:rFonts w:hint="eastAsia" w:ascii="仿宋" w:hAnsi="Times New Roman" w:eastAsia="仿宋"/>
          <w:sz w:val="30"/>
          <w:szCs w:val="30"/>
        </w:rPr>
        <w:t>9-</w:t>
      </w:r>
      <w:r>
        <w:rPr>
          <w:rFonts w:hint="eastAsia" w:ascii="仿宋" w:hAnsi="仿宋" w:eastAsia="仿宋"/>
          <w:sz w:val="30"/>
          <w:szCs w:val="30"/>
        </w:rPr>
        <w:t>附表</w:t>
      </w:r>
      <w:r>
        <w:rPr>
          <w:rFonts w:hint="eastAsia" w:ascii="仿宋" w:hAnsi="Times New Roman" w:eastAsia="仿宋"/>
          <w:sz w:val="30"/>
          <w:szCs w:val="30"/>
        </w:rPr>
        <w:t>11</w:t>
      </w:r>
      <w:r>
        <w:rPr>
          <w:rFonts w:hint="eastAsia" w:ascii="仿宋" w:hAnsi="仿宋" w:eastAsia="仿宋"/>
          <w:sz w:val="30"/>
          <w:szCs w:val="30"/>
        </w:rPr>
        <w:t>）</w:t>
      </w:r>
    </w:p>
    <w:p>
      <w:pPr>
        <w:pStyle w:val="13"/>
        <w:spacing w:before="100" w:after="100" w:line="590" w:lineRule="atLeast"/>
        <w:ind w:firstLine="600"/>
      </w:pPr>
      <w:r>
        <w:rPr>
          <w:color w:val="000000"/>
          <w:sz w:val="30"/>
          <w:szCs w:val="30"/>
        </w:rPr>
        <w:t>（一）</w:t>
      </w:r>
      <w:r>
        <w:rPr>
          <w:rFonts w:ascii="楷体" w:hAnsi="楷体" w:eastAsia="楷体" w:cs="楷体"/>
          <w:color w:val="000000"/>
          <w:sz w:val="30"/>
          <w:szCs w:val="30"/>
        </w:rPr>
        <w:t>预算绩效管理工作开展情况</w:t>
      </w:r>
      <w:r>
        <w:rPr>
          <w:rFonts w:ascii="Calibri" w:hAnsi="Calibri" w:eastAsia="Calibri" w:cs="Calibri"/>
          <w:color w:val="000000"/>
          <w:sz w:val="30"/>
          <w:szCs w:val="30"/>
        </w:rPr>
        <w:t>  </w:t>
      </w:r>
    </w:p>
    <w:p>
      <w:pPr>
        <w:pStyle w:val="13"/>
        <w:spacing w:before="100" w:after="100" w:line="590" w:lineRule="atLeast"/>
        <w:ind w:firstLine="600"/>
      </w:pPr>
      <w:r>
        <w:rPr>
          <w:rFonts w:ascii="仿宋" w:hAnsi="仿宋" w:eastAsia="仿宋" w:cs="仿宋"/>
          <w:color w:val="000000"/>
          <w:sz w:val="30"/>
          <w:szCs w:val="30"/>
        </w:rPr>
        <w:t>为强化预算绩效管理，落实管理责任，界定管理范围和内容，明确管理程序和方法，提高财政资金的使用效益，根据《中华人民共和国预算法》《中共云南省委 云南省人民政府关于全面深化财税体制改革加快建立现代财政制度的意见》（云发</w:t>
      </w:r>
      <w:r>
        <w:rPr>
          <w:rFonts w:ascii="仿宋" w:hAnsi="仿宋" w:eastAsia="仿宋" w:cs="仿宋"/>
          <w:sz w:val="30"/>
          <w:szCs w:val="30"/>
        </w:rPr>
        <w:t>〔</w:t>
      </w:r>
      <w:r>
        <w:rPr>
          <w:rFonts w:ascii="仿宋" w:hAnsi="仿宋" w:eastAsia="仿宋" w:cs="仿宋"/>
          <w:color w:val="000000"/>
          <w:sz w:val="30"/>
          <w:szCs w:val="30"/>
        </w:rPr>
        <w:t>2014〕28号）和《玉溪市人民政府办公室关于全面推进财政预算绩效管理的实施意见》（玉政办发</w:t>
      </w:r>
      <w:r>
        <w:rPr>
          <w:rFonts w:ascii="仿宋" w:hAnsi="仿宋" w:eastAsia="仿宋" w:cs="仿宋"/>
          <w:sz w:val="30"/>
          <w:szCs w:val="30"/>
        </w:rPr>
        <w:t>〔</w:t>
      </w:r>
      <w:r>
        <w:rPr>
          <w:rFonts w:ascii="仿宋" w:hAnsi="仿宋" w:eastAsia="仿宋" w:cs="仿宋"/>
          <w:color w:val="000000"/>
          <w:sz w:val="30"/>
          <w:szCs w:val="30"/>
        </w:rPr>
        <w:t>2012〕231号）等有关规定，结合</w:t>
      </w:r>
      <w:r>
        <w:rPr>
          <w:rFonts w:hint="eastAsia" w:ascii="仿宋" w:hAnsi="仿宋" w:eastAsia="仿宋" w:cs="仿宋"/>
          <w:color w:val="000000"/>
          <w:sz w:val="30"/>
          <w:szCs w:val="30"/>
        </w:rPr>
        <w:t>龙街街道办</w:t>
      </w:r>
      <w:r>
        <w:rPr>
          <w:rFonts w:ascii="仿宋" w:hAnsi="仿宋" w:eastAsia="仿宋" w:cs="仿宋"/>
          <w:color w:val="000000"/>
          <w:sz w:val="30"/>
          <w:szCs w:val="30"/>
        </w:rPr>
        <w:t>财政预算绩效管理实际，印发了《</w:t>
      </w:r>
      <w:r>
        <w:rPr>
          <w:rFonts w:hint="eastAsia" w:ascii="仿宋" w:hAnsi="仿宋" w:eastAsia="仿宋" w:cs="仿宋"/>
          <w:color w:val="000000"/>
          <w:sz w:val="30"/>
          <w:szCs w:val="30"/>
        </w:rPr>
        <w:t>澄江市人民政府龙街街道办事处</w:t>
      </w:r>
      <w:r>
        <w:rPr>
          <w:rFonts w:ascii="仿宋" w:hAnsi="仿宋" w:eastAsia="仿宋" w:cs="仿宋"/>
          <w:color w:val="000000"/>
          <w:sz w:val="30"/>
          <w:szCs w:val="30"/>
        </w:rPr>
        <w:t>预算绩效管理制度》和《</w:t>
      </w:r>
      <w:r>
        <w:rPr>
          <w:rFonts w:hint="eastAsia" w:ascii="仿宋" w:hAnsi="仿宋" w:eastAsia="仿宋" w:cs="仿宋"/>
          <w:color w:val="000000"/>
          <w:sz w:val="30"/>
          <w:szCs w:val="30"/>
        </w:rPr>
        <w:t>澄江市人民政府龙街街道办事处</w:t>
      </w:r>
      <w:r>
        <w:rPr>
          <w:rFonts w:ascii="仿宋" w:hAnsi="仿宋" w:eastAsia="仿宋" w:cs="仿宋"/>
          <w:color w:val="000000"/>
          <w:sz w:val="30"/>
          <w:szCs w:val="30"/>
        </w:rPr>
        <w:t>预算绩效管理工作内部规程》。</w:t>
      </w:r>
    </w:p>
    <w:p>
      <w:pPr>
        <w:pStyle w:val="13"/>
        <w:spacing w:before="100" w:after="100" w:line="590" w:lineRule="atLeast"/>
        <w:ind w:firstLine="600"/>
      </w:pPr>
      <w:r>
        <w:rPr>
          <w:rFonts w:ascii="仿宋" w:hAnsi="仿宋" w:eastAsia="仿宋" w:cs="仿宋"/>
          <w:color w:val="000000"/>
          <w:sz w:val="30"/>
          <w:szCs w:val="30"/>
        </w:rPr>
        <w:t>按照中央、省级要求，开展对下转移支付资金绩效目标管理工作，在项目库中填报了项目绩效目标情况。按照市级财政的要求结合单位项目设立的背景、目的等实际制定了《</w:t>
      </w:r>
      <w:r>
        <w:rPr>
          <w:rFonts w:hint="eastAsia" w:ascii="仿宋" w:hAnsi="仿宋" w:eastAsia="仿宋" w:cs="仿宋"/>
          <w:color w:val="000000"/>
          <w:sz w:val="30"/>
          <w:szCs w:val="30"/>
        </w:rPr>
        <w:t>龙街街道办</w:t>
      </w:r>
      <w:r>
        <w:rPr>
          <w:rFonts w:ascii="仿宋" w:hAnsi="仿宋" w:eastAsia="仿宋" w:cs="仿宋"/>
          <w:color w:val="000000"/>
          <w:sz w:val="30"/>
          <w:szCs w:val="30"/>
        </w:rPr>
        <w:t>部门整体支出个性指标体系》和《</w:t>
      </w:r>
      <w:r>
        <w:rPr>
          <w:rFonts w:hint="eastAsia" w:ascii="仿宋" w:hAnsi="仿宋" w:eastAsia="仿宋" w:cs="仿宋"/>
          <w:color w:val="000000"/>
          <w:sz w:val="30"/>
          <w:szCs w:val="30"/>
        </w:rPr>
        <w:t>龙街街道办</w:t>
      </w:r>
      <w:r>
        <w:rPr>
          <w:rFonts w:ascii="仿宋" w:hAnsi="仿宋" w:eastAsia="仿宋" w:cs="仿宋"/>
          <w:color w:val="000000"/>
          <w:sz w:val="30"/>
          <w:szCs w:val="30"/>
        </w:rPr>
        <w:t>项目支出个性指标体系》。</w:t>
      </w:r>
    </w:p>
    <w:p>
      <w:pPr>
        <w:pStyle w:val="13"/>
        <w:spacing w:before="100" w:after="100" w:line="590" w:lineRule="atLeast"/>
        <w:ind w:firstLine="600"/>
        <w:jc w:val="both"/>
      </w:pPr>
      <w:r>
        <w:rPr>
          <w:rFonts w:ascii="仿宋" w:hAnsi="仿宋" w:eastAsia="仿宋" w:cs="仿宋"/>
          <w:color w:val="000000"/>
          <w:sz w:val="30"/>
          <w:szCs w:val="30"/>
        </w:rPr>
        <w:t>根据</w:t>
      </w:r>
      <w:r>
        <w:rPr>
          <w:rFonts w:hint="eastAsia" w:ascii="仿宋" w:hAnsi="仿宋" w:eastAsia="仿宋" w:cs="仿宋"/>
          <w:color w:val="000000"/>
          <w:sz w:val="30"/>
          <w:szCs w:val="30"/>
        </w:rPr>
        <w:t>澄江市</w:t>
      </w:r>
      <w:r>
        <w:rPr>
          <w:rFonts w:ascii="仿宋" w:hAnsi="仿宋" w:eastAsia="仿宋" w:cs="仿宋"/>
          <w:color w:val="000000"/>
          <w:sz w:val="30"/>
          <w:szCs w:val="30"/>
        </w:rPr>
        <w:t>市财政局2019年绩效评价工作要求，成立了</w:t>
      </w:r>
      <w:r>
        <w:rPr>
          <w:rFonts w:hint="eastAsia" w:ascii="仿宋" w:hAnsi="仿宋" w:eastAsia="仿宋" w:cs="仿宋"/>
          <w:color w:val="000000"/>
          <w:sz w:val="30"/>
          <w:szCs w:val="30"/>
        </w:rPr>
        <w:t>龙街街道办</w:t>
      </w:r>
      <w:r>
        <w:rPr>
          <w:rFonts w:ascii="仿宋" w:hAnsi="仿宋" w:eastAsia="仿宋" w:cs="仿宋"/>
          <w:color w:val="000000"/>
          <w:sz w:val="30"/>
          <w:szCs w:val="30"/>
        </w:rPr>
        <w:t>2019年预算资金绩效自评工作小组，对2019年度一般公共预算项目支出开展了项目绩效运行监控和项目绩效自评，部门决算中反映了项目绩效自评结果情况。2019年</w:t>
      </w:r>
      <w:r>
        <w:rPr>
          <w:rFonts w:hint="eastAsia" w:ascii="仿宋" w:hAnsi="仿宋" w:eastAsia="仿宋" w:cs="仿宋"/>
          <w:color w:val="000000"/>
          <w:sz w:val="30"/>
          <w:szCs w:val="30"/>
        </w:rPr>
        <w:t>龙街街道办</w:t>
      </w:r>
      <w:r>
        <w:rPr>
          <w:rFonts w:ascii="仿宋" w:hAnsi="仿宋" w:eastAsia="仿宋" w:cs="仿宋"/>
          <w:color w:val="000000"/>
          <w:sz w:val="30"/>
          <w:szCs w:val="30"/>
        </w:rPr>
        <w:t>自评项目</w:t>
      </w:r>
      <w:r>
        <w:rPr>
          <w:rFonts w:hint="eastAsia" w:ascii="仿宋" w:hAnsi="仿宋" w:eastAsia="仿宋" w:cs="仿宋"/>
          <w:color w:val="000000"/>
          <w:sz w:val="30"/>
          <w:szCs w:val="30"/>
        </w:rPr>
        <w:t>39</w:t>
      </w:r>
      <w:r>
        <w:rPr>
          <w:rFonts w:ascii="仿宋" w:hAnsi="仿宋" w:eastAsia="仿宋" w:cs="仿宋"/>
          <w:color w:val="000000"/>
          <w:sz w:val="30"/>
          <w:szCs w:val="30"/>
        </w:rPr>
        <w:t>个，项目金额</w:t>
      </w:r>
      <w:r>
        <w:rPr>
          <w:rFonts w:hint="eastAsia" w:ascii="仿宋" w:hAnsi="仿宋" w:eastAsia="仿宋" w:cs="仿宋"/>
          <w:color w:val="000000"/>
          <w:sz w:val="30"/>
          <w:szCs w:val="30"/>
        </w:rPr>
        <w:t>5507.5</w:t>
      </w:r>
      <w:r>
        <w:rPr>
          <w:rFonts w:ascii="仿宋" w:hAnsi="仿宋" w:eastAsia="仿宋" w:cs="仿宋"/>
          <w:color w:val="000000"/>
          <w:sz w:val="30"/>
          <w:szCs w:val="30"/>
        </w:rPr>
        <w:t>万元。</w:t>
      </w:r>
    </w:p>
    <w:p>
      <w:pPr>
        <w:pStyle w:val="13"/>
        <w:spacing w:before="100" w:after="100" w:line="590" w:lineRule="atLeast"/>
        <w:ind w:firstLine="600"/>
      </w:pPr>
      <w:r>
        <w:rPr>
          <w:rFonts w:ascii="楷体" w:hAnsi="楷体" w:eastAsia="楷体" w:cs="楷体"/>
          <w:color w:val="000000"/>
          <w:sz w:val="30"/>
          <w:szCs w:val="30"/>
        </w:rPr>
        <w:t>（二）部门整体支出自评结果</w:t>
      </w:r>
    </w:p>
    <w:p>
      <w:pPr>
        <w:pStyle w:val="13"/>
        <w:spacing w:before="100" w:after="100" w:line="590" w:lineRule="atLeast"/>
        <w:ind w:firstLine="600"/>
      </w:pPr>
      <w:r>
        <w:rPr>
          <w:rFonts w:hint="eastAsia" w:ascii="仿宋" w:hAnsi="仿宋" w:eastAsia="仿宋" w:cs="仿宋"/>
          <w:color w:val="000000"/>
          <w:sz w:val="30"/>
          <w:szCs w:val="30"/>
        </w:rPr>
        <w:t>龙街街道办</w:t>
      </w:r>
      <w:r>
        <w:rPr>
          <w:rFonts w:ascii="仿宋" w:hAnsi="仿宋" w:eastAsia="仿宋" w:cs="仿宋"/>
          <w:color w:val="000000"/>
          <w:sz w:val="30"/>
          <w:szCs w:val="30"/>
        </w:rPr>
        <w:t>2019年紧紧围绕年度工作目标认真完成了年初设定的部门整体绩效目标及各项职能目标，年度职能目标任务考核为满分。</w:t>
      </w:r>
    </w:p>
    <w:p>
      <w:pPr>
        <w:pStyle w:val="13"/>
        <w:spacing w:before="100" w:after="100" w:line="590" w:lineRule="atLeast"/>
        <w:ind w:firstLine="600"/>
        <w:jc w:val="both"/>
      </w:pPr>
      <w:r>
        <w:rPr>
          <w:rFonts w:ascii="仿宋" w:hAnsi="仿宋" w:eastAsia="仿宋" w:cs="仿宋"/>
          <w:color w:val="000000"/>
          <w:sz w:val="30"/>
          <w:szCs w:val="30"/>
        </w:rPr>
        <w:t>2019年</w:t>
      </w:r>
      <w:r>
        <w:rPr>
          <w:rFonts w:hint="eastAsia" w:ascii="仿宋" w:hAnsi="仿宋" w:eastAsia="仿宋" w:cs="仿宋"/>
          <w:color w:val="000000"/>
          <w:sz w:val="30"/>
          <w:szCs w:val="30"/>
        </w:rPr>
        <w:t>龙街街道办</w:t>
      </w:r>
      <w:r>
        <w:rPr>
          <w:rFonts w:ascii="仿宋" w:hAnsi="仿宋" w:eastAsia="仿宋" w:cs="仿宋"/>
          <w:color w:val="000000"/>
          <w:sz w:val="30"/>
          <w:szCs w:val="30"/>
        </w:rPr>
        <w:t>纳入预算绩效自评项目</w:t>
      </w:r>
      <w:r>
        <w:rPr>
          <w:rFonts w:hint="eastAsia" w:ascii="仿宋" w:hAnsi="仿宋" w:eastAsia="仿宋" w:cs="仿宋"/>
          <w:color w:val="000000"/>
          <w:sz w:val="30"/>
          <w:szCs w:val="30"/>
        </w:rPr>
        <w:t>39</w:t>
      </w:r>
      <w:r>
        <w:rPr>
          <w:rFonts w:ascii="仿宋" w:hAnsi="仿宋" w:eastAsia="仿宋" w:cs="仿宋"/>
          <w:color w:val="000000"/>
          <w:sz w:val="30"/>
          <w:szCs w:val="30"/>
        </w:rPr>
        <w:t>个，资金合计</w:t>
      </w:r>
      <w:r>
        <w:rPr>
          <w:rFonts w:hint="eastAsia" w:ascii="仿宋" w:hAnsi="仿宋" w:eastAsia="仿宋" w:cs="仿宋"/>
          <w:color w:val="000000"/>
          <w:sz w:val="30"/>
          <w:szCs w:val="30"/>
        </w:rPr>
        <w:t>5507.5</w:t>
      </w:r>
      <w:r>
        <w:rPr>
          <w:rFonts w:ascii="仿宋" w:hAnsi="仿宋" w:eastAsia="仿宋" w:cs="仿宋"/>
          <w:color w:val="000000"/>
          <w:sz w:val="30"/>
          <w:szCs w:val="30"/>
        </w:rPr>
        <w:t>万元。评价等次为“优”的</w:t>
      </w:r>
      <w:r>
        <w:rPr>
          <w:rFonts w:hint="eastAsia" w:ascii="仿宋" w:hAnsi="仿宋" w:eastAsia="仿宋" w:cs="仿宋"/>
          <w:color w:val="000000"/>
          <w:sz w:val="30"/>
          <w:szCs w:val="30"/>
        </w:rPr>
        <w:t>39</w:t>
      </w:r>
      <w:r>
        <w:rPr>
          <w:rFonts w:ascii="仿宋" w:hAnsi="仿宋" w:eastAsia="仿宋" w:cs="仿宋"/>
          <w:color w:val="000000"/>
          <w:sz w:val="30"/>
          <w:szCs w:val="30"/>
        </w:rPr>
        <w:t>个，综合评价为“</w:t>
      </w:r>
      <w:r>
        <w:rPr>
          <w:rFonts w:hint="eastAsia" w:ascii="仿宋" w:hAnsi="仿宋" w:eastAsia="仿宋" w:cs="仿宋"/>
          <w:color w:val="000000"/>
          <w:sz w:val="30"/>
          <w:szCs w:val="30"/>
        </w:rPr>
        <w:t>优</w:t>
      </w:r>
      <w:r>
        <w:rPr>
          <w:rFonts w:ascii="仿宋" w:hAnsi="仿宋" w:eastAsia="仿宋" w:cs="仿宋"/>
          <w:color w:val="000000"/>
          <w:sz w:val="30"/>
          <w:szCs w:val="30"/>
        </w:rPr>
        <w:t>”。</w:t>
      </w:r>
    </w:p>
    <w:p>
      <w:pPr>
        <w:pStyle w:val="13"/>
        <w:spacing w:before="100" w:after="100" w:line="590" w:lineRule="atLeast"/>
        <w:ind w:firstLine="600"/>
      </w:pPr>
      <w:r>
        <w:rPr>
          <w:rFonts w:ascii="仿宋" w:hAnsi="仿宋" w:eastAsia="仿宋" w:cs="仿宋"/>
          <w:color w:val="000000"/>
          <w:sz w:val="30"/>
          <w:szCs w:val="30"/>
        </w:rPr>
        <w:t>发现存在问题及原因分析：一是部分项目进度有待进一步加快推进；二是中央、省级项目资金下达时间多为年底，导致当年工作跨年度安排，资金跨年度支付，项目绩效进度相对滞后。</w:t>
      </w:r>
    </w:p>
    <w:p>
      <w:pPr>
        <w:pStyle w:val="13"/>
        <w:spacing w:before="100" w:after="100" w:line="590" w:lineRule="atLeast"/>
        <w:ind w:firstLine="600"/>
      </w:pPr>
      <w:r>
        <w:rPr>
          <w:rFonts w:ascii="仿宋" w:hAnsi="仿宋" w:eastAsia="仿宋" w:cs="仿宋"/>
          <w:color w:val="000000"/>
          <w:sz w:val="30"/>
          <w:szCs w:val="30"/>
        </w:rPr>
        <w:t>下一步措施：一是督促项目进度的加快推进；二是加大中央、省级资金统筹力度，确保资金支付进度，充分发挥资金使用效益；三是根据项目资金使用情况，及时调整预算；四是在设定量化细化的绩效目标时，更加科学合理的设置绩效指标年度指标值，项目预算执行及时、有效，绩效目标得到较好实现，绩效管理水平不断提高，绩效指标体系建设逐渐丰富和完善，真正发挥绩效管理的作用。</w:t>
      </w:r>
    </w:p>
    <w:p>
      <w:pPr>
        <w:pStyle w:val="13"/>
        <w:spacing w:before="100" w:after="100" w:line="590" w:lineRule="atLeast"/>
        <w:ind w:left="480"/>
      </w:pPr>
      <w:r>
        <w:rPr>
          <w:rFonts w:ascii="楷体" w:hAnsi="楷体" w:eastAsia="楷体" w:cs="楷体"/>
          <w:color w:val="000000"/>
          <w:sz w:val="30"/>
          <w:szCs w:val="30"/>
        </w:rPr>
        <w:t>（三）部门决算中项目支出自评结果</w:t>
      </w:r>
    </w:p>
    <w:p>
      <w:pPr>
        <w:pStyle w:val="13"/>
        <w:spacing w:before="100" w:after="100" w:line="590" w:lineRule="atLeast"/>
        <w:ind w:firstLine="600"/>
        <w:jc w:val="both"/>
        <w:rPr>
          <w:rFonts w:ascii="仿宋" w:hAnsi="仿宋" w:eastAsia="仿宋" w:cs="仿宋"/>
          <w:color w:val="000000"/>
          <w:sz w:val="30"/>
          <w:szCs w:val="30"/>
        </w:rPr>
      </w:pPr>
      <w:r>
        <w:rPr>
          <w:rFonts w:ascii="仿宋" w:hAnsi="仿宋" w:eastAsia="仿宋" w:cs="仿宋"/>
          <w:color w:val="000000"/>
          <w:sz w:val="30"/>
          <w:szCs w:val="30"/>
        </w:rPr>
        <w:t>1.项目一：</w:t>
      </w:r>
      <w:r>
        <w:rPr>
          <w:rFonts w:hint="eastAsia" w:ascii="仿宋" w:hAnsi="仿宋" w:eastAsia="仿宋" w:cs="仿宋"/>
          <w:color w:val="000000"/>
          <w:sz w:val="30"/>
          <w:szCs w:val="30"/>
        </w:rPr>
        <w:t>武装经费预算项目</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万元，执行期为2019年1月到2019年12月，主要用于（1）发展地区经济，进行城市建设；（2）开展便民、利民的社区服务；（3）组织实施社会治安、综合治理规划，开展治安、保卫、人民调解工作；（4）开展拥军优属，做好国防动员和兵役工作；（5）配合做好防灾救灾工作。</w:t>
      </w:r>
    </w:p>
    <w:p>
      <w:pPr>
        <w:pStyle w:val="13"/>
        <w:spacing w:before="100" w:after="100" w:line="590" w:lineRule="atLeast"/>
        <w:ind w:firstLine="600"/>
        <w:jc w:val="both"/>
        <w:rPr>
          <w:rFonts w:ascii="仿宋" w:hAnsi="仿宋" w:eastAsia="仿宋" w:cs="仿宋"/>
          <w:color w:val="000000"/>
          <w:sz w:val="30"/>
          <w:szCs w:val="30"/>
        </w:rPr>
      </w:pPr>
      <w:r>
        <w:rPr>
          <w:rFonts w:ascii="仿宋" w:hAnsi="仿宋" w:eastAsia="仿宋" w:cs="仿宋"/>
          <w:color w:val="000000"/>
          <w:sz w:val="30"/>
          <w:szCs w:val="30"/>
        </w:rPr>
        <w:t>2.项目二：</w:t>
      </w:r>
      <w:r>
        <w:rPr>
          <w:rFonts w:hint="eastAsia" w:ascii="仿宋" w:hAnsi="仿宋" w:eastAsia="仿宋" w:cs="仿宋"/>
          <w:color w:val="000000"/>
          <w:sz w:val="30"/>
          <w:szCs w:val="30"/>
        </w:rPr>
        <w:t>养白牛社区猴子箐小组</w:t>
      </w:r>
      <w:r>
        <w:rPr>
          <w:rFonts w:hint="eastAsia" w:ascii="仿宋" w:hAnsi="仿宋" w:eastAsia="仿宋" w:cs="仿宋"/>
          <w:color w:val="000000"/>
          <w:sz w:val="30"/>
          <w:szCs w:val="30"/>
          <w:lang w:val="en-US" w:eastAsia="zh-CN"/>
        </w:rPr>
        <w:t>易</w:t>
      </w:r>
      <w:r>
        <w:rPr>
          <w:rFonts w:hint="eastAsia" w:ascii="仿宋" w:hAnsi="仿宋" w:eastAsia="仿宋" w:cs="仿宋"/>
          <w:color w:val="000000"/>
          <w:sz w:val="30"/>
          <w:szCs w:val="30"/>
        </w:rPr>
        <w:t>地搬迁经费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200万元，执行期为2019年1月到2019年12月，主要用于完成配套设施建设，当月即启动建设。2019年8月8日完成17户群众分房工作同时完成群众房内装修动员工作。完成配套建设的基础设施、绿化亮化、房屋外立面工程项目陆续完工，已参与分房的17户群众完成屋内装修，并已搬迁入住。17户搬迁群众原旧址住房已全部拆除。</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3.项目三：</w:t>
      </w:r>
      <w:r>
        <w:rPr>
          <w:rFonts w:hint="eastAsia" w:ascii="仿宋" w:hAnsi="仿宋" w:eastAsia="仿宋" w:cs="仿宋"/>
          <w:color w:val="000000"/>
          <w:sz w:val="30"/>
          <w:szCs w:val="30"/>
        </w:rPr>
        <w:t>社会治安综合治理和禁毒及交通管理经费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10万元，执行期为2019年1月到2019年12月，主要用于以综治维稳（平安建设）工作目标管理责任制为抓手，紧紧围绕不断提升人民群众获得感、幸福感、安全感的总目标，认真履行促一方发展，保一方平安的重大政治责任，着力防范化解各类重大风险，进一步加强和创新社会治理，深化扫黑除恶专项斗争，深入推进更高水平的平安建设，确保了社会安定、人民安宁、民族和谐、宗教稳定，为新中国成立70周年大庆营造了和谐稳定的社会环境。</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4</w:t>
      </w:r>
      <w:r>
        <w:rPr>
          <w:rFonts w:ascii="仿宋" w:hAnsi="仿宋" w:eastAsia="仿宋" w:cs="仿宋"/>
          <w:color w:val="000000"/>
          <w:sz w:val="30"/>
          <w:szCs w:val="30"/>
        </w:rPr>
        <w:t>.项目</w:t>
      </w:r>
      <w:r>
        <w:rPr>
          <w:rFonts w:hint="eastAsia" w:ascii="仿宋" w:hAnsi="仿宋" w:eastAsia="仿宋" w:cs="仿宋"/>
          <w:color w:val="000000"/>
          <w:sz w:val="30"/>
          <w:szCs w:val="30"/>
        </w:rPr>
        <w:t>四</w:t>
      </w:r>
      <w:r>
        <w:rPr>
          <w:rFonts w:ascii="仿宋" w:hAnsi="仿宋" w:eastAsia="仿宋" w:cs="仿宋"/>
          <w:color w:val="000000"/>
          <w:sz w:val="30"/>
          <w:szCs w:val="30"/>
        </w:rPr>
        <w:t>：</w:t>
      </w:r>
      <w:r>
        <w:rPr>
          <w:rFonts w:hint="eastAsia" w:ascii="仿宋" w:hAnsi="仿宋" w:eastAsia="仿宋" w:cs="仿宋"/>
          <w:color w:val="000000"/>
          <w:sz w:val="30"/>
          <w:szCs w:val="30"/>
        </w:rPr>
        <w:t>公共卫生防疫预算项目</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年度资金总额4万元，执行期为2019年1月到2019年12月，主要用于（1）召开项目启动会:餐费50×4人=200元，合计200元；（2）艾滋病高流行村/社区动员检测 ： 检测补助费：3元×10000人（7个疫区）=30000元；（3）动员补助费0.5元×10000人=5000 元，合计35000元（4）男男人群干预活动：外展人员补助费400元/人×6月=2400元，合计2400元</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5</w:t>
      </w:r>
      <w:r>
        <w:rPr>
          <w:rFonts w:ascii="仿宋" w:hAnsi="仿宋" w:eastAsia="仿宋" w:cs="仿宋"/>
          <w:color w:val="000000"/>
          <w:sz w:val="30"/>
          <w:szCs w:val="30"/>
        </w:rPr>
        <w:t>.项目</w:t>
      </w:r>
      <w:r>
        <w:rPr>
          <w:rFonts w:hint="eastAsia" w:ascii="仿宋" w:hAnsi="仿宋" w:eastAsia="仿宋" w:cs="仿宋"/>
          <w:color w:val="000000"/>
          <w:sz w:val="30"/>
          <w:szCs w:val="30"/>
        </w:rPr>
        <w:t>五</w:t>
      </w:r>
      <w:r>
        <w:rPr>
          <w:rFonts w:ascii="仿宋" w:hAnsi="仿宋" w:eastAsia="仿宋" w:cs="仿宋"/>
          <w:color w:val="000000"/>
          <w:sz w:val="30"/>
          <w:szCs w:val="30"/>
        </w:rPr>
        <w:t>：</w:t>
      </w:r>
      <w:r>
        <w:rPr>
          <w:rFonts w:hint="eastAsia" w:ascii="仿宋" w:hAnsi="仿宋" w:eastAsia="仿宋" w:cs="仿宋"/>
          <w:color w:val="000000"/>
          <w:sz w:val="30"/>
          <w:szCs w:val="30"/>
        </w:rPr>
        <w:t>人大工作经费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年度资金总额1万元，执行</w:t>
      </w:r>
      <w:r>
        <w:rPr>
          <w:rFonts w:hint="eastAsia" w:ascii="仿宋" w:hAnsi="仿宋" w:eastAsia="仿宋" w:cs="仿宋"/>
          <w:color w:val="000000"/>
          <w:sz w:val="30"/>
          <w:szCs w:val="30"/>
          <w:lang w:eastAsia="zh-CN"/>
        </w:rPr>
        <w:t>时期</w:t>
      </w:r>
      <w:r>
        <w:rPr>
          <w:rFonts w:hint="eastAsia" w:ascii="仿宋" w:hAnsi="仿宋" w:eastAsia="仿宋" w:cs="仿宋"/>
          <w:color w:val="000000"/>
          <w:sz w:val="30"/>
          <w:szCs w:val="30"/>
        </w:rPr>
        <w:t>为2019年1月到2019年12月，主要用于完成街道办人大工作室提档升级，忠窑、高西、左所、双树、万海、龙街人大代表联络站建设。</w:t>
      </w:r>
    </w:p>
    <w:p>
      <w:pPr>
        <w:pStyle w:val="13"/>
        <w:spacing w:before="100" w:after="100" w:line="590" w:lineRule="atLeast"/>
        <w:ind w:firstLine="600"/>
        <w:jc w:val="both"/>
        <w:rPr>
          <w:rFonts w:ascii="仿宋" w:hAnsi="仿宋" w:eastAsia="仿宋" w:cs="仿宋"/>
          <w:color w:val="000000"/>
          <w:sz w:val="30"/>
          <w:szCs w:val="30"/>
        </w:rPr>
      </w:pPr>
      <w:r>
        <w:rPr>
          <w:rFonts w:hint="eastAsia" w:ascii="仿宋" w:hAnsi="仿宋" w:eastAsia="仿宋" w:cs="仿宋"/>
          <w:color w:val="000000"/>
          <w:sz w:val="30"/>
          <w:szCs w:val="30"/>
        </w:rPr>
        <w:t>6</w:t>
      </w:r>
      <w:r>
        <w:rPr>
          <w:rFonts w:ascii="仿宋" w:hAnsi="仿宋" w:eastAsia="仿宋" w:cs="仿宋"/>
          <w:color w:val="000000"/>
          <w:sz w:val="30"/>
          <w:szCs w:val="30"/>
        </w:rPr>
        <w:t>.项目</w:t>
      </w:r>
      <w:r>
        <w:rPr>
          <w:rFonts w:hint="eastAsia" w:ascii="仿宋" w:hAnsi="仿宋" w:eastAsia="仿宋" w:cs="仿宋"/>
          <w:color w:val="000000"/>
          <w:sz w:val="30"/>
          <w:szCs w:val="30"/>
        </w:rPr>
        <w:t>六</w:t>
      </w:r>
      <w:r>
        <w:rPr>
          <w:rFonts w:ascii="仿宋" w:hAnsi="仿宋" w:eastAsia="仿宋" w:cs="仿宋"/>
          <w:color w:val="000000"/>
          <w:sz w:val="30"/>
          <w:szCs w:val="30"/>
        </w:rPr>
        <w:t>：</w:t>
      </w:r>
      <w:r>
        <w:rPr>
          <w:rFonts w:hint="eastAsia" w:ascii="仿宋" w:hAnsi="仿宋" w:eastAsia="仿宋" w:cs="仿宋"/>
          <w:color w:val="000000"/>
          <w:sz w:val="30"/>
          <w:szCs w:val="30"/>
        </w:rPr>
        <w:t>敬老院及老龄工作经费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10万元，执行期为2019年1月到2019年12月，主要用于敬老院及老龄工作经费用于支付龙街街道敬老院3位工作人员的工资，用于为龙街街道敬老院院内特困供养人员及分散供养人员购买下一年度新型农村合作医疗保险，用于为敬老院添置床位及必要的设施设备。该项目实施能全面有效的推进龙街街道敬老院日常管理工作，能全面的保障街道特困供养人员医疗就医服务及身体健康、生命安全，能提升敬老院院内特困供养人员的生活质量，推进了龙街街道老龄事业的发展。</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7</w:t>
      </w:r>
      <w:r>
        <w:rPr>
          <w:rFonts w:ascii="仿宋" w:hAnsi="仿宋" w:eastAsia="仿宋" w:cs="仿宋"/>
          <w:color w:val="000000"/>
          <w:sz w:val="30"/>
          <w:szCs w:val="30"/>
        </w:rPr>
        <w:t>.项目</w:t>
      </w:r>
      <w:r>
        <w:rPr>
          <w:rFonts w:hint="eastAsia" w:ascii="仿宋" w:hAnsi="仿宋" w:eastAsia="仿宋" w:cs="仿宋"/>
          <w:color w:val="000000"/>
          <w:sz w:val="30"/>
          <w:szCs w:val="30"/>
        </w:rPr>
        <w:t>七</w:t>
      </w:r>
      <w:r>
        <w:rPr>
          <w:rFonts w:ascii="仿宋" w:hAnsi="仿宋" w:eastAsia="仿宋" w:cs="仿宋"/>
          <w:color w:val="000000"/>
          <w:sz w:val="30"/>
          <w:szCs w:val="30"/>
        </w:rPr>
        <w:t>：</w:t>
      </w:r>
      <w:r>
        <w:rPr>
          <w:rFonts w:hint="eastAsia" w:ascii="仿宋" w:hAnsi="仿宋" w:eastAsia="仿宋" w:cs="仿宋"/>
          <w:color w:val="000000"/>
          <w:sz w:val="30"/>
          <w:szCs w:val="30"/>
        </w:rPr>
        <w:t>北岸生态湿地建设项目一期搬迁人员生活补助</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383.88万元，执行期为2019年1月到2019年12月，主要用于根据《〈抚仙湖北岸生态湿地建设项目（一期）农房搬迁补偿安置方案〉补充方案》第四条“生活补助费”。对本集体经济组织的农业人口按每人每月500元的标准给予生活补助。本集体经济组织农业人口男满60周岁，女满55周岁的，除享受500元的生活补助外，每人每月加发300元生活补助。生活补助费发放至铺面租金收入达到或超过所发放的生活补助费标准停止。”对搬迁群众进行生活补助款发放。已按时拨付资金。</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8</w:t>
      </w:r>
      <w:r>
        <w:rPr>
          <w:rFonts w:ascii="仿宋" w:hAnsi="仿宋" w:eastAsia="仿宋" w:cs="仿宋"/>
          <w:color w:val="000000"/>
          <w:sz w:val="30"/>
          <w:szCs w:val="30"/>
        </w:rPr>
        <w:t>.项目</w:t>
      </w:r>
      <w:r>
        <w:rPr>
          <w:rFonts w:hint="eastAsia" w:ascii="仿宋" w:hAnsi="仿宋" w:eastAsia="仿宋" w:cs="仿宋"/>
          <w:color w:val="000000"/>
          <w:sz w:val="30"/>
          <w:szCs w:val="30"/>
        </w:rPr>
        <w:t>八</w:t>
      </w:r>
      <w:r>
        <w:rPr>
          <w:rFonts w:ascii="仿宋" w:hAnsi="仿宋" w:eastAsia="仿宋" w:cs="仿宋"/>
          <w:color w:val="000000"/>
          <w:sz w:val="30"/>
          <w:szCs w:val="30"/>
        </w:rPr>
        <w:t>：</w:t>
      </w:r>
      <w:r>
        <w:rPr>
          <w:rFonts w:hint="eastAsia" w:ascii="仿宋" w:hAnsi="仿宋" w:eastAsia="仿宋" w:cs="仿宋"/>
          <w:color w:val="000000"/>
          <w:sz w:val="30"/>
          <w:szCs w:val="30"/>
        </w:rPr>
        <w:t>社会治安联防支出</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72万元，执行期为2019年1月到2019年12月，主要用于该项目为龙街辖区三个派出所：龙街派出所、禄充派出所、尖山派出所三个所招录警务辅助人员，协助维护辖区治安稳定。按照龙街派出所20人，禄充派出所7人，尖山派出所3人共计30人，30人×2000元×12个月﹦720000元。共计专项资金72万元。开展下去转巡逻，维护辖区治安稳定。为群众提供力所能及的帮助，预防和制止违反治安管理的犯罪行为，警戒突发性治安现场，疏散群众，维护秩序等。</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9</w:t>
      </w:r>
      <w:r>
        <w:rPr>
          <w:rFonts w:ascii="仿宋" w:hAnsi="仿宋" w:eastAsia="仿宋" w:cs="仿宋"/>
          <w:color w:val="000000"/>
          <w:sz w:val="30"/>
          <w:szCs w:val="30"/>
        </w:rPr>
        <w:t>.项目</w:t>
      </w:r>
      <w:r>
        <w:rPr>
          <w:rFonts w:hint="eastAsia" w:ascii="仿宋" w:hAnsi="仿宋" w:eastAsia="仿宋" w:cs="仿宋"/>
          <w:color w:val="000000"/>
          <w:sz w:val="30"/>
          <w:szCs w:val="30"/>
        </w:rPr>
        <w:t>九</w:t>
      </w:r>
      <w:r>
        <w:rPr>
          <w:rFonts w:ascii="仿宋" w:hAnsi="仿宋" w:eastAsia="仿宋" w:cs="仿宋"/>
          <w:color w:val="000000"/>
          <w:sz w:val="30"/>
          <w:szCs w:val="30"/>
        </w:rPr>
        <w:t>：</w:t>
      </w:r>
      <w:r>
        <w:rPr>
          <w:rFonts w:hint="eastAsia" w:ascii="仿宋" w:hAnsi="仿宋" w:eastAsia="仿宋" w:cs="仿宋"/>
          <w:color w:val="000000"/>
          <w:sz w:val="30"/>
          <w:szCs w:val="30"/>
        </w:rPr>
        <w:t>党风廉政工作经费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年度资金总额2万元，执行期为2019年1月到2019年12月，主要用于党风廉政建设工作经费2万元，用于党风廉政建设责任制考核。</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10</w:t>
      </w:r>
      <w:r>
        <w:rPr>
          <w:rFonts w:ascii="仿宋" w:hAnsi="仿宋" w:eastAsia="仿宋" w:cs="仿宋"/>
          <w:color w:val="000000"/>
          <w:sz w:val="30"/>
          <w:szCs w:val="30"/>
        </w:rPr>
        <w:t>.项目</w:t>
      </w:r>
      <w:r>
        <w:rPr>
          <w:rFonts w:hint="eastAsia" w:ascii="仿宋" w:hAnsi="仿宋" w:eastAsia="仿宋" w:cs="仿宋"/>
          <w:color w:val="000000"/>
          <w:sz w:val="30"/>
          <w:szCs w:val="30"/>
        </w:rPr>
        <w:t>十</w:t>
      </w:r>
      <w:r>
        <w:rPr>
          <w:rFonts w:ascii="仿宋" w:hAnsi="仿宋" w:eastAsia="仿宋" w:cs="仿宋"/>
          <w:color w:val="000000"/>
          <w:sz w:val="30"/>
          <w:szCs w:val="30"/>
        </w:rPr>
        <w:t>：</w:t>
      </w:r>
      <w:r>
        <w:rPr>
          <w:rFonts w:hint="eastAsia" w:ascii="仿宋" w:hAnsi="仿宋" w:eastAsia="仿宋" w:cs="仿宋"/>
          <w:color w:val="000000"/>
          <w:sz w:val="30"/>
          <w:szCs w:val="30"/>
        </w:rPr>
        <w:t>共青妇活动经费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年度资金总额1万元，执行期为2019年1月到2019年12月，主要用于下拨禄充社区5000元，华光社区5000元，开展共青妇活动。</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11</w:t>
      </w:r>
      <w:r>
        <w:rPr>
          <w:rFonts w:ascii="Calibri" w:hAnsi="Calibri" w:eastAsia="Calibri" w:cs="Calibri"/>
          <w:color w:val="000000"/>
          <w:sz w:val="30"/>
          <w:szCs w:val="30"/>
        </w:rPr>
        <w:t> </w:t>
      </w:r>
      <w:r>
        <w:rPr>
          <w:rFonts w:ascii="仿宋" w:hAnsi="仿宋" w:eastAsia="仿宋" w:cs="仿宋"/>
          <w:color w:val="000000"/>
          <w:sz w:val="30"/>
          <w:szCs w:val="30"/>
        </w:rPr>
        <w:t>.项目</w:t>
      </w:r>
      <w:r>
        <w:rPr>
          <w:rFonts w:hint="eastAsia" w:ascii="仿宋" w:hAnsi="仿宋" w:eastAsia="仿宋" w:cs="仿宋"/>
          <w:color w:val="000000"/>
          <w:sz w:val="30"/>
          <w:szCs w:val="30"/>
        </w:rPr>
        <w:t>十一</w:t>
      </w:r>
      <w:r>
        <w:rPr>
          <w:rFonts w:ascii="仿宋" w:hAnsi="仿宋" w:eastAsia="仿宋" w:cs="仿宋"/>
          <w:color w:val="000000"/>
          <w:sz w:val="30"/>
          <w:szCs w:val="30"/>
        </w:rPr>
        <w:t>：</w:t>
      </w:r>
      <w:r>
        <w:rPr>
          <w:rFonts w:hint="eastAsia" w:ascii="仿宋" w:hAnsi="仿宋" w:eastAsia="仿宋" w:cs="仿宋"/>
          <w:color w:val="000000"/>
          <w:sz w:val="30"/>
          <w:szCs w:val="30"/>
        </w:rPr>
        <w:t>纪检监察工作经费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年度资金总额3万元，执行期为2019年1月到2019年12月，主要用于纪检监察办案经费3万元用于添置办公办案设备，订阅党风廉政宣传资料。</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12</w:t>
      </w:r>
      <w:r>
        <w:rPr>
          <w:rFonts w:ascii="仿宋" w:hAnsi="仿宋" w:eastAsia="仿宋" w:cs="仿宋"/>
          <w:color w:val="000000"/>
          <w:sz w:val="30"/>
          <w:szCs w:val="30"/>
        </w:rPr>
        <w:t>.项目</w:t>
      </w:r>
      <w:r>
        <w:rPr>
          <w:rFonts w:hint="eastAsia" w:ascii="仿宋" w:hAnsi="仿宋" w:eastAsia="仿宋" w:cs="仿宋"/>
          <w:color w:val="000000"/>
          <w:sz w:val="30"/>
          <w:szCs w:val="30"/>
        </w:rPr>
        <w:t>十二</w:t>
      </w:r>
      <w:r>
        <w:rPr>
          <w:rFonts w:ascii="仿宋" w:hAnsi="仿宋" w:eastAsia="仿宋" w:cs="仿宋"/>
          <w:color w:val="000000"/>
          <w:sz w:val="30"/>
          <w:szCs w:val="30"/>
        </w:rPr>
        <w:t>：</w:t>
      </w:r>
      <w:r>
        <w:rPr>
          <w:rFonts w:hint="eastAsia" w:ascii="仿宋" w:hAnsi="仿宋" w:eastAsia="仿宋" w:cs="仿宋"/>
          <w:color w:val="000000"/>
          <w:sz w:val="30"/>
          <w:szCs w:val="30"/>
        </w:rPr>
        <w:t>自然灾害防治经费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年度资金总额9万元，执行期为2019年1月到2019年12月，主要用于对受灾严重的广龙、尖山、禄充、立昌、双树、左所、高西、忠窑、梁王、提古共十个社区开展草地贪夜蛾配套相应工作经费。</w:t>
      </w:r>
    </w:p>
    <w:p>
      <w:pPr>
        <w:pStyle w:val="13"/>
        <w:spacing w:before="100" w:after="100" w:line="590" w:lineRule="atLeast"/>
        <w:ind w:firstLine="600"/>
        <w:jc w:val="both"/>
        <w:rPr>
          <w:rFonts w:ascii="仿宋" w:hAnsi="仿宋" w:eastAsia="仿宋" w:cs="仿宋"/>
          <w:color w:val="000000"/>
          <w:sz w:val="30"/>
          <w:szCs w:val="30"/>
        </w:rPr>
      </w:pPr>
      <w:r>
        <w:rPr>
          <w:rFonts w:hint="eastAsia" w:ascii="仿宋" w:hAnsi="仿宋" w:eastAsia="仿宋" w:cs="仿宋"/>
          <w:color w:val="000000"/>
          <w:sz w:val="30"/>
          <w:szCs w:val="30"/>
        </w:rPr>
        <w:t>13</w:t>
      </w:r>
      <w:r>
        <w:rPr>
          <w:rFonts w:ascii="仿宋" w:hAnsi="仿宋" w:eastAsia="仿宋" w:cs="仿宋"/>
          <w:color w:val="000000"/>
          <w:sz w:val="30"/>
          <w:szCs w:val="30"/>
        </w:rPr>
        <w:t>.项目</w:t>
      </w:r>
      <w:r>
        <w:rPr>
          <w:rFonts w:hint="eastAsia" w:ascii="仿宋" w:hAnsi="仿宋" w:eastAsia="仿宋" w:cs="仿宋"/>
          <w:color w:val="000000"/>
          <w:sz w:val="30"/>
          <w:szCs w:val="30"/>
        </w:rPr>
        <w:t>十三</w:t>
      </w:r>
      <w:r>
        <w:rPr>
          <w:rFonts w:ascii="仿宋" w:hAnsi="仿宋" w:eastAsia="仿宋" w:cs="仿宋"/>
          <w:color w:val="000000"/>
          <w:sz w:val="30"/>
          <w:szCs w:val="30"/>
        </w:rPr>
        <w:t>：</w:t>
      </w:r>
      <w:r>
        <w:rPr>
          <w:rFonts w:hint="eastAsia" w:ascii="仿宋" w:hAnsi="仿宋" w:eastAsia="仿宋" w:cs="仿宋"/>
          <w:color w:val="000000"/>
          <w:sz w:val="30"/>
          <w:szCs w:val="30"/>
        </w:rPr>
        <w:t>禄充波息湾酒店154.5亩土地租金</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108.15万元，执行期为2019年1月到2019年12月，主要用于按分配会议纪要，根据村规民约规定审核人员名册，按每年截断时间为11月20日止，依照审核名册发放，发放金额按人口分为两个等级，一级人口为每年的11月20日年满10周岁以上（含10周岁人员）按每人800元分配，二级人口为10周岁以下人员每人按700元分配。按2019年补助名册测算，共711户，一级人口1606人，二级人口259人，共1865人。已按时拨付。</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14</w:t>
      </w:r>
      <w:r>
        <w:rPr>
          <w:rFonts w:ascii="仿宋" w:hAnsi="仿宋" w:eastAsia="仿宋" w:cs="仿宋"/>
          <w:color w:val="000000"/>
          <w:sz w:val="30"/>
          <w:szCs w:val="30"/>
        </w:rPr>
        <w:t>.项目</w:t>
      </w:r>
      <w:r>
        <w:rPr>
          <w:rFonts w:hint="eastAsia" w:ascii="仿宋" w:hAnsi="仿宋" w:eastAsia="仿宋" w:cs="仿宋"/>
          <w:color w:val="000000"/>
          <w:sz w:val="30"/>
          <w:szCs w:val="30"/>
        </w:rPr>
        <w:t>十四</w:t>
      </w:r>
      <w:r>
        <w:rPr>
          <w:rFonts w:ascii="仿宋" w:hAnsi="仿宋" w:eastAsia="仿宋" w:cs="仿宋"/>
          <w:color w:val="000000"/>
          <w:sz w:val="30"/>
          <w:szCs w:val="30"/>
        </w:rPr>
        <w:t>：</w:t>
      </w:r>
      <w:r>
        <w:rPr>
          <w:rFonts w:hint="eastAsia" w:ascii="仿宋" w:hAnsi="仿宋" w:eastAsia="仿宋" w:cs="仿宋"/>
          <w:color w:val="000000"/>
          <w:sz w:val="30"/>
          <w:szCs w:val="30"/>
        </w:rPr>
        <w:t>综合执法经费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年度资金总额7万元，执行期为2019年1月到2019年12月，主要用于认真履行好法律法规规定的职责，做好人居环境整治、占道经营、乱搭乱建等相关工作。</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15</w:t>
      </w:r>
      <w:r>
        <w:rPr>
          <w:rFonts w:ascii="仿宋" w:hAnsi="仿宋" w:eastAsia="仿宋" w:cs="仿宋"/>
          <w:color w:val="000000"/>
          <w:sz w:val="30"/>
          <w:szCs w:val="30"/>
        </w:rPr>
        <w:t>.项目</w:t>
      </w:r>
      <w:r>
        <w:rPr>
          <w:rFonts w:hint="eastAsia" w:ascii="仿宋" w:hAnsi="仿宋" w:eastAsia="仿宋" w:cs="仿宋"/>
          <w:color w:val="000000"/>
          <w:sz w:val="30"/>
          <w:szCs w:val="30"/>
        </w:rPr>
        <w:t>十五</w:t>
      </w:r>
      <w:r>
        <w:rPr>
          <w:rFonts w:ascii="仿宋" w:hAnsi="仿宋" w:eastAsia="仿宋" w:cs="仿宋"/>
          <w:color w:val="000000"/>
          <w:sz w:val="30"/>
          <w:szCs w:val="30"/>
        </w:rPr>
        <w:t>：</w:t>
      </w:r>
      <w:r>
        <w:rPr>
          <w:rFonts w:hint="eastAsia" w:ascii="仿宋" w:hAnsi="仿宋" w:eastAsia="仿宋" w:cs="仿宋"/>
          <w:color w:val="000000"/>
          <w:sz w:val="30"/>
          <w:szCs w:val="30"/>
        </w:rPr>
        <w:t>临时人员生活补助，</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年度资金总额23.52万元，执行期为2019年1月到2019年12月，主要用于按照签订临时用工合同人员情况支付龙街街道8个临时人员生活补助。</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16</w:t>
      </w:r>
      <w:r>
        <w:rPr>
          <w:rFonts w:ascii="仿宋" w:hAnsi="仿宋" w:eastAsia="仿宋" w:cs="仿宋"/>
          <w:color w:val="000000"/>
          <w:sz w:val="30"/>
          <w:szCs w:val="30"/>
        </w:rPr>
        <w:t>.项目</w:t>
      </w:r>
      <w:r>
        <w:rPr>
          <w:rFonts w:hint="eastAsia" w:ascii="仿宋" w:hAnsi="仿宋" w:eastAsia="仿宋" w:cs="仿宋"/>
          <w:color w:val="000000"/>
          <w:sz w:val="30"/>
          <w:szCs w:val="30"/>
        </w:rPr>
        <w:t>十六</w:t>
      </w:r>
      <w:r>
        <w:rPr>
          <w:rFonts w:ascii="仿宋" w:hAnsi="仿宋" w:eastAsia="仿宋" w:cs="仿宋"/>
          <w:color w:val="000000"/>
          <w:sz w:val="30"/>
          <w:szCs w:val="30"/>
        </w:rPr>
        <w:t>：</w:t>
      </w:r>
      <w:r>
        <w:rPr>
          <w:rFonts w:hint="eastAsia" w:ascii="仿宋" w:hAnsi="仿宋" w:eastAsia="仿宋" w:cs="仿宋"/>
          <w:color w:val="000000"/>
          <w:sz w:val="30"/>
          <w:szCs w:val="30"/>
        </w:rPr>
        <w:t>禄充环境卫生综合整治专项经费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30万元，执行期为2019年1月到2019年12月，主要用于拆除笔架山临湖旱厕1座，拆除重建农贸市场厕所1座，改造观音寺、大佛寺、公交车站厕所3座，目前工程已全部完工，工程已送审，尚未出审计结果，预计审计资金165万元，本次补助资金30万元在2019年拨付。</w:t>
      </w:r>
    </w:p>
    <w:p>
      <w:pPr>
        <w:pStyle w:val="13"/>
        <w:spacing w:before="100" w:after="100" w:line="590" w:lineRule="atLeast"/>
        <w:ind w:firstLine="600"/>
        <w:jc w:val="both"/>
        <w:rPr>
          <w:rFonts w:ascii="仿宋" w:hAnsi="仿宋" w:eastAsia="仿宋" w:cs="仿宋"/>
          <w:color w:val="000000"/>
          <w:sz w:val="30"/>
          <w:szCs w:val="30"/>
        </w:rPr>
      </w:pPr>
      <w:r>
        <w:rPr>
          <w:rFonts w:hint="eastAsia" w:ascii="仿宋" w:hAnsi="仿宋" w:eastAsia="仿宋" w:cs="仿宋"/>
          <w:color w:val="000000"/>
          <w:sz w:val="30"/>
          <w:szCs w:val="30"/>
        </w:rPr>
        <w:t>17</w:t>
      </w:r>
      <w:r>
        <w:rPr>
          <w:rFonts w:ascii="仿宋" w:hAnsi="仿宋" w:eastAsia="仿宋" w:cs="仿宋"/>
          <w:color w:val="000000"/>
          <w:sz w:val="30"/>
          <w:szCs w:val="30"/>
        </w:rPr>
        <w:t>.项目</w:t>
      </w:r>
      <w:r>
        <w:rPr>
          <w:rFonts w:hint="eastAsia" w:ascii="仿宋" w:hAnsi="仿宋" w:eastAsia="仿宋" w:cs="仿宋"/>
          <w:color w:val="000000"/>
          <w:sz w:val="30"/>
          <w:szCs w:val="30"/>
        </w:rPr>
        <w:t>十七</w:t>
      </w:r>
      <w:r>
        <w:rPr>
          <w:rFonts w:ascii="仿宋" w:hAnsi="仿宋" w:eastAsia="仿宋" w:cs="仿宋"/>
          <w:color w:val="000000"/>
          <w:sz w:val="30"/>
          <w:szCs w:val="30"/>
        </w:rPr>
        <w:t>：</w:t>
      </w:r>
      <w:r>
        <w:rPr>
          <w:rFonts w:hint="eastAsia" w:ascii="仿宋" w:hAnsi="仿宋" w:eastAsia="仿宋" w:cs="仿宋"/>
          <w:color w:val="000000"/>
          <w:sz w:val="30"/>
          <w:szCs w:val="30"/>
        </w:rPr>
        <w:t>抚仙湖北岸湿地广龙实验区项目专项资金</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4500万元，执行期为2019年1月到2019年12月，主要用于2018年6月13日经县政府研究决定，在龙街街道办事处成立了抚仙湖北岸生态湿地（广龙试验区）项目建设工程管理局，7月完成山水林田湖草项目2000万元中央专项资金配套，9月与抚旅投公司对接，完成湿地项目环评、水保、前置审查相关资料移交工作；完成项目实施范围内16个地块380亩土地复垦工作；完成项目EPC招标工作和项目建设监理单位招标工作；项目EPC中标单位对规划设计成果进一步完善和深化，已经县规委会评审通过，目前，项目110亩示范区和新环湖路绿化带已经全面动工实施，示范区1.5m道路路基铺筑完成500m，试验区花海土山造型已完成100%进度，实验区20米绿化带已完成90%进度，完成产值5072.9391万元。2018年6月13日经县政府研究决定，在龙街街道办事处成立了抚仙湖北岸生态湿地（广龙试验区）项目建设工程管理局，7月完成山水林田湖草项目2000万元中央专项资金配套，9月与抚旅投公司对接，完成湿地项目环评、水保、前置审查相关资料移交工作；完成项目实施范围内16个地块380亩土地复垦工作；完成项目EPC招标工作和项目建设监理单位招标工作；项目EPC中标单位对规划设计成果进一步完善和深化，已经县规委会评审通过，目前，项目110亩示范区和新环湖路绿化带已经全面动工实施，示范区1.5m道路路基铺筑完成500m，试验区花海土山造型已完成100%进度，实验区20米绿化带已完成90%进度，完成产值5072.9391万元。</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18</w:t>
      </w:r>
      <w:r>
        <w:rPr>
          <w:rFonts w:ascii="仿宋" w:hAnsi="仿宋" w:eastAsia="仿宋" w:cs="仿宋"/>
          <w:color w:val="000000"/>
          <w:sz w:val="30"/>
          <w:szCs w:val="30"/>
        </w:rPr>
        <w:t>.项目</w:t>
      </w:r>
      <w:r>
        <w:rPr>
          <w:rFonts w:hint="eastAsia" w:ascii="仿宋" w:hAnsi="仿宋" w:eastAsia="仿宋" w:cs="仿宋"/>
          <w:color w:val="000000"/>
          <w:sz w:val="30"/>
          <w:szCs w:val="30"/>
        </w:rPr>
        <w:t>十八</w:t>
      </w:r>
      <w:r>
        <w:rPr>
          <w:rFonts w:ascii="仿宋" w:hAnsi="仿宋" w:eastAsia="仿宋" w:cs="仿宋"/>
          <w:color w:val="000000"/>
          <w:sz w:val="30"/>
          <w:szCs w:val="30"/>
        </w:rPr>
        <w:t>：</w:t>
      </w:r>
      <w:r>
        <w:rPr>
          <w:rFonts w:hint="eastAsia" w:ascii="仿宋" w:hAnsi="仿宋" w:eastAsia="仿宋" w:cs="仿宋"/>
          <w:color w:val="000000"/>
          <w:sz w:val="30"/>
          <w:szCs w:val="30"/>
        </w:rPr>
        <w:t>2018财政税收增收留用以奖代补补助资金</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800万元，执行期为2019年1月到2019年12月，主要用于龙街街道办根据奖励资金，安排于以下方面，800万元资金用于以下方面：（1）养白牛社区猴子箐小组地质灾害搬迁经费309439.98元；（2）龙街文化站加层建设经费509397.55元，主要用于龙街文化站加层建设缺口经费；（3）龙街街道办职工食堂建设及院内环境建设经费855525.49元，职工食堂建设及院内环境建设项目审计决算主要用于主体工程欠款，审计费用元及设计费用收监理费等；（4）龙街党群服务中心建设492832.08元，龙街党群服务中心项目工程结算金额205万元，已支付工程款145万元，发排资金用于工程款及监理费；（5）禄充社区泥母猪小组地质灾害点</w:t>
      </w:r>
      <w:r>
        <w:rPr>
          <w:rFonts w:hint="eastAsia" w:ascii="仿宋" w:hAnsi="仿宋" w:eastAsia="仿宋" w:cs="仿宋"/>
          <w:color w:val="000000"/>
          <w:sz w:val="30"/>
          <w:szCs w:val="30"/>
          <w:lang w:val="en-US" w:eastAsia="zh-CN"/>
        </w:rPr>
        <w:t>易</w:t>
      </w:r>
      <w:r>
        <w:rPr>
          <w:rFonts w:hint="eastAsia" w:ascii="仿宋" w:hAnsi="仿宋" w:eastAsia="仿宋" w:cs="仿宋"/>
          <w:color w:val="000000"/>
          <w:sz w:val="30"/>
          <w:szCs w:val="30"/>
        </w:rPr>
        <w:t>地扶贫搬迁经费1025206.16元，泥母猪小组地质灾害点</w:t>
      </w:r>
      <w:r>
        <w:rPr>
          <w:rFonts w:hint="eastAsia" w:ascii="仿宋" w:hAnsi="仿宋" w:eastAsia="仿宋" w:cs="仿宋"/>
          <w:color w:val="000000"/>
          <w:sz w:val="30"/>
          <w:szCs w:val="30"/>
          <w:lang w:val="en-US" w:eastAsia="zh-CN"/>
        </w:rPr>
        <w:t>易</w:t>
      </w:r>
      <w:r>
        <w:rPr>
          <w:rFonts w:hint="eastAsia" w:ascii="仿宋" w:hAnsi="仿宋" w:eastAsia="仿宋" w:cs="仿宋"/>
          <w:color w:val="000000"/>
          <w:sz w:val="30"/>
          <w:szCs w:val="30"/>
        </w:rPr>
        <w:t>地扶贫搬迁项目审定金额899万元，到位资金767万元，到位资金已全部支付施工单位，目前缺口</w:t>
      </w:r>
      <w:r>
        <w:rPr>
          <w:rFonts w:hint="eastAsia" w:ascii="仿宋" w:hAnsi="仿宋" w:eastAsia="仿宋" w:cs="仿宋"/>
          <w:color w:val="000000"/>
          <w:sz w:val="30"/>
          <w:szCs w:val="30"/>
          <w:lang w:val="en-US" w:eastAsia="zh-CN"/>
        </w:rPr>
        <w:t>易</w:t>
      </w:r>
      <w:r>
        <w:rPr>
          <w:rFonts w:hint="eastAsia" w:ascii="仿宋" w:hAnsi="仿宋" w:eastAsia="仿宋" w:cs="仿宋"/>
          <w:color w:val="000000"/>
          <w:sz w:val="30"/>
          <w:szCs w:val="30"/>
        </w:rPr>
        <w:t>地扶贫搬迁经费1025206.16元；（6）尖山社区干冲小组地质灾害搬迁经费872449.20元，干冲小组地质灾害搬点土地平整工程结算金额1132449.20元，项目实施中支付施工单位26万元，拨付剩余资金872449.20元；（7）乡村卫生室建设经费15万元，为加强社区卫生室建设，县卫生局、龙街街道办和相关社区决定共同出资建设，龙街街道办经过研究，决定给予左所卫生室建设补助5.5万元，给予高西卫生室建设补助9.5万元，两项共计15万元；（8）标准化财政所建设资金50289.18元。（9）</w:t>
      </w:r>
      <w:r>
        <w:rPr>
          <w:rFonts w:hint="eastAsia" w:ascii="仿宋" w:hAnsi="仿宋" w:eastAsia="仿宋" w:cs="仿宋"/>
          <w:color w:val="000000"/>
          <w:sz w:val="30"/>
          <w:szCs w:val="30"/>
          <w:lang w:eastAsia="zh-CN"/>
        </w:rPr>
        <w:t>基层</w:t>
      </w:r>
      <w:r>
        <w:rPr>
          <w:rFonts w:hint="eastAsia" w:ascii="仿宋" w:hAnsi="仿宋" w:eastAsia="仿宋" w:cs="仿宋"/>
          <w:color w:val="000000"/>
          <w:sz w:val="30"/>
          <w:szCs w:val="30"/>
        </w:rPr>
        <w:t>党建经费17万元，为加强基层党建，龙街街道办经过研究，决定给予双树社区党员活动室建设补助10万元，给予万海社区大河埂小组党员活动室建设补助7万元，两项共计17万元；债务化解资金3564860.27元，主要用于近年实施的百千工程、扶贫工程、污水治理工程等债务的化解。</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19</w:t>
      </w:r>
      <w:r>
        <w:rPr>
          <w:rFonts w:ascii="仿宋" w:hAnsi="仿宋" w:eastAsia="仿宋" w:cs="仿宋"/>
          <w:color w:val="000000"/>
          <w:sz w:val="30"/>
          <w:szCs w:val="30"/>
        </w:rPr>
        <w:t>.项目</w:t>
      </w:r>
      <w:r>
        <w:rPr>
          <w:rFonts w:hint="eastAsia" w:ascii="仿宋" w:hAnsi="仿宋" w:eastAsia="仿宋" w:cs="仿宋"/>
          <w:color w:val="000000"/>
          <w:sz w:val="30"/>
          <w:szCs w:val="30"/>
        </w:rPr>
        <w:t>十九</w:t>
      </w:r>
      <w:r>
        <w:rPr>
          <w:rFonts w:ascii="仿宋" w:hAnsi="仿宋" w:eastAsia="仿宋" w:cs="仿宋"/>
          <w:color w:val="000000"/>
          <w:sz w:val="30"/>
          <w:szCs w:val="30"/>
        </w:rPr>
        <w:t>：</w:t>
      </w:r>
      <w:r>
        <w:rPr>
          <w:rFonts w:hint="eastAsia" w:ascii="仿宋" w:hAnsi="仿宋" w:eastAsia="仿宋" w:cs="仿宋"/>
          <w:color w:val="000000"/>
          <w:sz w:val="30"/>
          <w:szCs w:val="30"/>
        </w:rPr>
        <w:t>龙街街道大清沟脱劣市级补助经费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年度资金总额3万元，执行期为2019年1月到2019年12月，主要用于2019年6月30日前入湖河水脱劣。</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20</w:t>
      </w:r>
      <w:r>
        <w:rPr>
          <w:rFonts w:ascii="仿宋" w:hAnsi="仿宋" w:eastAsia="仿宋" w:cs="仿宋"/>
          <w:color w:val="000000"/>
          <w:sz w:val="30"/>
          <w:szCs w:val="30"/>
        </w:rPr>
        <w:t>.项目</w:t>
      </w:r>
      <w:r>
        <w:rPr>
          <w:rFonts w:hint="eastAsia" w:ascii="仿宋" w:hAnsi="仿宋" w:eastAsia="仿宋" w:cs="仿宋"/>
          <w:color w:val="000000"/>
          <w:sz w:val="30"/>
          <w:szCs w:val="30"/>
        </w:rPr>
        <w:t>二十</w:t>
      </w:r>
      <w:r>
        <w:rPr>
          <w:rFonts w:ascii="仿宋" w:hAnsi="仿宋" w:eastAsia="仿宋" w:cs="仿宋"/>
          <w:color w:val="000000"/>
          <w:sz w:val="30"/>
          <w:szCs w:val="30"/>
        </w:rPr>
        <w:t>：</w:t>
      </w:r>
      <w:r>
        <w:rPr>
          <w:rFonts w:hint="eastAsia" w:ascii="仿宋" w:hAnsi="仿宋" w:eastAsia="仿宋" w:cs="仿宋"/>
          <w:color w:val="000000"/>
          <w:sz w:val="30"/>
          <w:szCs w:val="30"/>
        </w:rPr>
        <w:t>龙街街道养白牛社区人居环境整治市级补助经费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8万元，执行期为2019年1月到2019年12月，主要用于（1）发展地区经济，进行城市建设；（2）农村生活垃圾治理；（3）村庄清洁行动；（4）村容村貌整治提升；（5）增设垃圾分类桶；（6）开展人居环境整治宣传教育；（7）改善保洁员待遇。资金效果为：（1）加快发展地区经济，进行城市建设；（2）农村生活垃圾治理；（3）村庄清洁行动；（4）村容村貌整治提升。（5）增设垃圾分类桶；（6）开展人居环境整治宣传教育；（7）改善保洁员待遇。</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21</w:t>
      </w:r>
      <w:r>
        <w:rPr>
          <w:rFonts w:ascii="仿宋" w:hAnsi="仿宋" w:eastAsia="仿宋" w:cs="仿宋"/>
          <w:color w:val="000000"/>
          <w:sz w:val="30"/>
          <w:szCs w:val="30"/>
        </w:rPr>
        <w:t>.项目</w:t>
      </w:r>
      <w:r>
        <w:rPr>
          <w:rFonts w:hint="eastAsia" w:ascii="仿宋" w:hAnsi="仿宋" w:eastAsia="仿宋" w:cs="仿宋"/>
          <w:color w:val="000000"/>
          <w:sz w:val="30"/>
          <w:szCs w:val="30"/>
        </w:rPr>
        <w:t>二十一</w:t>
      </w:r>
      <w:r>
        <w:rPr>
          <w:rFonts w:ascii="仿宋" w:hAnsi="仿宋" w:eastAsia="仿宋" w:cs="仿宋"/>
          <w:color w:val="000000"/>
          <w:sz w:val="30"/>
          <w:szCs w:val="30"/>
        </w:rPr>
        <w:t>：</w:t>
      </w:r>
      <w:r>
        <w:rPr>
          <w:rFonts w:hint="eastAsia" w:ascii="仿宋" w:hAnsi="仿宋" w:eastAsia="仿宋" w:cs="仿宋"/>
          <w:color w:val="000000"/>
          <w:sz w:val="30"/>
          <w:szCs w:val="30"/>
        </w:rPr>
        <w:t>万海社区荷藕庄园建设经费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121.49万元，执行期为2019年1月到2019年12月，主要用于为响应县委，政府的号召，结合澄江县旅游产业及观光农业和产业结构调整。按照2017年02月25日第28期、2017年04月01日第13期澄江县人民政府专题会议纪要精神，龙街道组织万海社区开展许士营—马房村片区荷藕庄园的土地流转工作用于种植荷藕，2017年03月01日完成了许世营十二组、许家村小组两个居民小组。涉及农户及集体240多户、租用土地合计221.6849亩。为规范和加强资金使用管理，建立健全激励和约束机制，提高财政资金使用效益，根据有关法律法规、我部门严格按照澄江市相关绩效管理制度对财政预算安排的资金设定绩效目标，对绩效目标运行情况进行跟踪监控管理，对支出的经济性、效率性、效益性、公平性、规范性进行客观、公正的评价，并以支出结果为导向的全过程预算管理模式。资金年初预算数为121.49万元，预算下达数为121.49万元、实际支出为121.49万元。</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22</w:t>
      </w:r>
      <w:r>
        <w:rPr>
          <w:rFonts w:ascii="仿宋" w:hAnsi="仿宋" w:eastAsia="仿宋" w:cs="仿宋"/>
          <w:color w:val="000000"/>
          <w:sz w:val="30"/>
          <w:szCs w:val="30"/>
        </w:rPr>
        <w:t>.项目</w:t>
      </w:r>
      <w:r>
        <w:rPr>
          <w:rFonts w:hint="eastAsia" w:ascii="仿宋" w:hAnsi="仿宋" w:eastAsia="仿宋" w:cs="仿宋"/>
          <w:color w:val="000000"/>
          <w:sz w:val="30"/>
          <w:szCs w:val="30"/>
        </w:rPr>
        <w:t>二十二</w:t>
      </w:r>
      <w:r>
        <w:rPr>
          <w:rFonts w:ascii="仿宋" w:hAnsi="仿宋" w:eastAsia="仿宋" w:cs="仿宋"/>
          <w:color w:val="000000"/>
          <w:sz w:val="30"/>
          <w:szCs w:val="30"/>
        </w:rPr>
        <w:t>：</w:t>
      </w:r>
      <w:r>
        <w:rPr>
          <w:rFonts w:hint="eastAsia" w:ascii="仿宋" w:hAnsi="仿宋" w:eastAsia="仿宋" w:cs="仿宋"/>
          <w:color w:val="000000"/>
          <w:sz w:val="30"/>
          <w:szCs w:val="30"/>
        </w:rPr>
        <w:t>北岸生态湿地建设项目一期搬迁困难大学生补助</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年度资金总额12万元，执行期为2019年1月到2019年12月，主要用于北岸生态湿地建设项目一期搬迁人员困难大学生补助。已按时拨付资金。</w:t>
      </w:r>
    </w:p>
    <w:p>
      <w:pPr>
        <w:pStyle w:val="13"/>
        <w:spacing w:before="100" w:after="100" w:line="590" w:lineRule="atLeast"/>
        <w:ind w:firstLine="600"/>
        <w:jc w:val="both"/>
        <w:rPr>
          <w:rFonts w:ascii="仿宋" w:hAnsi="仿宋" w:eastAsia="仿宋" w:cs="仿宋"/>
          <w:color w:val="000000"/>
          <w:sz w:val="30"/>
          <w:szCs w:val="30"/>
        </w:rPr>
      </w:pPr>
      <w:r>
        <w:rPr>
          <w:rFonts w:hint="eastAsia" w:ascii="仿宋" w:hAnsi="仿宋" w:eastAsia="仿宋" w:cs="仿宋"/>
          <w:color w:val="000000"/>
          <w:sz w:val="30"/>
          <w:szCs w:val="30"/>
        </w:rPr>
        <w:t>23</w:t>
      </w:r>
      <w:r>
        <w:rPr>
          <w:rFonts w:ascii="仿宋" w:hAnsi="仿宋" w:eastAsia="仿宋" w:cs="仿宋"/>
          <w:color w:val="000000"/>
          <w:sz w:val="30"/>
          <w:szCs w:val="30"/>
        </w:rPr>
        <w:t>.项目</w:t>
      </w:r>
      <w:r>
        <w:rPr>
          <w:rFonts w:hint="eastAsia" w:ascii="仿宋" w:hAnsi="仿宋" w:eastAsia="仿宋" w:cs="仿宋"/>
          <w:color w:val="000000"/>
          <w:sz w:val="30"/>
          <w:szCs w:val="30"/>
        </w:rPr>
        <w:t>二十三</w:t>
      </w:r>
      <w:r>
        <w:rPr>
          <w:rFonts w:ascii="仿宋" w:hAnsi="仿宋" w:eastAsia="仿宋" w:cs="仿宋"/>
          <w:color w:val="000000"/>
          <w:sz w:val="30"/>
          <w:szCs w:val="30"/>
        </w:rPr>
        <w:t>：</w:t>
      </w:r>
      <w:r>
        <w:rPr>
          <w:rFonts w:hint="eastAsia" w:ascii="仿宋" w:hAnsi="仿宋" w:eastAsia="仿宋" w:cs="仿宋"/>
          <w:color w:val="000000"/>
          <w:sz w:val="30"/>
          <w:szCs w:val="30"/>
        </w:rPr>
        <w:t>广龙旅游小镇安家补偿费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2021.45万元，执行期为2019年1月到2019年12月，主要用于从根本上改善抚仙湖流域生态环境，确保抚仙湖长期稳定保持I类水质，积极推进省、市抚仙湖保护战略而实施的重点生态文明建设工程，加快抚仙湖“四退三还”进程，促进群众从传统农业向以旅游为主的服务业转变，实现抚仙湖保护、沿湖群众安置、生产生活方式转变、经济社会可持续发展。经县委、县政府研究，决定实施澄江县广龙旅游小镇(玉溪市澄江县广龙片区棚户区改造项目）。让我们积极行动下来，认真贯彻习近平总书记关于生态文明建设的思想，坚定贯彻新发展理念，树立和践行绿水青山就是金山银山理念，坚定不移走绿色低碳循环发展之路，引导全社会形成绿色发展方式和生活方式。通过全澄江市乃至全国人民的共同努力，使我们的家园天更蓝、山更绿、水更清、环境更优美。让绿水青山就是金山银山的理念在咱澄江土地上更加充分地展示出来。齐心协力，坚定信心、狠下决心、步调一致、形成合力，以新气象、新作为，打赢新时代抚仙湖保卫战，让“高原明珠”永放光芒资金年初预算数为2021.45万元，预算下达数为2021.45万元、实际支出为2021.45万元。。</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24</w:t>
      </w:r>
      <w:r>
        <w:rPr>
          <w:rFonts w:ascii="仿宋" w:hAnsi="仿宋" w:eastAsia="仿宋" w:cs="仿宋"/>
          <w:color w:val="000000"/>
          <w:sz w:val="30"/>
          <w:szCs w:val="30"/>
        </w:rPr>
        <w:t>.项目</w:t>
      </w:r>
      <w:r>
        <w:rPr>
          <w:rFonts w:hint="eastAsia" w:ascii="仿宋" w:hAnsi="仿宋" w:eastAsia="仿宋" w:cs="仿宋"/>
          <w:color w:val="000000"/>
          <w:sz w:val="30"/>
          <w:szCs w:val="30"/>
        </w:rPr>
        <w:t>二十四</w:t>
      </w:r>
      <w:r>
        <w:rPr>
          <w:rFonts w:ascii="仿宋" w:hAnsi="仿宋" w:eastAsia="仿宋" w:cs="仿宋"/>
          <w:color w:val="000000"/>
          <w:sz w:val="30"/>
          <w:szCs w:val="30"/>
        </w:rPr>
        <w:t>：</w:t>
      </w:r>
      <w:r>
        <w:rPr>
          <w:rFonts w:hint="eastAsia" w:ascii="仿宋" w:hAnsi="仿宋" w:eastAsia="仿宋" w:cs="仿宋"/>
          <w:color w:val="000000"/>
          <w:sz w:val="30"/>
          <w:szCs w:val="30"/>
        </w:rPr>
        <w:t>办公费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年度资金总额13.32万元，执行期为2019年1月到2019年12月，主要用于按照年初制定的计划安排办公经费使用，主要用于水电网费缴交、日常办公用品采买，维持单位正常运转。</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25</w:t>
      </w:r>
      <w:r>
        <w:rPr>
          <w:rFonts w:ascii="仿宋" w:hAnsi="仿宋" w:eastAsia="仿宋" w:cs="仿宋"/>
          <w:color w:val="000000"/>
          <w:sz w:val="30"/>
          <w:szCs w:val="30"/>
        </w:rPr>
        <w:t>.项目</w:t>
      </w:r>
      <w:r>
        <w:rPr>
          <w:rFonts w:hint="eastAsia" w:ascii="仿宋" w:hAnsi="仿宋" w:eastAsia="仿宋" w:cs="仿宋"/>
          <w:color w:val="000000"/>
          <w:sz w:val="30"/>
          <w:szCs w:val="30"/>
        </w:rPr>
        <w:t>二十五</w:t>
      </w:r>
      <w:r>
        <w:rPr>
          <w:rFonts w:ascii="仿宋" w:hAnsi="仿宋" w:eastAsia="仿宋" w:cs="仿宋"/>
          <w:color w:val="000000"/>
          <w:sz w:val="30"/>
          <w:szCs w:val="30"/>
        </w:rPr>
        <w:t>：</w:t>
      </w:r>
      <w:r>
        <w:rPr>
          <w:rFonts w:hint="eastAsia" w:ascii="仿宋" w:hAnsi="仿宋" w:eastAsia="仿宋" w:cs="仿宋"/>
          <w:color w:val="000000"/>
          <w:sz w:val="30"/>
          <w:szCs w:val="30"/>
        </w:rPr>
        <w:t>华光幼儿园建设经费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166.95万元，执行期为2019年1月到2019年12月，主要用于华光社区幼儿园位于社区入村通道处，共两层楼，有教室、室外儿童活动场所，以及厨房，现招收班级为大中小班。要完全解决少数民族儿童上幼儿园困难的情况。项目于2018年各级会议通过后开始立项并逐一实施。分3次付款共计266.95万元整。</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26.</w:t>
      </w:r>
      <w:r>
        <w:rPr>
          <w:rFonts w:ascii="仿宋" w:hAnsi="仿宋" w:eastAsia="仿宋" w:cs="仿宋"/>
          <w:color w:val="000000"/>
          <w:sz w:val="30"/>
          <w:szCs w:val="30"/>
        </w:rPr>
        <w:t>项目</w:t>
      </w:r>
      <w:r>
        <w:rPr>
          <w:rFonts w:hint="eastAsia" w:ascii="仿宋" w:hAnsi="仿宋" w:eastAsia="仿宋" w:cs="仿宋"/>
          <w:color w:val="000000"/>
          <w:sz w:val="30"/>
          <w:szCs w:val="30"/>
        </w:rPr>
        <w:t>二十六</w:t>
      </w:r>
      <w:r>
        <w:rPr>
          <w:rFonts w:ascii="仿宋" w:hAnsi="仿宋" w:eastAsia="仿宋" w:cs="仿宋"/>
          <w:color w:val="000000"/>
          <w:sz w:val="30"/>
          <w:szCs w:val="30"/>
        </w:rPr>
        <w:t>：</w:t>
      </w:r>
      <w:r>
        <w:rPr>
          <w:rFonts w:hint="eastAsia" w:ascii="仿宋" w:hAnsi="仿宋" w:eastAsia="仿宋" w:cs="仿宋"/>
          <w:color w:val="000000"/>
          <w:sz w:val="30"/>
          <w:szCs w:val="30"/>
        </w:rPr>
        <w:t>基层党建工作经费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年度资金总额25万元，执行期为2019年1月到2019年12月，主要用于党员活动室、党群服务中心、党员学习资料等党建工作，同时加强社区基层党组织建设，发展基层党员。该已拨付使用，保障了党建工作开展。</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27.</w:t>
      </w:r>
      <w:r>
        <w:rPr>
          <w:rFonts w:ascii="仿宋" w:hAnsi="仿宋" w:eastAsia="仿宋" w:cs="仿宋"/>
          <w:color w:val="000000"/>
          <w:sz w:val="30"/>
          <w:szCs w:val="30"/>
        </w:rPr>
        <w:t>项目</w:t>
      </w:r>
      <w:r>
        <w:rPr>
          <w:rFonts w:hint="eastAsia" w:ascii="仿宋" w:hAnsi="仿宋" w:eastAsia="仿宋" w:cs="仿宋"/>
          <w:color w:val="000000"/>
          <w:sz w:val="30"/>
          <w:szCs w:val="30"/>
        </w:rPr>
        <w:t>二十七</w:t>
      </w:r>
      <w:r>
        <w:rPr>
          <w:rFonts w:ascii="仿宋" w:hAnsi="仿宋" w:eastAsia="仿宋" w:cs="仿宋"/>
          <w:color w:val="000000"/>
          <w:sz w:val="30"/>
          <w:szCs w:val="30"/>
        </w:rPr>
        <w:t>：</w:t>
      </w:r>
      <w:r>
        <w:rPr>
          <w:rFonts w:hint="eastAsia" w:ascii="仿宋" w:hAnsi="仿宋" w:eastAsia="仿宋" w:cs="仿宋"/>
          <w:color w:val="000000"/>
          <w:sz w:val="30"/>
          <w:szCs w:val="30"/>
        </w:rPr>
        <w:t>产业结构调整经费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3万元，执行期为2019年1月到2019年12月，主要用于（1）立昌社区小白岩因修山区道路时毁损了原来铺设的人饮钢管，架设PVC管道3000米。（2）龙街社区有八个自然村，十一个村民小组，总人口7220人，总耕地3980亩。为保护抚仙湖，所有耕地均已流转，为做好下一步的产业结构调整工作，龙街社区投入了大量的人力物力。（3）因辖区土地流转已完成2.4万亩，产业结构发生变化，存放的农药无法投入使用农业生产，为规范处置农药，街道与昆明志鑫经贸有限公司签订农药运输合同，起止：澄江龙街至红河个旧，经称量和鉴定，该批农药合计291.46千克，其中普通农药259.32千克，剧毒农药32.14千克。</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28</w:t>
      </w:r>
      <w:r>
        <w:rPr>
          <w:rFonts w:ascii="仿宋" w:hAnsi="仿宋" w:eastAsia="仿宋" w:cs="仿宋"/>
          <w:color w:val="000000"/>
          <w:sz w:val="30"/>
          <w:szCs w:val="30"/>
        </w:rPr>
        <w:t>.项目</w:t>
      </w:r>
      <w:r>
        <w:rPr>
          <w:rFonts w:hint="eastAsia" w:ascii="仿宋" w:hAnsi="仿宋" w:eastAsia="仿宋" w:cs="仿宋"/>
          <w:color w:val="000000"/>
          <w:sz w:val="30"/>
          <w:szCs w:val="30"/>
        </w:rPr>
        <w:t>二十八</w:t>
      </w:r>
      <w:r>
        <w:rPr>
          <w:rFonts w:ascii="仿宋" w:hAnsi="仿宋" w:eastAsia="仿宋" w:cs="仿宋"/>
          <w:color w:val="000000"/>
          <w:sz w:val="30"/>
          <w:szCs w:val="30"/>
        </w:rPr>
        <w:t>：</w:t>
      </w:r>
      <w:r>
        <w:rPr>
          <w:rFonts w:hint="eastAsia" w:ascii="仿宋" w:hAnsi="仿宋" w:eastAsia="仿宋" w:cs="仿宋"/>
          <w:color w:val="000000"/>
          <w:sz w:val="30"/>
          <w:szCs w:val="30"/>
        </w:rPr>
        <w:t>三资管理经费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10万元，执行期为2019年1月到2019年12月，主要用于照预定目标，该项目取得以下目标：（1）经济效益：有利于盘活农村集体存量资产，增加农民财产性收入;有利于壮大农村集体经济；（2）社会效益：有利于稳定和完善农村基本经营制度，维护集体经济组织和农民群众的合法权益；（3）课持续影响:确保农村集体经济健康有序发展壮大，可以为解决无偿霸占村集三资的问题提供强有力的支持.。</w:t>
      </w:r>
    </w:p>
    <w:p>
      <w:pPr>
        <w:pStyle w:val="13"/>
        <w:spacing w:before="100" w:after="100" w:line="590" w:lineRule="atLeast"/>
        <w:ind w:firstLine="600"/>
        <w:rPr>
          <w:rFonts w:ascii="仿宋" w:hAnsi="仿宋" w:eastAsia="仿宋" w:cs="仿宋"/>
          <w:color w:val="000000"/>
          <w:sz w:val="30"/>
          <w:szCs w:val="30"/>
        </w:rPr>
      </w:pPr>
      <w:r>
        <w:rPr>
          <w:rFonts w:hint="eastAsia" w:ascii="仿宋" w:hAnsi="仿宋" w:eastAsia="仿宋" w:cs="仿宋"/>
          <w:color w:val="000000"/>
          <w:sz w:val="30"/>
          <w:szCs w:val="30"/>
        </w:rPr>
        <w:t>29.</w:t>
      </w:r>
      <w:r>
        <w:rPr>
          <w:rFonts w:ascii="仿宋" w:hAnsi="仿宋" w:eastAsia="仿宋" w:cs="仿宋"/>
          <w:color w:val="000000"/>
          <w:sz w:val="30"/>
          <w:szCs w:val="30"/>
        </w:rPr>
        <w:t>项目</w:t>
      </w:r>
      <w:r>
        <w:rPr>
          <w:rFonts w:hint="eastAsia" w:ascii="仿宋" w:hAnsi="仿宋" w:eastAsia="仿宋" w:cs="仿宋"/>
          <w:color w:val="000000"/>
          <w:sz w:val="30"/>
          <w:szCs w:val="30"/>
        </w:rPr>
        <w:t>二十九</w:t>
      </w:r>
      <w:r>
        <w:rPr>
          <w:rFonts w:ascii="仿宋" w:hAnsi="仿宋" w:eastAsia="仿宋" w:cs="仿宋"/>
          <w:color w:val="000000"/>
          <w:sz w:val="30"/>
          <w:szCs w:val="30"/>
        </w:rPr>
        <w:t>：</w:t>
      </w:r>
      <w:r>
        <w:rPr>
          <w:rFonts w:hint="eastAsia" w:ascii="仿宋" w:hAnsi="仿宋" w:eastAsia="仿宋" w:cs="仿宋"/>
          <w:color w:val="000000"/>
          <w:sz w:val="30"/>
          <w:szCs w:val="30"/>
        </w:rPr>
        <w:t>森林防火及防治经费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年度资金总额4万元，执行期为2019年1月到2019年12月，主要用于因相关社区重点林区道路边沿4米内火灾隐患区域进行杂草清理，预防森林火灾发生，有效的保护龙街街道森林资源。</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hint="eastAsia" w:ascii="仿宋" w:hAnsi="仿宋" w:eastAsia="仿宋" w:cs="仿宋"/>
          <w:color w:val="000000"/>
          <w:sz w:val="30"/>
          <w:szCs w:val="30"/>
        </w:rPr>
        <w:t>30</w:t>
      </w:r>
      <w:r>
        <w:rPr>
          <w:rFonts w:ascii="仿宋" w:hAnsi="仿宋" w:eastAsia="仿宋" w:cs="仿宋"/>
          <w:color w:val="000000"/>
          <w:sz w:val="30"/>
          <w:szCs w:val="30"/>
        </w:rPr>
        <w:t>.项目三</w:t>
      </w:r>
      <w:r>
        <w:rPr>
          <w:rFonts w:hint="eastAsia" w:ascii="仿宋" w:hAnsi="仿宋" w:eastAsia="仿宋" w:cs="仿宋"/>
          <w:color w:val="000000"/>
          <w:sz w:val="30"/>
          <w:szCs w:val="30"/>
        </w:rPr>
        <w:t>十</w:t>
      </w:r>
      <w:r>
        <w:rPr>
          <w:rFonts w:ascii="仿宋" w:hAnsi="仿宋" w:eastAsia="仿宋" w:cs="仿宋"/>
          <w:color w:val="000000"/>
          <w:sz w:val="30"/>
          <w:szCs w:val="30"/>
        </w:rPr>
        <w:t>：</w:t>
      </w:r>
      <w:r>
        <w:rPr>
          <w:rFonts w:hint="eastAsia" w:ascii="仿宋" w:hAnsi="仿宋" w:eastAsia="仿宋" w:cs="仿宋"/>
          <w:color w:val="000000"/>
          <w:sz w:val="30"/>
          <w:szCs w:val="30"/>
        </w:rPr>
        <w:t>乡村两级办学支出</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20万元，执行期为2019年1月到2019年12月，主要用于龙街街道始终高度重视教育事业的发展，坚持把教育摆在优先发展的战略地位，将教育工作列入街道工作的重要议事日程，把教育发展和学校建设纳入经济发展和地方建设的整体规划，坚持以政府投入为主、多渠道筹措教育经费，办学条件明显改善，每年下拨乡村两级办学经费20万元支持街道各学校改善办学条件，3月付提古小学绿化经费2万元，6月付五中学校配电房重建资金5万元，7月付龙街中心小学乡村两级办学经费5万元，10月付双树小学办学资金2万元，11月付华光幼儿园办学经费1万元，付龙街中心小学校园文化建设经费2.5万元，付澄江五中改善办学条件资金2.5万元。</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1</w:t>
      </w:r>
      <w:r>
        <w:rPr>
          <w:rFonts w:ascii="仿宋" w:hAnsi="仿宋" w:eastAsia="仿宋" w:cs="仿宋"/>
          <w:color w:val="000000"/>
          <w:sz w:val="30"/>
          <w:szCs w:val="30"/>
        </w:rPr>
        <w:t>.项目三</w:t>
      </w:r>
      <w:r>
        <w:rPr>
          <w:rFonts w:hint="eastAsia" w:ascii="仿宋" w:hAnsi="仿宋" w:eastAsia="仿宋" w:cs="仿宋"/>
          <w:color w:val="000000"/>
          <w:sz w:val="30"/>
          <w:szCs w:val="30"/>
        </w:rPr>
        <w:t>十一</w:t>
      </w:r>
      <w:r>
        <w:rPr>
          <w:rFonts w:ascii="仿宋" w:hAnsi="仿宋" w:eastAsia="仿宋" w:cs="仿宋"/>
          <w:color w:val="000000"/>
          <w:sz w:val="30"/>
          <w:szCs w:val="30"/>
        </w:rPr>
        <w:t>：</w:t>
      </w:r>
      <w:r>
        <w:rPr>
          <w:rFonts w:hint="eastAsia" w:ascii="仿宋" w:hAnsi="仿宋" w:eastAsia="仿宋" w:cs="仿宋"/>
          <w:color w:val="000000"/>
          <w:sz w:val="30"/>
          <w:szCs w:val="30"/>
        </w:rPr>
        <w:t>农村群众文化经费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3万元，执行期为2019年1月到2019年12月，主要用于龙街街道坚持以习近平新时代中国特色社会主义思想为指导，全面贯彻落实党的十九大精神，牢牢把握社会主义先进文化的前进方向，按照公益性、均等性、基本性、便利性的要求，遵循统筹规划、因地制宜的原则，以建立完善“结构合理、发展均衡、网络健全、运行有效、惠及全民”的公共文化服务体系为目标，着力提高公共文化产品和服务供给能力，着力解决人民群众基本文化权益问题，为街道打造良好的文化环境，为实现跨越发展提供强有力的精神动力和智力支持。2019年农村群众文化经费具体使用如下：10月付书画装裱费5130元，付化妆费350元，付惠民演出补助14300元，付马拉松氛围营造工作人员补助2350元，11月付通讯服务费1440元，付非遗进校园补助1300元，付2019</w:t>
      </w:r>
      <w:r>
        <w:rPr>
          <w:rFonts w:hint="eastAsia" w:ascii="仿宋" w:hAnsi="仿宋" w:eastAsia="仿宋" w:cs="仿宋"/>
          <w:color w:val="000000"/>
          <w:sz w:val="30"/>
          <w:szCs w:val="30"/>
          <w:lang w:eastAsia="zh-CN"/>
        </w:rPr>
        <w:t>年的掷球比赛</w:t>
      </w:r>
      <w:r>
        <w:rPr>
          <w:rFonts w:hint="eastAsia" w:ascii="仿宋" w:hAnsi="仿宋" w:eastAsia="仿宋" w:cs="仿宋"/>
          <w:color w:val="000000"/>
          <w:sz w:val="30"/>
          <w:szCs w:val="30"/>
        </w:rPr>
        <w:t>补助5100元，付购买办公用品费30元。</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2</w:t>
      </w:r>
      <w:r>
        <w:rPr>
          <w:rFonts w:ascii="仿宋" w:hAnsi="仿宋" w:eastAsia="仿宋" w:cs="仿宋"/>
          <w:color w:val="000000"/>
          <w:sz w:val="30"/>
          <w:szCs w:val="30"/>
        </w:rPr>
        <w:t>.项目三</w:t>
      </w:r>
      <w:r>
        <w:rPr>
          <w:rFonts w:hint="eastAsia" w:ascii="仿宋" w:hAnsi="仿宋" w:eastAsia="仿宋" w:cs="仿宋"/>
          <w:color w:val="000000"/>
          <w:sz w:val="30"/>
          <w:szCs w:val="30"/>
        </w:rPr>
        <w:t>十二</w:t>
      </w:r>
      <w:r>
        <w:rPr>
          <w:rFonts w:ascii="仿宋" w:hAnsi="仿宋" w:eastAsia="仿宋" w:cs="仿宋"/>
          <w:color w:val="000000"/>
          <w:sz w:val="30"/>
          <w:szCs w:val="30"/>
        </w:rPr>
        <w:t>：</w:t>
      </w:r>
      <w:r>
        <w:rPr>
          <w:rFonts w:hint="eastAsia" w:ascii="仿宋" w:hAnsi="仿宋" w:eastAsia="仿宋" w:cs="仿宋"/>
          <w:color w:val="000000"/>
          <w:sz w:val="30"/>
          <w:szCs w:val="30"/>
        </w:rPr>
        <w:t>人居环境整治经费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200万元，执行期为2019年1月到2019年12月，主要用于（1）发展地区经济，进行城市建设；（2）农村生活污水治理。乡镇政府驻地生活污水治理、污水处理设施建设运维管理、农村黑臭水体治理、建制村环境综合整治；（3）农村生活垃圾治理。无害化处理能力：生活垃圾日产日清，收集统一集中处理，每年转运垃圾29200吨，无害化处理率98%、非正规垃圾堆放点整治；（4）村庄清洁行动；（5）村容村貌整治提升。</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3</w:t>
      </w:r>
      <w:r>
        <w:rPr>
          <w:rFonts w:ascii="仿宋" w:hAnsi="仿宋" w:eastAsia="仿宋" w:cs="仿宋"/>
          <w:color w:val="000000"/>
          <w:sz w:val="30"/>
          <w:szCs w:val="30"/>
        </w:rPr>
        <w:t>.项目三</w:t>
      </w:r>
      <w:r>
        <w:rPr>
          <w:rFonts w:hint="eastAsia" w:ascii="仿宋" w:hAnsi="仿宋" w:eastAsia="仿宋" w:cs="仿宋"/>
          <w:color w:val="000000"/>
          <w:sz w:val="30"/>
          <w:szCs w:val="30"/>
        </w:rPr>
        <w:t>十三</w:t>
      </w:r>
      <w:r>
        <w:rPr>
          <w:rFonts w:ascii="仿宋" w:hAnsi="仿宋" w:eastAsia="仿宋" w:cs="仿宋"/>
          <w:color w:val="000000"/>
          <w:sz w:val="30"/>
          <w:szCs w:val="30"/>
        </w:rPr>
        <w:t>：</w:t>
      </w:r>
      <w:r>
        <w:rPr>
          <w:rFonts w:hint="eastAsia" w:ascii="仿宋" w:hAnsi="仿宋" w:eastAsia="仿宋" w:cs="仿宋"/>
          <w:color w:val="000000"/>
          <w:sz w:val="30"/>
          <w:szCs w:val="30"/>
        </w:rPr>
        <w:t>养白牛社区脱贫攻坚巩固提升项目</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65万元，执行期为2019年1月到2019年12月，主要用于透水砖硬化道路913平方米，安装给水管493米，栽种绿化树红叶石楠球48株、香樟树241株，地被绿化524平方米，支砌花台835米，安装太阳能路灯19台。总体目标是使养白牛社区猴子箐村民尽早搬迁入住，生命安全得到保障，基础设施更加完善，加快小组人居环境改善，丰富群众精神文化生活，全面推进养白牛社区经济社会可持续发展。</w:t>
      </w:r>
    </w:p>
    <w:p>
      <w:pPr>
        <w:pStyle w:val="13"/>
        <w:spacing w:before="100" w:after="100" w:line="590" w:lineRule="atLeast"/>
        <w:ind w:firstLine="600"/>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4</w:t>
      </w:r>
      <w:r>
        <w:rPr>
          <w:rFonts w:ascii="仿宋" w:hAnsi="仿宋" w:eastAsia="仿宋" w:cs="仿宋"/>
          <w:color w:val="000000"/>
          <w:sz w:val="30"/>
          <w:szCs w:val="30"/>
        </w:rPr>
        <w:t>.项目三</w:t>
      </w:r>
      <w:r>
        <w:rPr>
          <w:rFonts w:hint="eastAsia" w:ascii="仿宋" w:hAnsi="仿宋" w:eastAsia="仿宋" w:cs="仿宋"/>
          <w:color w:val="000000"/>
          <w:sz w:val="30"/>
          <w:szCs w:val="30"/>
        </w:rPr>
        <w:t>十四</w:t>
      </w:r>
      <w:r>
        <w:rPr>
          <w:rFonts w:ascii="仿宋" w:hAnsi="仿宋" w:eastAsia="仿宋" w:cs="仿宋"/>
          <w:color w:val="000000"/>
          <w:sz w:val="30"/>
          <w:szCs w:val="30"/>
        </w:rPr>
        <w:t>：</w:t>
      </w:r>
      <w:r>
        <w:rPr>
          <w:rFonts w:hint="eastAsia" w:ascii="仿宋" w:hAnsi="仿宋" w:eastAsia="仿宋" w:cs="仿宋"/>
          <w:color w:val="000000"/>
          <w:sz w:val="30"/>
          <w:szCs w:val="30"/>
        </w:rPr>
        <w:t>驻村扶贫工作队经费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7万元，执行期为2019年1月到2019年12月，主要用于各驻村工作队员为促进社区的发展，更好的开展脱贫攻坚工作，经会议讨论决定，各社区根据实际需要，为提高资金使用绩效，，确保年底脱贫攻坚目标任务圆满完成，决定用经费为社区购买办公用品，方便办公。7个社区的驻村工作队经费全部使用完。</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5</w:t>
      </w:r>
      <w:r>
        <w:rPr>
          <w:rFonts w:ascii="仿宋" w:hAnsi="仿宋" w:eastAsia="仿宋" w:cs="仿宋"/>
          <w:color w:val="000000"/>
          <w:sz w:val="30"/>
          <w:szCs w:val="30"/>
        </w:rPr>
        <w:t>.项目三</w:t>
      </w:r>
      <w:r>
        <w:rPr>
          <w:rFonts w:hint="eastAsia" w:ascii="仿宋" w:hAnsi="仿宋" w:eastAsia="仿宋" w:cs="仿宋"/>
          <w:color w:val="000000"/>
          <w:sz w:val="30"/>
          <w:szCs w:val="30"/>
        </w:rPr>
        <w:t>十五</w:t>
      </w:r>
      <w:r>
        <w:rPr>
          <w:rFonts w:ascii="仿宋" w:hAnsi="仿宋" w:eastAsia="仿宋" w:cs="仿宋"/>
          <w:color w:val="000000"/>
          <w:sz w:val="30"/>
          <w:szCs w:val="30"/>
        </w:rPr>
        <w:t>：</w:t>
      </w:r>
      <w:r>
        <w:rPr>
          <w:rFonts w:hint="eastAsia" w:ascii="仿宋" w:hAnsi="仿宋" w:eastAsia="仿宋" w:cs="仿宋"/>
          <w:color w:val="000000"/>
          <w:sz w:val="30"/>
          <w:szCs w:val="30"/>
        </w:rPr>
        <w:t>项目建设工作经费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10万元，执行期为2019年1月到2019年12月，主要用于按合同要求，根据国家发改价格[2007]670号文有关规定，拨付2018年五个扶贫项目监理服务费4.81万元。同时，用于龙街建设项目的前期费用，如审计费、监理费及项目实施方案的编制费等。</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6</w:t>
      </w:r>
      <w:r>
        <w:rPr>
          <w:rFonts w:ascii="仿宋" w:hAnsi="仿宋" w:eastAsia="仿宋" w:cs="仿宋"/>
          <w:color w:val="000000"/>
          <w:sz w:val="30"/>
          <w:szCs w:val="30"/>
        </w:rPr>
        <w:t>.项目三</w:t>
      </w:r>
      <w:r>
        <w:rPr>
          <w:rFonts w:hint="eastAsia" w:ascii="仿宋" w:hAnsi="仿宋" w:eastAsia="仿宋" w:cs="仿宋"/>
          <w:color w:val="000000"/>
          <w:sz w:val="30"/>
          <w:szCs w:val="30"/>
        </w:rPr>
        <w:t>十六</w:t>
      </w:r>
      <w:r>
        <w:rPr>
          <w:rFonts w:ascii="仿宋" w:hAnsi="仿宋" w:eastAsia="仿宋" w:cs="仿宋"/>
          <w:color w:val="000000"/>
          <w:sz w:val="30"/>
          <w:szCs w:val="30"/>
        </w:rPr>
        <w:t>：</w:t>
      </w:r>
      <w:r>
        <w:rPr>
          <w:rFonts w:hint="eastAsia" w:ascii="仿宋" w:hAnsi="仿宋" w:eastAsia="仿宋" w:cs="仿宋"/>
          <w:color w:val="000000"/>
          <w:sz w:val="30"/>
          <w:szCs w:val="30"/>
        </w:rPr>
        <w:t>非贫困县2019年第二批中央财政专项扶贫资金</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年度资金总额108万元，执行期为2019年1月到2019年12月，主要用于(1)道路:村庄内部道路硬化2828.74平方米， 污水检查井16套，承插管27.5m，入户道路硬化299.79平方米， 化粪池地坪硬化204.87平方米; (2)排水:新建盖板排水沟217.87m,新建砖砌排水沟明沟165.66m,混凝土排水明沟235.70m,沉砂池5座;(3)绿化:种植红土回填838.66平方米，三叶草地被347.22平方米，红叶石楠地被133.19平方米， 黄金菊地被312.26平方米，清香木地被45.98平方米，樱花18株，香樟48株，路缘石525.75m;(4)停车场:生态停车场495.00平方米,停车场道路硬化638.46平方米;(5)其他:土方开挖5041.00立方米，太阳能路灯5盏，创文元素1项，石桌2套，其他1项。总体目标是使养白牛社区猴子箐村民尽早搬迁入住，生命安全得到保障，</w:t>
      </w:r>
      <w:r>
        <w:rPr>
          <w:rFonts w:hint="eastAsia" w:ascii="仿宋" w:hAnsi="仿宋" w:eastAsia="仿宋" w:cs="仿宋"/>
          <w:color w:val="000000"/>
          <w:sz w:val="30"/>
          <w:szCs w:val="30"/>
          <w:lang w:eastAsia="zh-CN"/>
        </w:rPr>
        <w:t>基础设施</w:t>
      </w:r>
      <w:r>
        <w:rPr>
          <w:rFonts w:hint="eastAsia" w:ascii="仿宋" w:hAnsi="仿宋" w:eastAsia="仿宋" w:cs="仿宋"/>
          <w:color w:val="000000"/>
          <w:sz w:val="30"/>
          <w:szCs w:val="30"/>
        </w:rPr>
        <w:t>更加完善，加快小组人居环境改善，丰富群众精神文化生活，全面推进养白牛社区经济社会可持续发展。</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7</w:t>
      </w:r>
      <w:r>
        <w:rPr>
          <w:rFonts w:ascii="仿宋" w:hAnsi="仿宋" w:eastAsia="仿宋" w:cs="仿宋"/>
          <w:color w:val="000000"/>
          <w:sz w:val="30"/>
          <w:szCs w:val="30"/>
        </w:rPr>
        <w:t>.项目三</w:t>
      </w:r>
      <w:r>
        <w:rPr>
          <w:rFonts w:hint="eastAsia" w:ascii="仿宋" w:hAnsi="仿宋" w:eastAsia="仿宋" w:cs="仿宋"/>
          <w:color w:val="000000"/>
          <w:sz w:val="30"/>
          <w:szCs w:val="30"/>
        </w:rPr>
        <w:t>十七</w:t>
      </w:r>
      <w:r>
        <w:rPr>
          <w:rFonts w:ascii="仿宋" w:hAnsi="仿宋" w:eastAsia="仿宋" w:cs="仿宋"/>
          <w:color w:val="000000"/>
          <w:sz w:val="30"/>
          <w:szCs w:val="30"/>
        </w:rPr>
        <w:t>：</w:t>
      </w:r>
      <w:r>
        <w:rPr>
          <w:rFonts w:hint="eastAsia" w:ascii="仿宋" w:hAnsi="仿宋" w:eastAsia="仿宋" w:cs="仿宋"/>
          <w:color w:val="000000"/>
          <w:sz w:val="30"/>
          <w:szCs w:val="30"/>
        </w:rPr>
        <w:t>省级十四个贫困村第一书记（工作队长）工作经费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7万元，执行期为2019年1月到2019年12月，该项目建设内容主要是：保证我街道7个贫困行政村驻村扶贫工作队队长工作的顺利开展，实现建档立卡贫困人口“两不愁三保障”为目标，着力提高资金使用绩效，确保年底脱贫攻坚目标任务圆满完成。该项目取得以下几方面的效益：（1）经济效益：项目完成后，促进各社区经济发展，提升群众满意度；（2）社会效益：资金的顺利拨付，促进社区工作的顺利开展实施；（3）生态效益：提高群众满意度，促进街道社会的发展；（4）可持续影响：资金拨付顺利，促进社区的经济发展，尽早脱贫，提高工作效率。</w:t>
      </w:r>
    </w:p>
    <w:p>
      <w:pPr>
        <w:pStyle w:val="13"/>
        <w:spacing w:before="100" w:after="100" w:line="590" w:lineRule="atLeast"/>
        <w:ind w:firstLine="600"/>
        <w:jc w:val="both"/>
        <w:rPr>
          <w:rFonts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8</w:t>
      </w:r>
      <w:r>
        <w:rPr>
          <w:rFonts w:ascii="仿宋" w:hAnsi="仿宋" w:eastAsia="仿宋" w:cs="仿宋"/>
          <w:color w:val="000000"/>
          <w:sz w:val="30"/>
          <w:szCs w:val="30"/>
        </w:rPr>
        <w:t>.项目三</w:t>
      </w:r>
      <w:r>
        <w:rPr>
          <w:rFonts w:hint="eastAsia" w:ascii="仿宋" w:hAnsi="仿宋" w:eastAsia="仿宋" w:cs="仿宋"/>
          <w:color w:val="000000"/>
          <w:sz w:val="30"/>
          <w:szCs w:val="30"/>
        </w:rPr>
        <w:t>十八</w:t>
      </w:r>
      <w:r>
        <w:rPr>
          <w:rFonts w:ascii="仿宋" w:hAnsi="仿宋" w:eastAsia="仿宋" w:cs="仿宋"/>
          <w:color w:val="000000"/>
          <w:sz w:val="30"/>
          <w:szCs w:val="30"/>
        </w:rPr>
        <w:t>：</w:t>
      </w:r>
      <w:r>
        <w:rPr>
          <w:rFonts w:hint="eastAsia" w:ascii="仿宋" w:hAnsi="仿宋" w:eastAsia="仿宋" w:cs="仿宋"/>
          <w:color w:val="000000"/>
          <w:sz w:val="30"/>
          <w:szCs w:val="30"/>
        </w:rPr>
        <w:t>标准化财政所建设经费</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w:t>
      </w:r>
      <w:bookmarkStart w:id="0" w:name="_GoBack"/>
      <w:bookmarkEnd w:id="0"/>
      <w:r>
        <w:rPr>
          <w:rFonts w:hint="eastAsia" w:ascii="仿宋" w:hAnsi="仿宋" w:eastAsia="仿宋" w:cs="仿宋"/>
          <w:color w:val="000000"/>
          <w:sz w:val="30"/>
          <w:szCs w:val="30"/>
        </w:rPr>
        <w:t>金总额9万元，执行期为2019年1月到2019年12月，主要用于通过标准化财政所建设，做到了以下几个“规范化”（1）组织机构规范化。乡镇财政所按照机构独立的要求进一步规范设置，根据工作职能和需要合理配备人员。（2）业务工作规范化。进一步明确乡镇财政所的职能和职责。目前乡镇财政承担的主要工作有;财政预算管理，惠农资金的管理和发放，专项（项目）资金的监管。乡镇单位财务 管理等。按照现行有关法律、法规，规章和政策，，根据上级财政部门的规定和要求，结合当地的实际和要求，建立健全各项业务管理制度，优化业务流程，细化工作标准，规范程序，完善对重点业务，重要环节的制约监督机制，夯实财政业务管理基础，确保财政资金安全高效运行。（3）内部管理规范化1通过标准化财政所建设，落实岗位职责任制。，全面推行首问责任制，，做到“职责明确、制度健全，操作规范、运转高效”，梳理基层财政部门的良好形象。（4）队伍建设规范化1严格按照用人标准和程序，加强干部管理，加大交流力度。2建立健全培训制度，按计划、分类别、分层次。精心开展各类培训。3加强作风建设、反腐倡廉建设和财政所文化建设，不断提高乡镇财政依法理财，科学管理，勤政为民的能力。（5）基础设施规范化。满足履行职能的基本需求，市办公室、会议室。档案室、为民服务大厅以及配套机房。办公场所设置美观规范的对外宣传栏。及时宣传财政政策，财务法规等内容，按照政务公开的要求，公式内容放在醒目的位置。</w:t>
      </w:r>
    </w:p>
    <w:p>
      <w:pPr>
        <w:pStyle w:val="13"/>
        <w:spacing w:before="100" w:after="100" w:line="590" w:lineRule="atLeast"/>
        <w:ind w:firstLine="600"/>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rPr>
        <w:t>9</w:t>
      </w:r>
      <w:r>
        <w:rPr>
          <w:rFonts w:ascii="仿宋" w:hAnsi="仿宋" w:eastAsia="仿宋" w:cs="仿宋"/>
          <w:color w:val="000000"/>
          <w:sz w:val="30"/>
          <w:szCs w:val="30"/>
        </w:rPr>
        <w:t>.项目三</w:t>
      </w:r>
      <w:r>
        <w:rPr>
          <w:rFonts w:hint="eastAsia" w:ascii="仿宋" w:hAnsi="仿宋" w:eastAsia="仿宋" w:cs="仿宋"/>
          <w:color w:val="000000"/>
          <w:sz w:val="30"/>
          <w:szCs w:val="30"/>
        </w:rPr>
        <w:t>十九</w:t>
      </w:r>
      <w:r>
        <w:rPr>
          <w:rFonts w:ascii="仿宋" w:hAnsi="仿宋" w:eastAsia="仿宋" w:cs="仿宋"/>
          <w:color w:val="000000"/>
          <w:sz w:val="30"/>
          <w:szCs w:val="30"/>
        </w:rPr>
        <w:t>：</w:t>
      </w:r>
      <w:r>
        <w:rPr>
          <w:rFonts w:hint="eastAsia" w:ascii="仿宋" w:hAnsi="仿宋" w:eastAsia="仿宋" w:cs="仿宋"/>
          <w:color w:val="000000"/>
          <w:sz w:val="30"/>
          <w:szCs w:val="30"/>
        </w:rPr>
        <w:t>左所社区脱贫攻坚巩固提升项目</w:t>
      </w:r>
      <w:r>
        <w:rPr>
          <w:rFonts w:ascii="仿宋" w:hAnsi="仿宋" w:eastAsia="仿宋" w:cs="仿宋"/>
          <w:color w:val="000000"/>
          <w:sz w:val="30"/>
          <w:szCs w:val="30"/>
        </w:rPr>
        <w:t>，自评分</w:t>
      </w:r>
      <w:r>
        <w:rPr>
          <w:rFonts w:hint="eastAsia" w:ascii="仿宋" w:hAnsi="仿宋" w:eastAsia="仿宋" w:cs="仿宋"/>
          <w:color w:val="000000"/>
          <w:sz w:val="30"/>
          <w:szCs w:val="30"/>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rPr>
        <w:t>优</w:t>
      </w:r>
      <w:r>
        <w:rPr>
          <w:rFonts w:ascii="仿宋" w:hAnsi="仿宋" w:eastAsia="仿宋" w:cs="仿宋"/>
          <w:color w:val="000000"/>
          <w:sz w:val="30"/>
          <w:szCs w:val="30"/>
        </w:rPr>
        <w:t>”。该项目</w:t>
      </w:r>
      <w:r>
        <w:rPr>
          <w:rFonts w:hint="eastAsia" w:ascii="仿宋" w:hAnsi="仿宋" w:eastAsia="仿宋" w:cs="仿宋"/>
          <w:color w:val="000000"/>
          <w:sz w:val="30"/>
          <w:szCs w:val="30"/>
        </w:rPr>
        <w:t>年度资金总额57万元，执行</w:t>
      </w:r>
      <w:r>
        <w:rPr>
          <w:rFonts w:hint="eastAsia" w:ascii="仿宋" w:hAnsi="仿宋" w:eastAsia="仿宋" w:cs="仿宋"/>
          <w:color w:val="000000"/>
          <w:sz w:val="30"/>
          <w:szCs w:val="30"/>
          <w:lang w:eastAsia="zh-CN"/>
        </w:rPr>
        <w:t>是期</w:t>
      </w:r>
      <w:r>
        <w:rPr>
          <w:rFonts w:hint="eastAsia" w:ascii="仿宋" w:hAnsi="仿宋" w:eastAsia="仿宋" w:cs="仿宋"/>
          <w:color w:val="000000"/>
          <w:sz w:val="30"/>
          <w:szCs w:val="30"/>
        </w:rPr>
        <w:t>为2019年1月到2019年12月，主要用于（1）室外工程：场地平整1549.8㎡，混凝土道路硬化150㎡，新建混凝土盖板排水沟105m，排水沟土方开挖外运40.43m3，新建公共文化活动广场1321㎡，安装太阳能路灯3套；（2）原有多功能活动室改造：房屋拆除161㎡，原有多功能活动室改造88.86㎡；3.绿化工程：种植蓝花楹7株，红叶石楠12株，中东海藻3株，滇润楠21株，欧洲荚蒾150.6平方米，花卉满天星14.96平方米，红土回填64㎡，路缘石围砌花台128m。预算资金已全部拨付到位。</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五、其他重要事项情况说明</w:t>
      </w:r>
    </w:p>
    <w:p>
      <w:pPr>
        <w:adjustRightInd w:val="0"/>
        <w:spacing w:before="100" w:beforeAutospacing="1" w:after="100" w:afterAutospacing="1" w:line="590" w:lineRule="exact"/>
        <w:ind w:firstLine="600" w:firstLineChars="200"/>
        <w:rPr>
          <w:rFonts w:ascii="仿宋" w:hAnsi="仿宋" w:eastAsia="仿宋"/>
          <w:sz w:val="30"/>
          <w:szCs w:val="30"/>
        </w:rPr>
      </w:pPr>
      <w:r>
        <w:rPr>
          <w:rFonts w:hint="eastAsia" w:ascii="仿宋" w:hAnsi="仿宋" w:eastAsia="仿宋"/>
          <w:sz w:val="30"/>
          <w:szCs w:val="30"/>
        </w:rPr>
        <w:t>无。</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六、相关口径说明</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（一）基本支出中人员经费包括工资福利支出和对个人和家庭的补助，日常公用支出包括商品和服务支出、资本性支出等人员经费以外的支出。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（二）机关运行经费指行政单位和参照公务员法管理的事业单位使用一般公共预算财政拨款安排的基本支出中的日常公用经费支出。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（三）按照党中央、国务院有关文件及部门预算管理有关规定，</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（四）</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第五部分</w:t>
      </w:r>
      <w:r>
        <w:rPr>
          <w:rFonts w:hint="eastAsia" w:ascii="黑体" w:hAnsi="Times New Roman" w:eastAsia="黑体"/>
          <w:sz w:val="32"/>
          <w:szCs w:val="32"/>
        </w:rPr>
        <w:t xml:space="preserve">  </w:t>
      </w:r>
      <w:r>
        <w:rPr>
          <w:rFonts w:hint="eastAsia" w:ascii="黑体" w:hAnsi="黑体" w:eastAsia="黑体"/>
          <w:sz w:val="32"/>
          <w:szCs w:val="32"/>
        </w:rPr>
        <w:t>名词解释</w:t>
      </w:r>
    </w:p>
    <w:p>
      <w:pPr>
        <w:spacing w:before="100" w:beforeAutospacing="1" w:after="100" w:afterAutospacing="1"/>
        <w:rPr>
          <w:rFonts w:ascii="仿宋" w:hAnsi="仿宋" w:eastAsia="仿宋" w:cs="仿宋"/>
          <w:sz w:val="30"/>
          <w:szCs w:val="30"/>
        </w:rPr>
      </w:pPr>
      <w:r>
        <w:rPr>
          <w:rFonts w:hint="eastAsia" w:ascii="仿宋" w:hAnsi="仿宋" w:eastAsia="仿宋" w:cs="仿宋"/>
          <w:sz w:val="30"/>
          <w:szCs w:val="30"/>
        </w:rPr>
        <w:t>本单位不涉及专用名词。</w:t>
      </w:r>
    </w:p>
    <w:p>
      <w:pPr>
        <w:rPr>
          <w:rFonts w:ascii="Arial" w:hAnsi="Arial" w:eastAsia="Arial" w:cs="Arial"/>
          <w:b/>
          <w:sz w:val="36"/>
        </w:rPr>
      </w:pPr>
      <w:r>
        <w:rPr>
          <w:rFonts w:ascii="Arial" w:hAnsi="Arial" w:eastAsia="Arial" w:cs="Arial"/>
          <w:b/>
          <w:sz w:val="36"/>
        </w:rPr>
        <w:t>监督索引号53042200156001111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FC51"/>
    <w:multiLevelType w:val="singleLevel"/>
    <w:tmpl w:val="4082FC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TYwMzc1NWQ5ZTJmMDM5YmJhYjZhOGJjOTQ2ZmMifQ=="/>
  </w:docVars>
  <w:rsids>
    <w:rsidRoot w:val="0094410B"/>
    <w:rsid w:val="00010388"/>
    <w:rsid w:val="00060488"/>
    <w:rsid w:val="000641F0"/>
    <w:rsid w:val="000B1997"/>
    <w:rsid w:val="0014251C"/>
    <w:rsid w:val="002E46FF"/>
    <w:rsid w:val="003A3DF2"/>
    <w:rsid w:val="004B78F9"/>
    <w:rsid w:val="005403B0"/>
    <w:rsid w:val="006D3A9C"/>
    <w:rsid w:val="008437EE"/>
    <w:rsid w:val="00894FA1"/>
    <w:rsid w:val="0094410B"/>
    <w:rsid w:val="009B59E9"/>
    <w:rsid w:val="009C07CC"/>
    <w:rsid w:val="009E375D"/>
    <w:rsid w:val="00C22562"/>
    <w:rsid w:val="00C96CE3"/>
    <w:rsid w:val="00CA793C"/>
    <w:rsid w:val="00CC0F19"/>
    <w:rsid w:val="00D0490E"/>
    <w:rsid w:val="00DA6693"/>
    <w:rsid w:val="00F75AF1"/>
    <w:rsid w:val="019A0DAC"/>
    <w:rsid w:val="07A90399"/>
    <w:rsid w:val="0A8C0FD9"/>
    <w:rsid w:val="0C727B1A"/>
    <w:rsid w:val="10232C88"/>
    <w:rsid w:val="16E51986"/>
    <w:rsid w:val="1B240E9C"/>
    <w:rsid w:val="1CBC1DF6"/>
    <w:rsid w:val="1E254280"/>
    <w:rsid w:val="1FF50F52"/>
    <w:rsid w:val="306E5A2C"/>
    <w:rsid w:val="30D21ACF"/>
    <w:rsid w:val="4039542F"/>
    <w:rsid w:val="4695249E"/>
    <w:rsid w:val="48326BD1"/>
    <w:rsid w:val="4C6E177F"/>
    <w:rsid w:val="53DD3902"/>
    <w:rsid w:val="55253A7D"/>
    <w:rsid w:val="58520087"/>
    <w:rsid w:val="597568C1"/>
    <w:rsid w:val="5C440BBB"/>
    <w:rsid w:val="5FEA5514"/>
    <w:rsid w:val="6C3510EF"/>
    <w:rsid w:val="6FF25B37"/>
    <w:rsid w:val="7DEE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2">
    <w:name w:val="heading 3"/>
    <w:basedOn w:val="1"/>
    <w:next w:val="1"/>
    <w:link w:val="8"/>
    <w:qFormat/>
    <w:uiPriority w:val="0"/>
    <w:pPr>
      <w:keepNext/>
      <w:keepLines/>
      <w:spacing w:before="260" w:after="260" w:line="415"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2"/>
    <w:uiPriority w:val="0"/>
    <w:rPr>
      <w:rFonts w:ascii="宋体" w:hAnsi="宋体" w:eastAsia="宋体" w:cs="宋体"/>
      <w:b/>
      <w:bCs/>
      <w:kern w:val="0"/>
      <w:sz w:val="32"/>
      <w:szCs w:val="32"/>
    </w:rPr>
  </w:style>
  <w:style w:type="character" w:customStyle="1" w:styleId="9">
    <w:name w:val="17"/>
    <w:basedOn w:val="7"/>
    <w:autoRedefine/>
    <w:qFormat/>
    <w:uiPriority w:val="0"/>
    <w:rPr>
      <w:rFonts w:hint="default" w:ascii="Times New Roman" w:hAnsi="Times New Roman" w:cs="Times New Roman"/>
      <w:sz w:val="20"/>
      <w:szCs w:val="20"/>
    </w:rPr>
  </w:style>
  <w:style w:type="character" w:customStyle="1" w:styleId="10">
    <w:name w:val="批注框文本 Char"/>
    <w:basedOn w:val="7"/>
    <w:link w:val="3"/>
    <w:semiHidden/>
    <w:qFormat/>
    <w:uiPriority w:val="99"/>
    <w:rPr>
      <w:rFonts w:ascii="宋体" w:hAnsi="宋体" w:eastAsia="宋体" w:cs="宋体"/>
      <w:kern w:val="0"/>
      <w:sz w:val="18"/>
      <w:szCs w:val="18"/>
    </w:rPr>
  </w:style>
  <w:style w:type="character" w:customStyle="1" w:styleId="11">
    <w:name w:val="页眉 Char"/>
    <w:basedOn w:val="7"/>
    <w:link w:val="5"/>
    <w:autoRedefine/>
    <w:semiHidden/>
    <w:qFormat/>
    <w:uiPriority w:val="99"/>
    <w:rPr>
      <w:rFonts w:ascii="宋体" w:hAnsi="宋体" w:eastAsia="宋体" w:cs="宋体"/>
      <w:kern w:val="0"/>
      <w:sz w:val="18"/>
      <w:szCs w:val="18"/>
    </w:rPr>
  </w:style>
  <w:style w:type="character" w:customStyle="1" w:styleId="12">
    <w:name w:val="页脚 Char"/>
    <w:basedOn w:val="7"/>
    <w:link w:val="4"/>
    <w:semiHidden/>
    <w:qFormat/>
    <w:uiPriority w:val="99"/>
    <w:rPr>
      <w:rFonts w:ascii="宋体" w:hAnsi="宋体" w:eastAsia="宋体" w:cs="宋体"/>
      <w:kern w:val="0"/>
      <w:sz w:val="18"/>
      <w:szCs w:val="18"/>
    </w:rPr>
  </w:style>
  <w:style w:type="paragraph" w:customStyle="1" w:styleId="13">
    <w:name w:val="p_MsoNormal"/>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2019年末在职在编实有人员情况表</a:t>
            </a:r>
          </a:p>
        </c:rich>
      </c:tx>
      <c:layout>
        <c:manualLayout>
          <c:xMode val="edge"/>
          <c:yMode val="edge"/>
          <c:x val="0.10973005947842"/>
          <c:y val="0.00864802536754108"/>
        </c:manualLayout>
      </c:layout>
      <c:overlay val="0"/>
    </c:title>
    <c:autoTitleDeleted val="0"/>
    <c:plotArea>
      <c:layout/>
      <c:pieChart>
        <c:varyColors val="1"/>
        <c:ser>
          <c:idx val="0"/>
          <c:order val="0"/>
          <c:tx>
            <c:strRef>
              <c:f>Sheet1!$B$1</c:f>
              <c:strCache>
                <c:ptCount val="1"/>
                <c:pt idx="0">
                  <c:v>澄江县龙街街道办事处2019年末在职在编实有人员情况表</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行政人员:30人</c:v>
                </c:pt>
                <c:pt idx="1">
                  <c:v>事业人员：63人</c:v>
                </c:pt>
              </c:strCache>
            </c:strRef>
          </c:cat>
          <c:val>
            <c:numRef>
              <c:f>Sheet1!$B$2:$B$3</c:f>
              <c:numCache>
                <c:formatCode>General</c:formatCode>
                <c:ptCount val="2"/>
                <c:pt idx="0">
                  <c:v>30</c:v>
                </c:pt>
                <c:pt idx="1">
                  <c:v>63</c:v>
                </c:pt>
              </c:numCache>
            </c:numRef>
          </c:val>
        </c:ser>
        <c:dLbls>
          <c:showLegendKey val="0"/>
          <c:showVal val="1"/>
          <c:showCatName val="0"/>
          <c:showSerName val="0"/>
          <c:showPercent val="0"/>
          <c:showBubbleSize val="0"/>
          <c:showLeaderLines val="1"/>
        </c:dLbls>
        <c:firstSliceAng val="0"/>
      </c:pieChart>
      <c:spPr>
        <a:noFill/>
        <a:ln w="25388">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收入上下年度对比情况</a:t>
            </a:r>
          </a:p>
        </c:rich>
      </c:tx>
      <c:layout/>
      <c:overlay val="0"/>
      <c:spPr>
        <a:noFill/>
        <a:ln>
          <a:noFill/>
        </a:ln>
        <a:effectLst/>
      </c:spPr>
    </c:title>
    <c:autoTitleDeleted val="0"/>
    <c:plotArea>
      <c:layout>
        <c:manualLayout>
          <c:layoutTarget val="inner"/>
          <c:xMode val="edge"/>
          <c:yMode val="edge"/>
          <c:x val="0.0467"/>
          <c:y val="0.129833333333333"/>
          <c:w val="0.927925"/>
          <c:h val="0.716566666666667"/>
        </c:manualLayout>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收入</c:v>
                </c:pt>
                <c:pt idx="1">
                  <c:v>财政拨款收入</c:v>
                </c:pt>
                <c:pt idx="2">
                  <c:v>其他收入</c:v>
                </c:pt>
              </c:strCache>
            </c:strRef>
          </c:cat>
          <c:val>
            <c:numRef>
              <c:f>Sheet1!$B$2:$B$4</c:f>
              <c:numCache>
                <c:formatCode>General</c:formatCode>
                <c:ptCount val="3"/>
                <c:pt idx="0">
                  <c:v>6552.4</c:v>
                </c:pt>
                <c:pt idx="1">
                  <c:v>6552.4</c:v>
                </c:pt>
                <c:pt idx="2">
                  <c:v>0</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收入</c:v>
                </c:pt>
                <c:pt idx="1">
                  <c:v>财政拨款收入</c:v>
                </c:pt>
                <c:pt idx="2">
                  <c:v>其他收入</c:v>
                </c:pt>
              </c:strCache>
            </c:strRef>
          </c:cat>
          <c:val>
            <c:numRef>
              <c:f>Sheet1!$C$2:$C$4</c:f>
              <c:numCache>
                <c:formatCode>General</c:formatCode>
                <c:ptCount val="3"/>
                <c:pt idx="0">
                  <c:v>8498.04</c:v>
                </c:pt>
                <c:pt idx="1">
                  <c:v>8498.04</c:v>
                </c:pt>
                <c:pt idx="2">
                  <c:v>0</c:v>
                </c:pt>
              </c:numCache>
            </c:numRef>
          </c:val>
        </c:ser>
        <c:dLbls>
          <c:showLegendKey val="0"/>
          <c:showVal val="1"/>
          <c:showCatName val="0"/>
          <c:showSerName val="0"/>
          <c:showPercent val="0"/>
          <c:showBubbleSize val="0"/>
        </c:dLbls>
        <c:gapWidth val="219"/>
        <c:overlap val="-27"/>
        <c:axId val="225182080"/>
        <c:axId val="225183616"/>
      </c:barChart>
      <c:catAx>
        <c:axId val="225182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183616"/>
        <c:crosses val="autoZero"/>
        <c:auto val="1"/>
        <c:lblAlgn val="ctr"/>
        <c:lblOffset val="100"/>
        <c:noMultiLvlLbl val="0"/>
      </c:catAx>
      <c:valAx>
        <c:axId val="225183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182080"/>
        <c:crosses val="autoZero"/>
        <c:crossBetween val="between"/>
      </c:valAx>
      <c:spPr>
        <a:noFill/>
        <a:ln>
          <a:noFill/>
        </a:ln>
        <a:effectLst/>
      </c:spPr>
    </c:plotArea>
    <c:legend>
      <c:legendPos val="b"/>
      <c:layout>
        <c:manualLayout>
          <c:xMode val="edge"/>
          <c:yMode val="edge"/>
          <c:x val="0.415306969026549"/>
          <c:y val="0.9157821873557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支出上下年度对比情况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总支出</c:v>
                </c:pt>
                <c:pt idx="1">
                  <c:v>基本支出</c:v>
                </c:pt>
                <c:pt idx="2">
                  <c:v>项目支出</c:v>
                </c:pt>
              </c:strCache>
            </c:strRef>
          </c:cat>
          <c:val>
            <c:numRef>
              <c:f>Sheet1!$B$2:$B$4</c:f>
              <c:numCache>
                <c:formatCode>General</c:formatCode>
                <c:ptCount val="3"/>
                <c:pt idx="0">
                  <c:v>6552.4</c:v>
                </c:pt>
                <c:pt idx="1">
                  <c:v>3165.2</c:v>
                </c:pt>
                <c:pt idx="2">
                  <c:v>3387.21</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总支出</c:v>
                </c:pt>
                <c:pt idx="1">
                  <c:v>基本支出</c:v>
                </c:pt>
                <c:pt idx="2">
                  <c:v>项目支出</c:v>
                </c:pt>
              </c:strCache>
            </c:strRef>
          </c:cat>
          <c:val>
            <c:numRef>
              <c:f>Sheet1!$C$2:$C$4</c:f>
              <c:numCache>
                <c:formatCode>General</c:formatCode>
                <c:ptCount val="3"/>
                <c:pt idx="0">
                  <c:v>8498.04</c:v>
                </c:pt>
                <c:pt idx="1">
                  <c:v>2990.99</c:v>
                </c:pt>
                <c:pt idx="2">
                  <c:v>5507.05</c:v>
                </c:pt>
              </c:numCache>
            </c:numRef>
          </c:val>
        </c:ser>
        <c:dLbls>
          <c:showLegendKey val="0"/>
          <c:showVal val="1"/>
          <c:showCatName val="0"/>
          <c:showSerName val="0"/>
          <c:showPercent val="0"/>
          <c:showBubbleSize val="0"/>
        </c:dLbls>
        <c:gapWidth val="219"/>
        <c:overlap val="-27"/>
        <c:axId val="226878976"/>
        <c:axId val="226880512"/>
      </c:barChart>
      <c:catAx>
        <c:axId val="2268789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80512"/>
        <c:crosses val="autoZero"/>
        <c:auto val="1"/>
        <c:lblAlgn val="ctr"/>
        <c:lblOffset val="100"/>
        <c:noMultiLvlLbl val="0"/>
      </c:catAx>
      <c:valAx>
        <c:axId val="226880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878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基本支出情况</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2990.99</c:v>
                </c:pt>
                <c:pt idx="1">
                  <c:v>5507.05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项目开支情况表</a:t>
            </a:r>
          </a:p>
        </c:rich>
      </c:tx>
      <c:layout/>
      <c:overlay val="0"/>
    </c:title>
    <c:autoTitleDeleted val="0"/>
    <c:plotArea>
      <c:layout/>
      <c:pieChart>
        <c:varyColors val="1"/>
        <c:ser>
          <c:idx val="0"/>
          <c:order val="0"/>
          <c:tx>
            <c:strRef>
              <c:f>Sheet1!$B$1</c:f>
              <c:strCache>
                <c:ptCount val="1"/>
                <c:pt idx="0">
                  <c:v>龙街街道办事处2019年项目开支情况表</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delete val="1"/>
          </c:dLbls>
          <c:cat>
            <c:strRef>
              <c:f>Sheet1!$A$2:$A$18</c:f>
              <c:strCache>
                <c:ptCount val="17"/>
                <c:pt idx="0">
                  <c:v>人大事务经费：8万元</c:v>
                </c:pt>
                <c:pt idx="1">
                  <c:v>一般行政管理事务经费：2910.91万元</c:v>
                </c:pt>
                <c:pt idx="2">
                  <c:v>标准化财政所建设经费：9万元</c:v>
                </c:pt>
                <c:pt idx="3">
                  <c:v>纪检监察事务经费：3万元</c:v>
                </c:pt>
                <c:pt idx="4">
                  <c:v>群众团体经费：1万元</c:v>
                </c:pt>
                <c:pt idx="5">
                  <c:v>基层党建经费：25万元</c:v>
                </c:pt>
                <c:pt idx="6">
                  <c:v>网格员工作实绩考核经费：5.1万元</c:v>
                </c:pt>
                <c:pt idx="7">
                  <c:v>自然灾害防治经费：1217万元</c:v>
                </c:pt>
                <c:pt idx="8">
                  <c:v>公共安全经费：2万元</c:v>
                </c:pt>
                <c:pt idx="9">
                  <c:v>教育支出：186.95万元</c:v>
                </c:pt>
                <c:pt idx="10">
                  <c:v>敬老院及老龄工作经费：10万元</c:v>
                </c:pt>
                <c:pt idx="11">
                  <c:v>墓碑购置费：198.9万元</c:v>
                </c:pt>
                <c:pt idx="12">
                  <c:v>人口信息化建设经费:19.1万元</c:v>
                </c:pt>
                <c:pt idx="13">
                  <c:v>节能环保支出：465.23万元</c:v>
                </c:pt>
                <c:pt idx="14">
                  <c:v>森林防火经费：7万元</c:v>
                </c:pt>
                <c:pt idx="15">
                  <c:v>城乡社区支出：51万元</c:v>
                </c:pt>
                <c:pt idx="16">
                  <c:v>农林水支出：371.79万元</c:v>
                </c:pt>
              </c:strCache>
            </c:strRef>
          </c:cat>
          <c:val>
            <c:numRef>
              <c:f>Sheet1!$B$2:$B$18</c:f>
              <c:numCache>
                <c:formatCode>General</c:formatCode>
                <c:ptCount val="17"/>
                <c:pt idx="0">
                  <c:v>8</c:v>
                </c:pt>
                <c:pt idx="1">
                  <c:v>2910.91</c:v>
                </c:pt>
                <c:pt idx="2">
                  <c:v>9</c:v>
                </c:pt>
                <c:pt idx="3">
                  <c:v>3</c:v>
                </c:pt>
                <c:pt idx="4">
                  <c:v>1</c:v>
                </c:pt>
                <c:pt idx="5">
                  <c:v>25</c:v>
                </c:pt>
                <c:pt idx="6">
                  <c:v>5.1</c:v>
                </c:pt>
                <c:pt idx="7">
                  <c:v>1217</c:v>
                </c:pt>
                <c:pt idx="8">
                  <c:v>2</c:v>
                </c:pt>
                <c:pt idx="9">
                  <c:v>186.95</c:v>
                </c:pt>
                <c:pt idx="10">
                  <c:v>10</c:v>
                </c:pt>
                <c:pt idx="11">
                  <c:v>198.9</c:v>
                </c:pt>
                <c:pt idx="12">
                  <c:v>19.1</c:v>
                </c:pt>
                <c:pt idx="13">
                  <c:v>465.23</c:v>
                </c:pt>
                <c:pt idx="14">
                  <c:v>7</c:v>
                </c:pt>
                <c:pt idx="15">
                  <c:v>51</c:v>
                </c:pt>
                <c:pt idx="16">
                  <c:v>371.79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4222027012188"/>
          <c:y val="0.065745568300312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一般公共预算财政拨款支出情况表</a:t>
            </a:r>
          </a:p>
        </c:rich>
      </c:tx>
      <c:layout/>
      <c:overlay val="0"/>
    </c:title>
    <c:autoTitleDeleted val="0"/>
    <c:plotArea>
      <c:layout/>
      <c:pieChart>
        <c:varyColors val="1"/>
        <c:ser>
          <c:idx val="0"/>
          <c:order val="0"/>
          <c:tx>
            <c:strRef>
              <c:f>Sheet1!$B$1</c:f>
              <c:strCache>
                <c:ptCount val="1"/>
                <c:pt idx="0">
                  <c:v>龙街街道办事处一般公共预算财政拨款支出情况表</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elete val="1"/>
          </c:dLbls>
          <c:cat>
            <c:strRef>
              <c:f>Sheet1!$A$2:$A$11</c:f>
              <c:strCache>
                <c:ptCount val="10"/>
                <c:pt idx="0">
                  <c:v>一般公共服务（类）支出：5377.07万元</c:v>
                </c:pt>
                <c:pt idx="1">
                  <c:v>公共安全（类）支出：2.00万元</c:v>
                </c:pt>
                <c:pt idx="2">
                  <c:v>教育（类）支出：186.95万元</c:v>
                </c:pt>
                <c:pt idx="3">
                  <c:v>文化旅游体育与传媒（类）支出：56.07万元</c:v>
                </c:pt>
                <c:pt idx="4">
                  <c:v>社会保障和就业（类）支出：505.1万元</c:v>
                </c:pt>
                <c:pt idx="5">
                  <c:v>卫生健康（类）支出：152.32万元</c:v>
                </c:pt>
                <c:pt idx="6">
                  <c:v>节能环保（类）支出：536.10万元</c:v>
                </c:pt>
                <c:pt idx="7">
                  <c:v>城乡社区（类）支出184.28万元</c:v>
                </c:pt>
                <c:pt idx="8">
                  <c:v>农林水（类）支出：1369.88万元</c:v>
                </c:pt>
                <c:pt idx="9">
                  <c:v>住房保障（类）支出：128.27万元</c:v>
                </c:pt>
              </c:strCache>
            </c:strRef>
          </c:cat>
          <c:val>
            <c:numRef>
              <c:f>Sheet1!$B$2:$B$11</c:f>
              <c:numCache>
                <c:formatCode>General</c:formatCode>
                <c:ptCount val="10"/>
                <c:pt idx="0">
                  <c:v>5377.07</c:v>
                </c:pt>
                <c:pt idx="1">
                  <c:v>2</c:v>
                </c:pt>
                <c:pt idx="2">
                  <c:v>186.95</c:v>
                </c:pt>
                <c:pt idx="3">
                  <c:v>56.07</c:v>
                </c:pt>
                <c:pt idx="4">
                  <c:v>505.1</c:v>
                </c:pt>
                <c:pt idx="5">
                  <c:v>152.32</c:v>
                </c:pt>
                <c:pt idx="6">
                  <c:v>536.1</c:v>
                </c:pt>
                <c:pt idx="7">
                  <c:v>184.28</c:v>
                </c:pt>
                <c:pt idx="8">
                  <c:v>1369.88</c:v>
                </c:pt>
                <c:pt idx="9">
                  <c:v>128.27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4884215360071"/>
          <c:y val="0.111739241729399"/>
          <c:w val="0.338475190601175"/>
          <c:h val="0.75692444694413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45</Pages>
  <Words>20214</Words>
  <Characters>22587</Characters>
  <Lines>162</Lines>
  <Paragraphs>45</Paragraphs>
  <TotalTime>6</TotalTime>
  <ScaleCrop>false</ScaleCrop>
  <LinksUpToDate>false</LinksUpToDate>
  <CharactersWithSpaces>22684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2020-12-31T08:58:00Z</dcterms:created>
  <dc:creator>Administrator</dc:creator>
  <cp:lastModifiedBy>WPS_256915091</cp:lastModifiedBy>
  <dcterms:modified xsi:type="dcterms:W3CDTF">2024-02-26T03:36:38Z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27A28FAC44994D56AB2BC048752556F7</vt:lpwstr>
  </property>
</Properties>
</file>