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eastAsia="方正小标宋_GBK"/>
          <w:color w:val="auto"/>
          <w:sz w:val="44"/>
          <w:szCs w:val="44"/>
        </w:rPr>
      </w:pPr>
      <w:r>
        <w:rPr>
          <w:rFonts w:eastAsia="方正小标宋_GBK"/>
          <w:color w:val="auto"/>
          <w:sz w:val="44"/>
          <w:szCs w:val="44"/>
        </w:rPr>
        <w:t>澄江</w:t>
      </w:r>
      <w:r>
        <w:rPr>
          <w:rFonts w:hint="eastAsia" w:eastAsia="方正小标宋_GBK"/>
          <w:color w:val="auto"/>
          <w:sz w:val="44"/>
          <w:szCs w:val="44"/>
        </w:rPr>
        <w:t>市</w:t>
      </w:r>
      <w:r>
        <w:rPr>
          <w:rFonts w:eastAsia="方正小标宋_GBK"/>
          <w:color w:val="auto"/>
          <w:sz w:val="44"/>
          <w:szCs w:val="44"/>
        </w:rPr>
        <w:t>20</w:t>
      </w:r>
      <w:r>
        <w:rPr>
          <w:rFonts w:hint="eastAsia" w:eastAsia="方正小标宋_GBK"/>
          <w:color w:val="auto"/>
          <w:sz w:val="44"/>
          <w:szCs w:val="44"/>
        </w:rPr>
        <w:t>2</w:t>
      </w:r>
      <w:r>
        <w:rPr>
          <w:rFonts w:hint="eastAsia" w:eastAsia="方正小标宋_GBK"/>
          <w:color w:val="auto"/>
          <w:sz w:val="44"/>
          <w:szCs w:val="44"/>
          <w:lang w:val="en-US" w:eastAsia="zh-CN"/>
        </w:rPr>
        <w:t>3</w:t>
      </w:r>
      <w:r>
        <w:rPr>
          <w:rFonts w:eastAsia="方正小标宋_GBK"/>
          <w:color w:val="auto"/>
          <w:sz w:val="44"/>
          <w:szCs w:val="44"/>
        </w:rPr>
        <w:t>年财政预算信息公开说明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90" w:lineRule="exact"/>
        <w:textAlignment w:val="auto"/>
      </w:pP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eastAsia="方正黑体_GBK"/>
          <w:color w:val="auto"/>
          <w:sz w:val="32"/>
          <w:szCs w:val="32"/>
        </w:rPr>
      </w:pPr>
      <w:r>
        <w:rPr>
          <w:rFonts w:hint="eastAsia" w:ascii="黑体" w:hAnsi="黑体" w:eastAsia="黑体" w:cs="黑体"/>
          <w:color w:val="auto"/>
          <w:sz w:val="32"/>
          <w:szCs w:val="32"/>
        </w:rPr>
        <w:t>一、基本的情况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eastAsia="方正楷体_GBK"/>
          <w:color w:val="auto"/>
          <w:sz w:val="32"/>
          <w:szCs w:val="32"/>
        </w:rPr>
      </w:pPr>
      <w:r>
        <w:rPr>
          <w:rFonts w:hint="eastAsia" w:ascii="楷体" w:hAnsi="楷体" w:eastAsia="楷体" w:cs="楷体"/>
          <w:color w:val="auto"/>
          <w:sz w:val="32"/>
          <w:szCs w:val="32"/>
        </w:rPr>
        <w:t>（一）人员构成情况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eastAsia="方正仿宋_GBK"/>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年末，澄江</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财政供养人员</w:t>
      </w:r>
      <w:r>
        <w:rPr>
          <w:rFonts w:hint="eastAsia" w:ascii="仿宋" w:hAnsi="仿宋" w:eastAsia="仿宋" w:cs="仿宋"/>
          <w:color w:val="auto"/>
          <w:sz w:val="32"/>
          <w:szCs w:val="32"/>
          <w:lang w:val="en-US" w:eastAsia="zh-CN"/>
        </w:rPr>
        <w:t>7,111</w:t>
      </w:r>
      <w:r>
        <w:rPr>
          <w:rFonts w:hint="eastAsia" w:ascii="仿宋" w:hAnsi="仿宋" w:eastAsia="仿宋" w:cs="仿宋"/>
          <w:color w:val="auto"/>
          <w:sz w:val="32"/>
          <w:szCs w:val="32"/>
        </w:rPr>
        <w:t>人，其中：在职</w:t>
      </w:r>
      <w:r>
        <w:rPr>
          <w:rFonts w:hint="eastAsia" w:ascii="仿宋" w:hAnsi="仿宋" w:eastAsia="仿宋" w:cs="仿宋"/>
          <w:color w:val="auto"/>
          <w:sz w:val="32"/>
          <w:szCs w:val="32"/>
          <w:lang w:val="en-US" w:eastAsia="zh-CN"/>
        </w:rPr>
        <w:t>4,740</w:t>
      </w:r>
      <w:r>
        <w:rPr>
          <w:rFonts w:hint="eastAsia" w:ascii="仿宋" w:hAnsi="仿宋" w:eastAsia="仿宋" w:cs="仿宋"/>
          <w:color w:val="auto"/>
          <w:sz w:val="32"/>
          <w:szCs w:val="32"/>
        </w:rPr>
        <w:t>人，退休</w:t>
      </w:r>
      <w:r>
        <w:rPr>
          <w:rFonts w:hint="eastAsia" w:ascii="仿宋" w:hAnsi="仿宋" w:eastAsia="仿宋" w:cs="仿宋"/>
          <w:color w:val="auto"/>
          <w:sz w:val="32"/>
          <w:szCs w:val="32"/>
          <w:lang w:val="en-US" w:eastAsia="zh-CN"/>
        </w:rPr>
        <w:t>2,363</w:t>
      </w:r>
      <w:r>
        <w:rPr>
          <w:rFonts w:hint="eastAsia" w:ascii="仿宋" w:hAnsi="仿宋" w:eastAsia="仿宋" w:cs="仿宋"/>
          <w:color w:val="auto"/>
          <w:sz w:val="32"/>
          <w:szCs w:val="32"/>
        </w:rPr>
        <w:t>人，离休</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（二）公务用车配备情况</w:t>
      </w:r>
    </w:p>
    <w:p>
      <w:pPr>
        <w:keepNext w:val="0"/>
        <w:keepLines w:val="0"/>
        <w:pageBreakBefore w:val="0"/>
        <w:widowControl w:val="0"/>
        <w:kinsoku/>
        <w:overflowPunct/>
        <w:topLinePunct w:val="0"/>
        <w:autoSpaceDN/>
        <w:bidi w:val="0"/>
        <w:spacing w:line="590" w:lineRule="exact"/>
        <w:ind w:left="0" w:right="0" w:rightChars="0" w:firstLine="640" w:firstLineChars="200"/>
        <w:textAlignment w:val="auto"/>
        <w:rPr>
          <w:rFonts w:eastAsia="方正仿宋_GBK"/>
          <w:color w:val="auto"/>
          <w:sz w:val="32"/>
          <w:szCs w:val="32"/>
        </w:rPr>
      </w:pPr>
      <w:r>
        <w:rPr>
          <w:rFonts w:hint="eastAsia" w:ascii="仿宋" w:hAnsi="仿宋" w:eastAsia="仿宋" w:cs="仿宋"/>
          <w:color w:val="auto"/>
          <w:sz w:val="32"/>
          <w:szCs w:val="32"/>
        </w:rPr>
        <w:t>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财政供养公务用车3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辆，其中：一般公务用车2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执法执勤用车15辆。（不含机关事务管理局保留车辆）</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二、20</w:t>
      </w:r>
      <w:r>
        <w:rPr>
          <w:rFonts w:hint="eastAsia" w:ascii="黑体" w:hAnsi="黑体" w:eastAsia="黑体" w:cs="黑体"/>
          <w:color w:val="auto"/>
          <w:sz w:val="32"/>
          <w:szCs w:val="32"/>
          <w:lang w:val="en-US" w:eastAsia="zh-CN"/>
        </w:rPr>
        <w:t>22</w:t>
      </w:r>
      <w:r>
        <w:rPr>
          <w:rFonts w:hint="eastAsia" w:ascii="黑体" w:hAnsi="黑体" w:eastAsia="黑体" w:cs="黑体"/>
          <w:color w:val="auto"/>
          <w:sz w:val="32"/>
          <w:szCs w:val="32"/>
        </w:rPr>
        <w:t>年财政收支完成情况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（一）一般公共预算执行情况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仿宋" w:hAnsi="仿宋" w:eastAsia="仿宋" w:cs="仿宋"/>
          <w:color w:val="auto"/>
          <w:sz w:val="32"/>
          <w:szCs w:val="32"/>
        </w:rPr>
      </w:pPr>
      <w:r>
        <w:rPr>
          <w:rFonts w:hint="default" w:ascii="仿宋" w:hAnsi="仿宋" w:eastAsia="仿宋" w:cs="仿宋"/>
          <w:color w:val="auto"/>
          <w:sz w:val="32"/>
          <w:szCs w:val="32"/>
        </w:rPr>
        <w:t>一般公共预算收入完成</w:t>
      </w:r>
      <w:r>
        <w:rPr>
          <w:rFonts w:hint="eastAsia" w:ascii="仿宋" w:hAnsi="仿宋" w:eastAsia="仿宋" w:cs="仿宋"/>
          <w:color w:val="auto"/>
          <w:sz w:val="32"/>
          <w:szCs w:val="32"/>
          <w:lang w:val="en-US" w:eastAsia="zh-CN"/>
        </w:rPr>
        <w:t>52,581.00</w:t>
      </w:r>
      <w:r>
        <w:rPr>
          <w:rFonts w:hint="default" w:ascii="仿宋" w:hAnsi="仿宋" w:eastAsia="仿宋" w:cs="仿宋"/>
          <w:color w:val="auto"/>
          <w:sz w:val="32"/>
          <w:szCs w:val="32"/>
        </w:rPr>
        <w:t>万元，比上年</w:t>
      </w:r>
      <w:r>
        <w:rPr>
          <w:rFonts w:hint="eastAsia" w:ascii="仿宋" w:hAnsi="仿宋" w:eastAsia="仿宋" w:cs="仿宋"/>
          <w:color w:val="auto"/>
          <w:sz w:val="32"/>
          <w:szCs w:val="32"/>
          <w:lang w:val="en-US" w:eastAsia="zh-CN"/>
        </w:rPr>
        <w:t>90,258</w:t>
      </w:r>
      <w:bookmarkStart w:id="0" w:name="_GoBack"/>
      <w:bookmarkEnd w:id="0"/>
      <w:r>
        <w:rPr>
          <w:rFonts w:hint="eastAsia" w:ascii="仿宋" w:hAnsi="仿宋" w:eastAsia="仿宋" w:cs="仿宋"/>
          <w:color w:val="auto"/>
          <w:sz w:val="32"/>
          <w:szCs w:val="32"/>
          <w:lang w:val="en-US" w:eastAsia="zh-CN"/>
        </w:rPr>
        <w:t>.00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减</w:t>
      </w:r>
      <w:r>
        <w:rPr>
          <w:rFonts w:hint="eastAsia" w:ascii="仿宋" w:hAnsi="仿宋" w:eastAsia="仿宋" w:cs="仿宋"/>
          <w:color w:val="auto"/>
          <w:sz w:val="32"/>
          <w:szCs w:val="32"/>
          <w:lang w:val="en-US" w:eastAsia="zh-CN"/>
        </w:rPr>
        <w:t>少37,677.00</w:t>
      </w:r>
      <w:r>
        <w:rPr>
          <w:rFonts w:hint="default" w:ascii="仿宋" w:hAnsi="仿宋" w:eastAsia="仿宋" w:cs="仿宋"/>
          <w:color w:val="auto"/>
          <w:sz w:val="32"/>
          <w:szCs w:val="32"/>
        </w:rPr>
        <w:t>万元，下降</w:t>
      </w:r>
      <w:r>
        <w:rPr>
          <w:rFonts w:hint="eastAsia" w:ascii="仿宋" w:hAnsi="仿宋" w:eastAsia="仿宋" w:cs="仿宋"/>
          <w:color w:val="auto"/>
          <w:sz w:val="32"/>
          <w:szCs w:val="32"/>
          <w:lang w:val="en-US" w:eastAsia="zh-CN"/>
        </w:rPr>
        <w:t>41.74</w:t>
      </w:r>
      <w:r>
        <w:rPr>
          <w:rFonts w:hint="default" w:ascii="仿宋" w:hAnsi="仿宋" w:eastAsia="仿宋" w:cs="仿宋"/>
          <w:color w:val="auto"/>
          <w:sz w:val="32"/>
          <w:szCs w:val="32"/>
        </w:rPr>
        <w:t>%，完成年初预算数</w:t>
      </w:r>
      <w:r>
        <w:rPr>
          <w:rFonts w:hint="eastAsia" w:ascii="仿宋" w:hAnsi="仿宋" w:eastAsia="仿宋" w:cs="仿宋"/>
          <w:color w:val="auto"/>
          <w:sz w:val="32"/>
          <w:szCs w:val="32"/>
          <w:lang w:val="en-US" w:eastAsia="zh-CN"/>
        </w:rPr>
        <w:t>93,010.00</w:t>
      </w:r>
      <w:r>
        <w:rPr>
          <w:rFonts w:hint="default" w:ascii="仿宋" w:hAnsi="仿宋" w:eastAsia="仿宋" w:cs="仿宋"/>
          <w:color w:val="auto"/>
          <w:sz w:val="32"/>
          <w:szCs w:val="32"/>
        </w:rPr>
        <w:t>万元的</w:t>
      </w:r>
      <w:r>
        <w:rPr>
          <w:rFonts w:hint="eastAsia" w:ascii="仿宋" w:hAnsi="仿宋" w:eastAsia="仿宋" w:cs="仿宋"/>
          <w:color w:val="auto"/>
          <w:sz w:val="32"/>
          <w:szCs w:val="32"/>
          <w:lang w:val="en-US" w:eastAsia="zh-CN"/>
        </w:rPr>
        <w:t>56.53</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58,576.00万元的89.77%</w:t>
      </w:r>
      <w:r>
        <w:rPr>
          <w:rFonts w:hint="eastAsia" w:ascii="仿宋" w:hAnsi="仿宋" w:eastAsia="仿宋" w:cs="仿宋"/>
          <w:color w:val="auto"/>
          <w:sz w:val="32"/>
          <w:szCs w:val="32"/>
          <w:lang w:eastAsia="zh-CN"/>
        </w:rPr>
        <w:t>（同口径：</w:t>
      </w:r>
      <w:r>
        <w:rPr>
          <w:rFonts w:hint="default" w:ascii="仿宋" w:hAnsi="仿宋" w:eastAsia="仿宋" w:cs="仿宋"/>
          <w:color w:val="auto"/>
          <w:sz w:val="32"/>
          <w:szCs w:val="32"/>
        </w:rPr>
        <w:t>一般公共预算收入完成</w:t>
      </w:r>
      <w:r>
        <w:rPr>
          <w:rFonts w:hint="eastAsia" w:ascii="仿宋" w:hAnsi="仿宋" w:eastAsia="仿宋" w:cs="仿宋"/>
          <w:color w:val="auto"/>
          <w:sz w:val="32"/>
          <w:szCs w:val="32"/>
          <w:lang w:val="en-US" w:eastAsia="zh-CN"/>
        </w:rPr>
        <w:t>87,815.00</w:t>
      </w:r>
      <w:r>
        <w:rPr>
          <w:rFonts w:hint="default" w:ascii="仿宋" w:hAnsi="仿宋" w:eastAsia="仿宋" w:cs="仿宋"/>
          <w:color w:val="auto"/>
          <w:sz w:val="32"/>
          <w:szCs w:val="32"/>
        </w:rPr>
        <w:t>万元，比上年</w:t>
      </w:r>
      <w:r>
        <w:rPr>
          <w:rFonts w:hint="eastAsia" w:ascii="仿宋" w:hAnsi="仿宋" w:eastAsia="仿宋" w:cs="仿宋"/>
          <w:color w:val="auto"/>
          <w:sz w:val="32"/>
          <w:szCs w:val="32"/>
          <w:lang w:val="en-US" w:eastAsia="zh-CN"/>
        </w:rPr>
        <w:t>91,723.00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减</w:t>
      </w:r>
      <w:r>
        <w:rPr>
          <w:rFonts w:hint="eastAsia" w:ascii="仿宋" w:hAnsi="仿宋" w:eastAsia="仿宋" w:cs="仿宋"/>
          <w:color w:val="auto"/>
          <w:sz w:val="32"/>
          <w:szCs w:val="32"/>
          <w:lang w:val="en-US" w:eastAsia="zh-CN"/>
        </w:rPr>
        <w:t>少3,908.00</w:t>
      </w:r>
      <w:r>
        <w:rPr>
          <w:rFonts w:hint="default" w:ascii="仿宋" w:hAnsi="仿宋" w:eastAsia="仿宋" w:cs="仿宋"/>
          <w:color w:val="auto"/>
          <w:sz w:val="32"/>
          <w:szCs w:val="32"/>
        </w:rPr>
        <w:t>万元，下降</w:t>
      </w:r>
      <w:r>
        <w:rPr>
          <w:rFonts w:hint="eastAsia" w:ascii="仿宋" w:hAnsi="仿宋" w:eastAsia="仿宋" w:cs="仿宋"/>
          <w:color w:val="auto"/>
          <w:sz w:val="32"/>
          <w:szCs w:val="32"/>
          <w:lang w:val="en-US" w:eastAsia="zh-CN"/>
        </w:rPr>
        <w:t>4.26</w:t>
      </w:r>
      <w:r>
        <w:rPr>
          <w:rFonts w:hint="default" w:ascii="仿宋" w:hAnsi="仿宋" w:eastAsia="仿宋" w:cs="仿宋"/>
          <w:color w:val="auto"/>
          <w:sz w:val="32"/>
          <w:szCs w:val="32"/>
        </w:rPr>
        <w:t>%，完成年初预算数</w:t>
      </w:r>
      <w:r>
        <w:rPr>
          <w:rFonts w:hint="eastAsia" w:ascii="仿宋" w:hAnsi="仿宋" w:eastAsia="仿宋" w:cs="仿宋"/>
          <w:color w:val="auto"/>
          <w:sz w:val="32"/>
          <w:szCs w:val="32"/>
          <w:lang w:val="en-US" w:eastAsia="zh-CN"/>
        </w:rPr>
        <w:t>93,010.00</w:t>
      </w:r>
      <w:r>
        <w:rPr>
          <w:rFonts w:hint="default" w:ascii="仿宋" w:hAnsi="仿宋" w:eastAsia="仿宋" w:cs="仿宋"/>
          <w:color w:val="auto"/>
          <w:sz w:val="32"/>
          <w:szCs w:val="32"/>
        </w:rPr>
        <w:t>万元的</w:t>
      </w:r>
      <w:r>
        <w:rPr>
          <w:rFonts w:hint="eastAsia" w:ascii="仿宋" w:hAnsi="仿宋" w:eastAsia="仿宋" w:cs="仿宋"/>
          <w:color w:val="auto"/>
          <w:sz w:val="32"/>
          <w:szCs w:val="32"/>
          <w:lang w:val="en-US" w:eastAsia="zh-CN"/>
        </w:rPr>
        <w:t>94.41</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94,024.00万元的93.40%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一般公共预算支出完成</w:t>
      </w:r>
      <w:r>
        <w:rPr>
          <w:rFonts w:hint="eastAsia" w:ascii="仿宋" w:hAnsi="仿宋" w:eastAsia="仿宋" w:cs="仿宋"/>
          <w:color w:val="auto"/>
          <w:sz w:val="32"/>
          <w:szCs w:val="32"/>
          <w:lang w:val="en-US" w:eastAsia="zh-CN"/>
        </w:rPr>
        <w:t>220,098.00万</w:t>
      </w:r>
      <w:r>
        <w:rPr>
          <w:rFonts w:hint="eastAsia" w:ascii="仿宋" w:hAnsi="仿宋" w:eastAsia="仿宋" w:cs="仿宋"/>
          <w:color w:val="auto"/>
          <w:sz w:val="32"/>
          <w:szCs w:val="32"/>
        </w:rPr>
        <w:t>元，</w:t>
      </w:r>
      <w:r>
        <w:rPr>
          <w:rFonts w:hint="default" w:ascii="仿宋" w:hAnsi="仿宋" w:eastAsia="仿宋" w:cs="仿宋"/>
          <w:color w:val="auto"/>
          <w:sz w:val="32"/>
          <w:szCs w:val="32"/>
        </w:rPr>
        <w:t>比上年</w:t>
      </w:r>
      <w:r>
        <w:rPr>
          <w:rFonts w:hint="eastAsia" w:ascii="仿宋" w:hAnsi="仿宋" w:eastAsia="仿宋" w:cs="仿宋"/>
          <w:color w:val="auto"/>
          <w:sz w:val="32"/>
          <w:szCs w:val="32"/>
          <w:lang w:val="en-US" w:eastAsia="zh-CN"/>
        </w:rPr>
        <w:t>234,349.00</w:t>
      </w:r>
      <w:r>
        <w:rPr>
          <w:rFonts w:hint="default" w:ascii="仿宋" w:hAnsi="仿宋" w:eastAsia="仿宋" w:cs="仿宋"/>
          <w:color w:val="auto"/>
          <w:sz w:val="32"/>
          <w:szCs w:val="32"/>
        </w:rPr>
        <w:t>万元，减</w:t>
      </w:r>
      <w:r>
        <w:rPr>
          <w:rFonts w:hint="eastAsia" w:ascii="仿宋" w:hAnsi="仿宋" w:eastAsia="仿宋" w:cs="仿宋"/>
          <w:color w:val="auto"/>
          <w:sz w:val="32"/>
          <w:szCs w:val="32"/>
          <w:lang w:val="en-US" w:eastAsia="zh-CN"/>
        </w:rPr>
        <w:t>少14,251.00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6.08</w:t>
      </w:r>
      <w:r>
        <w:rPr>
          <w:rFonts w:hint="default" w:ascii="仿宋" w:hAnsi="仿宋" w:eastAsia="仿宋" w:cs="仿宋"/>
          <w:color w:val="auto"/>
          <w:sz w:val="32"/>
          <w:szCs w:val="32"/>
        </w:rPr>
        <w:t>%，完成年初预算数</w:t>
      </w:r>
      <w:r>
        <w:rPr>
          <w:rFonts w:hint="eastAsia" w:ascii="仿宋" w:hAnsi="仿宋" w:eastAsia="仿宋" w:cs="仿宋"/>
          <w:color w:val="auto"/>
          <w:sz w:val="32"/>
          <w:szCs w:val="32"/>
          <w:lang w:val="en-US" w:eastAsia="zh-CN"/>
        </w:rPr>
        <w:t>241,379.00</w:t>
      </w:r>
      <w:r>
        <w:rPr>
          <w:rFonts w:hint="default" w:ascii="仿宋" w:hAnsi="仿宋" w:eastAsia="仿宋" w:cs="仿宋"/>
          <w:color w:val="auto"/>
          <w:sz w:val="32"/>
          <w:szCs w:val="32"/>
        </w:rPr>
        <w:t>万元的</w:t>
      </w:r>
      <w:r>
        <w:rPr>
          <w:rFonts w:hint="eastAsia" w:ascii="仿宋" w:hAnsi="仿宋" w:eastAsia="仿宋" w:cs="仿宋"/>
          <w:color w:val="auto"/>
          <w:sz w:val="32"/>
          <w:szCs w:val="32"/>
          <w:lang w:val="en-US" w:eastAsia="zh-CN"/>
        </w:rPr>
        <w:t>91.18</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241,617.00万元的91.09%</w:t>
      </w:r>
      <w:r>
        <w:rPr>
          <w:rFonts w:hint="default" w:ascii="仿宋" w:hAnsi="仿宋" w:eastAsia="仿宋" w:cs="仿宋"/>
          <w:color w:val="auto"/>
          <w:sz w:val="32"/>
          <w:szCs w:val="32"/>
        </w:rPr>
        <w:t>。</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（二）政府性基金预算执行情况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政府性基金</w:t>
      </w:r>
      <w:r>
        <w:rPr>
          <w:rFonts w:hint="default" w:ascii="仿宋" w:hAnsi="仿宋" w:eastAsia="仿宋" w:cs="仿宋"/>
          <w:color w:val="auto"/>
          <w:sz w:val="32"/>
          <w:szCs w:val="32"/>
        </w:rPr>
        <w:t>预算收入完成</w:t>
      </w:r>
      <w:r>
        <w:rPr>
          <w:rFonts w:hint="eastAsia" w:ascii="仿宋" w:hAnsi="仿宋" w:eastAsia="仿宋" w:cs="仿宋"/>
          <w:color w:val="auto"/>
          <w:sz w:val="32"/>
          <w:szCs w:val="32"/>
          <w:lang w:val="en-US" w:eastAsia="zh-CN"/>
        </w:rPr>
        <w:t>58,634.00</w:t>
      </w:r>
      <w:r>
        <w:rPr>
          <w:rFonts w:hint="default" w:ascii="仿宋" w:hAnsi="仿宋" w:eastAsia="仿宋" w:cs="仿宋"/>
          <w:color w:val="auto"/>
          <w:sz w:val="32"/>
          <w:szCs w:val="32"/>
        </w:rPr>
        <w:t>万元，比上年</w:t>
      </w:r>
      <w:r>
        <w:rPr>
          <w:rFonts w:hint="eastAsia" w:ascii="仿宋" w:hAnsi="仿宋" w:eastAsia="仿宋" w:cs="仿宋"/>
          <w:color w:val="auto"/>
          <w:sz w:val="32"/>
          <w:szCs w:val="32"/>
          <w:lang w:val="en-US" w:eastAsia="zh-CN"/>
        </w:rPr>
        <w:t>313,396.00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减</w:t>
      </w:r>
      <w:r>
        <w:rPr>
          <w:rFonts w:hint="eastAsia" w:ascii="仿宋" w:hAnsi="仿宋" w:eastAsia="仿宋" w:cs="仿宋"/>
          <w:color w:val="auto"/>
          <w:sz w:val="32"/>
          <w:szCs w:val="32"/>
          <w:lang w:val="en-US" w:eastAsia="zh-CN"/>
        </w:rPr>
        <w:t>少254,762.00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81.29</w:t>
      </w:r>
      <w:r>
        <w:rPr>
          <w:rFonts w:hint="default" w:ascii="仿宋" w:hAnsi="仿宋" w:eastAsia="仿宋" w:cs="仿宋"/>
          <w:color w:val="auto"/>
          <w:sz w:val="32"/>
          <w:szCs w:val="32"/>
        </w:rPr>
        <w:t>%，完成年初预算数</w:t>
      </w:r>
      <w:r>
        <w:rPr>
          <w:rFonts w:hint="eastAsia" w:ascii="仿宋" w:hAnsi="仿宋" w:eastAsia="仿宋" w:cs="仿宋"/>
          <w:color w:val="auto"/>
          <w:sz w:val="32"/>
          <w:szCs w:val="32"/>
          <w:lang w:val="en-US" w:eastAsia="zh-CN"/>
        </w:rPr>
        <w:t>353,226.00</w:t>
      </w:r>
      <w:r>
        <w:rPr>
          <w:rFonts w:hint="default" w:ascii="仿宋" w:hAnsi="仿宋" w:eastAsia="仿宋" w:cs="仿宋"/>
          <w:color w:val="auto"/>
          <w:sz w:val="32"/>
          <w:szCs w:val="32"/>
        </w:rPr>
        <w:t>万元的</w:t>
      </w:r>
      <w:r>
        <w:rPr>
          <w:rFonts w:hint="eastAsia" w:ascii="仿宋" w:hAnsi="仿宋" w:eastAsia="仿宋" w:cs="仿宋"/>
          <w:color w:val="auto"/>
          <w:sz w:val="32"/>
          <w:szCs w:val="32"/>
          <w:lang w:val="en-US" w:eastAsia="zh-CN"/>
        </w:rPr>
        <w:t>16.60</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205,376.00万元的28.55%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政府性基金</w:t>
      </w:r>
      <w:r>
        <w:rPr>
          <w:rFonts w:hint="default" w:ascii="仿宋" w:hAnsi="仿宋" w:eastAsia="仿宋" w:cs="仿宋"/>
          <w:color w:val="auto"/>
          <w:sz w:val="32"/>
          <w:szCs w:val="32"/>
        </w:rPr>
        <w:t>预算支出</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lang w:val="en-US" w:eastAsia="zh-CN"/>
        </w:rPr>
        <w:t>71,531.00</w:t>
      </w:r>
      <w:r>
        <w:rPr>
          <w:rFonts w:hint="default" w:ascii="仿宋" w:hAnsi="仿宋" w:eastAsia="仿宋" w:cs="仿宋"/>
          <w:color w:val="auto"/>
          <w:sz w:val="32"/>
          <w:szCs w:val="32"/>
        </w:rPr>
        <w:t>万元，比上年</w:t>
      </w:r>
      <w:r>
        <w:rPr>
          <w:rFonts w:hint="eastAsia" w:ascii="仿宋" w:hAnsi="仿宋" w:eastAsia="仿宋" w:cs="仿宋"/>
          <w:color w:val="auto"/>
          <w:sz w:val="32"/>
          <w:szCs w:val="32"/>
          <w:lang w:val="en-US" w:eastAsia="zh-CN"/>
        </w:rPr>
        <w:t>435,066.00</w:t>
      </w:r>
      <w:r>
        <w:rPr>
          <w:rFonts w:hint="default" w:ascii="仿宋" w:hAnsi="仿宋" w:eastAsia="仿宋" w:cs="仿宋"/>
          <w:color w:val="auto"/>
          <w:sz w:val="32"/>
          <w:szCs w:val="32"/>
        </w:rPr>
        <w:t>万元，减</w:t>
      </w:r>
      <w:r>
        <w:rPr>
          <w:rFonts w:hint="eastAsia" w:ascii="仿宋" w:hAnsi="仿宋" w:eastAsia="仿宋" w:cs="仿宋"/>
          <w:color w:val="auto"/>
          <w:sz w:val="32"/>
          <w:szCs w:val="32"/>
          <w:lang w:val="en-US" w:eastAsia="zh-CN"/>
        </w:rPr>
        <w:t>少363,535.00</w:t>
      </w:r>
      <w:r>
        <w:rPr>
          <w:rFonts w:hint="default"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83.56</w:t>
      </w:r>
      <w:r>
        <w:rPr>
          <w:rFonts w:hint="default" w:ascii="仿宋" w:hAnsi="仿宋" w:eastAsia="仿宋" w:cs="仿宋"/>
          <w:color w:val="auto"/>
          <w:sz w:val="32"/>
          <w:szCs w:val="32"/>
        </w:rPr>
        <w:t>%，完成年初预算数</w:t>
      </w:r>
      <w:r>
        <w:rPr>
          <w:rFonts w:hint="eastAsia" w:ascii="仿宋" w:hAnsi="仿宋" w:eastAsia="仿宋" w:cs="仿宋"/>
          <w:color w:val="auto"/>
          <w:sz w:val="32"/>
          <w:szCs w:val="32"/>
          <w:lang w:val="en-US" w:eastAsia="zh-CN"/>
        </w:rPr>
        <w:t>247,264.00</w:t>
      </w:r>
      <w:r>
        <w:rPr>
          <w:rFonts w:hint="default" w:ascii="仿宋" w:hAnsi="仿宋" w:eastAsia="仿宋" w:cs="仿宋"/>
          <w:color w:val="auto"/>
          <w:sz w:val="32"/>
          <w:szCs w:val="32"/>
        </w:rPr>
        <w:t>万元的</w:t>
      </w:r>
      <w:r>
        <w:rPr>
          <w:rFonts w:hint="eastAsia" w:ascii="仿宋" w:hAnsi="仿宋" w:eastAsia="仿宋" w:cs="仿宋"/>
          <w:color w:val="auto"/>
          <w:sz w:val="32"/>
          <w:szCs w:val="32"/>
          <w:lang w:val="en-US" w:eastAsia="zh-CN"/>
        </w:rPr>
        <w:t>28.93</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211,757.00万元的33.78%</w:t>
      </w:r>
      <w:r>
        <w:rPr>
          <w:rFonts w:hint="default" w:ascii="仿宋" w:hAnsi="仿宋" w:eastAsia="仿宋" w:cs="仿宋"/>
          <w:color w:val="auto"/>
          <w:sz w:val="32"/>
          <w:szCs w:val="32"/>
        </w:rPr>
        <w:t>。</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（三）社会保险基金预算执行情况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社会保险基金预算收入完成</w:t>
      </w:r>
      <w:r>
        <w:rPr>
          <w:rFonts w:hint="eastAsia" w:ascii="仿宋" w:hAnsi="仿宋" w:eastAsia="仿宋" w:cs="仿宋"/>
          <w:color w:val="auto"/>
          <w:sz w:val="32"/>
          <w:szCs w:val="32"/>
          <w:lang w:val="en-US" w:eastAsia="zh-CN"/>
        </w:rPr>
        <w:t>81</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CN"/>
        </w:rPr>
        <w:t>141.00</w:t>
      </w:r>
      <w:r>
        <w:rPr>
          <w:rFonts w:hint="eastAsia" w:ascii="仿宋" w:hAnsi="仿宋" w:eastAsia="仿宋" w:cs="仿宋"/>
          <w:color w:val="auto"/>
          <w:sz w:val="32"/>
          <w:szCs w:val="32"/>
          <w:lang w:eastAsia="zh-CN"/>
        </w:rPr>
        <w:t>万</w:t>
      </w:r>
      <w:r>
        <w:rPr>
          <w:rFonts w:hint="default" w:ascii="仿宋" w:hAnsi="仿宋" w:eastAsia="仿宋" w:cs="仿宋"/>
          <w:color w:val="auto"/>
          <w:sz w:val="32"/>
          <w:szCs w:val="32"/>
        </w:rPr>
        <w:t>元，完成年初预算98.</w:t>
      </w:r>
      <w:r>
        <w:rPr>
          <w:rFonts w:hint="eastAsia" w:ascii="仿宋" w:hAnsi="仿宋" w:eastAsia="仿宋" w:cs="仿宋"/>
          <w:color w:val="auto"/>
          <w:sz w:val="32"/>
          <w:szCs w:val="32"/>
          <w:lang w:val="en-US" w:eastAsia="zh-CN"/>
        </w:rPr>
        <w:t>18</w:t>
      </w:r>
      <w:r>
        <w:rPr>
          <w:rFonts w:hint="default" w:ascii="仿宋" w:hAnsi="仿宋" w:eastAsia="仿宋" w:cs="仿宋"/>
          <w:color w:val="auto"/>
          <w:sz w:val="32"/>
          <w:szCs w:val="32"/>
        </w:rPr>
        <w:t>%，完成预算调整</w:t>
      </w:r>
      <w:r>
        <w:rPr>
          <w:rFonts w:hint="eastAsia" w:ascii="仿宋" w:hAnsi="仿宋" w:eastAsia="仿宋" w:cs="仿宋"/>
          <w:color w:val="auto"/>
          <w:sz w:val="32"/>
          <w:szCs w:val="32"/>
          <w:lang w:val="en-US" w:eastAsia="zh-CN"/>
        </w:rPr>
        <w:t>93.66</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同比增长</w:t>
      </w:r>
      <w:r>
        <w:rPr>
          <w:rFonts w:hint="eastAsia" w:ascii="仿宋" w:hAnsi="仿宋" w:eastAsia="仿宋" w:cs="仿宋"/>
          <w:color w:val="auto"/>
          <w:sz w:val="32"/>
          <w:szCs w:val="32"/>
          <w:lang w:val="en-US" w:eastAsia="zh-CN"/>
        </w:rPr>
        <w:t>24.58</w:t>
      </w:r>
      <w:r>
        <w:rPr>
          <w:rFonts w:hint="default" w:ascii="仿宋" w:hAnsi="仿宋" w:eastAsia="仿宋" w:cs="仿宋"/>
          <w:color w:val="auto"/>
          <w:sz w:val="32"/>
          <w:szCs w:val="32"/>
        </w:rPr>
        <w:t>%；社会保险基金预算支出完成6</w:t>
      </w:r>
      <w:r>
        <w:rPr>
          <w:rFonts w:hint="eastAsia" w:ascii="仿宋" w:hAnsi="仿宋" w:eastAsia="仿宋" w:cs="仿宋"/>
          <w:color w:val="auto"/>
          <w:sz w:val="32"/>
          <w:szCs w:val="32"/>
          <w:lang w:val="en-US" w:eastAsia="zh-CN"/>
        </w:rPr>
        <w:t>7</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CN"/>
        </w:rPr>
        <w:t>785.00</w:t>
      </w:r>
      <w:r>
        <w:rPr>
          <w:rFonts w:hint="eastAsia" w:ascii="仿宋" w:hAnsi="仿宋" w:eastAsia="仿宋" w:cs="仿宋"/>
          <w:color w:val="auto"/>
          <w:sz w:val="32"/>
          <w:szCs w:val="32"/>
          <w:lang w:eastAsia="zh-CN"/>
        </w:rPr>
        <w:t>万</w:t>
      </w:r>
      <w:r>
        <w:rPr>
          <w:rFonts w:hint="default" w:ascii="仿宋" w:hAnsi="仿宋" w:eastAsia="仿宋" w:cs="仿宋"/>
          <w:color w:val="auto"/>
          <w:sz w:val="32"/>
          <w:szCs w:val="32"/>
        </w:rPr>
        <w:t>元，完成年初预算</w:t>
      </w:r>
      <w:r>
        <w:rPr>
          <w:rFonts w:hint="eastAsia" w:ascii="仿宋" w:hAnsi="仿宋" w:eastAsia="仿宋" w:cs="仿宋"/>
          <w:color w:val="auto"/>
          <w:sz w:val="32"/>
          <w:szCs w:val="32"/>
          <w:lang w:val="en-US" w:eastAsia="zh-CN"/>
        </w:rPr>
        <w:t>93</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CN"/>
        </w:rPr>
        <w:t>18</w:t>
      </w:r>
      <w:r>
        <w:rPr>
          <w:rFonts w:hint="default" w:ascii="仿宋" w:hAnsi="仿宋" w:eastAsia="仿宋" w:cs="仿宋"/>
          <w:color w:val="auto"/>
          <w:sz w:val="32"/>
          <w:szCs w:val="32"/>
        </w:rPr>
        <w:t>%，完成预算调整</w:t>
      </w:r>
      <w:r>
        <w:rPr>
          <w:rFonts w:hint="eastAsia" w:ascii="仿宋" w:hAnsi="仿宋" w:eastAsia="仿宋" w:cs="仿宋"/>
          <w:color w:val="auto"/>
          <w:sz w:val="32"/>
          <w:szCs w:val="32"/>
          <w:lang w:val="en-US" w:eastAsia="zh-CN"/>
        </w:rPr>
        <w:t>94.13</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同比增长</w:t>
      </w:r>
      <w:r>
        <w:rPr>
          <w:rFonts w:hint="eastAsia" w:ascii="仿宋" w:hAnsi="仿宋" w:eastAsia="仿宋" w:cs="仿宋"/>
          <w:color w:val="auto"/>
          <w:sz w:val="32"/>
          <w:szCs w:val="32"/>
          <w:lang w:val="en-US" w:eastAsia="zh-CN"/>
        </w:rPr>
        <w:t>2.37</w:t>
      </w:r>
      <w:r>
        <w:rPr>
          <w:rFonts w:hint="default" w:ascii="仿宋" w:hAnsi="仿宋" w:eastAsia="仿宋" w:cs="仿宋"/>
          <w:color w:val="auto"/>
          <w:sz w:val="32"/>
          <w:szCs w:val="32"/>
        </w:rPr>
        <w:t>%。</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（四）国有资本经营预算执行情况</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国有资本经营预算收入完成</w:t>
      </w:r>
      <w:r>
        <w:rPr>
          <w:rFonts w:hint="eastAsia" w:ascii="仿宋" w:hAnsi="仿宋" w:eastAsia="仿宋" w:cs="仿宋"/>
          <w:color w:val="auto"/>
          <w:sz w:val="32"/>
          <w:szCs w:val="32"/>
          <w:lang w:val="en-US" w:eastAsia="zh-CN"/>
        </w:rPr>
        <w:t>3,340.00万元，同比增长854.29%；</w:t>
      </w:r>
      <w:r>
        <w:rPr>
          <w:rFonts w:hint="eastAsia" w:ascii="仿宋" w:hAnsi="仿宋" w:eastAsia="仿宋" w:cs="仿宋"/>
          <w:color w:val="auto"/>
          <w:sz w:val="32"/>
          <w:szCs w:val="32"/>
        </w:rPr>
        <w:t>国有资本经营预算支出完成</w:t>
      </w:r>
      <w:r>
        <w:rPr>
          <w:rFonts w:hint="eastAsia" w:ascii="仿宋" w:hAnsi="仿宋" w:eastAsia="仿宋" w:cs="仿宋"/>
          <w:color w:val="auto"/>
          <w:sz w:val="32"/>
          <w:szCs w:val="32"/>
          <w:lang w:val="en-US" w:eastAsia="zh-CN"/>
        </w:rPr>
        <w:t>8.00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同比</w:t>
      </w:r>
      <w:r>
        <w:rPr>
          <w:rFonts w:hint="eastAsia" w:ascii="仿宋" w:hAnsi="仿宋" w:eastAsia="仿宋" w:cs="仿宋"/>
          <w:color w:val="auto"/>
          <w:sz w:val="32"/>
          <w:szCs w:val="32"/>
          <w:lang w:val="en-US" w:eastAsia="zh-CN"/>
        </w:rPr>
        <w:t>下降46.67%。</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三、202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年财政收支预算情况</w:t>
      </w:r>
    </w:p>
    <w:p>
      <w:pPr>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90" w:lineRule="exact"/>
        <w:ind w:left="0" w:right="0" w:rightChars="0" w:firstLine="640" w:firstLineChars="200"/>
        <w:jc w:val="left"/>
        <w:textAlignment w:val="auto"/>
        <w:outlineLvl w:val="9"/>
        <w:rPr>
          <w:rFonts w:hint="default" w:ascii="Times New Roman" w:hAnsi="Times New Roman" w:cs="Times New Roman"/>
          <w:color w:val="auto"/>
          <w:highlight w:val="none"/>
        </w:rPr>
      </w:pPr>
      <w:r>
        <w:rPr>
          <w:rFonts w:hint="default" w:ascii="楷体" w:hAnsi="楷体" w:eastAsia="楷体" w:cs="楷体"/>
          <w:color w:val="auto"/>
          <w:sz w:val="32"/>
          <w:szCs w:val="32"/>
          <w:lang w:val="en-US" w:eastAsia="zh-CN"/>
        </w:rPr>
        <w:t>（一）一般公共预算安排</w:t>
      </w:r>
      <w:r>
        <w:rPr>
          <w:rFonts w:hint="eastAsia" w:ascii="楷体" w:hAnsi="楷体" w:eastAsia="楷体" w:cs="楷体"/>
          <w:color w:val="auto"/>
          <w:sz w:val="32"/>
          <w:szCs w:val="32"/>
          <w:lang w:val="en-US" w:eastAsia="zh-CN"/>
        </w:rPr>
        <w:t>。</w:t>
      </w:r>
      <w:r>
        <w:rPr>
          <w:rFonts w:hint="eastAsia" w:ascii="仿宋" w:hAnsi="仿宋" w:eastAsia="仿宋" w:cs="仿宋"/>
          <w:color w:val="auto"/>
          <w:sz w:val="32"/>
          <w:szCs w:val="32"/>
        </w:rPr>
        <w:t>一般公共预算收入安排9</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亿元，同比增长3</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%（同口径），其中：税收收入安排6.35亿元，同比增长35.85%（同口径）；非税收入安排2.65亿元，同比下降34.77%。一般公共预算支出安排22.7</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亿元，同比增长3</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default" w:ascii="楷体" w:hAnsi="楷体" w:eastAsia="楷体" w:cs="楷体"/>
          <w:color w:val="auto"/>
          <w:sz w:val="32"/>
          <w:szCs w:val="32"/>
          <w:lang w:val="en-US" w:eastAsia="zh-CN"/>
        </w:rPr>
        <w:t>（二）政府性基金预算安排</w:t>
      </w:r>
      <w:r>
        <w:rPr>
          <w:rFonts w:hint="eastAsia" w:ascii="楷体" w:hAnsi="楷体" w:eastAsia="楷体" w:cs="楷体"/>
          <w:color w:val="auto"/>
          <w:sz w:val="32"/>
          <w:szCs w:val="32"/>
          <w:lang w:val="en-US" w:eastAsia="zh-CN"/>
        </w:rPr>
        <w:t>。</w:t>
      </w:r>
      <w:r>
        <w:rPr>
          <w:rFonts w:hint="eastAsia" w:ascii="仿宋" w:hAnsi="仿宋" w:eastAsia="仿宋" w:cs="仿宋"/>
          <w:color w:val="auto"/>
          <w:sz w:val="32"/>
          <w:szCs w:val="32"/>
        </w:rPr>
        <w:t>2023年澄江市政府性基金预算收入安排20.08亿元，同比增长177.34%，其中：土地出让价款收入19.99亿元，污水处理费948</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万元；政府性基金预算支出安排14.42亿元，同比增长118.51%。</w:t>
      </w:r>
    </w:p>
    <w:p>
      <w:pPr>
        <w:keepNext w:val="0"/>
        <w:keepLines w:val="0"/>
        <w:pageBreakBefore w:val="0"/>
        <w:widowControl w:val="0"/>
        <w:kinsoku/>
        <w:wordWrap/>
        <w:overflowPunct/>
        <w:topLinePunct w:val="0"/>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（三）社会保险基金预算安排</w:t>
      </w:r>
      <w:r>
        <w:rPr>
          <w:rFonts w:hint="eastAsia" w:ascii="楷体" w:hAnsi="楷体" w:eastAsia="楷体" w:cs="楷体"/>
          <w:color w:val="auto"/>
          <w:sz w:val="32"/>
          <w:szCs w:val="32"/>
          <w:lang w:eastAsia="zh-CN"/>
        </w:rPr>
        <w:t>。</w:t>
      </w: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年</w:t>
      </w:r>
      <w:r>
        <w:rPr>
          <w:rFonts w:hint="default" w:ascii="仿宋" w:hAnsi="仿宋" w:eastAsia="仿宋" w:cs="仿宋"/>
          <w:color w:val="auto"/>
          <w:sz w:val="32"/>
          <w:szCs w:val="32"/>
        </w:rPr>
        <w:t>社</w:t>
      </w:r>
      <w:r>
        <w:rPr>
          <w:rFonts w:hint="eastAsia" w:ascii="仿宋" w:hAnsi="仿宋" w:eastAsia="仿宋" w:cs="仿宋"/>
          <w:color w:val="auto"/>
          <w:sz w:val="32"/>
          <w:szCs w:val="32"/>
        </w:rPr>
        <w:t>会保险基金预算收入安排</w:t>
      </w:r>
      <w:r>
        <w:rPr>
          <w:rFonts w:hint="eastAsia" w:ascii="仿宋" w:hAnsi="仿宋" w:eastAsia="仿宋" w:cs="仿宋"/>
          <w:color w:val="auto"/>
          <w:sz w:val="32"/>
          <w:szCs w:val="32"/>
          <w:lang w:val="en-US" w:eastAsia="zh-CN"/>
        </w:rPr>
        <w:t>8.46</w:t>
      </w:r>
      <w:r>
        <w:rPr>
          <w:rFonts w:hint="eastAsia" w:ascii="仿宋" w:hAnsi="仿宋" w:eastAsia="仿宋" w:cs="仿宋"/>
          <w:color w:val="auto"/>
          <w:sz w:val="32"/>
          <w:szCs w:val="32"/>
          <w:lang w:eastAsia="zh-CN"/>
        </w:rPr>
        <w:t>亿</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2.40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社会保险基金预算支出</w:t>
      </w:r>
      <w:r>
        <w:rPr>
          <w:rFonts w:hint="eastAsia" w:ascii="仿宋" w:hAnsi="仿宋" w:eastAsia="仿宋" w:cs="仿宋"/>
          <w:color w:val="auto"/>
          <w:sz w:val="32"/>
          <w:szCs w:val="32"/>
          <w:lang w:eastAsia="zh-CN"/>
        </w:rPr>
        <w:t>安排</w:t>
      </w:r>
      <w:r>
        <w:rPr>
          <w:rFonts w:hint="eastAsia" w:ascii="仿宋" w:hAnsi="仿宋" w:eastAsia="仿宋" w:cs="仿宋"/>
          <w:color w:val="auto"/>
          <w:sz w:val="32"/>
          <w:szCs w:val="32"/>
          <w:lang w:val="en-US" w:eastAsia="zh-CN"/>
        </w:rPr>
        <w:t>7.90亿</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8.64</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方正仿宋_GBK"/>
          <w:color w:val="auto"/>
          <w:sz w:val="32"/>
          <w:szCs w:val="32"/>
          <w:highlight w:val="none"/>
          <w:lang w:val="en-US" w:eastAsia="zh-CN"/>
        </w:rPr>
      </w:pPr>
      <w:r>
        <w:rPr>
          <w:rFonts w:hint="eastAsia" w:ascii="楷体" w:hAnsi="楷体" w:eastAsia="楷体" w:cs="楷体"/>
          <w:color w:val="auto"/>
          <w:sz w:val="32"/>
          <w:szCs w:val="32"/>
        </w:rPr>
        <w:t>（四）国有资本经营预算安排</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val="en-US" w:eastAsia="zh-CN"/>
        </w:rPr>
        <w:t>2023年澄江市国有资本经营预算收入安排200.00万元，同比下降94.01%；国有资本经营预算支出安排10.00万元，同比增长25.00%。</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四、转移支付情况</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澄江市2022年转移性收入187,420.00万元，其中：返还性收入5,214.00万元（所得税基数返还782.00万,增值税税收返还收入4,432.00万元）；一般性转移支付补助收入93,361.00万元（均衡性转移支付收入15,355.00万元,县级基本财力保障机制奖补资金收入3,345.00万元,结算补助收入6,850.00万元,企业事业单位划转补助收入841.00万元，一般公共服务共同财政事权转移支付收入15.00万元，增值税留抵退税转移支付收入21,519.00万元，其他退税减税降费转移支付收入1,518.00万元，补充县区财力转移支付收入6,030.00万元，重点生态功能区转移支付收入2,829.00万元,固定数额补助收入6,119.00万元,欠发达地区转移支付收入2,143.00万元,公共安全共同财政事权转移支付收入890.00万元,教育共同财政事权转移支付收入5,948.00万元,社会保障和就业共同财政事权转移支付收入10,328.00万元,医疗卫生共同财政事权转移支付收入4,304.00万元，住房保障共同财政事权转移支付收入7.00万元，文化旅游体育与传媒共同财政事权转移支付收入139.00万元，节能环保共同财政事权转移支付收入140.00万元，农林水共同财政事权转移支付收入4,003.00万元，交通运输共同财政事权转移支付收入906.00万元，其他一般性转移支付收入132.00万元）；上级专项补助收入88,845.00万元（一般公共服务1,916.00万元，国防49.00万元，公共安全284.00万元，教育875.00万元，科学技术770.00万元，文化旅游体育和传媒-1,910.00万元，社会保障和就业1,098.00万元，卫生健康385.00万元，节能环保70,255.00万元，城乡社区事务1,100.00万元，农林水事务6,350.00万元，交通运输750.00万元，资源勘探工业信息等435.00万元，商业服务业等事务100.00万元，自然资源海洋气象104.00万元，住房保障支出6,086.00万元，灾害防治及应急管理支出198.00万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澄江市2023年预计转移性收入120,976.00万元，其中：返还性收入5,214.00万元；一般性转移支付补助收入63,475.00万元（均衡性转移支付收入15,046.00万元,县级基本财力保障机制奖补资金收入3,711.00万元,结算补助收入715.00万元,企事业单位划转支付收入840.00万元，重点生态功能区转移支付收入3,096.00万元,固定数额补助收入6,093.00万元,巩固拓展脱贫攻坚成果衔接乡村振兴转移支付收入2,143.00万元,公共安全共同财政事权转移支付收入684.00万元,教育共同财政事权转移支付收入3,863.00万元,文化旅游体育与传媒共同财政事权转移支付收入139.00万元，社会保障和就业共同财政事权转移支付收入8,451.00万元,医疗卫生共同财政事权转移支付收入3,994.00万元，节能环保共同财政事权转移支付收入140.00万元，农林水共同财政事权转移支付收入3,515.00万元，交通运输共同财政事权转移支付收入906.00万元，住房保障共同财政事权转移支付收入7.00万元，增值税留抵退税转移支付收入10,000.00万元，其他一般性转移支付收入132.00万元）；上级专项补助收入52,287.00万元（一般公共服务1,904.00万元，国防49.00万元，公共安全271.00万元，教育868.00万元，科学技术730.00万元，文化旅游体育与传媒466.00万元，社会保障和就业1,093.00万元，卫生健康198.00万元，节能环保38,942.00万元，城乡社区200.00万元，农林水6,092.00万元，交通运输750.00万元，资源勘探工业信息等435.00万元，商业服务业等事务100.00万元，自然资源海洋气象104.00万元，灾害防治及应急管理支出85.00万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使用情况：一般性转移支付补助收入和返还性收入主要用于人员供养支出、部门（单位）和乡镇（街道）正常运转支出、民生支出。专项转移支付补助收入根据上级下达专项用途安排支出。</w:t>
      </w:r>
    </w:p>
    <w:p>
      <w:pPr>
        <w:keepNext w:val="0"/>
        <w:keepLines w:val="0"/>
        <w:pageBreakBefore w:val="0"/>
        <w:widowControl w:val="0"/>
        <w:kinsoku/>
        <w:overflowPunct/>
        <w:topLinePunct w:val="0"/>
        <w:autoSpaceDN/>
        <w:bidi w:val="0"/>
        <w:adjustRightInd/>
        <w:snapToGrid/>
        <w:spacing w:line="59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五、债务管理情况说明</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（一）地方政府债务余额情况。</w:t>
      </w:r>
      <w:r>
        <w:rPr>
          <w:rFonts w:hint="eastAsia" w:ascii="仿宋" w:hAnsi="仿宋" w:eastAsia="仿宋" w:cs="仿宋"/>
          <w:color w:val="auto"/>
          <w:sz w:val="32"/>
          <w:szCs w:val="32"/>
          <w:lang w:val="en-US" w:eastAsia="zh-CN"/>
        </w:rPr>
        <w:t>截至2022年12月31日，政府债务余额103.19亿元（一般债务24.37亿元、专项债务78.82亿元）。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（二）新增专项债券资金使用情况。</w:t>
      </w:r>
      <w:r>
        <w:rPr>
          <w:rFonts w:hint="eastAsia" w:ascii="仿宋" w:hAnsi="仿宋" w:eastAsia="仿宋" w:cs="仿宋"/>
          <w:color w:val="auto"/>
          <w:sz w:val="32"/>
          <w:szCs w:val="32"/>
          <w:lang w:val="en-US" w:eastAsia="zh-CN"/>
        </w:rPr>
        <w:t>全年共申请到新增专项债券资金1.02亿元，主要用于澄江至华宁高速公路（澄江段）基础设施建设项目。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（三）再融资债券资金情况。</w:t>
      </w:r>
      <w:r>
        <w:rPr>
          <w:rFonts w:hint="eastAsia" w:ascii="仿宋" w:hAnsi="仿宋" w:eastAsia="仿宋" w:cs="仿宋"/>
          <w:color w:val="auto"/>
          <w:sz w:val="32"/>
          <w:szCs w:val="32"/>
          <w:lang w:val="en-US" w:eastAsia="zh-CN"/>
        </w:rPr>
        <w:t>发行再融资债券3.61亿元，主要用于偿还2022年到期的政府债券本金3.61亿元，其中：一般债券2.58亿元，专项债券1.03亿元。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（四）地方政府债务偿还情况。</w:t>
      </w:r>
      <w:r>
        <w:rPr>
          <w:rFonts w:hint="eastAsia" w:ascii="仿宋" w:hAnsi="仿宋" w:eastAsia="仿宋" w:cs="仿宋"/>
          <w:color w:val="auto"/>
          <w:sz w:val="32"/>
          <w:szCs w:val="32"/>
          <w:lang w:val="en-US" w:eastAsia="zh-CN"/>
        </w:rPr>
        <w:t>2022年政府债务实际偿还本金4.02亿元，其中一般债务本金2.58亿元，专项债务本金1.44亿元；实际支付利息3.53亿元，其中一般债务利息0.92亿元，专项债务利息2.61亿元。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楷体" w:hAnsi="楷体" w:eastAsia="楷体" w:cs="楷体"/>
          <w:color w:val="auto"/>
          <w:sz w:val="32"/>
          <w:szCs w:val="32"/>
          <w:lang w:val="en-US" w:eastAsia="zh-CN"/>
        </w:rPr>
        <w:t>（五）</w:t>
      </w:r>
      <w:r>
        <w:rPr>
          <w:rFonts w:hint="default" w:ascii="楷体" w:hAnsi="楷体" w:eastAsia="楷体" w:cs="楷体"/>
          <w:color w:val="auto"/>
          <w:sz w:val="32"/>
          <w:szCs w:val="32"/>
          <w:lang w:val="en-US" w:eastAsia="zh-CN"/>
        </w:rPr>
        <w:t>澄江市高度重视政府性债务管理工作，认真落实国家、省、市关于加强地方政府性债务管理工作的有关文件规定，依法依规管理地方政府债务，有针对性地采取切实有效的措施，规范政府举债行为，防范和化解政府债务风险，政府债务风险安全可控。</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1.建立健全债务风险管控机制。</w:t>
      </w:r>
      <w:r>
        <w:rPr>
          <w:rFonts w:hint="default" w:ascii="仿宋" w:hAnsi="仿宋" w:eastAsia="仿宋" w:cs="仿宋"/>
          <w:color w:val="auto"/>
          <w:sz w:val="32"/>
          <w:szCs w:val="32"/>
          <w:lang w:val="en-US" w:eastAsia="zh-CN"/>
        </w:rPr>
        <w:t>为进一步规范我市政府性债务管理，有效防范债务风险，促进全市经济持续健康发展、社会和谐稳定，成立了澄江市防范和化解政府债务专项工作领导小组、澄江市债务管理委员会、澄江市财政金融风险处置工作领导小组，加强对债务工作统一领导。制定了《澄江县人民政府办公室关于印发澄江县加强政府性债务管理实施方案的通知》（澄政办发〔2015〕151号）、《澄江县政府性债务风险应急处置预案》（澄政发〔2017〕57号）等一系列债务化解方案和措施。每年制定《债务化解方案》并严格执行，把防范化解政府债务风险作为一项重要的政治任务，落实主体责任，坚持“谁主管、谁负责，谁举借、谁偿还”的原则，按照“量力而行、尽力而为、风险可控”的要求，坚决遏制债务增量，稳妥化解债务存量，完成债务化解目标，牢牢守住不发生系统性债务风险的底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债务纳入预算管理。对地方政府债务实施限额管理，地方政府债务余额控制在玉溪市财政局下达的债务限额以内，对现有债务，根据偿债资金性质分别纳入一般公共预算和政府性基金预算管理，保证债券资金到期还本付息资金，规范债务资金管理和会计核算，进一步增强债务预算的科学性和完整性。</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债务系统管理。法定债务全部纳入地方政府性债务管理系统，从项目录入、项目申报、项目发行、资金下达、资金使用、收益实现、偿还本息等全链条进行管理。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eastAsia" w:ascii="仿宋" w:hAnsi="仿宋" w:eastAsia="仿宋" w:cs="仿宋"/>
          <w:color w:val="auto"/>
          <w:sz w:val="32"/>
          <w:szCs w:val="32"/>
          <w:lang w:val="en-US" w:eastAsia="zh-CN"/>
        </w:rPr>
        <w:t>4.</w:t>
      </w:r>
      <w:r>
        <w:rPr>
          <w:rFonts w:hint="default" w:ascii="仿宋" w:hAnsi="仿宋" w:eastAsia="仿宋" w:cs="仿宋"/>
          <w:color w:val="auto"/>
          <w:sz w:val="32"/>
          <w:szCs w:val="32"/>
          <w:lang w:val="en-US" w:eastAsia="zh-CN"/>
        </w:rPr>
        <w:t>专项债券资金专户存储，并建立动态监控机制。新增发行的专项债券资金按照省、市要求，开设专项债券资金管理专户，并严格按照专户管理的要求存储专项债券资金。专项债券资金管理专户在项目存续期内保持稳定，专项债券资金到位后，用于项目建设支出。依托专项债券动态监控系统建立了专项债券资金动态监控工作机制，加强对地方政府债券资金全过程的监督管理，及时对债券资金流水进行确认，对于专项债券大额转账的行为，认真进行核实定期跟进项目进度，密切监控项目实施和资金使用全过程，确保债券资金安全、规范、高效使用，注重用好用足地方政府债券资金，充分发挥政府债务</w:t>
      </w:r>
      <w:r>
        <w:rPr>
          <w:rFonts w:hint="default" w:ascii="Times New Roman" w:hAnsi="Times New Roman" w:eastAsia="方正仿宋_GBK" w:cs="Times New Roman"/>
          <w:color w:val="auto"/>
          <w:sz w:val="32"/>
          <w:szCs w:val="32"/>
        </w:rPr>
        <w:t>对经济社会发展的支持作用。</w:t>
      </w:r>
    </w:p>
    <w:p>
      <w:pPr>
        <w:keepNext w:val="0"/>
        <w:keepLines w:val="0"/>
        <w:pageBreakBefore w:val="0"/>
        <w:widowControl w:val="0"/>
        <w:numPr>
          <w:ilvl w:val="0"/>
          <w:numId w:val="0"/>
        </w:numPr>
        <w:pBdr>
          <w:bottom w:val="single" w:color="FFFFFF" w:sz="4" w:space="31"/>
        </w:pBdr>
        <w:tabs>
          <w:tab w:val="left" w:pos="4830"/>
          <w:tab w:val="left" w:pos="8640"/>
        </w:tabs>
        <w:kinsoku/>
        <w:wordWrap/>
        <w:overflowPunct/>
        <w:topLinePunct w:val="0"/>
        <w:autoSpaceDE/>
        <w:autoSpaceDN/>
        <w:bidi w:val="0"/>
        <w:adjustRightInd w:val="0"/>
        <w:snapToGrid w:val="0"/>
        <w:spacing w:beforeAutospacing="0" w:afterAutospacing="0"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六、绩效管理情况说明</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认真贯彻落实《中共云南省委、云南省人民政府关于全面实施预算绩效管理的实施意见》（云发〔2019〕11号）和《中共玉溪市委办公室、玉溪市人民政府办公室关于贯彻落实&lt;中共云南省委、云南省人民政府关于全面实施预算绩效管理的实施意见&gt;的通知》（玉办通〔2019〕23号）精神，加快我市建立现代财政制定，提高财政资源配置效率和使用效益，提升政府效能，提高公共服务质量和水平，2019年，我市制定了《澄江县全面实施预算绩效管理实施方案》（澄政办发〔2019〕120号），2022年，制定了</w:t>
      </w:r>
      <w:r>
        <w:rPr>
          <w:rFonts w:hint="default" w:ascii="仿宋" w:hAnsi="仿宋" w:eastAsia="仿宋" w:cs="仿宋"/>
          <w:color w:val="auto"/>
          <w:sz w:val="32"/>
          <w:szCs w:val="32"/>
          <w:lang w:val="en-US" w:eastAsia="zh-CN"/>
        </w:rPr>
        <w:t>《澄江市项目支出事前绩效评估管理办法（试行）的通知》</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澄财发〔2022〕39号</w:t>
      </w:r>
      <w:r>
        <w:rPr>
          <w:rFonts w:hint="eastAsia" w:ascii="仿宋" w:hAnsi="仿宋" w:eastAsia="仿宋" w:cs="仿宋"/>
          <w:color w:val="auto"/>
          <w:sz w:val="32"/>
          <w:szCs w:val="32"/>
          <w:lang w:val="en-US" w:eastAsia="zh-CN"/>
        </w:rPr>
        <w:t>），不断强化部门绩效管理理念，切实提高资金使用效益。2023年将持续预算绩效管理，进一步提高财政资源配置效率，提升部门整体效能，提高项目资金效益。</w:t>
      </w:r>
    </w:p>
    <w:p>
      <w:pPr>
        <w:keepNext w:val="0"/>
        <w:keepLines w:val="0"/>
        <w:pageBreakBefore w:val="0"/>
        <w:widowControl w:val="0"/>
        <w:numPr>
          <w:ilvl w:val="0"/>
          <w:numId w:val="0"/>
        </w:numPr>
        <w:pBdr>
          <w:bottom w:val="single" w:color="FFFFFF" w:sz="4" w:space="31"/>
        </w:pBdr>
        <w:tabs>
          <w:tab w:val="left" w:pos="4830"/>
          <w:tab w:val="left" w:pos="8640"/>
        </w:tabs>
        <w:kinsoku/>
        <w:wordWrap/>
        <w:overflowPunct/>
        <w:topLinePunct w:val="0"/>
        <w:autoSpaceDE/>
        <w:autoSpaceDN/>
        <w:bidi w:val="0"/>
        <w:adjustRightInd w:val="0"/>
        <w:snapToGrid w:val="0"/>
        <w:spacing w:beforeAutospacing="0" w:afterAutospacing="0"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公开空表说明</w:t>
      </w:r>
    </w:p>
    <w:p>
      <w:pPr>
        <w:keepNext w:val="0"/>
        <w:keepLines w:val="0"/>
        <w:pageBreakBefore w:val="0"/>
        <w:widowControl w:val="0"/>
        <w:numPr>
          <w:ilvl w:val="0"/>
          <w:numId w:val="0"/>
        </w:numPr>
        <w:pBdr>
          <w:bottom w:val="single" w:color="FFFFFF" w:sz="4" w:space="31"/>
        </w:pBdr>
        <w:tabs>
          <w:tab w:val="left" w:pos="4830"/>
          <w:tab w:val="left" w:pos="8640"/>
        </w:tabs>
        <w:kinsoku/>
        <w:wordWrap/>
        <w:overflowPunct/>
        <w:topLinePunct w:val="0"/>
        <w:autoSpaceDE/>
        <w:autoSpaceDN/>
        <w:bidi w:val="0"/>
        <w:adjustRightInd w:val="0"/>
        <w:snapToGrid w:val="0"/>
        <w:spacing w:beforeAutospacing="0" w:afterAutospacing="0" w:line="59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因202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年无国有资本经营支出</w:t>
      </w:r>
      <w:r>
        <w:rPr>
          <w:rFonts w:hint="eastAsia" w:ascii="仿宋" w:hAnsi="仿宋" w:eastAsia="仿宋" w:cs="仿宋"/>
          <w:color w:val="auto"/>
          <w:sz w:val="32"/>
          <w:szCs w:val="32"/>
          <w:lang w:val="en-US" w:eastAsia="zh-CN"/>
        </w:rPr>
        <w:t>对下转移支付</w:t>
      </w:r>
      <w:r>
        <w:rPr>
          <w:rFonts w:hint="eastAsia" w:ascii="仿宋" w:hAnsi="仿宋" w:eastAsia="仿宋" w:cs="仿宋"/>
          <w:color w:val="auto"/>
          <w:sz w:val="32"/>
          <w:szCs w:val="32"/>
        </w:rPr>
        <w:t>，按照要求，国有资本经营</w:t>
      </w:r>
      <w:r>
        <w:rPr>
          <w:rFonts w:hint="eastAsia" w:ascii="仿宋" w:hAnsi="仿宋" w:eastAsia="仿宋" w:cs="仿宋"/>
          <w:color w:val="auto"/>
          <w:sz w:val="32"/>
          <w:szCs w:val="32"/>
          <w:lang w:val="en-US" w:eastAsia="zh-CN"/>
        </w:rPr>
        <w:t>预算转移支付表（分项目）</w:t>
      </w:r>
      <w:r>
        <w:rPr>
          <w:rFonts w:hint="eastAsia" w:ascii="仿宋" w:hAnsi="仿宋" w:eastAsia="仿宋" w:cs="仿宋"/>
          <w:color w:val="auto"/>
          <w:sz w:val="32"/>
          <w:szCs w:val="32"/>
        </w:rPr>
        <w:t>公开了空表。</w:t>
      </w:r>
    </w:p>
    <w:p>
      <w:pPr>
        <w:keepNext w:val="0"/>
        <w:keepLines w:val="0"/>
        <w:pageBreakBefore w:val="0"/>
        <w:widowControl w:val="0"/>
        <w:numPr>
          <w:ilvl w:val="0"/>
          <w:numId w:val="0"/>
        </w:numPr>
        <w:pBdr>
          <w:bottom w:val="single" w:color="FFFFFF" w:sz="4" w:space="31"/>
        </w:pBdr>
        <w:tabs>
          <w:tab w:val="left" w:pos="4830"/>
          <w:tab w:val="left" w:pos="8640"/>
        </w:tabs>
        <w:kinsoku/>
        <w:wordWrap/>
        <w:overflowPunct/>
        <w:topLinePunct w:val="0"/>
        <w:autoSpaceDE/>
        <w:autoSpaceDN/>
        <w:bidi w:val="0"/>
        <w:adjustRightInd w:val="0"/>
        <w:snapToGrid/>
        <w:spacing w:beforeAutospacing="0" w:afterAutospacing="0" w:line="590" w:lineRule="exact"/>
        <w:ind w:left="0" w:right="0" w:rightChars="0" w:firstLine="640" w:firstLineChars="200"/>
        <w:jc w:val="both"/>
        <w:textAlignment w:val="auto"/>
        <w:rPr>
          <w:rFonts w:eastAsia="方正仿宋_GBK"/>
          <w:b w:val="0"/>
          <w:bCs w:val="0"/>
          <w:color w:val="auto"/>
          <w:sz w:val="32"/>
          <w:szCs w:val="32"/>
        </w:rPr>
      </w:pPr>
      <w:r>
        <w:rPr>
          <w:rFonts w:hint="eastAsia" w:ascii="仿宋" w:hAnsi="仿宋" w:eastAsia="仿宋" w:cs="仿宋"/>
          <w:b w:val="0"/>
          <w:color w:val="auto"/>
          <w:kern w:val="2"/>
          <w:sz w:val="32"/>
          <w:szCs w:val="32"/>
          <w:lang w:val="en-US" w:eastAsia="zh-CN" w:bidi="ar-SA"/>
        </w:rPr>
        <w:t>2.因2023年无年初新增地方政府债券资金，按照要求，澄江市2023年年初新增地方政府债券资金安排表公开了空表。</w:t>
      </w:r>
    </w:p>
    <w:sectPr>
      <w:footerReference r:id="rId3" w:type="default"/>
      <w:footerReference r:id="rId4" w:type="even"/>
      <w:pgSz w:w="11906" w:h="16838"/>
      <w:pgMar w:top="1440" w:right="127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C3"/>
    <w:rsid w:val="000007B6"/>
    <w:rsid w:val="00002FFB"/>
    <w:rsid w:val="00007B28"/>
    <w:rsid w:val="00010989"/>
    <w:rsid w:val="00016EBD"/>
    <w:rsid w:val="0003522C"/>
    <w:rsid w:val="0005353E"/>
    <w:rsid w:val="00071A34"/>
    <w:rsid w:val="00087A34"/>
    <w:rsid w:val="000919C0"/>
    <w:rsid w:val="000A6914"/>
    <w:rsid w:val="000B3514"/>
    <w:rsid w:val="000C5B51"/>
    <w:rsid w:val="000C6976"/>
    <w:rsid w:val="000D2D5B"/>
    <w:rsid w:val="000D6853"/>
    <w:rsid w:val="000D7637"/>
    <w:rsid w:val="000F0603"/>
    <w:rsid w:val="000F1F0C"/>
    <w:rsid w:val="00103ABE"/>
    <w:rsid w:val="00106B4E"/>
    <w:rsid w:val="001313FE"/>
    <w:rsid w:val="001316C3"/>
    <w:rsid w:val="00141711"/>
    <w:rsid w:val="00147EF7"/>
    <w:rsid w:val="001537A4"/>
    <w:rsid w:val="0015472B"/>
    <w:rsid w:val="00161642"/>
    <w:rsid w:val="00165098"/>
    <w:rsid w:val="0017148D"/>
    <w:rsid w:val="001834B5"/>
    <w:rsid w:val="0018631D"/>
    <w:rsid w:val="00187ED3"/>
    <w:rsid w:val="001B4EEF"/>
    <w:rsid w:val="001B6DAE"/>
    <w:rsid w:val="001C12CB"/>
    <w:rsid w:val="001C6100"/>
    <w:rsid w:val="001D03BE"/>
    <w:rsid w:val="001D5A87"/>
    <w:rsid w:val="001D6862"/>
    <w:rsid w:val="001E0EC4"/>
    <w:rsid w:val="001E2032"/>
    <w:rsid w:val="002016AE"/>
    <w:rsid w:val="0020188B"/>
    <w:rsid w:val="00201EA0"/>
    <w:rsid w:val="00206D8D"/>
    <w:rsid w:val="00211AE5"/>
    <w:rsid w:val="00213DFF"/>
    <w:rsid w:val="002202B9"/>
    <w:rsid w:val="00223B6E"/>
    <w:rsid w:val="00232ACA"/>
    <w:rsid w:val="002351F2"/>
    <w:rsid w:val="00237389"/>
    <w:rsid w:val="0024003D"/>
    <w:rsid w:val="00246FE3"/>
    <w:rsid w:val="0025686E"/>
    <w:rsid w:val="0026030D"/>
    <w:rsid w:val="00281A77"/>
    <w:rsid w:val="002B28D8"/>
    <w:rsid w:val="002B3052"/>
    <w:rsid w:val="002B32E4"/>
    <w:rsid w:val="002B3FB8"/>
    <w:rsid w:val="002C07AF"/>
    <w:rsid w:val="002C251C"/>
    <w:rsid w:val="002E46F2"/>
    <w:rsid w:val="002F34C2"/>
    <w:rsid w:val="0030359B"/>
    <w:rsid w:val="003143F4"/>
    <w:rsid w:val="00324211"/>
    <w:rsid w:val="003327A8"/>
    <w:rsid w:val="003348F6"/>
    <w:rsid w:val="00337B2B"/>
    <w:rsid w:val="00342DF4"/>
    <w:rsid w:val="0034797A"/>
    <w:rsid w:val="0035399A"/>
    <w:rsid w:val="00367CFD"/>
    <w:rsid w:val="00372C56"/>
    <w:rsid w:val="00380999"/>
    <w:rsid w:val="00381BDD"/>
    <w:rsid w:val="003823A3"/>
    <w:rsid w:val="00384614"/>
    <w:rsid w:val="003A20B0"/>
    <w:rsid w:val="003B26DB"/>
    <w:rsid w:val="003B36D5"/>
    <w:rsid w:val="003C1911"/>
    <w:rsid w:val="003C2156"/>
    <w:rsid w:val="003C2D57"/>
    <w:rsid w:val="003D2907"/>
    <w:rsid w:val="003E5ECF"/>
    <w:rsid w:val="003F79BB"/>
    <w:rsid w:val="0040473D"/>
    <w:rsid w:val="00414B42"/>
    <w:rsid w:val="004205F5"/>
    <w:rsid w:val="00434603"/>
    <w:rsid w:val="004459E6"/>
    <w:rsid w:val="00447E67"/>
    <w:rsid w:val="004730DD"/>
    <w:rsid w:val="00473DA2"/>
    <w:rsid w:val="004B6B1A"/>
    <w:rsid w:val="004C4D04"/>
    <w:rsid w:val="004D0813"/>
    <w:rsid w:val="004D4213"/>
    <w:rsid w:val="004D5C87"/>
    <w:rsid w:val="004E6959"/>
    <w:rsid w:val="004F7195"/>
    <w:rsid w:val="004F76B1"/>
    <w:rsid w:val="00520640"/>
    <w:rsid w:val="005242E7"/>
    <w:rsid w:val="00554CC5"/>
    <w:rsid w:val="00567389"/>
    <w:rsid w:val="00581699"/>
    <w:rsid w:val="00586151"/>
    <w:rsid w:val="00595544"/>
    <w:rsid w:val="005A0F0D"/>
    <w:rsid w:val="005B16F7"/>
    <w:rsid w:val="005C2AFA"/>
    <w:rsid w:val="005C3212"/>
    <w:rsid w:val="005C7238"/>
    <w:rsid w:val="005D2B76"/>
    <w:rsid w:val="005D4DAB"/>
    <w:rsid w:val="005D591F"/>
    <w:rsid w:val="005E36E1"/>
    <w:rsid w:val="005E3A3C"/>
    <w:rsid w:val="006050B2"/>
    <w:rsid w:val="00614019"/>
    <w:rsid w:val="006156A5"/>
    <w:rsid w:val="00640FDA"/>
    <w:rsid w:val="00643093"/>
    <w:rsid w:val="006452F7"/>
    <w:rsid w:val="006605D4"/>
    <w:rsid w:val="006719E5"/>
    <w:rsid w:val="0067567F"/>
    <w:rsid w:val="00687620"/>
    <w:rsid w:val="00694E03"/>
    <w:rsid w:val="006A0B25"/>
    <w:rsid w:val="006A1662"/>
    <w:rsid w:val="006B4B42"/>
    <w:rsid w:val="006C539D"/>
    <w:rsid w:val="006D6F2D"/>
    <w:rsid w:val="006F226C"/>
    <w:rsid w:val="006F65A3"/>
    <w:rsid w:val="0071230B"/>
    <w:rsid w:val="00714994"/>
    <w:rsid w:val="00714E9E"/>
    <w:rsid w:val="007170A4"/>
    <w:rsid w:val="0071720C"/>
    <w:rsid w:val="00740C4F"/>
    <w:rsid w:val="00741137"/>
    <w:rsid w:val="007534A9"/>
    <w:rsid w:val="00753AD6"/>
    <w:rsid w:val="00761FED"/>
    <w:rsid w:val="00781648"/>
    <w:rsid w:val="00781668"/>
    <w:rsid w:val="007A7782"/>
    <w:rsid w:val="007C4E51"/>
    <w:rsid w:val="007D32B3"/>
    <w:rsid w:val="007D3661"/>
    <w:rsid w:val="007D4898"/>
    <w:rsid w:val="007F02AA"/>
    <w:rsid w:val="008164BF"/>
    <w:rsid w:val="00817658"/>
    <w:rsid w:val="008256F9"/>
    <w:rsid w:val="00826BCB"/>
    <w:rsid w:val="008327F1"/>
    <w:rsid w:val="00835BD3"/>
    <w:rsid w:val="00856BC4"/>
    <w:rsid w:val="008639FD"/>
    <w:rsid w:val="00864AE1"/>
    <w:rsid w:val="0089766E"/>
    <w:rsid w:val="008A48FC"/>
    <w:rsid w:val="008C09CF"/>
    <w:rsid w:val="008D2F4C"/>
    <w:rsid w:val="008E689F"/>
    <w:rsid w:val="008F7B11"/>
    <w:rsid w:val="0090090C"/>
    <w:rsid w:val="00905E21"/>
    <w:rsid w:val="00910D9E"/>
    <w:rsid w:val="009175E4"/>
    <w:rsid w:val="0091778A"/>
    <w:rsid w:val="009235DB"/>
    <w:rsid w:val="00926016"/>
    <w:rsid w:val="0094188B"/>
    <w:rsid w:val="00945181"/>
    <w:rsid w:val="00946165"/>
    <w:rsid w:val="00951AF5"/>
    <w:rsid w:val="009525CE"/>
    <w:rsid w:val="009626BB"/>
    <w:rsid w:val="00962A3E"/>
    <w:rsid w:val="00995BD2"/>
    <w:rsid w:val="009A2745"/>
    <w:rsid w:val="009A4A5D"/>
    <w:rsid w:val="009A75F1"/>
    <w:rsid w:val="009C2F98"/>
    <w:rsid w:val="009D2A3A"/>
    <w:rsid w:val="009D2BF0"/>
    <w:rsid w:val="009E09D2"/>
    <w:rsid w:val="009E7B6C"/>
    <w:rsid w:val="009F13B2"/>
    <w:rsid w:val="009F4F2A"/>
    <w:rsid w:val="00A17CA2"/>
    <w:rsid w:val="00A230E9"/>
    <w:rsid w:val="00A45BC9"/>
    <w:rsid w:val="00A541FF"/>
    <w:rsid w:val="00A745D4"/>
    <w:rsid w:val="00A84796"/>
    <w:rsid w:val="00A856CE"/>
    <w:rsid w:val="00A95D88"/>
    <w:rsid w:val="00AA6E2C"/>
    <w:rsid w:val="00AD4CA0"/>
    <w:rsid w:val="00AD594C"/>
    <w:rsid w:val="00AE0485"/>
    <w:rsid w:val="00AE08F3"/>
    <w:rsid w:val="00AE2B76"/>
    <w:rsid w:val="00B109D7"/>
    <w:rsid w:val="00B11D9D"/>
    <w:rsid w:val="00B326E4"/>
    <w:rsid w:val="00B32A41"/>
    <w:rsid w:val="00B345F9"/>
    <w:rsid w:val="00B44232"/>
    <w:rsid w:val="00B50791"/>
    <w:rsid w:val="00B52364"/>
    <w:rsid w:val="00B53A90"/>
    <w:rsid w:val="00B63DA4"/>
    <w:rsid w:val="00B64A3F"/>
    <w:rsid w:val="00B67168"/>
    <w:rsid w:val="00B77130"/>
    <w:rsid w:val="00BA11BB"/>
    <w:rsid w:val="00BA6DE6"/>
    <w:rsid w:val="00BB7AD9"/>
    <w:rsid w:val="00BC60C5"/>
    <w:rsid w:val="00BD5DC8"/>
    <w:rsid w:val="00BF7116"/>
    <w:rsid w:val="00C02508"/>
    <w:rsid w:val="00C06166"/>
    <w:rsid w:val="00C07676"/>
    <w:rsid w:val="00C121AB"/>
    <w:rsid w:val="00C26FB1"/>
    <w:rsid w:val="00C300F8"/>
    <w:rsid w:val="00C47BAA"/>
    <w:rsid w:val="00C57EBA"/>
    <w:rsid w:val="00C710A3"/>
    <w:rsid w:val="00C80AEC"/>
    <w:rsid w:val="00C8710F"/>
    <w:rsid w:val="00C933CB"/>
    <w:rsid w:val="00CA22A3"/>
    <w:rsid w:val="00CA49DB"/>
    <w:rsid w:val="00CC0CE5"/>
    <w:rsid w:val="00CC2AF7"/>
    <w:rsid w:val="00CC7DE2"/>
    <w:rsid w:val="00CD2019"/>
    <w:rsid w:val="00CD5C02"/>
    <w:rsid w:val="00CD7695"/>
    <w:rsid w:val="00D1296F"/>
    <w:rsid w:val="00D21593"/>
    <w:rsid w:val="00D22A35"/>
    <w:rsid w:val="00D26757"/>
    <w:rsid w:val="00D328FF"/>
    <w:rsid w:val="00D33B15"/>
    <w:rsid w:val="00D434B6"/>
    <w:rsid w:val="00D505EA"/>
    <w:rsid w:val="00D5216B"/>
    <w:rsid w:val="00D72F80"/>
    <w:rsid w:val="00D74A29"/>
    <w:rsid w:val="00D96293"/>
    <w:rsid w:val="00D97F0A"/>
    <w:rsid w:val="00DA117E"/>
    <w:rsid w:val="00DA232B"/>
    <w:rsid w:val="00DA6DC3"/>
    <w:rsid w:val="00DB0DBC"/>
    <w:rsid w:val="00DB6C4A"/>
    <w:rsid w:val="00DC5272"/>
    <w:rsid w:val="00DF4B64"/>
    <w:rsid w:val="00E0395D"/>
    <w:rsid w:val="00E06EFB"/>
    <w:rsid w:val="00E12945"/>
    <w:rsid w:val="00E62D77"/>
    <w:rsid w:val="00E70AC9"/>
    <w:rsid w:val="00E84A19"/>
    <w:rsid w:val="00E928FE"/>
    <w:rsid w:val="00EC7DDB"/>
    <w:rsid w:val="00EF32A7"/>
    <w:rsid w:val="00EF36C0"/>
    <w:rsid w:val="00F10170"/>
    <w:rsid w:val="00F12DEF"/>
    <w:rsid w:val="00F4676B"/>
    <w:rsid w:val="00F547B1"/>
    <w:rsid w:val="00F57B36"/>
    <w:rsid w:val="00F70E5E"/>
    <w:rsid w:val="00F84D13"/>
    <w:rsid w:val="00F903FD"/>
    <w:rsid w:val="00F94981"/>
    <w:rsid w:val="00F9710F"/>
    <w:rsid w:val="00FA465F"/>
    <w:rsid w:val="00FB080F"/>
    <w:rsid w:val="00FB10F7"/>
    <w:rsid w:val="00FB5335"/>
    <w:rsid w:val="00FB570D"/>
    <w:rsid w:val="00FB6E1D"/>
    <w:rsid w:val="00FB7EF7"/>
    <w:rsid w:val="00FC2756"/>
    <w:rsid w:val="00FC5694"/>
    <w:rsid w:val="00FD3A99"/>
    <w:rsid w:val="00FD4BEF"/>
    <w:rsid w:val="00FD4F35"/>
    <w:rsid w:val="00FE1E21"/>
    <w:rsid w:val="00FE41A2"/>
    <w:rsid w:val="00FE6D76"/>
    <w:rsid w:val="00FF0F8F"/>
    <w:rsid w:val="00FF46FB"/>
    <w:rsid w:val="0479157A"/>
    <w:rsid w:val="050156E5"/>
    <w:rsid w:val="057C2F4A"/>
    <w:rsid w:val="06101281"/>
    <w:rsid w:val="08103B4C"/>
    <w:rsid w:val="082627E3"/>
    <w:rsid w:val="085262BC"/>
    <w:rsid w:val="0AA148A7"/>
    <w:rsid w:val="0BEE7B43"/>
    <w:rsid w:val="0C953A69"/>
    <w:rsid w:val="0D1561C5"/>
    <w:rsid w:val="11D542D0"/>
    <w:rsid w:val="11E24F73"/>
    <w:rsid w:val="12C5296B"/>
    <w:rsid w:val="14774636"/>
    <w:rsid w:val="14C16A86"/>
    <w:rsid w:val="15FD57D8"/>
    <w:rsid w:val="1AE36F33"/>
    <w:rsid w:val="1B7D0771"/>
    <w:rsid w:val="1C7E014A"/>
    <w:rsid w:val="1DCB1F2F"/>
    <w:rsid w:val="1EDA0F15"/>
    <w:rsid w:val="1EE8524D"/>
    <w:rsid w:val="1F682F86"/>
    <w:rsid w:val="1F910B79"/>
    <w:rsid w:val="2018462C"/>
    <w:rsid w:val="21FA0904"/>
    <w:rsid w:val="2293576C"/>
    <w:rsid w:val="238739BF"/>
    <w:rsid w:val="24E262BF"/>
    <w:rsid w:val="27342781"/>
    <w:rsid w:val="27C72F14"/>
    <w:rsid w:val="29690925"/>
    <w:rsid w:val="2BCC4443"/>
    <w:rsid w:val="2CD833A6"/>
    <w:rsid w:val="2D0678CB"/>
    <w:rsid w:val="2D67075A"/>
    <w:rsid w:val="2E6C058D"/>
    <w:rsid w:val="2EFE1FF5"/>
    <w:rsid w:val="32AF26EF"/>
    <w:rsid w:val="332609B6"/>
    <w:rsid w:val="347569A1"/>
    <w:rsid w:val="37A7037B"/>
    <w:rsid w:val="37D644D3"/>
    <w:rsid w:val="39316EF2"/>
    <w:rsid w:val="39DB3714"/>
    <w:rsid w:val="3B3E2837"/>
    <w:rsid w:val="3B7705A1"/>
    <w:rsid w:val="3C7C3B69"/>
    <w:rsid w:val="3CDD6FC2"/>
    <w:rsid w:val="3D0A0859"/>
    <w:rsid w:val="3D0C3C02"/>
    <w:rsid w:val="3F660EBF"/>
    <w:rsid w:val="40F912B2"/>
    <w:rsid w:val="416D2952"/>
    <w:rsid w:val="43716136"/>
    <w:rsid w:val="441F671B"/>
    <w:rsid w:val="47A97F42"/>
    <w:rsid w:val="4A4145FB"/>
    <w:rsid w:val="4A870B8B"/>
    <w:rsid w:val="4AD6544D"/>
    <w:rsid w:val="4B670818"/>
    <w:rsid w:val="4C7514A5"/>
    <w:rsid w:val="4C945336"/>
    <w:rsid w:val="4D246343"/>
    <w:rsid w:val="4E20305C"/>
    <w:rsid w:val="4E9E4AA2"/>
    <w:rsid w:val="54950743"/>
    <w:rsid w:val="56356662"/>
    <w:rsid w:val="570C5893"/>
    <w:rsid w:val="577C5AE9"/>
    <w:rsid w:val="58005364"/>
    <w:rsid w:val="58263B70"/>
    <w:rsid w:val="58AF2E1A"/>
    <w:rsid w:val="593B039A"/>
    <w:rsid w:val="5AEC301A"/>
    <w:rsid w:val="5C974FC8"/>
    <w:rsid w:val="5EB7263F"/>
    <w:rsid w:val="60FB7CF8"/>
    <w:rsid w:val="63882C34"/>
    <w:rsid w:val="640B61F6"/>
    <w:rsid w:val="64DA3AB3"/>
    <w:rsid w:val="65194438"/>
    <w:rsid w:val="652E2043"/>
    <w:rsid w:val="65B43052"/>
    <w:rsid w:val="66114843"/>
    <w:rsid w:val="664E7B9B"/>
    <w:rsid w:val="682056AD"/>
    <w:rsid w:val="6C747283"/>
    <w:rsid w:val="72C11EED"/>
    <w:rsid w:val="74D5146A"/>
    <w:rsid w:val="74E17236"/>
    <w:rsid w:val="75054F92"/>
    <w:rsid w:val="750B09CA"/>
    <w:rsid w:val="77046D45"/>
    <w:rsid w:val="79327D73"/>
    <w:rsid w:val="7A1E29B2"/>
    <w:rsid w:val="7AB17604"/>
    <w:rsid w:val="7BF93990"/>
    <w:rsid w:val="7CAD27FF"/>
    <w:rsid w:val="7D0E0279"/>
    <w:rsid w:val="7EE32BD9"/>
    <w:rsid w:val="7EF249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iPriority w:val="0"/>
    <w:pPr>
      <w:snapToGrid w:val="0"/>
      <w:spacing w:line="300" w:lineRule="auto"/>
      <w:ind w:firstLine="556"/>
    </w:pPr>
    <w:rPr>
      <w:rFonts w:ascii="仿宋_GB2312" w:hAnsi="Times New Roman" w:eastAsia="仿宋_GB2312"/>
      <w:kern w:val="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1"/>
    <w:basedOn w:val="1"/>
    <w:qFormat/>
    <w:uiPriority w:val="0"/>
    <w:pPr>
      <w:ind w:firstLine="200" w:firstLineChars="200"/>
    </w:pPr>
    <w:rPr>
      <w:rFonts w:ascii="Calibri" w:hAnsi="Calibri" w:cs="Arial"/>
      <w:szCs w:val="21"/>
    </w:rPr>
  </w:style>
  <w:style w:type="character" w:customStyle="1" w:styleId="10">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6</Pages>
  <Words>516</Words>
  <Characters>2947</Characters>
  <Lines>24</Lines>
  <Paragraphs>6</Paragraphs>
  <TotalTime>21</TotalTime>
  <ScaleCrop>false</ScaleCrop>
  <LinksUpToDate>false</LinksUpToDate>
  <CharactersWithSpaces>3457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2017-01-12T02:14:00Z</dcterms:created>
  <dc:creator>吴承峰</dc:creator>
  <cp:lastModifiedBy>Dell</cp:lastModifiedBy>
  <cp:lastPrinted>2015-01-29T01:53:00Z</cp:lastPrinted>
  <dcterms:modified xsi:type="dcterms:W3CDTF">2024-04-07T01:42:54Z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