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sz w:val="21"/>
          <w:szCs w:val="21"/>
          <w:lang w:val="en-US" w:eastAsia="zh-CN"/>
        </w:rPr>
      </w:pPr>
      <w:r>
        <w:rPr>
          <w:rFonts w:hint="eastAsia" w:ascii="方正小标宋_GBK" w:hAnsi="方正小标宋_GBK" w:eastAsia="方正小标宋_GBK" w:cs="方正小标宋_GBK"/>
          <w:b/>
          <w:bCs/>
          <w:sz w:val="32"/>
          <w:szCs w:val="32"/>
          <w:lang w:val="en-US" w:eastAsia="zh-CN"/>
        </w:rPr>
        <w:t>澄江市抚仙湖国有林场2024年中央财政衔接推进乡村振兴补助资金建设项目绩效表</w:t>
      </w:r>
    </w:p>
    <w:tbl>
      <w:tblPr>
        <w:tblStyle w:val="4"/>
        <w:tblpPr w:leftFromText="180" w:rightFromText="180" w:vertAnchor="text" w:horzAnchor="page" w:tblpX="1254" w:tblpY="693"/>
        <w:tblOverlap w:val="never"/>
        <w:tblW w:w="20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5"/>
        <w:gridCol w:w="122"/>
        <w:gridCol w:w="1303"/>
        <w:gridCol w:w="1281"/>
        <w:gridCol w:w="1014"/>
        <w:gridCol w:w="1185"/>
        <w:gridCol w:w="1155"/>
        <w:gridCol w:w="1560"/>
        <w:gridCol w:w="5010"/>
        <w:gridCol w:w="3399"/>
        <w:gridCol w:w="3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4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项目目标</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总体目标(2023年-2025年)</w:t>
            </w:r>
          </w:p>
        </w:tc>
        <w:tc>
          <w:tcPr>
            <w:tcW w:w="164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通过该项目的实施，一是逐步收回因历史原因造成毁坏的林地，进一步明确国有林地边界，保障国有林地生态安全；二是加强管护范围内消防设施建设，有效保障资源安全，减少火灾隐患，加强了国有林场安全生产基础设施建设；三是按时完善基础设施、改善职工生活条件。采取因地制宜，精准施策，逐步改善国有林场林区生产生活条件，发展国有林场相关产业，改善林场基础设施落后现状，让林场跟上时代发展的步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预算年度(2024年)目标</w:t>
            </w:r>
          </w:p>
        </w:tc>
        <w:tc>
          <w:tcPr>
            <w:tcW w:w="164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top"/>
              <w:rPr>
                <w:rFonts w:hint="eastAsia" w:ascii="方正小标宋简体" w:hAnsi="方正小标宋简体" w:eastAsia="方正小标宋简体" w:cs="方正小标宋简体"/>
                <w:i w:val="0"/>
                <w:color w:val="000000"/>
                <w:sz w:val="24"/>
                <w:szCs w:val="24"/>
                <w:u w:val="none"/>
              </w:rPr>
            </w:pPr>
            <w:r>
              <w:rPr>
                <w:rFonts w:hint="default" w:ascii="Times New Roman" w:hAnsi="Times New Roman" w:eastAsia="方正仿宋_GBK" w:cs="Times New Roman"/>
                <w:color w:val="auto"/>
                <w:sz w:val="32"/>
                <w:szCs w:val="32"/>
              </w:rPr>
              <w:t>通</w:t>
            </w:r>
            <w:r>
              <w:rPr>
                <w:rFonts w:hint="default" w:ascii="方正小标宋简体" w:hAnsi="方正小标宋简体" w:eastAsia="方正小标宋简体" w:cs="方正小标宋简体"/>
                <w:i w:val="0"/>
                <w:color w:val="000000"/>
                <w:kern w:val="0"/>
                <w:sz w:val="24"/>
                <w:szCs w:val="24"/>
                <w:u w:val="none"/>
                <w:lang w:val="en-US" w:eastAsia="zh-CN" w:bidi="ar"/>
              </w:rPr>
              <w:t>过该项目的实施，</w:t>
            </w:r>
            <w:r>
              <w:rPr>
                <w:rFonts w:hint="eastAsia" w:ascii="方正小标宋简体" w:hAnsi="方正小标宋简体" w:eastAsia="方正小标宋简体" w:cs="方正小标宋简体"/>
                <w:i w:val="0"/>
                <w:color w:val="000000"/>
                <w:kern w:val="0"/>
                <w:sz w:val="24"/>
                <w:szCs w:val="24"/>
                <w:u w:val="none"/>
                <w:lang w:val="en-US" w:eastAsia="zh-CN" w:bidi="ar"/>
              </w:rPr>
              <w:t>一</w:t>
            </w:r>
            <w:r>
              <w:rPr>
                <w:rFonts w:hint="default" w:ascii="方正小标宋简体" w:hAnsi="方正小标宋简体" w:eastAsia="方正小标宋简体" w:cs="方正小标宋简体"/>
                <w:i w:val="0"/>
                <w:color w:val="000000"/>
                <w:kern w:val="0"/>
                <w:sz w:val="24"/>
                <w:szCs w:val="24"/>
                <w:u w:val="none"/>
                <w:lang w:val="en-US" w:eastAsia="zh-CN" w:bidi="ar"/>
              </w:rPr>
              <w:t>是</w:t>
            </w:r>
            <w:r>
              <w:rPr>
                <w:rFonts w:hint="eastAsia" w:ascii="方正小标宋简体" w:hAnsi="方正小标宋简体" w:eastAsia="方正小标宋简体" w:cs="方正小标宋简体"/>
                <w:i w:val="0"/>
                <w:color w:val="000000"/>
                <w:kern w:val="0"/>
                <w:sz w:val="24"/>
                <w:szCs w:val="24"/>
                <w:u w:val="none"/>
                <w:lang w:val="en-US" w:eastAsia="zh-CN" w:bidi="ar"/>
              </w:rPr>
              <w:t>进一步改</w:t>
            </w:r>
            <w:r>
              <w:rPr>
                <w:rFonts w:hint="default" w:ascii="方正小标宋简体" w:hAnsi="方正小标宋简体" w:eastAsia="方正小标宋简体" w:cs="方正小标宋简体"/>
                <w:i w:val="0"/>
                <w:color w:val="000000"/>
                <w:kern w:val="0"/>
                <w:sz w:val="24"/>
                <w:szCs w:val="24"/>
                <w:u w:val="none"/>
                <w:lang w:val="en-US" w:eastAsia="zh-CN" w:bidi="ar"/>
              </w:rPr>
              <w:t>善</w:t>
            </w:r>
            <w:r>
              <w:rPr>
                <w:rFonts w:hint="eastAsia" w:ascii="方正小标宋简体" w:hAnsi="方正小标宋简体" w:eastAsia="方正小标宋简体" w:cs="方正小标宋简体"/>
                <w:i w:val="0"/>
                <w:color w:val="000000"/>
                <w:kern w:val="0"/>
                <w:sz w:val="24"/>
                <w:szCs w:val="24"/>
                <w:u w:val="none"/>
                <w:lang w:val="en-US" w:eastAsia="zh-CN" w:bidi="ar"/>
              </w:rPr>
              <w:t>林区管护人员的生产生活条件；二是用于产业发展实施特色树种苗木培育示范建设，增加保障性苗圃苗木储备量，充分发挥国有林场在后备森林资源培育的示范作用和生态建设的骨干作用，为省、市生态修复提供更多优质的保障性特色树种苗木，推动省、市生态修复进程发挥积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9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5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评（扣）分标准</w:t>
            </w:r>
          </w:p>
        </w:tc>
        <w:tc>
          <w:tcPr>
            <w:tcW w:w="3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度量单位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指标属性</w:t>
            </w: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栽种株数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株</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1.完成率=100%，得满分；2.完成率介于60%（含）至100%之间，完成率×指标分值；3.完成率＜60%，不得分。 完成率=实际完成值/目标值*100%</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培育合格苗木10万株。</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通过财政下达扶贫资金金额来确定种植株数，数据来源：项目验收报告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附属工程建设</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1.完成率=100%，得满分；2.完成率介于60%（含）至100%之间，完成率*指标值分值；3.完成率&lt;60%，不得分。完成率=实际完成值/目标值*100%</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建成厨房23.94平方米、防火物资储备库23.94平方米</w:t>
            </w:r>
            <w:r>
              <w:rPr>
                <w:rFonts w:hint="default" w:ascii="宋体" w:hAnsi="宋体" w:eastAsia="宋体" w:cs="宋体"/>
                <w:i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指标设定依据：根据项目设定种植株数、配套必要设施；数据来源：项目实施方案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9"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培育苗木成活率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培育苗木成活率＝100%，得满分，2.成活率介于60%（含）至100%之间，成活率×指标分值；3.成活率＜60%，不得分。 成活率=实际成活率值/目标值*100%</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培育苗木9.</w:t>
            </w:r>
            <w:bookmarkStart w:id="0" w:name="_GoBack"/>
            <w:bookmarkEnd w:id="0"/>
            <w:r>
              <w:rPr>
                <w:rFonts w:hint="eastAsia" w:ascii="宋体" w:hAnsi="宋体" w:eastAsia="宋体" w:cs="宋体"/>
                <w:i w:val="0"/>
                <w:color w:val="000000"/>
                <w:kern w:val="0"/>
                <w:sz w:val="24"/>
                <w:szCs w:val="24"/>
                <w:u w:val="none"/>
                <w:lang w:val="en-US" w:eastAsia="zh-CN" w:bidi="ar"/>
              </w:rPr>
              <w:t>5万株，其中：花椒（红花椒1万株、青花椒1万株）2万株，平均</w:t>
            </w:r>
            <w:r>
              <w:rPr>
                <w:rFonts w:hint="default" w:ascii="宋体" w:hAnsi="宋体" w:eastAsia="宋体" w:cs="宋体"/>
                <w:i w:val="0"/>
                <w:color w:val="000000"/>
                <w:kern w:val="0"/>
                <w:sz w:val="24"/>
                <w:szCs w:val="24"/>
                <w:u w:val="none"/>
                <w:lang w:val="en-US" w:eastAsia="zh-CN" w:bidi="ar"/>
              </w:rPr>
              <w:t>地径≥0.</w:t>
            </w:r>
            <w:r>
              <w:rPr>
                <w:rFonts w:hint="eastAsia" w:ascii="宋体" w:hAnsi="宋体" w:eastAsia="宋体" w:cs="宋体"/>
                <w:i w:val="0"/>
                <w:color w:val="000000"/>
                <w:kern w:val="0"/>
                <w:sz w:val="24"/>
                <w:szCs w:val="24"/>
                <w:u w:val="none"/>
                <w:lang w:val="en-US" w:eastAsia="zh-CN" w:bidi="ar"/>
              </w:rPr>
              <w:t>4</w:t>
            </w:r>
            <w:r>
              <w:rPr>
                <w:rFonts w:hint="default" w:ascii="宋体" w:hAnsi="宋体" w:eastAsia="宋体" w:cs="宋体"/>
                <w:i w:val="0"/>
                <w:color w:val="000000"/>
                <w:kern w:val="0"/>
                <w:sz w:val="24"/>
                <w:szCs w:val="24"/>
                <w:u w:val="none"/>
                <w:lang w:val="en-US" w:eastAsia="zh-CN" w:bidi="ar"/>
              </w:rPr>
              <w:t>cm，苗高≥</w:t>
            </w:r>
            <w:r>
              <w:rPr>
                <w:rFonts w:hint="eastAsia" w:ascii="宋体" w:hAnsi="宋体" w:eastAsia="宋体" w:cs="宋体"/>
                <w:i w:val="0"/>
                <w:color w:val="000000"/>
                <w:kern w:val="0"/>
                <w:sz w:val="24"/>
                <w:szCs w:val="24"/>
                <w:u w:val="none"/>
                <w:lang w:val="en-US" w:eastAsia="zh-CN" w:bidi="ar"/>
              </w:rPr>
              <w:t>35</w:t>
            </w:r>
            <w:r>
              <w:rPr>
                <w:rFonts w:hint="default" w:ascii="宋体" w:hAnsi="宋体" w:eastAsia="宋体" w:cs="宋体"/>
                <w:i w:val="0"/>
                <w:color w:val="000000"/>
                <w:kern w:val="0"/>
                <w:sz w:val="24"/>
                <w:szCs w:val="24"/>
                <w:u w:val="none"/>
                <w:lang w:val="en-US" w:eastAsia="zh-CN" w:bidi="ar"/>
              </w:rPr>
              <w:t>cm</w:t>
            </w:r>
            <w:r>
              <w:rPr>
                <w:rFonts w:hint="eastAsia" w:ascii="宋体" w:hAnsi="宋体" w:eastAsia="宋体" w:cs="宋体"/>
                <w:i w:val="0"/>
                <w:color w:val="000000"/>
                <w:kern w:val="0"/>
                <w:sz w:val="24"/>
                <w:szCs w:val="24"/>
                <w:u w:val="none"/>
                <w:lang w:val="en-US" w:eastAsia="zh-CN" w:bidi="ar"/>
              </w:rPr>
              <w:t>；鸡爪槭7.5万株，平均地径≥0.4cm，苗高≥50cm。管护点配套工程质量符合相关要求。</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指标设定依据：根据项目设定种植株数、配套必要设施；数据来源：项目实施方案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①完成时间≤10个月，得满分，②10个月＞完成指标≥11个月，得分=分值×90%，③12个月＞完成指标分</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按照预算时间完成</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指标设定依据：财政下达资金时间及完成时限要求；数据来源：项目实施方案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1.完成率=100%，得满分；2.完成率介于60%（含）至100%之间，完成率×指标分值；3.完成率＜60%，不得分。 完成率=实际完成值/目标值*100%</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项目实施可新增临时劳务就业岗位30个</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指标设定依据：财政下达资金时间及完成时限要求；数据来源：项目实施方案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职工满意度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根①职工满意度≥90%，得满分，②90%＞职工满意度≥80%，得分=分值×90%，③80%＞职工满意度≥70%，得分=分值×80%，④完成指标＜70%，不得分</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反应职工满意度</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指标值设定依据：根据上一年数据设定，达不到扣分；数据来源：依据“三定方案”。依据：问卷调查。</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方正仿宋_GBK"/>
          <w:sz w:val="21"/>
          <w:szCs w:val="21"/>
          <w:lang w:val="en-US" w:eastAsia="zh-CN"/>
        </w:rPr>
      </w:pPr>
    </w:p>
    <w:sectPr>
      <w:pgSz w:w="23811" w:h="1683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 w:name="Noto Sans CJK JP Regular">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94EAE"/>
    <w:rsid w:val="01462096"/>
    <w:rsid w:val="04140AFD"/>
    <w:rsid w:val="0C4C5A52"/>
    <w:rsid w:val="16937ED7"/>
    <w:rsid w:val="1A9520B8"/>
    <w:rsid w:val="1AB47EC5"/>
    <w:rsid w:val="20DB4325"/>
    <w:rsid w:val="252E3BB0"/>
    <w:rsid w:val="25FA1463"/>
    <w:rsid w:val="28ED0EE8"/>
    <w:rsid w:val="2B6D7FC8"/>
    <w:rsid w:val="33722B34"/>
    <w:rsid w:val="35D317F5"/>
    <w:rsid w:val="36A774C3"/>
    <w:rsid w:val="3CD05877"/>
    <w:rsid w:val="3F91791A"/>
    <w:rsid w:val="495B7829"/>
    <w:rsid w:val="49C97DDE"/>
    <w:rsid w:val="5EE7409A"/>
    <w:rsid w:val="602E5D26"/>
    <w:rsid w:val="64B94EAE"/>
    <w:rsid w:val="6A4D5F27"/>
    <w:rsid w:val="70FD710B"/>
    <w:rsid w:val="71A82871"/>
    <w:rsid w:val="722E11C3"/>
    <w:rsid w:val="739734E6"/>
    <w:rsid w:val="793F161F"/>
    <w:rsid w:val="7C831CA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2021-12-24T09:30:00Z</dcterms:created>
  <dc:creator>Administrator</dc:creator>
  <cp:lastModifiedBy>Administrator</cp:lastModifiedBy>
  <cp:lastPrinted>2023-03-02T01:28:00Z</cp:lastPrinted>
  <dcterms:modified xsi:type="dcterms:W3CDTF">2024-02-02T08:51:05Z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