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2023</w:t>
      </w:r>
      <w:r>
        <w:rPr>
          <w:rFonts w:hint="eastAsia" w:ascii="方正小标宋_GBK" w:hAnsi="方正小标宋_GBK" w:eastAsia="方正小标宋_GBK" w:cs="方正小标宋_GBK"/>
          <w:b w:val="0"/>
          <w:bCs w:val="0"/>
          <w:sz w:val="44"/>
          <w:szCs w:val="44"/>
        </w:rPr>
        <w:t>年澄江</w:t>
      </w:r>
      <w:r>
        <w:rPr>
          <w:rFonts w:hint="eastAsia" w:ascii="方正小标宋_GBK" w:hAnsi="方正小标宋_GBK" w:eastAsia="方正小标宋_GBK" w:cs="方正小标宋_GBK"/>
          <w:b w:val="0"/>
          <w:bCs w:val="0"/>
          <w:sz w:val="44"/>
          <w:szCs w:val="44"/>
          <w:lang w:eastAsia="zh-CN"/>
        </w:rPr>
        <w:t>市</w:t>
      </w:r>
      <w:r>
        <w:rPr>
          <w:rFonts w:hint="eastAsia" w:ascii="方正小标宋_GBK" w:hAnsi="方正小标宋_GBK" w:eastAsia="方正小标宋_GBK" w:cs="方正小标宋_GBK"/>
          <w:b w:val="0"/>
          <w:bCs w:val="0"/>
          <w:sz w:val="44"/>
          <w:szCs w:val="44"/>
        </w:rPr>
        <w:t>财政收支</w:t>
      </w:r>
      <w:r>
        <w:rPr>
          <w:rFonts w:hint="eastAsia" w:ascii="方正小标宋_GBK" w:hAnsi="方正小标宋_GBK" w:eastAsia="方正小标宋_GBK" w:cs="方正小标宋_GBK"/>
          <w:b w:val="0"/>
          <w:bCs w:val="0"/>
          <w:sz w:val="44"/>
          <w:szCs w:val="44"/>
          <w:lang w:eastAsia="zh-CN"/>
        </w:rPr>
        <w:t>决算</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 w:hAnsi="仿宋" w:eastAsia="仿宋" w:cs="仿宋"/>
          <w:b w:val="0"/>
          <w:bCs w:val="0"/>
          <w:sz w:val="30"/>
          <w:szCs w:val="30"/>
        </w:rPr>
      </w:pPr>
      <w:r>
        <w:rPr>
          <w:rFonts w:hint="eastAsia" w:ascii="方正小标宋_GBK" w:hAnsi="方正小标宋_GBK" w:eastAsia="方正小标宋_GBK" w:cs="方正小标宋_GBK"/>
          <w:b w:val="0"/>
          <w:bCs w:val="0"/>
          <w:sz w:val="44"/>
          <w:szCs w:val="44"/>
        </w:rPr>
        <w:t>变动情况说明</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rPr>
          <w:rFonts w:hint="eastAsia" w:ascii="仿宋" w:hAnsi="仿宋" w:eastAsia="仿宋" w:cs="仿宋"/>
          <w:color w:val="auto"/>
          <w:spacing w:val="10"/>
          <w:sz w:val="32"/>
          <w:szCs w:val="32"/>
          <w:lang w:val="en-US" w:eastAsia="zh-CN"/>
        </w:rPr>
      </w:pPr>
      <w:r>
        <w:rPr>
          <w:rFonts w:hint="eastAsia" w:ascii="仿宋" w:hAnsi="仿宋" w:eastAsia="仿宋" w:cs="仿宋"/>
          <w:color w:val="auto"/>
          <w:sz w:val="32"/>
          <w:szCs w:val="32"/>
          <w:lang w:eastAsia="zh-CN"/>
        </w:rPr>
        <w:t>依据</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月</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日</w:t>
      </w:r>
      <w:r>
        <w:rPr>
          <w:rFonts w:hint="eastAsia" w:ascii="仿宋" w:hAnsi="仿宋" w:eastAsia="仿宋" w:cs="仿宋"/>
          <w:color w:val="auto"/>
          <w:spacing w:val="10"/>
          <w:sz w:val="32"/>
          <w:szCs w:val="32"/>
        </w:rPr>
        <w:t>《</w:t>
      </w:r>
      <w:r>
        <w:rPr>
          <w:rFonts w:hint="eastAsia" w:ascii="仿宋" w:hAnsi="仿宋" w:eastAsia="仿宋" w:cs="仿宋"/>
          <w:color w:val="auto"/>
          <w:spacing w:val="10"/>
          <w:sz w:val="32"/>
          <w:szCs w:val="32"/>
          <w:lang w:eastAsia="zh-CN"/>
        </w:rPr>
        <w:t>澄江市人民代表大会常务委员会关于批准澄江市</w:t>
      </w:r>
      <w:r>
        <w:rPr>
          <w:rFonts w:hint="eastAsia" w:ascii="仿宋" w:hAnsi="仿宋" w:eastAsia="仿宋" w:cs="仿宋"/>
          <w:color w:val="auto"/>
          <w:spacing w:val="10"/>
          <w:sz w:val="32"/>
          <w:szCs w:val="32"/>
          <w:lang w:val="en-US" w:eastAsia="zh-CN"/>
        </w:rPr>
        <w:t>2023年市本级财政决算的决议</w:t>
      </w:r>
      <w:r>
        <w:rPr>
          <w:rFonts w:hint="eastAsia" w:ascii="仿宋" w:hAnsi="仿宋" w:eastAsia="仿宋" w:cs="仿宋"/>
          <w:color w:val="auto"/>
          <w:spacing w:val="10"/>
          <w:sz w:val="32"/>
          <w:szCs w:val="32"/>
        </w:rPr>
        <w:t>》（澄人发〔</w:t>
      </w:r>
      <w:r>
        <w:rPr>
          <w:rFonts w:hint="eastAsia" w:ascii="仿宋" w:hAnsi="仿宋" w:eastAsia="仿宋" w:cs="仿宋"/>
          <w:color w:val="auto"/>
          <w:spacing w:val="10"/>
          <w:sz w:val="32"/>
          <w:szCs w:val="32"/>
          <w:lang w:val="en-US" w:eastAsia="zh-CN"/>
        </w:rPr>
        <w:t>2024</w:t>
      </w:r>
      <w:r>
        <w:rPr>
          <w:rFonts w:hint="eastAsia" w:ascii="仿宋" w:hAnsi="仿宋" w:eastAsia="仿宋" w:cs="仿宋"/>
          <w:color w:val="auto"/>
          <w:spacing w:val="10"/>
          <w:sz w:val="32"/>
          <w:szCs w:val="32"/>
        </w:rPr>
        <w:t>〕</w:t>
      </w:r>
      <w:r>
        <w:rPr>
          <w:rFonts w:hint="eastAsia" w:ascii="仿宋" w:hAnsi="仿宋" w:eastAsia="仿宋" w:cs="仿宋"/>
          <w:color w:val="auto"/>
          <w:spacing w:val="10"/>
          <w:sz w:val="32"/>
          <w:szCs w:val="32"/>
          <w:lang w:val="en-US" w:eastAsia="zh-CN"/>
        </w:rPr>
        <w:t>32</w:t>
      </w:r>
      <w:r>
        <w:rPr>
          <w:rFonts w:hint="eastAsia" w:ascii="仿宋" w:hAnsi="仿宋" w:eastAsia="仿宋" w:cs="仿宋"/>
          <w:color w:val="auto"/>
          <w:spacing w:val="10"/>
          <w:sz w:val="32"/>
          <w:szCs w:val="32"/>
        </w:rPr>
        <w:t>号）</w:t>
      </w:r>
      <w:r>
        <w:rPr>
          <w:rFonts w:hint="eastAsia" w:ascii="仿宋" w:hAnsi="仿宋" w:eastAsia="仿宋" w:cs="仿宋"/>
          <w:color w:val="auto"/>
          <w:spacing w:val="10"/>
          <w:sz w:val="32"/>
          <w:szCs w:val="32"/>
          <w:lang w:eastAsia="zh-CN"/>
        </w:rPr>
        <w:t>对澄江市</w:t>
      </w:r>
      <w:r>
        <w:rPr>
          <w:rFonts w:hint="eastAsia" w:ascii="仿宋" w:hAnsi="仿宋" w:eastAsia="仿宋" w:cs="仿宋"/>
          <w:color w:val="auto"/>
          <w:spacing w:val="10"/>
          <w:sz w:val="32"/>
          <w:szCs w:val="32"/>
          <w:lang w:val="en-US" w:eastAsia="zh-CN"/>
        </w:rPr>
        <w:t>2023年市本级财政决算和</w:t>
      </w:r>
      <w:r>
        <w:rPr>
          <w:rFonts w:hint="eastAsia" w:ascii="仿宋" w:hAnsi="仿宋" w:eastAsia="仿宋" w:cs="仿宋"/>
          <w:color w:val="auto"/>
          <w:spacing w:val="10"/>
          <w:sz w:val="32"/>
          <w:szCs w:val="32"/>
        </w:rPr>
        <w:t>《</w:t>
      </w:r>
      <w:r>
        <w:rPr>
          <w:rFonts w:hint="eastAsia" w:ascii="仿宋" w:hAnsi="仿宋" w:eastAsia="仿宋" w:cs="仿宋"/>
          <w:color w:val="auto"/>
          <w:spacing w:val="10"/>
          <w:sz w:val="32"/>
          <w:szCs w:val="32"/>
          <w:lang w:eastAsia="zh-CN"/>
        </w:rPr>
        <w:t>关于澄江市</w:t>
      </w:r>
      <w:r>
        <w:rPr>
          <w:rFonts w:hint="eastAsia" w:ascii="仿宋" w:hAnsi="仿宋" w:eastAsia="仿宋" w:cs="仿宋"/>
          <w:color w:val="auto"/>
          <w:spacing w:val="10"/>
          <w:sz w:val="32"/>
          <w:szCs w:val="32"/>
          <w:lang w:val="en-US" w:eastAsia="zh-CN"/>
        </w:rPr>
        <w:t>2023年财政决算（草案）的报告</w:t>
      </w:r>
      <w:r>
        <w:rPr>
          <w:rFonts w:hint="eastAsia" w:ascii="仿宋" w:hAnsi="仿宋" w:eastAsia="仿宋" w:cs="仿宋"/>
          <w:color w:val="auto"/>
          <w:spacing w:val="10"/>
          <w:sz w:val="32"/>
          <w:szCs w:val="32"/>
        </w:rPr>
        <w:t>》</w:t>
      </w:r>
      <w:r>
        <w:rPr>
          <w:rFonts w:hint="eastAsia" w:ascii="仿宋" w:hAnsi="仿宋" w:eastAsia="仿宋" w:cs="仿宋"/>
          <w:color w:val="auto"/>
          <w:spacing w:val="10"/>
          <w:sz w:val="32"/>
          <w:szCs w:val="32"/>
          <w:lang w:eastAsia="zh-CN"/>
        </w:rPr>
        <w:t>的批复情况，现将</w:t>
      </w:r>
      <w:r>
        <w:rPr>
          <w:rFonts w:hint="eastAsia" w:ascii="仿宋" w:hAnsi="仿宋" w:eastAsia="仿宋" w:cs="仿宋"/>
          <w:color w:val="auto"/>
          <w:spacing w:val="10"/>
          <w:sz w:val="32"/>
          <w:szCs w:val="32"/>
          <w:lang w:val="en-US" w:eastAsia="zh-CN"/>
        </w:rPr>
        <w:t>2023年澄江市财政收支预算执行变动情况作如下说明：</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80" w:firstLineChars="200"/>
        <w:jc w:val="both"/>
        <w:textAlignment w:val="auto"/>
        <w:outlineLvl w:val="9"/>
        <w:rPr>
          <w:rFonts w:hint="eastAsia" w:ascii="方正黑体_GBK" w:hAnsi="方正黑体_GBK" w:eastAsia="方正黑体_GBK" w:cs="方正黑体_GBK"/>
          <w:b w:val="0"/>
          <w:bCs w:val="0"/>
          <w:color w:val="auto"/>
          <w:spacing w:val="10"/>
          <w:sz w:val="32"/>
          <w:szCs w:val="32"/>
          <w:lang w:val="en-US" w:eastAsia="zh-CN"/>
        </w:rPr>
      </w:pPr>
      <w:r>
        <w:rPr>
          <w:rFonts w:hint="eastAsia" w:ascii="黑体" w:hAnsi="黑体" w:eastAsia="黑体" w:cs="黑体"/>
          <w:b w:val="0"/>
          <w:bCs w:val="0"/>
          <w:color w:val="auto"/>
          <w:spacing w:val="10"/>
          <w:sz w:val="32"/>
          <w:szCs w:val="32"/>
          <w:lang w:val="en-US" w:eastAsia="zh-CN"/>
        </w:rPr>
        <w:t>一、2023年澄江市公共财政预算收入情况</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680" w:firstLineChars="200"/>
        <w:jc w:val="both"/>
        <w:textAlignment w:val="auto"/>
        <w:outlineLvl w:val="9"/>
        <w:rPr>
          <w:rFonts w:hint="eastAsia" w:ascii="仿宋" w:hAnsi="仿宋" w:eastAsia="仿宋" w:cs="仿宋"/>
          <w:color w:val="auto"/>
          <w:spacing w:val="10"/>
          <w:sz w:val="32"/>
          <w:szCs w:val="32"/>
          <w:lang w:val="en-US" w:eastAsia="zh-CN"/>
        </w:rPr>
      </w:pPr>
      <w:r>
        <w:rPr>
          <w:rFonts w:hint="eastAsia" w:ascii="仿宋" w:hAnsi="仿宋" w:eastAsia="仿宋" w:cs="仿宋"/>
          <w:color w:val="auto"/>
          <w:spacing w:val="10"/>
          <w:sz w:val="32"/>
          <w:szCs w:val="32"/>
          <w:lang w:val="en-US" w:eastAsia="zh-CN"/>
        </w:rPr>
        <w:t>2023</w:t>
      </w:r>
      <w:r>
        <w:rPr>
          <w:rFonts w:hint="eastAsia" w:ascii="仿宋" w:hAnsi="仿宋" w:eastAsia="仿宋" w:cs="仿宋"/>
          <w:color w:val="auto"/>
          <w:w w:val="98"/>
          <w:sz w:val="32"/>
          <w:szCs w:val="32"/>
          <w:lang w:val="en-US" w:eastAsia="zh-CN"/>
        </w:rPr>
        <w:t>年</w:t>
      </w:r>
      <w:r>
        <w:rPr>
          <w:rFonts w:hint="eastAsia" w:ascii="仿宋" w:hAnsi="仿宋" w:eastAsia="仿宋" w:cs="仿宋"/>
          <w:color w:val="auto"/>
          <w:w w:val="98"/>
          <w:sz w:val="32"/>
          <w:szCs w:val="32"/>
        </w:rPr>
        <w:t>一般公共预算收入完成</w:t>
      </w:r>
      <w:r>
        <w:rPr>
          <w:rFonts w:hint="eastAsia" w:ascii="仿宋" w:hAnsi="仿宋" w:eastAsia="仿宋" w:cs="仿宋"/>
          <w:color w:val="auto"/>
          <w:spacing w:val="10"/>
          <w:sz w:val="32"/>
          <w:szCs w:val="32"/>
          <w:lang w:val="en-US" w:eastAsia="zh-CN"/>
        </w:rPr>
        <w:t>58,161.00</w:t>
      </w:r>
      <w:r>
        <w:rPr>
          <w:rFonts w:hint="eastAsia" w:ascii="仿宋" w:hAnsi="仿宋" w:eastAsia="仿宋" w:cs="仿宋"/>
          <w:color w:val="auto"/>
          <w:w w:val="98"/>
          <w:sz w:val="32"/>
          <w:szCs w:val="32"/>
        </w:rPr>
        <w:t>万元</w:t>
      </w:r>
      <w:r>
        <w:rPr>
          <w:rFonts w:hint="eastAsia" w:ascii="仿宋" w:hAnsi="仿宋" w:eastAsia="仿宋" w:cs="仿宋"/>
          <w:color w:val="auto"/>
          <w:w w:val="98"/>
          <w:sz w:val="32"/>
          <w:szCs w:val="32"/>
          <w:lang w:eastAsia="zh-CN"/>
        </w:rPr>
        <w:t>，</w:t>
      </w:r>
      <w:r>
        <w:rPr>
          <w:rFonts w:hint="eastAsia" w:ascii="仿宋" w:hAnsi="仿宋" w:eastAsia="仿宋" w:cs="仿宋"/>
          <w:color w:val="auto"/>
          <w:w w:val="98"/>
          <w:sz w:val="32"/>
          <w:szCs w:val="32"/>
        </w:rPr>
        <w:t>完成年初预算数的</w:t>
      </w:r>
      <w:r>
        <w:rPr>
          <w:rFonts w:hint="eastAsia" w:ascii="仿宋" w:hAnsi="仿宋" w:eastAsia="仿宋" w:cs="仿宋"/>
          <w:color w:val="auto"/>
          <w:spacing w:val="10"/>
          <w:sz w:val="32"/>
          <w:szCs w:val="32"/>
          <w:lang w:val="en-US" w:eastAsia="zh-CN"/>
        </w:rPr>
        <w:t>64.63%</w:t>
      </w:r>
      <w:r>
        <w:rPr>
          <w:rFonts w:hint="eastAsia" w:ascii="仿宋" w:hAnsi="仿宋" w:eastAsia="仿宋" w:cs="仿宋"/>
          <w:color w:val="auto"/>
          <w:w w:val="98"/>
          <w:sz w:val="32"/>
          <w:szCs w:val="32"/>
        </w:rPr>
        <w:t>，比上年</w:t>
      </w:r>
      <w:r>
        <w:rPr>
          <w:rFonts w:hint="eastAsia" w:ascii="仿宋" w:hAnsi="仿宋" w:eastAsia="仿宋" w:cs="仿宋"/>
          <w:color w:val="auto"/>
          <w:w w:val="98"/>
          <w:sz w:val="32"/>
          <w:szCs w:val="32"/>
          <w:lang w:eastAsia="zh-CN"/>
        </w:rPr>
        <w:t>决算数</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5,580.00</w:t>
      </w:r>
      <w:r>
        <w:rPr>
          <w:rFonts w:hint="eastAsia" w:ascii="仿宋" w:hAnsi="仿宋" w:eastAsia="仿宋" w:cs="仿宋"/>
          <w:sz w:val="32"/>
          <w:szCs w:val="32"/>
        </w:rPr>
        <w:t>万元</w:t>
      </w:r>
      <w:r>
        <w:rPr>
          <w:rFonts w:hint="eastAsia" w:ascii="仿宋" w:hAnsi="仿宋" w:eastAsia="仿宋" w:cs="仿宋"/>
          <w:color w:val="auto"/>
          <w:w w:val="98"/>
          <w:sz w:val="32"/>
          <w:szCs w:val="32"/>
          <w:lang w:eastAsia="zh-CN"/>
        </w:rPr>
        <w:t>，</w:t>
      </w:r>
      <w:r>
        <w:rPr>
          <w:rFonts w:hint="eastAsia" w:ascii="仿宋" w:hAnsi="仿宋" w:eastAsia="仿宋" w:cs="仿宋"/>
          <w:color w:val="auto"/>
          <w:sz w:val="32"/>
          <w:szCs w:val="32"/>
          <w:lang w:eastAsia="zh-CN"/>
        </w:rPr>
        <w:t>同比增长</w:t>
      </w:r>
      <w:r>
        <w:rPr>
          <w:rFonts w:hint="eastAsia" w:ascii="仿宋" w:hAnsi="仿宋" w:eastAsia="仿宋" w:cs="仿宋"/>
          <w:color w:val="auto"/>
          <w:sz w:val="32"/>
          <w:szCs w:val="32"/>
          <w:lang w:val="en-US" w:eastAsia="zh-CN"/>
        </w:rPr>
        <w:t>10.61</w:t>
      </w:r>
      <w:r>
        <w:rPr>
          <w:rFonts w:hint="eastAsia" w:ascii="仿宋" w:hAnsi="仿宋" w:eastAsia="仿宋" w:cs="仿宋"/>
          <w:color w:val="auto"/>
          <w:sz w:val="32"/>
          <w:szCs w:val="32"/>
        </w:rPr>
        <w:t>%</w:t>
      </w:r>
      <w:r>
        <w:rPr>
          <w:rFonts w:hint="eastAsia" w:ascii="仿宋" w:hAnsi="仿宋" w:eastAsia="仿宋" w:cs="仿宋"/>
          <w:color w:val="auto"/>
          <w:w w:val="98"/>
          <w:sz w:val="32"/>
          <w:szCs w:val="32"/>
          <w:lang w:eastAsia="zh-CN"/>
        </w:rPr>
        <w:t>。其中：税收收入完成</w:t>
      </w:r>
      <w:r>
        <w:rPr>
          <w:rFonts w:hint="eastAsia" w:ascii="仿宋" w:hAnsi="仿宋" w:eastAsia="仿宋" w:cs="仿宋"/>
          <w:color w:val="auto"/>
          <w:spacing w:val="10"/>
          <w:sz w:val="32"/>
          <w:szCs w:val="32"/>
          <w:lang w:val="en-US" w:eastAsia="zh-CN"/>
        </w:rPr>
        <w:t>34,619.00</w:t>
      </w:r>
      <w:r>
        <w:rPr>
          <w:rFonts w:hint="eastAsia" w:ascii="仿宋" w:hAnsi="仿宋" w:eastAsia="仿宋" w:cs="仿宋"/>
          <w:color w:val="auto"/>
          <w:w w:val="98"/>
          <w:sz w:val="32"/>
          <w:szCs w:val="32"/>
          <w:lang w:val="en-US" w:eastAsia="zh-CN"/>
        </w:rPr>
        <w:t>万元，比上年决算数</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23,034.00</w:t>
      </w:r>
      <w:r>
        <w:rPr>
          <w:rFonts w:hint="eastAsia" w:ascii="仿宋" w:hAnsi="仿宋" w:eastAsia="仿宋" w:cs="仿宋"/>
          <w:sz w:val="32"/>
          <w:szCs w:val="32"/>
        </w:rPr>
        <w:t>万元</w:t>
      </w:r>
      <w:r>
        <w:rPr>
          <w:rFonts w:hint="eastAsia" w:ascii="仿宋" w:hAnsi="仿宋" w:eastAsia="仿宋" w:cs="仿宋"/>
          <w:color w:val="auto"/>
          <w:w w:val="98"/>
          <w:sz w:val="32"/>
          <w:szCs w:val="32"/>
          <w:lang w:val="en-US" w:eastAsia="zh-CN"/>
        </w:rPr>
        <w:t>，</w:t>
      </w:r>
      <w:r>
        <w:rPr>
          <w:rFonts w:hint="eastAsia" w:ascii="仿宋" w:hAnsi="仿宋" w:eastAsia="仿宋" w:cs="仿宋"/>
          <w:color w:val="auto"/>
          <w:spacing w:val="10"/>
          <w:sz w:val="32"/>
          <w:szCs w:val="32"/>
          <w:lang w:val="en-US" w:eastAsia="zh-CN"/>
        </w:rPr>
        <w:t>同比增长198.83%。十五个税种四增十一减，同比增收的税种有：</w:t>
      </w:r>
      <w:r>
        <w:rPr>
          <w:rFonts w:hint="default" w:ascii="仿宋" w:hAnsi="仿宋" w:eastAsia="仿宋" w:cs="仿宋"/>
          <w:color w:val="auto"/>
          <w:spacing w:val="10"/>
          <w:sz w:val="32"/>
          <w:szCs w:val="32"/>
          <w:lang w:val="en-US" w:eastAsia="zh-CN"/>
        </w:rPr>
        <w:t>增值税</w:t>
      </w:r>
      <w:r>
        <w:rPr>
          <w:rFonts w:hint="eastAsia" w:ascii="仿宋" w:hAnsi="仿宋" w:eastAsia="仿宋" w:cs="仿宋"/>
          <w:color w:val="auto"/>
          <w:spacing w:val="10"/>
          <w:sz w:val="32"/>
          <w:szCs w:val="32"/>
          <w:lang w:val="en-US" w:eastAsia="zh-CN"/>
        </w:rPr>
        <w:t>、耕地占用税、印花税、烟叶税，增收较大的是增值税、耕地占用税，分别</w:t>
      </w:r>
      <w:r>
        <w:rPr>
          <w:rFonts w:hint="default" w:ascii="仿宋" w:hAnsi="仿宋" w:eastAsia="仿宋" w:cs="仿宋"/>
          <w:color w:val="auto"/>
          <w:spacing w:val="10"/>
          <w:sz w:val="32"/>
          <w:szCs w:val="32"/>
          <w:lang w:val="en-US" w:eastAsia="zh-CN"/>
        </w:rPr>
        <w:t>增收</w:t>
      </w:r>
      <w:r>
        <w:rPr>
          <w:rFonts w:hint="eastAsia" w:ascii="仿宋" w:hAnsi="仿宋" w:eastAsia="仿宋" w:cs="仿宋"/>
          <w:color w:val="auto"/>
          <w:spacing w:val="10"/>
          <w:sz w:val="32"/>
          <w:szCs w:val="32"/>
          <w:lang w:val="en-US" w:eastAsia="zh-CN"/>
        </w:rPr>
        <w:t>33,233.00万元、1,105.00万元；同比减收的税种有：土地增值税、契税、</w:t>
      </w:r>
      <w:r>
        <w:rPr>
          <w:rFonts w:hint="default" w:ascii="仿宋" w:hAnsi="仿宋" w:eastAsia="仿宋" w:cs="仿宋"/>
          <w:color w:val="auto"/>
          <w:spacing w:val="10"/>
          <w:sz w:val="32"/>
          <w:szCs w:val="32"/>
          <w:lang w:val="en-US" w:eastAsia="zh-CN"/>
        </w:rPr>
        <w:t>企业所得税</w:t>
      </w:r>
      <w:r>
        <w:rPr>
          <w:rFonts w:hint="eastAsia" w:ascii="仿宋" w:hAnsi="仿宋" w:eastAsia="仿宋" w:cs="仿宋"/>
          <w:color w:val="auto"/>
          <w:spacing w:val="10"/>
          <w:sz w:val="32"/>
          <w:szCs w:val="32"/>
          <w:lang w:val="en-US" w:eastAsia="zh-CN"/>
        </w:rPr>
        <w:t>、个人所得税、城市维护建设税、城镇土地使用税、环境保护税、资源税、车船税、房产税、其他税收收入。减收较大的是土地增值税、企业所得税、契税、城镇土地使用税，分别</w:t>
      </w:r>
      <w:r>
        <w:rPr>
          <w:rFonts w:hint="default" w:ascii="仿宋" w:hAnsi="仿宋" w:eastAsia="仿宋" w:cs="仿宋"/>
          <w:color w:val="auto"/>
          <w:spacing w:val="10"/>
          <w:sz w:val="32"/>
          <w:szCs w:val="32"/>
          <w:lang w:val="en-US" w:eastAsia="zh-CN"/>
        </w:rPr>
        <w:t>减收</w:t>
      </w:r>
      <w:r>
        <w:rPr>
          <w:rFonts w:hint="eastAsia" w:ascii="仿宋" w:hAnsi="仿宋" w:eastAsia="仿宋" w:cs="仿宋"/>
          <w:color w:val="auto"/>
          <w:spacing w:val="10"/>
          <w:sz w:val="32"/>
          <w:szCs w:val="32"/>
          <w:lang w:val="en-US" w:eastAsia="zh-CN"/>
        </w:rPr>
        <w:t>5,958.00</w:t>
      </w:r>
      <w:r>
        <w:rPr>
          <w:rFonts w:hint="default" w:ascii="仿宋" w:hAnsi="仿宋" w:eastAsia="仿宋" w:cs="仿宋"/>
          <w:color w:val="auto"/>
          <w:spacing w:val="10"/>
          <w:sz w:val="32"/>
          <w:szCs w:val="32"/>
          <w:lang w:val="en-US" w:eastAsia="zh-CN"/>
        </w:rPr>
        <w:t>万元、</w:t>
      </w:r>
      <w:r>
        <w:rPr>
          <w:rFonts w:hint="eastAsia" w:ascii="仿宋" w:hAnsi="仿宋" w:eastAsia="仿宋" w:cs="仿宋"/>
          <w:color w:val="auto"/>
          <w:spacing w:val="10"/>
          <w:sz w:val="32"/>
          <w:szCs w:val="32"/>
          <w:lang w:val="en-US" w:eastAsia="zh-CN"/>
        </w:rPr>
        <w:t>2,098.00</w:t>
      </w:r>
      <w:r>
        <w:rPr>
          <w:rFonts w:hint="default" w:ascii="仿宋" w:hAnsi="仿宋" w:eastAsia="仿宋" w:cs="仿宋"/>
          <w:color w:val="auto"/>
          <w:spacing w:val="10"/>
          <w:sz w:val="32"/>
          <w:szCs w:val="32"/>
          <w:lang w:val="en-US" w:eastAsia="zh-CN"/>
        </w:rPr>
        <w:t>万元、</w:t>
      </w:r>
      <w:r>
        <w:rPr>
          <w:rFonts w:hint="eastAsia" w:ascii="仿宋" w:hAnsi="仿宋" w:eastAsia="仿宋" w:cs="仿宋"/>
          <w:color w:val="auto"/>
          <w:spacing w:val="10"/>
          <w:sz w:val="32"/>
          <w:szCs w:val="32"/>
          <w:lang w:val="en-US" w:eastAsia="zh-CN"/>
        </w:rPr>
        <w:t>1,911.00</w:t>
      </w:r>
      <w:r>
        <w:rPr>
          <w:rFonts w:hint="default" w:ascii="仿宋" w:hAnsi="仿宋" w:eastAsia="仿宋" w:cs="仿宋"/>
          <w:color w:val="auto"/>
          <w:spacing w:val="10"/>
          <w:sz w:val="32"/>
          <w:szCs w:val="32"/>
          <w:lang w:val="en-US" w:eastAsia="zh-CN"/>
        </w:rPr>
        <w:t>万元</w:t>
      </w:r>
      <w:r>
        <w:rPr>
          <w:rFonts w:hint="eastAsia" w:ascii="仿宋" w:hAnsi="仿宋" w:eastAsia="仿宋" w:cs="仿宋"/>
          <w:color w:val="auto"/>
          <w:spacing w:val="10"/>
          <w:sz w:val="32"/>
          <w:szCs w:val="32"/>
          <w:lang w:val="en-US" w:eastAsia="zh-CN"/>
        </w:rPr>
        <w:t>、1,102.00万元。非税收入完成23,542.00万元，比上年决算数减少17,454.00万元，下降42.57%。减收较大的是：国有资源（资产）有偿使用收入同比减少11,965.00万元，下降41.45%；罚没收入同比减少4,929.00万元，下降62.57%。</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80" w:firstLineChars="200"/>
        <w:jc w:val="both"/>
        <w:textAlignment w:val="auto"/>
        <w:outlineLvl w:val="9"/>
        <w:rPr>
          <w:rFonts w:hint="eastAsia" w:ascii="黑体" w:hAnsi="黑体" w:eastAsia="黑体" w:cs="黑体"/>
          <w:b w:val="0"/>
          <w:bCs w:val="0"/>
          <w:color w:val="auto"/>
          <w:spacing w:val="10"/>
          <w:sz w:val="32"/>
          <w:szCs w:val="32"/>
          <w:lang w:val="en-US" w:eastAsia="zh-CN"/>
        </w:rPr>
      </w:pPr>
      <w:r>
        <w:rPr>
          <w:rFonts w:hint="eastAsia" w:ascii="黑体" w:hAnsi="黑体" w:eastAsia="黑体" w:cs="黑体"/>
          <w:b w:val="0"/>
          <w:bCs w:val="0"/>
          <w:color w:val="auto"/>
          <w:spacing w:val="10"/>
          <w:sz w:val="32"/>
          <w:szCs w:val="32"/>
          <w:lang w:val="en-US" w:eastAsia="zh-CN"/>
        </w:rPr>
        <w:t>二、2023年澄江市公共财政预算支出情况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一般公共预算支出完成</w:t>
      </w:r>
      <w:r>
        <w:rPr>
          <w:rFonts w:hint="eastAsia" w:ascii="仿宋" w:hAnsi="仿宋" w:eastAsia="仿宋" w:cs="仿宋"/>
          <w:sz w:val="32"/>
          <w:szCs w:val="32"/>
          <w:lang w:val="en-US" w:eastAsia="zh-CN"/>
        </w:rPr>
        <w:t>212,395.00</w:t>
      </w:r>
      <w:r>
        <w:rPr>
          <w:rFonts w:hint="eastAsia" w:ascii="仿宋" w:hAnsi="仿宋" w:eastAsia="仿宋" w:cs="仿宋"/>
          <w:color w:val="auto"/>
          <w:sz w:val="32"/>
          <w:szCs w:val="32"/>
        </w:rPr>
        <w:t>万元，完成年初预算数的</w:t>
      </w:r>
      <w:r>
        <w:rPr>
          <w:rFonts w:hint="eastAsia" w:ascii="仿宋" w:hAnsi="仿宋" w:eastAsia="仿宋" w:cs="仿宋"/>
          <w:color w:val="auto"/>
          <w:sz w:val="32"/>
          <w:szCs w:val="32"/>
          <w:lang w:val="en-US" w:eastAsia="zh-CN"/>
        </w:rPr>
        <w:t>93.58</w:t>
      </w:r>
      <w:r>
        <w:rPr>
          <w:rFonts w:hint="eastAsia" w:ascii="仿宋" w:hAnsi="仿宋" w:eastAsia="仿宋" w:cs="仿宋"/>
          <w:color w:val="auto"/>
          <w:sz w:val="32"/>
          <w:szCs w:val="32"/>
        </w:rPr>
        <w:t>%，比上年</w:t>
      </w:r>
      <w:r>
        <w:rPr>
          <w:rFonts w:hint="eastAsia" w:ascii="仿宋" w:hAnsi="仿宋" w:eastAsia="仿宋" w:cs="仿宋"/>
          <w:color w:val="auto"/>
          <w:sz w:val="32"/>
          <w:szCs w:val="32"/>
          <w:lang w:eastAsia="zh-CN"/>
        </w:rPr>
        <w:t>决算数</w:t>
      </w:r>
      <w:r>
        <w:rPr>
          <w:rFonts w:hint="eastAsia" w:ascii="仿宋" w:hAnsi="仿宋" w:eastAsia="仿宋" w:cs="仿宋"/>
          <w:sz w:val="32"/>
          <w:szCs w:val="32"/>
          <w:lang w:val="en-US" w:eastAsia="zh-CN"/>
        </w:rPr>
        <w:t>220,098.00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减少</w:t>
      </w:r>
      <w:r>
        <w:rPr>
          <w:rFonts w:hint="eastAsia" w:ascii="仿宋" w:hAnsi="仿宋" w:eastAsia="仿宋" w:cs="仿宋"/>
          <w:sz w:val="32"/>
          <w:szCs w:val="32"/>
          <w:lang w:val="en-US" w:eastAsia="zh-CN"/>
        </w:rPr>
        <w:t>7,703.00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下降</w:t>
      </w:r>
      <w:r>
        <w:rPr>
          <w:rFonts w:hint="eastAsia" w:ascii="仿宋" w:hAnsi="仿宋" w:eastAsia="仿宋" w:cs="仿宋"/>
          <w:color w:val="auto"/>
          <w:sz w:val="32"/>
          <w:szCs w:val="32"/>
          <w:lang w:val="en-US" w:eastAsia="zh-CN"/>
        </w:rPr>
        <w:t>3.50</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现对支出增减变化较大的作说明如下：</w:t>
      </w:r>
    </w:p>
    <w:p>
      <w:pPr>
        <w:pStyle w:val="2"/>
        <w:keepNext w:val="0"/>
        <w:keepLines w:val="0"/>
        <w:pageBreakBefore w:val="0"/>
        <w:widowControl w:val="0"/>
        <w:numPr>
          <w:ilvl w:val="0"/>
          <w:numId w:val="0"/>
        </w:numPr>
        <w:kinsoku/>
        <w:wordWrap/>
        <w:overflowPunct/>
        <w:topLinePunct w:val="0"/>
        <w:autoSpaceDE/>
        <w:autoSpaceDN/>
        <w:bidi w:val="0"/>
        <w:spacing w:line="59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（一）一般公</w:t>
      </w:r>
      <w:r>
        <w:rPr>
          <w:rFonts w:hint="eastAsia" w:ascii="仿宋" w:hAnsi="仿宋" w:eastAsia="仿宋" w:cs="仿宋"/>
          <w:color w:val="auto"/>
          <w:kern w:val="2"/>
          <w:sz w:val="32"/>
          <w:szCs w:val="32"/>
          <w:lang w:val="en-US" w:eastAsia="zh-CN" w:bidi="ar-SA"/>
        </w:rPr>
        <w:t>共服务支出15,122.00万元，比上年20,379.00万元下降25.80%，减支主要原因是：上年度拨付国有资本投资运营有限公司注册资本金，今年无此支出。</w:t>
      </w:r>
    </w:p>
    <w:p>
      <w:pPr>
        <w:pStyle w:val="2"/>
        <w:keepNext w:val="0"/>
        <w:keepLines w:val="0"/>
        <w:pageBreakBefore w:val="0"/>
        <w:widowControl w:val="0"/>
        <w:numPr>
          <w:ilvl w:val="0"/>
          <w:numId w:val="0"/>
        </w:numPr>
        <w:kinsoku/>
        <w:wordWrap/>
        <w:overflowPunct/>
        <w:topLinePunct w:val="0"/>
        <w:autoSpaceDE/>
        <w:autoSpaceDN/>
        <w:bidi w:val="0"/>
        <w:spacing w:line="59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（二）公共安全支出</w:t>
      </w:r>
      <w:r>
        <w:rPr>
          <w:rFonts w:hint="eastAsia" w:ascii="仿宋" w:hAnsi="仿宋" w:eastAsia="仿宋" w:cs="仿宋"/>
          <w:color w:val="auto"/>
          <w:sz w:val="32"/>
          <w:szCs w:val="32"/>
          <w:lang w:val="en-US" w:eastAsia="zh-CN"/>
        </w:rPr>
        <w:t>6,561.00</w:t>
      </w:r>
      <w:r>
        <w:rPr>
          <w:rFonts w:hint="eastAsia" w:ascii="仿宋" w:hAnsi="仿宋" w:eastAsia="仿宋" w:cs="仿宋"/>
          <w:color w:val="auto"/>
          <w:sz w:val="32"/>
          <w:szCs w:val="32"/>
          <w:lang w:eastAsia="zh-CN"/>
        </w:rPr>
        <w:t>万元，比上年</w:t>
      </w:r>
      <w:r>
        <w:rPr>
          <w:rFonts w:hint="eastAsia" w:ascii="仿宋" w:hAnsi="仿宋" w:eastAsia="仿宋" w:cs="仿宋"/>
          <w:color w:val="auto"/>
          <w:sz w:val="32"/>
          <w:szCs w:val="32"/>
          <w:lang w:val="en-US" w:eastAsia="zh-CN"/>
        </w:rPr>
        <w:t>8,967.00万元</w:t>
      </w:r>
      <w:r>
        <w:rPr>
          <w:rFonts w:hint="eastAsia" w:ascii="仿宋" w:hAnsi="仿宋" w:eastAsia="仿宋" w:cs="仿宋"/>
          <w:color w:val="auto"/>
          <w:sz w:val="32"/>
          <w:szCs w:val="32"/>
          <w:lang w:eastAsia="zh-CN"/>
        </w:rPr>
        <w:t>下降</w:t>
      </w:r>
      <w:r>
        <w:rPr>
          <w:rFonts w:hint="eastAsia" w:ascii="仿宋" w:hAnsi="仿宋" w:eastAsia="仿宋" w:cs="仿宋"/>
          <w:color w:val="auto"/>
          <w:sz w:val="32"/>
          <w:szCs w:val="32"/>
          <w:lang w:val="en-US" w:eastAsia="zh-CN"/>
        </w:rPr>
        <w:t>26.83%</w:t>
      </w:r>
      <w:r>
        <w:rPr>
          <w:rFonts w:hint="eastAsia" w:ascii="仿宋" w:hAnsi="仿宋" w:eastAsia="仿宋" w:cs="仿宋"/>
          <w:color w:val="auto"/>
          <w:sz w:val="32"/>
          <w:szCs w:val="32"/>
          <w:lang w:eastAsia="zh-CN"/>
        </w:rPr>
        <w:t>，减支主要原因是：上年度支付城市报警监控项目及办案区智能升级改造款，今年无此支出。</w:t>
      </w:r>
    </w:p>
    <w:p>
      <w:pPr>
        <w:pStyle w:val="2"/>
        <w:keepNext w:val="0"/>
        <w:keepLines w:val="0"/>
        <w:pageBreakBefore w:val="0"/>
        <w:widowControl w:val="0"/>
        <w:numPr>
          <w:ilvl w:val="0"/>
          <w:numId w:val="0"/>
        </w:numPr>
        <w:kinsoku/>
        <w:wordWrap/>
        <w:overflowPunct/>
        <w:topLinePunct w:val="0"/>
        <w:autoSpaceDE/>
        <w:autoSpaceDN/>
        <w:bidi w:val="0"/>
        <w:spacing w:line="590" w:lineRule="exact"/>
        <w:ind w:firstLine="640" w:firstLineChars="200"/>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val="en-US" w:eastAsia="zh-CN"/>
        </w:rPr>
        <w:t>（三）科学教育支</w:t>
      </w:r>
      <w:r>
        <w:rPr>
          <w:rFonts w:hint="eastAsia" w:ascii="仿宋" w:hAnsi="仿宋" w:eastAsia="仿宋" w:cs="仿宋"/>
          <w:color w:val="auto"/>
          <w:kern w:val="2"/>
          <w:sz w:val="32"/>
          <w:szCs w:val="32"/>
          <w:lang w:val="en-US" w:eastAsia="zh-CN" w:bidi="ar-SA"/>
        </w:rPr>
        <w:t>出155.00万元，比上年691.00万元下降77.57%，减支主要原因是：上年度拨付市级预算内第一批前期工作经费605.00万元，今年无此支出。</w:t>
      </w:r>
    </w:p>
    <w:p>
      <w:pPr>
        <w:pStyle w:val="2"/>
        <w:keepNext w:val="0"/>
        <w:keepLines w:val="0"/>
        <w:pageBreakBefore w:val="0"/>
        <w:widowControl w:val="0"/>
        <w:numPr>
          <w:ilvl w:val="0"/>
          <w:numId w:val="0"/>
        </w:numPr>
        <w:kinsoku/>
        <w:wordWrap/>
        <w:overflowPunct/>
        <w:topLinePunct w:val="0"/>
        <w:autoSpaceDE/>
        <w:autoSpaceDN/>
        <w:bidi w:val="0"/>
        <w:spacing w:line="59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（四）城乡社区支出1,265.00万元，比上年2,634.00万元下降51.97%，减支主要原因是：上年度增加拨付城市发展专项资金、人防机动指挥所建设费，今年此支出减少。</w:t>
      </w:r>
    </w:p>
    <w:p>
      <w:pPr>
        <w:pStyle w:val="2"/>
        <w:keepNext w:val="0"/>
        <w:keepLines w:val="0"/>
        <w:pageBreakBefore w:val="0"/>
        <w:widowControl w:val="0"/>
        <w:numPr>
          <w:ilvl w:val="0"/>
          <w:numId w:val="0"/>
        </w:numPr>
        <w:kinsoku/>
        <w:wordWrap/>
        <w:overflowPunct/>
        <w:topLinePunct w:val="0"/>
        <w:autoSpaceDE/>
        <w:autoSpaceDN/>
        <w:bidi w:val="0"/>
        <w:spacing w:line="59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（五）交通运输支出1,446.00万元，比上年3,026.00万元下降52.21%，减支主要</w:t>
      </w:r>
      <w:bookmarkStart w:id="0" w:name="_GoBack"/>
      <w:bookmarkEnd w:id="0"/>
      <w:r>
        <w:rPr>
          <w:rFonts w:hint="eastAsia" w:ascii="仿宋" w:hAnsi="仿宋" w:eastAsia="仿宋" w:cs="仿宋"/>
          <w:color w:val="auto"/>
          <w:sz w:val="32"/>
          <w:szCs w:val="32"/>
          <w:lang w:val="en-US" w:eastAsia="zh-CN"/>
        </w:rPr>
        <w:t>原因是：上年度拨付红坡路、槽路（沟）道路修复提升改造资金、农村公路建设及养护资金，今年此支出减少。</w:t>
      </w:r>
    </w:p>
    <w:p>
      <w:pPr>
        <w:pStyle w:val="2"/>
        <w:keepNext w:val="0"/>
        <w:keepLines w:val="0"/>
        <w:pageBreakBefore w:val="0"/>
        <w:widowControl w:val="0"/>
        <w:numPr>
          <w:ilvl w:val="0"/>
          <w:numId w:val="0"/>
        </w:numPr>
        <w:kinsoku/>
        <w:wordWrap/>
        <w:overflowPunct/>
        <w:topLinePunct w:val="0"/>
        <w:autoSpaceDE/>
        <w:autoSpaceDN/>
        <w:bidi w:val="0"/>
        <w:spacing w:line="59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（六）住房保障支出9,611.00万元，比上年13,680.00万元下降29.74%，减支主要原因是：上年度拨付棚户区改造（立昌片区）资金，今年无此支出。</w:t>
      </w:r>
    </w:p>
    <w:p>
      <w:pPr>
        <w:pStyle w:val="2"/>
        <w:keepNext w:val="0"/>
        <w:keepLines w:val="0"/>
        <w:pageBreakBefore w:val="0"/>
        <w:widowControl w:val="0"/>
        <w:numPr>
          <w:ilvl w:val="0"/>
          <w:numId w:val="0"/>
        </w:numPr>
        <w:kinsoku/>
        <w:wordWrap/>
        <w:overflowPunct/>
        <w:topLinePunct w:val="0"/>
        <w:autoSpaceDE/>
        <w:autoSpaceDN/>
        <w:bidi w:val="0"/>
        <w:spacing w:line="59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（七）粮油物资储备支出351.00万元，比上年455.00万元下降22.86%，减支主要原因是：今年拨付县级配套粮食风险基金资金以及市级储备粮费用、利息补贴费用减少。</w:t>
      </w:r>
    </w:p>
    <w:p>
      <w:pPr>
        <w:pStyle w:val="2"/>
        <w:keepNext w:val="0"/>
        <w:keepLines w:val="0"/>
        <w:pageBreakBefore w:val="0"/>
        <w:widowControl w:val="0"/>
        <w:numPr>
          <w:ilvl w:val="0"/>
          <w:numId w:val="0"/>
        </w:numPr>
        <w:kinsoku/>
        <w:wordWrap/>
        <w:overflowPunct/>
        <w:topLinePunct w:val="0"/>
        <w:autoSpaceDE/>
        <w:autoSpaceDN/>
        <w:bidi w:val="0"/>
        <w:spacing w:line="59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（八）灾害防治及应急管理支出1,218.00万元，比上年1,820.00万元下降33.08%，减支主要原因是上年拨付应急特种车辆购买及应急设备购置专项资金以及农村消防经费，今年无此支出。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80" w:firstLineChars="200"/>
        <w:jc w:val="both"/>
        <w:textAlignment w:val="auto"/>
        <w:outlineLvl w:val="9"/>
        <w:rPr>
          <w:rFonts w:hint="eastAsia" w:ascii="黑体" w:hAnsi="黑体" w:eastAsia="黑体" w:cs="黑体"/>
          <w:b w:val="0"/>
          <w:bCs w:val="0"/>
          <w:color w:val="auto"/>
          <w:spacing w:val="10"/>
          <w:sz w:val="32"/>
          <w:szCs w:val="32"/>
          <w:lang w:val="en-US" w:eastAsia="zh-CN"/>
        </w:rPr>
      </w:pPr>
      <w:r>
        <w:rPr>
          <w:rFonts w:hint="eastAsia" w:ascii="黑体" w:hAnsi="黑体" w:eastAsia="黑体" w:cs="黑体"/>
          <w:b w:val="0"/>
          <w:bCs w:val="0"/>
          <w:color w:val="auto"/>
          <w:spacing w:val="10"/>
          <w:sz w:val="32"/>
          <w:szCs w:val="32"/>
          <w:lang w:val="en-US" w:eastAsia="zh-CN"/>
        </w:rPr>
        <w:t>三、2023年澄江市政府性基金收入情况</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default" w:ascii="仿宋" w:hAnsi="仿宋" w:eastAsia="仿宋" w:cs="仿宋"/>
          <w:color w:val="auto"/>
          <w:sz w:val="32"/>
          <w:szCs w:val="32"/>
        </w:rPr>
      </w:pPr>
      <w:r>
        <w:rPr>
          <w:rFonts w:hint="eastAsia" w:ascii="仿宋" w:hAnsi="仿宋" w:eastAsia="仿宋" w:cs="仿宋"/>
          <w:color w:val="auto"/>
          <w:sz w:val="32"/>
          <w:szCs w:val="32"/>
          <w:lang w:val="en-US" w:eastAsia="zh-CN"/>
        </w:rPr>
        <w:t>2023年澄江市</w:t>
      </w:r>
      <w:r>
        <w:rPr>
          <w:rFonts w:hint="eastAsia" w:ascii="仿宋" w:hAnsi="仿宋" w:eastAsia="仿宋" w:cs="仿宋"/>
          <w:color w:val="auto"/>
          <w:sz w:val="32"/>
          <w:szCs w:val="32"/>
        </w:rPr>
        <w:t>政府性基金预算收入</w:t>
      </w:r>
      <w:r>
        <w:rPr>
          <w:rFonts w:hint="eastAsia" w:ascii="仿宋" w:hAnsi="仿宋" w:eastAsia="仿宋" w:cs="仿宋"/>
          <w:color w:val="auto"/>
          <w:sz w:val="32"/>
          <w:szCs w:val="32"/>
          <w:lang w:eastAsia="zh-CN"/>
        </w:rPr>
        <w:t>完成</w:t>
      </w:r>
      <w:r>
        <w:rPr>
          <w:rFonts w:hint="eastAsia" w:ascii="仿宋" w:hAnsi="仿宋" w:eastAsia="仿宋" w:cs="仿宋"/>
          <w:sz w:val="32"/>
          <w:szCs w:val="32"/>
          <w:lang w:val="en-US" w:eastAsia="zh-CN"/>
        </w:rPr>
        <w:t>110,140.00</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54.85</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w w:val="98"/>
          <w:sz w:val="32"/>
          <w:szCs w:val="32"/>
        </w:rPr>
        <w:t>比上年</w:t>
      </w:r>
      <w:r>
        <w:rPr>
          <w:rFonts w:hint="eastAsia" w:ascii="仿宋" w:hAnsi="仿宋" w:eastAsia="仿宋" w:cs="仿宋"/>
          <w:color w:val="auto"/>
          <w:w w:val="98"/>
          <w:sz w:val="32"/>
          <w:szCs w:val="32"/>
          <w:lang w:eastAsia="zh-CN"/>
        </w:rPr>
        <w:t>决算数增加</w:t>
      </w:r>
      <w:r>
        <w:rPr>
          <w:rFonts w:hint="eastAsia" w:ascii="仿宋" w:hAnsi="仿宋" w:eastAsia="仿宋" w:cs="仿宋"/>
          <w:color w:val="auto"/>
          <w:w w:val="98"/>
          <w:sz w:val="32"/>
          <w:szCs w:val="32"/>
          <w:lang w:val="en-US" w:eastAsia="zh-CN"/>
        </w:rPr>
        <w:t>51,505</w:t>
      </w:r>
      <w:r>
        <w:rPr>
          <w:rFonts w:hint="eastAsia" w:ascii="仿宋" w:hAnsi="仿宋" w:eastAsia="仿宋" w:cs="仿宋"/>
          <w:sz w:val="32"/>
          <w:szCs w:val="32"/>
          <w:lang w:val="en-US" w:eastAsia="zh-CN"/>
        </w:rPr>
        <w:t>.00</w:t>
      </w:r>
      <w:r>
        <w:rPr>
          <w:rFonts w:hint="eastAsia" w:ascii="仿宋" w:hAnsi="仿宋" w:eastAsia="仿宋" w:cs="仿宋"/>
          <w:color w:val="auto"/>
          <w:w w:val="98"/>
          <w:sz w:val="32"/>
          <w:szCs w:val="32"/>
          <w:lang w:val="en-US" w:eastAsia="zh-CN"/>
        </w:rPr>
        <w:t>万元</w:t>
      </w:r>
      <w:r>
        <w:rPr>
          <w:rFonts w:hint="eastAsia" w:ascii="仿宋" w:hAnsi="仿宋" w:eastAsia="仿宋" w:cs="仿宋"/>
          <w:color w:val="auto"/>
          <w:w w:val="98"/>
          <w:sz w:val="32"/>
          <w:szCs w:val="32"/>
          <w:lang w:eastAsia="zh-CN"/>
        </w:rPr>
        <w:t>，增长</w:t>
      </w:r>
      <w:r>
        <w:rPr>
          <w:rFonts w:hint="eastAsia" w:ascii="仿宋" w:hAnsi="仿宋" w:eastAsia="仿宋" w:cs="仿宋"/>
          <w:color w:val="auto"/>
          <w:w w:val="98"/>
          <w:sz w:val="32"/>
          <w:szCs w:val="32"/>
          <w:lang w:val="en-US" w:eastAsia="zh-CN"/>
        </w:rPr>
        <w:t>87.84</w:t>
      </w:r>
      <w:r>
        <w:rPr>
          <w:rFonts w:hint="eastAsia" w:ascii="仿宋" w:hAnsi="仿宋" w:eastAsia="仿宋" w:cs="仿宋"/>
          <w:color w:val="auto"/>
          <w:sz w:val="32"/>
          <w:szCs w:val="32"/>
          <w:lang w:val="en-US" w:eastAsia="zh-CN"/>
        </w:rPr>
        <w:t>%</w:t>
      </w:r>
      <w:r>
        <w:rPr>
          <w:rFonts w:hint="eastAsia" w:ascii="仿宋" w:hAnsi="仿宋" w:eastAsia="仿宋" w:cs="仿宋"/>
          <w:color w:val="auto"/>
          <w:w w:val="98"/>
          <w:sz w:val="32"/>
          <w:szCs w:val="32"/>
          <w:lang w:eastAsia="zh-CN"/>
        </w:rPr>
        <w:t>。</w:t>
      </w:r>
      <w:r>
        <w:rPr>
          <w:rFonts w:hint="eastAsia" w:ascii="仿宋" w:hAnsi="仿宋" w:eastAsia="仿宋" w:cs="仿宋"/>
          <w:color w:val="auto"/>
          <w:sz w:val="32"/>
          <w:szCs w:val="32"/>
          <w:lang w:val="en-US" w:eastAsia="zh-CN"/>
        </w:rPr>
        <w:t>2023</w:t>
      </w:r>
      <w:r>
        <w:rPr>
          <w:rFonts w:hint="eastAsia" w:ascii="仿宋" w:hAnsi="仿宋" w:eastAsia="仿宋" w:cs="仿宋"/>
          <w:color w:val="auto"/>
          <w:w w:val="98"/>
          <w:sz w:val="32"/>
          <w:szCs w:val="32"/>
          <w:lang w:val="en-US" w:eastAsia="zh-CN"/>
        </w:rPr>
        <w:t>年澄江市政府</w:t>
      </w:r>
      <w:r>
        <w:rPr>
          <w:rFonts w:hint="eastAsia" w:ascii="仿宋" w:hAnsi="仿宋" w:eastAsia="仿宋" w:cs="仿宋"/>
          <w:color w:val="auto"/>
          <w:sz w:val="32"/>
          <w:szCs w:val="32"/>
          <w:lang w:val="en-US" w:eastAsia="zh-CN"/>
        </w:rPr>
        <w:t>性基金收入</w:t>
      </w:r>
      <w:r>
        <w:rPr>
          <w:rFonts w:hint="default" w:ascii="仿宋" w:hAnsi="仿宋" w:eastAsia="仿宋" w:cs="仿宋"/>
          <w:color w:val="auto"/>
          <w:sz w:val="32"/>
          <w:szCs w:val="32"/>
          <w:lang w:val="en-US" w:eastAsia="zh-CN"/>
        </w:rPr>
        <w:t>增幅较大，主要因素是</w:t>
      </w:r>
      <w:r>
        <w:rPr>
          <w:rFonts w:hint="default" w:ascii="仿宋" w:hAnsi="仿宋" w:eastAsia="仿宋" w:cs="仿宋"/>
          <w:color w:val="auto"/>
          <w:sz w:val="32"/>
          <w:szCs w:val="32"/>
          <w:lang w:eastAsia="zh-CN"/>
        </w:rPr>
        <w:t>：今年同期房地产</w:t>
      </w:r>
      <w:r>
        <w:rPr>
          <w:rFonts w:hint="eastAsia" w:ascii="仿宋" w:hAnsi="仿宋" w:eastAsia="仿宋" w:cs="仿宋"/>
          <w:color w:val="auto"/>
          <w:sz w:val="32"/>
          <w:szCs w:val="32"/>
          <w:lang w:eastAsia="zh-CN"/>
        </w:rPr>
        <w:t>开发</w:t>
      </w:r>
      <w:r>
        <w:rPr>
          <w:rFonts w:hint="default" w:ascii="仿宋" w:hAnsi="仿宋" w:eastAsia="仿宋" w:cs="仿宋"/>
          <w:color w:val="auto"/>
          <w:sz w:val="32"/>
          <w:szCs w:val="32"/>
          <w:lang w:eastAsia="zh-CN"/>
        </w:rPr>
        <w:t>公司缴入</w:t>
      </w:r>
      <w:r>
        <w:rPr>
          <w:rFonts w:hint="default" w:ascii="仿宋" w:hAnsi="仿宋" w:eastAsia="仿宋" w:cs="仿宋"/>
          <w:color w:val="auto"/>
          <w:sz w:val="32"/>
          <w:szCs w:val="32"/>
          <w:lang w:val="en-US" w:eastAsia="zh-CN"/>
        </w:rPr>
        <w:t>横大路地块价款</w:t>
      </w:r>
      <w:r>
        <w:rPr>
          <w:rFonts w:hint="eastAsia" w:ascii="仿宋" w:hAnsi="仿宋" w:eastAsia="仿宋" w:cs="仿宋"/>
          <w:color w:val="auto"/>
          <w:sz w:val="32"/>
          <w:szCs w:val="32"/>
          <w:lang w:val="en-US" w:eastAsia="zh-CN"/>
        </w:rPr>
        <w:t>，但</w:t>
      </w:r>
      <w:r>
        <w:rPr>
          <w:rFonts w:hint="default" w:ascii="仿宋" w:hAnsi="仿宋" w:eastAsia="仿宋" w:cs="仿宋"/>
          <w:color w:val="auto"/>
          <w:sz w:val="32"/>
          <w:szCs w:val="32"/>
          <w:lang w:val="en-US" w:eastAsia="zh-CN"/>
        </w:rPr>
        <w:t>不能形成可用财力</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80" w:firstLineChars="200"/>
        <w:jc w:val="both"/>
        <w:textAlignment w:val="auto"/>
        <w:outlineLvl w:val="9"/>
        <w:rPr>
          <w:rFonts w:hint="eastAsia" w:ascii="黑体" w:hAnsi="黑体" w:eastAsia="黑体" w:cs="黑体"/>
          <w:b w:val="0"/>
          <w:bCs w:val="0"/>
          <w:color w:val="auto"/>
          <w:spacing w:val="10"/>
          <w:sz w:val="32"/>
          <w:szCs w:val="32"/>
          <w:lang w:val="en-US" w:eastAsia="zh-CN"/>
        </w:rPr>
      </w:pPr>
      <w:r>
        <w:rPr>
          <w:rFonts w:hint="eastAsia" w:ascii="黑体" w:hAnsi="黑体" w:eastAsia="黑体" w:cs="黑体"/>
          <w:b w:val="0"/>
          <w:bCs w:val="0"/>
          <w:color w:val="auto"/>
          <w:spacing w:val="10"/>
          <w:sz w:val="32"/>
          <w:szCs w:val="32"/>
          <w:lang w:val="en-US" w:eastAsia="zh-CN"/>
        </w:rPr>
        <w:t>四、2023年澄江市政府性基金支出情况</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color w:val="auto"/>
          <w:sz w:val="32"/>
          <w:szCs w:val="32"/>
          <w:lang w:val="en-US" w:eastAsia="zh-CN"/>
        </w:rPr>
        <w:t>2023年</w:t>
      </w:r>
      <w:r>
        <w:rPr>
          <w:rFonts w:hint="eastAsia" w:ascii="仿宋" w:hAnsi="仿宋" w:eastAsia="仿宋" w:cs="仿宋"/>
          <w:color w:val="auto"/>
          <w:sz w:val="32"/>
          <w:szCs w:val="32"/>
          <w:lang w:eastAsia="zh-CN"/>
        </w:rPr>
        <w:t>澄江市</w:t>
      </w:r>
      <w:r>
        <w:rPr>
          <w:rFonts w:hint="eastAsia" w:ascii="仿宋" w:hAnsi="仿宋" w:eastAsia="仿宋" w:cs="仿宋"/>
          <w:color w:val="auto"/>
          <w:sz w:val="32"/>
          <w:szCs w:val="32"/>
        </w:rPr>
        <w:t>政府性基金预算支出</w:t>
      </w:r>
      <w:r>
        <w:rPr>
          <w:rFonts w:hint="eastAsia" w:ascii="仿宋" w:hAnsi="仿宋" w:eastAsia="仿宋" w:cs="仿宋"/>
          <w:color w:val="auto"/>
          <w:sz w:val="32"/>
          <w:szCs w:val="32"/>
          <w:lang w:eastAsia="zh-CN"/>
        </w:rPr>
        <w:t>完成</w:t>
      </w:r>
      <w:r>
        <w:rPr>
          <w:rFonts w:hint="eastAsia" w:ascii="仿宋" w:hAnsi="仿宋" w:eastAsia="仿宋" w:cs="仿宋"/>
          <w:sz w:val="32"/>
          <w:szCs w:val="32"/>
          <w:lang w:val="en-US" w:eastAsia="zh-CN"/>
        </w:rPr>
        <w:t>119,033.00</w:t>
      </w:r>
      <w:r>
        <w:rPr>
          <w:rFonts w:hint="eastAsia" w:ascii="仿宋" w:hAnsi="仿宋" w:eastAsia="仿宋" w:cs="仿宋"/>
          <w:color w:val="auto"/>
          <w:sz w:val="32"/>
          <w:szCs w:val="32"/>
        </w:rPr>
        <w:t>万元，完成年初预算数的</w:t>
      </w:r>
      <w:r>
        <w:rPr>
          <w:rFonts w:hint="eastAsia" w:ascii="仿宋" w:hAnsi="仿宋" w:eastAsia="仿宋" w:cs="仿宋"/>
          <w:color w:val="auto"/>
          <w:sz w:val="32"/>
          <w:szCs w:val="32"/>
          <w:lang w:val="en-US" w:eastAsia="zh-CN"/>
        </w:rPr>
        <w:t>82.54</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比上年决算数</w:t>
      </w:r>
      <w:r>
        <w:rPr>
          <w:rFonts w:hint="eastAsia" w:ascii="仿宋" w:hAnsi="仿宋" w:eastAsia="仿宋" w:cs="仿宋"/>
          <w:color w:val="auto"/>
          <w:sz w:val="32"/>
          <w:szCs w:val="32"/>
          <w:lang w:val="en-US" w:eastAsia="zh-CN"/>
        </w:rPr>
        <w:t>71,531.00</w:t>
      </w:r>
      <w:r>
        <w:rPr>
          <w:rFonts w:hint="eastAsia" w:ascii="仿宋" w:hAnsi="仿宋" w:eastAsia="仿宋" w:cs="仿宋"/>
          <w:color w:val="auto"/>
          <w:sz w:val="32"/>
          <w:szCs w:val="32"/>
          <w:lang w:val="en-US" w:eastAsia="zh-CN"/>
        </w:rPr>
        <w:t>万元</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lang w:val="en-US" w:eastAsia="zh-CN"/>
        </w:rPr>
        <w:t>47,502</w:t>
      </w:r>
      <w:r>
        <w:rPr>
          <w:rFonts w:hint="eastAsia" w:ascii="仿宋" w:hAnsi="仿宋" w:eastAsia="仿宋" w:cs="仿宋"/>
          <w:color w:val="auto"/>
          <w:sz w:val="32"/>
          <w:szCs w:val="32"/>
          <w:lang w:eastAsia="zh-CN"/>
        </w:rPr>
        <w:t>万元，增长</w:t>
      </w:r>
      <w:r>
        <w:rPr>
          <w:rFonts w:hint="eastAsia" w:ascii="仿宋" w:hAnsi="仿宋" w:eastAsia="仿宋" w:cs="仿宋"/>
          <w:color w:val="auto"/>
          <w:sz w:val="32"/>
          <w:szCs w:val="32"/>
          <w:lang w:val="en-US" w:eastAsia="zh-CN"/>
        </w:rPr>
        <w:t>66.41</w:t>
      </w:r>
      <w:r>
        <w:rPr>
          <w:rFonts w:hint="eastAsia" w:ascii="仿宋" w:hAnsi="仿宋" w:eastAsia="仿宋" w:cs="仿宋"/>
          <w:color w:val="auto"/>
          <w:sz w:val="32"/>
          <w:szCs w:val="32"/>
          <w:lang w:eastAsia="zh-CN"/>
        </w:rPr>
        <w:t>%。</w:t>
      </w:r>
      <w:r>
        <w:rPr>
          <w:rFonts w:hint="default" w:ascii="仿宋" w:hAnsi="仿宋" w:eastAsia="仿宋" w:cs="仿宋"/>
          <w:color w:val="auto"/>
          <w:sz w:val="32"/>
          <w:szCs w:val="32"/>
          <w:lang w:val="en-US" w:eastAsia="zh-CN"/>
        </w:rPr>
        <w:t>政府性基金预算支出</w:t>
      </w:r>
      <w:r>
        <w:rPr>
          <w:rFonts w:hint="eastAsia" w:ascii="仿宋" w:hAnsi="仿宋" w:eastAsia="仿宋" w:cs="仿宋"/>
          <w:color w:val="auto"/>
          <w:sz w:val="32"/>
          <w:szCs w:val="32"/>
          <w:lang w:val="en-US" w:eastAsia="zh-CN"/>
        </w:rPr>
        <w:t>增幅较大，主要因素是</w:t>
      </w: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当年增加拨付土地收储成本专项资金，另拨付立昌</w:t>
      </w:r>
      <w:r>
        <w:rPr>
          <w:rFonts w:hint="default" w:ascii="仿宋" w:hAnsi="仿宋" w:eastAsia="仿宋" w:cs="仿宋"/>
          <w:color w:val="auto"/>
          <w:sz w:val="32"/>
          <w:szCs w:val="32"/>
          <w:lang w:val="en-US" w:eastAsia="zh-CN"/>
        </w:rPr>
        <w:t>安置房建设资金</w:t>
      </w:r>
      <w:r>
        <w:rPr>
          <w:rFonts w:hint="eastAsia" w:ascii="仿宋" w:hAnsi="仿宋" w:eastAsia="仿宋" w:cs="仿宋"/>
          <w:color w:val="auto"/>
          <w:sz w:val="32"/>
          <w:szCs w:val="32"/>
          <w:lang w:val="en-US" w:eastAsia="zh-CN"/>
        </w:rPr>
        <w:t>、抚仙湖径流区土地流转休耕轮作项目专项资金、烤烟扶持专项资金、退田还湖土地租金等资金。</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80" w:firstLineChars="200"/>
        <w:jc w:val="both"/>
        <w:textAlignment w:val="auto"/>
        <w:outlineLvl w:val="9"/>
        <w:rPr>
          <w:rFonts w:hint="eastAsia" w:ascii="黑体" w:hAnsi="黑体" w:eastAsia="黑体" w:cs="黑体"/>
          <w:b w:val="0"/>
          <w:bCs w:val="0"/>
          <w:color w:val="auto"/>
          <w:spacing w:val="10"/>
          <w:sz w:val="32"/>
          <w:szCs w:val="32"/>
          <w:lang w:val="en-US" w:eastAsia="zh-CN"/>
        </w:rPr>
      </w:pPr>
      <w:r>
        <w:rPr>
          <w:rFonts w:hint="eastAsia" w:ascii="黑体" w:hAnsi="黑体" w:eastAsia="黑体" w:cs="黑体"/>
          <w:b w:val="0"/>
          <w:bCs w:val="0"/>
          <w:color w:val="auto"/>
          <w:spacing w:val="10"/>
          <w:sz w:val="32"/>
          <w:szCs w:val="32"/>
          <w:lang w:val="en-US" w:eastAsia="zh-CN"/>
        </w:rPr>
        <w:t>五、2023年澄江市国有资本经营预算收支情况</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2023年澄江市</w:t>
      </w:r>
      <w:r>
        <w:rPr>
          <w:rFonts w:hint="eastAsia" w:ascii="仿宋" w:hAnsi="仿宋" w:eastAsia="仿宋" w:cs="仿宋"/>
          <w:color w:val="auto"/>
          <w:sz w:val="32"/>
          <w:szCs w:val="32"/>
        </w:rPr>
        <w:t>国有资本经营预算收入完成</w:t>
      </w:r>
      <w:r>
        <w:rPr>
          <w:rFonts w:hint="eastAsia" w:ascii="仿宋" w:hAnsi="仿宋" w:eastAsia="仿宋" w:cs="仿宋"/>
          <w:color w:val="auto"/>
          <w:sz w:val="32"/>
          <w:szCs w:val="32"/>
          <w:lang w:val="en-US" w:eastAsia="zh-CN"/>
        </w:rPr>
        <w:t>200.00</w:t>
      </w:r>
      <w:r>
        <w:rPr>
          <w:rFonts w:hint="eastAsia" w:ascii="仿宋" w:hAnsi="仿宋" w:eastAsia="仿宋" w:cs="仿宋"/>
          <w:color w:val="auto"/>
          <w:sz w:val="32"/>
          <w:szCs w:val="32"/>
        </w:rPr>
        <w:t>万元，</w:t>
      </w:r>
      <w:r>
        <w:rPr>
          <w:rFonts w:hint="eastAsia" w:ascii="仿宋" w:hAnsi="仿宋" w:eastAsia="仿宋" w:cs="仿宋"/>
          <w:sz w:val="32"/>
          <w:szCs w:val="32"/>
          <w:lang w:val="en-US" w:eastAsia="zh-CN"/>
        </w:rPr>
        <w:t>完成</w:t>
      </w:r>
      <w:r>
        <w:rPr>
          <w:rFonts w:hint="eastAsia" w:ascii="仿宋" w:hAnsi="仿宋" w:eastAsia="仿宋" w:cs="仿宋"/>
          <w:sz w:val="32"/>
          <w:szCs w:val="32"/>
        </w:rPr>
        <w:t>年初预算数</w:t>
      </w:r>
      <w:r>
        <w:rPr>
          <w:rFonts w:hint="eastAsia" w:ascii="仿宋" w:hAnsi="仿宋" w:eastAsia="仿宋" w:cs="仿宋"/>
          <w:sz w:val="32"/>
          <w:szCs w:val="32"/>
          <w:lang w:val="en-US" w:eastAsia="zh-CN"/>
        </w:rPr>
        <w:t>100.00</w:t>
      </w:r>
      <w:r>
        <w:rPr>
          <w:rFonts w:hint="eastAsia" w:ascii="仿宋" w:hAnsi="仿宋" w:eastAsia="仿宋" w:cs="仿宋"/>
          <w:sz w:val="32"/>
          <w:szCs w:val="32"/>
        </w:rPr>
        <w:t>%，</w:t>
      </w:r>
      <w:r>
        <w:rPr>
          <w:rFonts w:hint="eastAsia" w:ascii="仿宋" w:hAnsi="仿宋" w:eastAsia="仿宋" w:cs="仿宋"/>
          <w:sz w:val="32"/>
          <w:szCs w:val="32"/>
          <w:lang w:val="en-US" w:eastAsia="zh-CN"/>
        </w:rPr>
        <w:t>同比减少3,140.00万元，下降94.01%</w:t>
      </w:r>
      <w:r>
        <w:rPr>
          <w:rFonts w:hint="eastAsia" w:ascii="仿宋" w:hAnsi="仿宋" w:eastAsia="仿宋" w:cs="仿宋"/>
          <w:color w:val="auto"/>
          <w:sz w:val="32"/>
          <w:szCs w:val="32"/>
        </w:rPr>
        <w:t>；国有资本经营预算支出完成</w:t>
      </w:r>
      <w:r>
        <w:rPr>
          <w:rFonts w:hint="eastAsia" w:ascii="仿宋" w:hAnsi="仿宋" w:eastAsia="仿宋" w:cs="仿宋"/>
          <w:color w:val="auto"/>
          <w:sz w:val="32"/>
          <w:szCs w:val="32"/>
          <w:lang w:val="en-US" w:eastAsia="zh-CN"/>
        </w:rPr>
        <w:t>0.00</w:t>
      </w:r>
      <w:r>
        <w:rPr>
          <w:rFonts w:hint="eastAsia" w:ascii="仿宋" w:hAnsi="仿宋" w:eastAsia="仿宋" w:cs="仿宋"/>
          <w:color w:val="auto"/>
          <w:sz w:val="32"/>
          <w:szCs w:val="32"/>
        </w:rPr>
        <w:t>万元，</w:t>
      </w:r>
      <w:r>
        <w:rPr>
          <w:rFonts w:hint="eastAsia" w:ascii="仿宋" w:hAnsi="仿宋" w:eastAsia="仿宋" w:cs="仿宋"/>
          <w:sz w:val="32"/>
          <w:szCs w:val="32"/>
          <w:lang w:val="en-US" w:eastAsia="zh-CN"/>
        </w:rPr>
        <w:t>完成</w:t>
      </w:r>
      <w:r>
        <w:rPr>
          <w:rFonts w:hint="eastAsia" w:ascii="仿宋" w:hAnsi="仿宋" w:eastAsia="仿宋" w:cs="仿宋"/>
          <w:sz w:val="32"/>
          <w:szCs w:val="32"/>
        </w:rPr>
        <w:t>年初预算数</w:t>
      </w:r>
      <w:r>
        <w:rPr>
          <w:rFonts w:hint="eastAsia" w:ascii="仿宋" w:hAnsi="仿宋" w:eastAsia="仿宋" w:cs="仿宋"/>
          <w:sz w:val="32"/>
          <w:szCs w:val="32"/>
          <w:lang w:val="en-US" w:eastAsia="zh-CN"/>
        </w:rPr>
        <w:t>0.00</w:t>
      </w:r>
      <w:r>
        <w:rPr>
          <w:rFonts w:hint="eastAsia" w:ascii="仿宋" w:hAnsi="仿宋" w:eastAsia="仿宋" w:cs="仿宋"/>
          <w:sz w:val="32"/>
          <w:szCs w:val="32"/>
        </w:rPr>
        <w:t>%，</w:t>
      </w:r>
      <w:r>
        <w:rPr>
          <w:rFonts w:hint="eastAsia" w:ascii="仿宋" w:hAnsi="仿宋" w:eastAsia="仿宋" w:cs="仿宋"/>
          <w:sz w:val="32"/>
          <w:szCs w:val="32"/>
          <w:lang w:val="en-US" w:eastAsia="zh-CN"/>
        </w:rPr>
        <w:t>同比减少8.00万元，下降100.00%</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firstLine="5100" w:firstLineChars="1500"/>
        <w:jc w:val="both"/>
        <w:textAlignment w:val="auto"/>
        <w:rPr>
          <w:rFonts w:hint="default" w:ascii="Times New Roman" w:hAnsi="Times New Roman" w:eastAsia="方正仿宋_GBK" w:cs="Times New Roman"/>
          <w:color w:val="auto"/>
          <w:spacing w:val="1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4D"/>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path/>
              <v:fill on="f" focussize="0,0"/>
              <v:stroke on="f"/>
              <v:imagedata o:title=""/>
              <o:lock v:ext="edit" aspectratio="f"/>
              <v:textbox inset="0mm,0mm,0mm,0mm" style="mso-fit-shape-to-text:t;">
                <w:txbxContent>
                  <w:p>
                    <w:pPr>
                      <w:pStyle w:val="7"/>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A6758"/>
    <w:rsid w:val="015F7B9D"/>
    <w:rsid w:val="016A342F"/>
    <w:rsid w:val="05B87D32"/>
    <w:rsid w:val="05D36286"/>
    <w:rsid w:val="06181693"/>
    <w:rsid w:val="07D3416A"/>
    <w:rsid w:val="07EC53F0"/>
    <w:rsid w:val="08573809"/>
    <w:rsid w:val="08EE1234"/>
    <w:rsid w:val="09BA61FB"/>
    <w:rsid w:val="0A547428"/>
    <w:rsid w:val="0AA161FE"/>
    <w:rsid w:val="0AB12005"/>
    <w:rsid w:val="0CAD1FCE"/>
    <w:rsid w:val="0DC33406"/>
    <w:rsid w:val="0FB94393"/>
    <w:rsid w:val="11117B3F"/>
    <w:rsid w:val="117D53F0"/>
    <w:rsid w:val="12DD36FE"/>
    <w:rsid w:val="14142E8A"/>
    <w:rsid w:val="145F157C"/>
    <w:rsid w:val="154E5EF0"/>
    <w:rsid w:val="16E335F5"/>
    <w:rsid w:val="17663B5D"/>
    <w:rsid w:val="17E16428"/>
    <w:rsid w:val="17FD05AB"/>
    <w:rsid w:val="188D0C0E"/>
    <w:rsid w:val="19176EAD"/>
    <w:rsid w:val="19831645"/>
    <w:rsid w:val="1BCB0035"/>
    <w:rsid w:val="1C0D2BFB"/>
    <w:rsid w:val="1C9F169F"/>
    <w:rsid w:val="1E762F39"/>
    <w:rsid w:val="20156128"/>
    <w:rsid w:val="20531595"/>
    <w:rsid w:val="2080334C"/>
    <w:rsid w:val="208A2E4D"/>
    <w:rsid w:val="21AB77F7"/>
    <w:rsid w:val="21C8631B"/>
    <w:rsid w:val="21CB0A53"/>
    <w:rsid w:val="224C5ED4"/>
    <w:rsid w:val="27FC6045"/>
    <w:rsid w:val="28C1086C"/>
    <w:rsid w:val="2AAE1FBE"/>
    <w:rsid w:val="2B48450C"/>
    <w:rsid w:val="2CA1049A"/>
    <w:rsid w:val="2CF2093A"/>
    <w:rsid w:val="2EF20549"/>
    <w:rsid w:val="2F9B2F30"/>
    <w:rsid w:val="308B110C"/>
    <w:rsid w:val="32563E11"/>
    <w:rsid w:val="333D0B0C"/>
    <w:rsid w:val="34CA7AC8"/>
    <w:rsid w:val="355D5EE8"/>
    <w:rsid w:val="36385143"/>
    <w:rsid w:val="37775D2C"/>
    <w:rsid w:val="39145FD8"/>
    <w:rsid w:val="39223070"/>
    <w:rsid w:val="39AE171D"/>
    <w:rsid w:val="3B062ECE"/>
    <w:rsid w:val="3B7175CF"/>
    <w:rsid w:val="3B9E0E49"/>
    <w:rsid w:val="3CD55000"/>
    <w:rsid w:val="3DBF6E2E"/>
    <w:rsid w:val="3DF264C9"/>
    <w:rsid w:val="3FAC54A3"/>
    <w:rsid w:val="3FB11C90"/>
    <w:rsid w:val="3FB13E77"/>
    <w:rsid w:val="41F01F7F"/>
    <w:rsid w:val="43154452"/>
    <w:rsid w:val="43F32357"/>
    <w:rsid w:val="4405565E"/>
    <w:rsid w:val="447D3F34"/>
    <w:rsid w:val="45513257"/>
    <w:rsid w:val="461348E2"/>
    <w:rsid w:val="46285098"/>
    <w:rsid w:val="46602038"/>
    <w:rsid w:val="480A5C8A"/>
    <w:rsid w:val="48782714"/>
    <w:rsid w:val="48F039B5"/>
    <w:rsid w:val="49F74029"/>
    <w:rsid w:val="4AB72CFA"/>
    <w:rsid w:val="4B6443F7"/>
    <w:rsid w:val="4E4F27F1"/>
    <w:rsid w:val="4F2C20ED"/>
    <w:rsid w:val="50B43EA7"/>
    <w:rsid w:val="51E2348D"/>
    <w:rsid w:val="52367561"/>
    <w:rsid w:val="53666C54"/>
    <w:rsid w:val="53C37DD6"/>
    <w:rsid w:val="53F620F5"/>
    <w:rsid w:val="540A5AD0"/>
    <w:rsid w:val="54BB0403"/>
    <w:rsid w:val="56846765"/>
    <w:rsid w:val="5698080E"/>
    <w:rsid w:val="58392C98"/>
    <w:rsid w:val="583B7DE3"/>
    <w:rsid w:val="58AA1A60"/>
    <w:rsid w:val="5A7137DC"/>
    <w:rsid w:val="5ABA4653"/>
    <w:rsid w:val="5ABF489F"/>
    <w:rsid w:val="5C625879"/>
    <w:rsid w:val="5C6C080D"/>
    <w:rsid w:val="5D430B5A"/>
    <w:rsid w:val="5D977DC0"/>
    <w:rsid w:val="5DE33888"/>
    <w:rsid w:val="5E925806"/>
    <w:rsid w:val="603B336E"/>
    <w:rsid w:val="61462105"/>
    <w:rsid w:val="61AA0228"/>
    <w:rsid w:val="63326E78"/>
    <w:rsid w:val="63946198"/>
    <w:rsid w:val="64E929E0"/>
    <w:rsid w:val="66281268"/>
    <w:rsid w:val="66B756C3"/>
    <w:rsid w:val="675F5269"/>
    <w:rsid w:val="69862F4D"/>
    <w:rsid w:val="6A0E751B"/>
    <w:rsid w:val="6B7206AA"/>
    <w:rsid w:val="6BA37158"/>
    <w:rsid w:val="6BF21270"/>
    <w:rsid w:val="6FD53EE7"/>
    <w:rsid w:val="709D34B7"/>
    <w:rsid w:val="713C3AAC"/>
    <w:rsid w:val="7157590A"/>
    <w:rsid w:val="7206440F"/>
    <w:rsid w:val="7280026E"/>
    <w:rsid w:val="741E2DFE"/>
    <w:rsid w:val="754D386F"/>
    <w:rsid w:val="75B31E63"/>
    <w:rsid w:val="762A50F4"/>
    <w:rsid w:val="766724D4"/>
    <w:rsid w:val="76AB1E06"/>
    <w:rsid w:val="76D0402C"/>
    <w:rsid w:val="784C7248"/>
    <w:rsid w:val="79A33E13"/>
    <w:rsid w:val="79A404F6"/>
    <w:rsid w:val="7A687DD5"/>
    <w:rsid w:val="7C0E73AF"/>
    <w:rsid w:val="7C52052D"/>
    <w:rsid w:val="7D8665C1"/>
    <w:rsid w:val="7DD77A3A"/>
    <w:rsid w:val="7E9916FB"/>
    <w:rsid w:val="7EA865C6"/>
    <w:rsid w:val="7EC67E95"/>
    <w:rsid w:val="7F03174F"/>
    <w:rsid w:val="7FBF4A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3">
    <w:name w:val="Normal Indent"/>
    <w:basedOn w:val="1"/>
    <w:next w:val="1"/>
    <w:qFormat/>
    <w:uiPriority w:val="0"/>
    <w:pPr>
      <w:ind w:firstLine="200" w:firstLineChars="200"/>
    </w:pPr>
    <w:rPr>
      <w:rFonts w:ascii="宋体" w:hAnsi="宋体"/>
      <w:sz w:val="28"/>
    </w:rPr>
  </w:style>
  <w:style w:type="paragraph" w:styleId="4">
    <w:name w:val="Body Text"/>
    <w:basedOn w:val="1"/>
    <w:next w:val="5"/>
    <w:qFormat/>
    <w:uiPriority w:val="0"/>
    <w:pPr>
      <w:spacing w:after="120"/>
    </w:pPr>
  </w:style>
  <w:style w:type="paragraph" w:styleId="5">
    <w:name w:val="Body Text First Indent"/>
    <w:basedOn w:val="4"/>
    <w:qFormat/>
    <w:uiPriority w:val="0"/>
    <w:pPr>
      <w:ind w:firstLine="420" w:firstLineChars="100"/>
    </w:pPr>
  </w:style>
  <w:style w:type="paragraph" w:styleId="6">
    <w:name w:val="Body Text Indent"/>
    <w:basedOn w:val="1"/>
    <w:qFormat/>
    <w:uiPriority w:val="0"/>
    <w:pPr>
      <w:spacing w:after="120"/>
      <w:ind w:left="200" w:leftChars="200"/>
    </w:p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2"/>
    <w:basedOn w:val="1"/>
    <w:next w:val="1"/>
    <w:qFormat/>
    <w:uiPriority w:val="0"/>
    <w:pPr>
      <w:ind w:left="200" w:leftChars="200"/>
    </w:pPr>
    <w:rPr>
      <w:rFonts w:ascii="Calibri" w:hAnsi="Calibri" w:eastAsia="宋体" w:cs="Times New Roman"/>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1">
    <w:name w:val="Body Text First Indent 2"/>
    <w:basedOn w:val="6"/>
    <w:next w:val="5"/>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Dell</cp:lastModifiedBy>
  <dcterms:modified xsi:type="dcterms:W3CDTF">2024-09-14T07:35:24Z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