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091EF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lang w:val="en-US" w:eastAsia="zh-CN"/>
        </w:rPr>
      </w:pPr>
    </w:p>
    <w:p w14:paraId="3F75361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lang w:val="en-US" w:eastAsia="zh-CN"/>
        </w:rPr>
      </w:pPr>
    </w:p>
    <w:p w14:paraId="6CEADFA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lang w:val="en-US" w:eastAsia="zh-CN"/>
        </w:rPr>
      </w:pPr>
    </w:p>
    <w:p w14:paraId="7E55A58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lang w:val="en-US" w:eastAsia="zh-CN"/>
        </w:rPr>
      </w:pPr>
    </w:p>
    <w:p w14:paraId="0FA58E7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lang w:val="en-US" w:eastAsia="zh-CN"/>
        </w:rPr>
      </w:pPr>
      <w:r>
        <w:rPr>
          <w:rFonts w:hint="default" w:ascii="Times New Roman" w:hAnsi="Times New Roman" w:eastAsia="方正小标宋_GBK" w:cs="Times New Roman"/>
          <w:bCs/>
          <w:color w:val="auto"/>
          <w:sz w:val="72"/>
          <w:szCs w:val="72"/>
        </w:rPr>
        <w:t>建设项目环境影响报告表</w:t>
      </w:r>
    </w:p>
    <w:p w14:paraId="328A4C35">
      <w:pPr>
        <w:keepNext w:val="0"/>
        <w:keepLines w:val="0"/>
        <w:pageBreakBefore w:val="0"/>
        <w:widowControl w:val="0"/>
        <w:kinsoku/>
        <w:wordWrap/>
        <w:overflowPunct/>
        <w:topLinePunct w:val="0"/>
        <w:autoSpaceDE/>
        <w:autoSpaceDN/>
        <w:bidi w:val="0"/>
        <w:adjustRightInd/>
        <w:snapToGrid/>
        <w:spacing w:line="600" w:lineRule="auto"/>
        <w:ind w:firstLine="0" w:firstLineChars="0"/>
        <w:jc w:val="center"/>
        <w:textAlignment w:val="auto"/>
        <w:rPr>
          <w:rFonts w:hint="default" w:ascii="Times New Roman" w:hAnsi="Times New Roman" w:cs="Times New Roman"/>
          <w:b/>
          <w:bCs/>
          <w:color w:val="auto"/>
          <w:sz w:val="44"/>
          <w:szCs w:val="44"/>
          <w:lang w:val="en-US" w:eastAsia="zh-CN"/>
        </w:rPr>
      </w:pPr>
      <w:r>
        <w:rPr>
          <w:rFonts w:hint="default" w:ascii="Times New Roman" w:hAnsi="Times New Roman" w:eastAsia="楷体_GB2312" w:cs="Times New Roman"/>
          <w:bCs/>
          <w:color w:val="auto"/>
          <w:sz w:val="48"/>
          <w:szCs w:val="48"/>
          <w:lang w:eastAsia="zh-CN"/>
        </w:rPr>
        <w:t>（</w:t>
      </w:r>
      <w:r>
        <w:rPr>
          <w:rFonts w:hint="default" w:ascii="Times New Roman" w:hAnsi="Times New Roman" w:eastAsia="楷体_GB2312" w:cs="Times New Roman"/>
          <w:bCs/>
          <w:color w:val="auto"/>
          <w:sz w:val="48"/>
          <w:szCs w:val="48"/>
        </w:rPr>
        <w:t>污染影响类）</w:t>
      </w:r>
    </w:p>
    <w:p w14:paraId="54791EDD">
      <w:pPr>
        <w:keepNext w:val="0"/>
        <w:keepLines w:val="0"/>
        <w:pageBreakBefore w:val="0"/>
        <w:widowControl w:val="0"/>
        <w:kinsoku/>
        <w:wordWrap/>
        <w:overflowPunct/>
        <w:topLinePunct w:val="0"/>
        <w:autoSpaceDE/>
        <w:autoSpaceDN/>
        <w:bidi w:val="0"/>
        <w:adjustRightInd/>
        <w:snapToGrid/>
        <w:spacing w:line="600" w:lineRule="auto"/>
        <w:ind w:firstLine="0" w:firstLineChars="0"/>
        <w:jc w:val="center"/>
        <w:textAlignment w:val="auto"/>
        <w:rPr>
          <w:rFonts w:hint="default" w:ascii="Times New Roman" w:hAnsi="Times New Roman" w:eastAsia="宋体" w:cs="Times New Roman"/>
          <w:b/>
          <w:bCs/>
          <w:color w:val="auto"/>
          <w:sz w:val="36"/>
          <w:szCs w:val="36"/>
          <w:lang w:eastAsia="zh-CN"/>
        </w:rPr>
      </w:pPr>
      <w:r>
        <w:rPr>
          <w:rFonts w:hint="default" w:ascii="Times New Roman" w:hAnsi="Times New Roman" w:cs="Times New Roman"/>
          <w:b/>
          <w:bCs/>
          <w:color w:val="auto"/>
          <w:sz w:val="36"/>
          <w:szCs w:val="36"/>
          <w:lang w:eastAsia="zh-CN"/>
        </w:rPr>
        <w:t>（</w:t>
      </w:r>
      <w:r>
        <w:rPr>
          <w:rFonts w:hint="eastAsia" w:cs="Times New Roman"/>
          <w:b/>
          <w:bCs/>
          <w:color w:val="auto"/>
          <w:sz w:val="36"/>
          <w:szCs w:val="36"/>
          <w:lang w:val="en-US" w:eastAsia="zh-CN"/>
        </w:rPr>
        <w:t>报批</w:t>
      </w:r>
      <w:r>
        <w:rPr>
          <w:rFonts w:hint="default" w:ascii="Times New Roman" w:hAnsi="Times New Roman" w:cs="Times New Roman"/>
          <w:b/>
          <w:bCs/>
          <w:color w:val="auto"/>
          <w:sz w:val="36"/>
          <w:szCs w:val="36"/>
          <w:lang w:val="en-US" w:eastAsia="zh-CN"/>
        </w:rPr>
        <w:t>稿</w:t>
      </w:r>
      <w:r>
        <w:rPr>
          <w:rFonts w:hint="default" w:ascii="Times New Roman" w:hAnsi="Times New Roman" w:cs="Times New Roman"/>
          <w:b/>
          <w:bCs/>
          <w:color w:val="auto"/>
          <w:sz w:val="36"/>
          <w:szCs w:val="36"/>
          <w:lang w:eastAsia="zh-CN"/>
        </w:rPr>
        <w:t>）</w:t>
      </w:r>
    </w:p>
    <w:p w14:paraId="79206B1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8"/>
          <w:szCs w:val="28"/>
        </w:rPr>
      </w:pPr>
    </w:p>
    <w:p w14:paraId="51C3CF7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8"/>
          <w:szCs w:val="28"/>
        </w:rPr>
      </w:pPr>
    </w:p>
    <w:p w14:paraId="31A8961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8"/>
          <w:szCs w:val="28"/>
        </w:rPr>
      </w:pPr>
    </w:p>
    <w:p w14:paraId="75004EB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8"/>
          <w:szCs w:val="28"/>
        </w:rPr>
      </w:pPr>
    </w:p>
    <w:p w14:paraId="7B1FB8C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8"/>
          <w:szCs w:val="28"/>
        </w:rPr>
      </w:pPr>
    </w:p>
    <w:p w14:paraId="1CB79AF9">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color w:val="auto"/>
          <w:sz w:val="28"/>
          <w:szCs w:val="28"/>
          <w:u w:val="single"/>
          <w:lang w:val="en-US" w:eastAsia="zh-CN"/>
        </w:rPr>
      </w:pPr>
      <w:r>
        <w:rPr>
          <w:rFonts w:hint="default" w:ascii="Times New Roman" w:hAnsi="Times New Roman" w:eastAsia="仿宋_GB2312" w:cs="Times New Roman"/>
          <w:color w:val="auto"/>
          <w:sz w:val="36"/>
          <w:szCs w:val="36"/>
        </w:rPr>
        <w:t>项目名称：</w:t>
      </w:r>
      <w:r>
        <w:rPr>
          <w:rFonts w:hint="default" w:ascii="Times New Roman" w:hAnsi="Times New Roman" w:eastAsia="仿宋_GB2312" w:cs="Times New Roman"/>
          <w:color w:val="auto"/>
          <w:sz w:val="36"/>
          <w:szCs w:val="36"/>
          <w:u w:val="single"/>
          <w:lang w:val="en-US" w:eastAsia="zh-CN"/>
        </w:rPr>
        <w:t xml:space="preserve">云南吉步商贸有限公司澄江吉步轻奢环保家具城厂房标准化建设项目                      </w:t>
      </w:r>
    </w:p>
    <w:p w14:paraId="2A2A1E9F">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color w:val="auto"/>
          <w:sz w:val="28"/>
          <w:szCs w:val="28"/>
          <w:u w:val="single"/>
          <w:lang w:val="en-US" w:eastAsia="zh-CN"/>
        </w:rPr>
      </w:pPr>
      <w:r>
        <w:rPr>
          <w:rFonts w:hint="default" w:ascii="Times New Roman" w:hAnsi="Times New Roman" w:eastAsia="仿宋_GB2312" w:cs="Times New Roman"/>
          <w:color w:val="auto"/>
          <w:sz w:val="36"/>
          <w:szCs w:val="36"/>
        </w:rPr>
        <w:t>建设单位</w:t>
      </w:r>
      <w:r>
        <w:rPr>
          <w:rFonts w:hint="default" w:ascii="Times New Roman" w:hAnsi="Times New Roman" w:eastAsia="仿宋_GB2312" w:cs="Times New Roman"/>
          <w:color w:val="auto"/>
          <w:sz w:val="36"/>
          <w:szCs w:val="36"/>
          <w:lang w:eastAsia="zh-CN"/>
        </w:rPr>
        <w:t>（</w:t>
      </w:r>
      <w:r>
        <w:rPr>
          <w:rFonts w:hint="default" w:ascii="Times New Roman" w:hAnsi="Times New Roman" w:eastAsia="仿宋_GB2312" w:cs="Times New Roman"/>
          <w:color w:val="auto"/>
          <w:sz w:val="36"/>
          <w:szCs w:val="36"/>
        </w:rPr>
        <w:t>盖章）：</w:t>
      </w:r>
      <w:r>
        <w:rPr>
          <w:rFonts w:hint="default"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lang w:eastAsia="zh-CN"/>
        </w:rPr>
        <w:t>云南吉步商贸有限公司</w:t>
      </w:r>
      <w:r>
        <w:rPr>
          <w:rFonts w:hint="default" w:ascii="Times New Roman" w:hAnsi="Times New Roman" w:eastAsia="仿宋_GB2312" w:cs="Times New Roman"/>
          <w:color w:val="auto"/>
          <w:sz w:val="36"/>
          <w:szCs w:val="36"/>
          <w:u w:val="single"/>
          <w:lang w:val="en-US" w:eastAsia="zh-CN"/>
        </w:rPr>
        <w:t xml:space="preserve">      </w:t>
      </w:r>
    </w:p>
    <w:p w14:paraId="04B21BB9">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8"/>
          <w:szCs w:val="28"/>
          <w:u w:val="single"/>
          <w:lang w:val="en-US" w:eastAsia="zh-CN"/>
        </w:rPr>
      </w:pPr>
      <w:r>
        <w:rPr>
          <w:rFonts w:hint="default" w:ascii="Times New Roman" w:hAnsi="Times New Roman" w:eastAsia="仿宋_GB2312" w:cs="Times New Roman"/>
          <w:color w:val="auto"/>
          <w:sz w:val="36"/>
          <w:szCs w:val="36"/>
        </w:rPr>
        <w:t>编制日期：</w:t>
      </w:r>
      <w:r>
        <w:rPr>
          <w:rFonts w:hint="default" w:ascii="Times New Roman" w:hAnsi="Times New Roman" w:eastAsia="仿宋_GB2312" w:cs="Times New Roman"/>
          <w:color w:val="auto"/>
          <w:sz w:val="36"/>
          <w:szCs w:val="36"/>
          <w:u w:val="single"/>
          <w:lang w:val="en-US" w:eastAsia="zh-CN"/>
        </w:rPr>
        <w:t xml:space="preserve">               202</w:t>
      </w:r>
      <w:r>
        <w:rPr>
          <w:rFonts w:hint="eastAsia" w:eastAsia="仿宋_GB2312" w:cs="Times New Roman"/>
          <w:color w:val="auto"/>
          <w:sz w:val="36"/>
          <w:szCs w:val="36"/>
          <w:u w:val="single"/>
          <w:lang w:val="en-US" w:eastAsia="zh-CN"/>
        </w:rPr>
        <w:t>5</w:t>
      </w:r>
      <w:r>
        <w:rPr>
          <w:rFonts w:hint="default" w:ascii="Times New Roman" w:hAnsi="Times New Roman" w:eastAsia="仿宋_GB2312" w:cs="Times New Roman"/>
          <w:color w:val="auto"/>
          <w:sz w:val="36"/>
          <w:szCs w:val="36"/>
          <w:u w:val="single"/>
          <w:lang w:val="en-US" w:eastAsia="zh-CN"/>
        </w:rPr>
        <w:t xml:space="preserve">年1月          </w:t>
      </w:r>
    </w:p>
    <w:p w14:paraId="2F55E7D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8"/>
          <w:szCs w:val="28"/>
        </w:rPr>
      </w:pPr>
    </w:p>
    <w:p w14:paraId="44AD6F8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8"/>
          <w:szCs w:val="28"/>
        </w:rPr>
      </w:pPr>
    </w:p>
    <w:p w14:paraId="2FA3BDE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8"/>
          <w:szCs w:val="28"/>
        </w:rPr>
      </w:pPr>
    </w:p>
    <w:p w14:paraId="2093AFE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8"/>
          <w:szCs w:val="28"/>
        </w:rPr>
      </w:pPr>
    </w:p>
    <w:p w14:paraId="3992F79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楷体" w:cs="Times New Roman"/>
          <w:b w:val="0"/>
          <w:bCs w:val="0"/>
          <w:color w:val="auto"/>
          <w:sz w:val="36"/>
          <w:szCs w:val="36"/>
        </w:rPr>
      </w:pPr>
      <w:r>
        <w:rPr>
          <w:rFonts w:hint="default" w:ascii="Times New Roman" w:hAnsi="Times New Roman" w:eastAsia="楷体_GB2312" w:cs="Times New Roman"/>
          <w:color w:val="auto"/>
          <w:sz w:val="36"/>
          <w:szCs w:val="36"/>
        </w:rPr>
        <w:t>中华人民共和国生态环境部制</w:t>
      </w:r>
    </w:p>
    <w:p w14:paraId="27BBCED1">
      <w:pPr>
        <w:rPr>
          <w:rFonts w:hint="default" w:ascii="Times New Roman" w:hAnsi="Times New Roman" w:eastAsia="楷体" w:cs="Times New Roman"/>
          <w:color w:val="auto"/>
          <w:sz w:val="36"/>
          <w:szCs w:val="36"/>
        </w:rPr>
        <w:sectPr>
          <w:pgSz w:w="11906" w:h="16838"/>
          <w:pgMar w:top="1440" w:right="1800" w:bottom="1440" w:left="1800" w:header="851" w:footer="992" w:gutter="0"/>
          <w:cols w:space="425" w:num="1"/>
          <w:docGrid w:type="lines" w:linePitch="312" w:charSpace="0"/>
        </w:sectPr>
      </w:pPr>
    </w:p>
    <w:p w14:paraId="2E8A2C7A">
      <w:pPr>
        <w:ind w:left="0" w:leftChars="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现场照片</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ED4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1" w:type="dxa"/>
            <w:vAlign w:val="center"/>
          </w:tcPr>
          <w:p w14:paraId="48F6FDF8">
            <w:pPr>
              <w:pStyle w:val="14"/>
              <w:widowControl w:val="0"/>
              <w:bidi w:val="0"/>
              <w:rPr>
                <w:rFonts w:hint="default" w:ascii="Times New Roman" w:hAnsi="Times New Roman" w:eastAsia="宋体" w:cs="Times New Roman"/>
                <w:color w:val="auto"/>
                <w:lang w:eastAsia="zh-CN"/>
              </w:rPr>
            </w:pPr>
            <w:r>
              <w:rPr>
                <w:color w:val="auto"/>
                <w:sz w:val="21"/>
              </w:rPr>
              <mc:AlternateContent>
                <mc:Choice Requires="wps">
                  <w:drawing>
                    <wp:anchor distT="0" distB="0" distL="114300" distR="114300" simplePos="0" relativeHeight="251659264" behindDoc="0" locked="0" layoutInCell="1" allowOverlap="1">
                      <wp:simplePos x="0" y="0"/>
                      <wp:positionH relativeFrom="column">
                        <wp:posOffset>1644650</wp:posOffset>
                      </wp:positionH>
                      <wp:positionV relativeFrom="paragraph">
                        <wp:posOffset>1649730</wp:posOffset>
                      </wp:positionV>
                      <wp:extent cx="918210" cy="278765"/>
                      <wp:effectExtent l="0" t="0" r="0" b="0"/>
                      <wp:wrapNone/>
                      <wp:docPr id="4" name="文本框 4"/>
                      <wp:cNvGraphicFramePr/>
                      <a:graphic xmlns:a="http://schemas.openxmlformats.org/drawingml/2006/main">
                        <a:graphicData uri="http://schemas.microsoft.com/office/word/2010/wordprocessingShape">
                          <wps:wsp>
                            <wps:cNvSpPr txBox="1"/>
                            <wps:spPr>
                              <a:xfrm>
                                <a:off x="3140075" y="2969895"/>
                                <a:ext cx="918210"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CE4CBF">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color w:val="FFFF00"/>
                                      <w:lang w:val="en-US" w:eastAsia="zh-CN"/>
                                    </w:rPr>
                                  </w:pPr>
                                  <w:r>
                                    <w:rPr>
                                      <w:rFonts w:hint="eastAsia"/>
                                      <w:color w:val="FFFF00"/>
                                      <w:lang w:val="en-US" w:eastAsia="zh-CN"/>
                                    </w:rPr>
                                    <w:t>2024.10.12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5pt;margin-top:129.9pt;height:21.95pt;width:72.3pt;z-index:251659264;mso-width-relative:page;mso-height-relative:page;" filled="f" stroked="f" coordsize="21600,21600" o:gfxdata="UEsDBAoAAAAAAIdO4kAAAAAAAAAAAAAAAAAEAAAAZHJzL1BLAwQUAAAACACHTuJAvikNuNsAAAAL&#10;AQAADwAAAGRycy9kb3ducmV2LnhtbE2PTU/DMAyG70j8h8hI3Fiylo1Rmk6o0oSE2GFjF25uk7UV&#10;jVOa7AN+PYYL3Gz51evnyZdn14ujHUPnScN0okBYqr3pqNGwe13dLECEiGSw92Q1fNoAy+LyIsfM&#10;+BNt7HEbG8ElFDLU0MY4ZFKGurUOw8QPlvi296PDyOvYSDPiictdLxOl5tJhR/yhxcGWra3ftwen&#10;4blcrXFTJW7x1ZdPL/vH4WP3NtP6+mqqHkBEe45/YfjBZ3QomKnyBzJB9BqS2T27xN+BHThxq9I5&#10;iEpDqtI7kEUu/zsU31BLAwQUAAAACACHTuJAT9RgW0gCAABxBAAADgAAAGRycy9lMm9Eb2MueG1s&#10;rVTNbhMxEL4j8Q6W73R30/wrmyo0KkKqaKWCODteO7uS7TG2093yAPAGnLhw57nyHIy9SRsVDj1w&#10;8Y4945n5vvm8i4tOK3IvnG/AlLQ4yykRhkPVmG1JP328ejOlxAdmKqbAiJI+CE8vlq9fLVo7FwOo&#10;QVXCEUxi/Ly1Ja1DsPMs87wWmvkzsMKgU4LTLODWbbPKsRaza5UN8nycteAq64AL7/F03TvpIaN7&#10;SUKQsuFiDXynhQl9VicUCwjJ1431dJm6lVLwcCOlF4GokiLSkFYsgvYmrtlyweZbx2zd8EML7CUt&#10;PMOkWWOw6GOqNQuM7FzzVyrdcAceZDjjoLMeSGIEURT5M27uamZFwoJUe/tIuv9/afmH+1tHmqqk&#10;Q0oM0zjw/Y/v+5+/97++kWGkp7V+jlF3FuNC9xY6FM3x3ONhRN1Jp+MX8RD0nxfDPJ+MKHko6WA2&#10;nk1no55o0QXCMWBWTAcFjoDHgMl0Mk7+7CmRdT68E6BJNErqcI6JXnZ/7QM2haHHkFjXwFWjVJql&#10;MqQt6fh8lKcLjx68oQxejHD6tqMVuk13wLiB6gEhOug14i2/arD4NfPhljkUBfaLzybc4CIVYBE4&#10;WJTU4L7+6zzG46zQS0mLIiup/7JjTlCi3huc4qwYDqMq02Y4mgxw4049m1OP2elLQB0X+EAtT2aM&#10;D+poSgf6M76uVayKLmY41i5pOJqXoZc+vk4uVqsUhDq0LFybO8tj6p7O1S6AbBLTkaaemwN7qMQ0&#10;gMOriVI/3aeopz/F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KQ242wAAAAsBAAAPAAAAAAAA&#10;AAEAIAAAACIAAABkcnMvZG93bnJldi54bWxQSwECFAAUAAAACACHTuJAT9RgW0gCAABxBAAADgAA&#10;AAAAAAABACAAAAAqAQAAZHJzL2Uyb0RvYy54bWxQSwUGAAAAAAYABgBZAQAA5AUAAAAA&#10;">
                      <v:fill on="f" focussize="0,0"/>
                      <v:stroke on="f" weight="0.5pt"/>
                      <v:imagedata o:title=""/>
                      <o:lock v:ext="edit" aspectratio="f"/>
                      <v:textbox>
                        <w:txbxContent>
                          <w:p w14:paraId="3ECE4CBF">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color w:val="FFFF00"/>
                                <w:lang w:val="en-US" w:eastAsia="zh-CN"/>
                              </w:rPr>
                            </w:pPr>
                            <w:r>
                              <w:rPr>
                                <w:rFonts w:hint="eastAsia"/>
                                <w:color w:val="FFFF00"/>
                                <w:lang w:val="en-US" w:eastAsia="zh-CN"/>
                              </w:rPr>
                              <w:t>2024.10.12</w:t>
                            </w:r>
                          </w:p>
                        </w:txbxContent>
                      </v:textbox>
                    </v:shape>
                  </w:pict>
                </mc:Fallback>
              </mc:AlternateContent>
            </w:r>
            <w:r>
              <w:rPr>
                <w:rFonts w:hint="default" w:ascii="Times New Roman" w:hAnsi="Times New Roman" w:eastAsia="宋体" w:cs="Times New Roman"/>
                <w:color w:val="auto"/>
                <w:lang w:eastAsia="zh-CN"/>
              </w:rPr>
              <w:drawing>
                <wp:inline distT="0" distB="0" distL="114300" distR="114300">
                  <wp:extent cx="2548890" cy="1911985"/>
                  <wp:effectExtent l="0" t="0" r="3810" b="12065"/>
                  <wp:docPr id="9" name="图片 9" descr="IMG_20241012_09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1012_093225"/>
                          <pic:cNvPicPr>
                            <a:picLocks noChangeAspect="1"/>
                          </pic:cNvPicPr>
                        </pic:nvPicPr>
                        <pic:blipFill>
                          <a:blip r:embed="rId8"/>
                          <a:stretch>
                            <a:fillRect/>
                          </a:stretch>
                        </pic:blipFill>
                        <pic:spPr>
                          <a:xfrm>
                            <a:off x="0" y="0"/>
                            <a:ext cx="2548890" cy="1911985"/>
                          </a:xfrm>
                          <a:prstGeom prst="rect">
                            <a:avLst/>
                          </a:prstGeom>
                        </pic:spPr>
                      </pic:pic>
                    </a:graphicData>
                  </a:graphic>
                </wp:inline>
              </w:drawing>
            </w:r>
          </w:p>
        </w:tc>
        <w:tc>
          <w:tcPr>
            <w:tcW w:w="4261" w:type="dxa"/>
            <w:vAlign w:val="center"/>
          </w:tcPr>
          <w:p w14:paraId="20FFDB11">
            <w:pPr>
              <w:pStyle w:val="14"/>
              <w:widowControl w:val="0"/>
              <w:bidi w:val="0"/>
              <w:rPr>
                <w:rFonts w:hint="default" w:ascii="Times New Roman" w:hAnsi="Times New Roman" w:eastAsia="宋体" w:cs="Times New Roman"/>
                <w:color w:val="auto"/>
                <w:lang w:eastAsia="zh-CN"/>
              </w:rPr>
            </w:pP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1642745</wp:posOffset>
                      </wp:positionH>
                      <wp:positionV relativeFrom="paragraph">
                        <wp:posOffset>1666240</wp:posOffset>
                      </wp:positionV>
                      <wp:extent cx="918210" cy="27876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8210"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B8070E">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color w:val="FFFF00"/>
                                      <w:lang w:val="en-US" w:eastAsia="zh-CN"/>
                                    </w:rPr>
                                  </w:pPr>
                                  <w:r>
                                    <w:rPr>
                                      <w:rFonts w:hint="eastAsia"/>
                                      <w:color w:val="FFFF00"/>
                                      <w:lang w:val="en-US" w:eastAsia="zh-CN"/>
                                    </w:rPr>
                                    <w:t>2024.10.12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35pt;margin-top:131.2pt;height:21.95pt;width:72.3pt;z-index:251660288;mso-width-relative:page;mso-height-relative:page;" filled="f" stroked="f" coordsize="21600,21600" o:gfxdata="UEsDBAoAAAAAAIdO4kAAAAAAAAAAAAAAAAAEAAAAZHJzL1BLAwQUAAAACACHTuJAPC8eK9wAAAAL&#10;AQAADwAAAGRycy9kb3ducmV2LnhtbE2Py07DMBBF90j8gzVI7KjdpA1RGqdCkSokBIuWbrqbxG4S&#10;YY9D7D7g6zEr2M1oju6cW66v1rCznvzgSMJ8JoBpap0aqJOwf9885MB8QFJoHGkJX9rDurq9KbFQ&#10;7kJbfd6FjsUQ8gVK6EMYC85922uLfuZGTfF2dJPFENep42rCSwy3hidCZNziQPFDj6Oue91+7E5W&#10;wku9ecNtk9j829TPr8en8XN/WEp5fzcXK2BBX8MfDL/6UR2q6NS4EynPjIRkmT9GNA5ZsgAWiYVI&#10;U2CNhFRkKfCq5P87VD9QSwMEFAAAAAgAh07iQCdfrqg7AgAAZQQAAA4AAABkcnMvZTJvRG9jLnht&#10;bK1UzY7aMBC+V+o7WL6XEMrfIsKKLqKqhLor0apn4zgkku1xbUNCH6B9gz310nufi+fo2AEWbXvY&#10;Qy9m7Jl8M983M0xvGyXJXlhXgc5o2ulSIjSHvNLbjH7+tHwzpsR5pnMmQYuMHoSjt7PXr6a1mYge&#10;lCBzYQmCaDepTUZL780kSRwvhWKuA0ZodBZgFfN4tdskt6xGdCWTXrc7TGqwubHAhXP4umid9IRo&#10;XwIIRVFxsQC+U0L7FtUKyTxScmVlHJ3FaotCcH9fFE54IjOKTH08MQnam3AmsymbbC0zZcVPJbCX&#10;lPCMk2KVxqQXqAXzjOxs9ReUqrgFB4XvcFBJSyQqgizS7jNt1iUzInJBqZ25iO7+Hyz/uH+wpMoz&#10;OqJEM4UNPz7+OP78ffz1nYyCPLVxE4xaG4zzzTtocGjO7w4fA+umsCr8Ih+CfhT3cBFXNJ5wfLxJ&#10;x70UPRxdvdF4NBwElOTpY2Odfy9AkWBk1GLvoqRsv3K+DT2HhFwalpWUsX9Skzqjw7eDbvzg4kFw&#10;qTFHoNCWGizfbJoTrw3kB6RloZ0LZ/iywuQr5vwDszgIWC+uir/Ho5CASeBkUVKC/fav9xCP/UEv&#10;JTUOVkbd1x2zghL5QWPnbtJ+H2F9vPQHox5e7LVnc+3RO3UHOLspLqXh0QzxXp7NwoL6ghs1D1nR&#10;xTTH3Bn1Z/POt+OOG8nFfB6DcPYM8yu9NjxAt3LOdx6KKiodZGq1OamH0xd7ddqUMN7X9xj19O8w&#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8Lx4r3AAAAAsBAAAPAAAAAAAAAAEAIAAAACIAAABk&#10;cnMvZG93bnJldi54bWxQSwECFAAUAAAACACHTuJAJ1+uqDsCAABlBAAADgAAAAAAAAABACAAAAAr&#10;AQAAZHJzL2Uyb0RvYy54bWxQSwUGAAAAAAYABgBZAQAA2AUAAAAA&#10;">
                      <v:fill on="f" focussize="0,0"/>
                      <v:stroke on="f" weight="0.5pt"/>
                      <v:imagedata o:title=""/>
                      <o:lock v:ext="edit" aspectratio="f"/>
                      <v:textbox>
                        <w:txbxContent>
                          <w:p w14:paraId="60B8070E">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color w:val="FFFF00"/>
                                <w:lang w:val="en-US" w:eastAsia="zh-CN"/>
                              </w:rPr>
                            </w:pPr>
                            <w:r>
                              <w:rPr>
                                <w:rFonts w:hint="eastAsia"/>
                                <w:color w:val="FFFF00"/>
                                <w:lang w:val="en-US" w:eastAsia="zh-CN"/>
                              </w:rPr>
                              <w:t>2024.10.12</w:t>
                            </w:r>
                          </w:p>
                        </w:txbxContent>
                      </v:textbox>
                    </v:shape>
                  </w:pict>
                </mc:Fallback>
              </mc:AlternateContent>
            </w:r>
            <w:r>
              <w:rPr>
                <w:rFonts w:hint="default" w:ascii="Times New Roman" w:hAnsi="Times New Roman" w:eastAsia="宋体" w:cs="Times New Roman"/>
                <w:color w:val="auto"/>
                <w:lang w:eastAsia="zh-CN"/>
              </w:rPr>
              <w:drawing>
                <wp:inline distT="0" distB="0" distL="114300" distR="114300">
                  <wp:extent cx="2548890" cy="1911985"/>
                  <wp:effectExtent l="0" t="0" r="3810" b="12065"/>
                  <wp:docPr id="10" name="图片 10" descr="工程师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工程师现场照片"/>
                          <pic:cNvPicPr>
                            <a:picLocks noChangeAspect="1"/>
                          </pic:cNvPicPr>
                        </pic:nvPicPr>
                        <pic:blipFill>
                          <a:blip r:embed="rId9"/>
                          <a:stretch>
                            <a:fillRect/>
                          </a:stretch>
                        </pic:blipFill>
                        <pic:spPr>
                          <a:xfrm>
                            <a:off x="0" y="0"/>
                            <a:ext cx="2548890" cy="1911985"/>
                          </a:xfrm>
                          <a:prstGeom prst="rect">
                            <a:avLst/>
                          </a:prstGeom>
                        </pic:spPr>
                      </pic:pic>
                    </a:graphicData>
                  </a:graphic>
                </wp:inline>
              </w:drawing>
            </w:r>
          </w:p>
        </w:tc>
      </w:tr>
      <w:tr w14:paraId="3C2C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1" w:type="dxa"/>
            <w:vAlign w:val="center"/>
          </w:tcPr>
          <w:p w14:paraId="63DB62EF">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进场道路</w:t>
            </w:r>
          </w:p>
        </w:tc>
        <w:tc>
          <w:tcPr>
            <w:tcW w:w="4261" w:type="dxa"/>
            <w:vAlign w:val="center"/>
          </w:tcPr>
          <w:p w14:paraId="2B6F9D07">
            <w:pPr>
              <w:pStyle w:val="14"/>
              <w:widowControl w:val="0"/>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厂房现状及工程师现场踏勘照片</w:t>
            </w:r>
          </w:p>
        </w:tc>
      </w:tr>
      <w:tr w14:paraId="0387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1" w:type="dxa"/>
            <w:vAlign w:val="center"/>
          </w:tcPr>
          <w:p w14:paraId="1570BDE5">
            <w:pPr>
              <w:pStyle w:val="14"/>
              <w:widowControl w:val="0"/>
              <w:bidi w:val="0"/>
              <w:rPr>
                <w:rFonts w:hint="default" w:ascii="Times New Roman" w:hAnsi="Times New Roman" w:eastAsia="宋体" w:cs="Times New Roman"/>
                <w:color w:val="auto"/>
                <w:lang w:eastAsia="zh-CN"/>
              </w:rPr>
            </w:pP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1667510</wp:posOffset>
                      </wp:positionH>
                      <wp:positionV relativeFrom="paragraph">
                        <wp:posOffset>1657985</wp:posOffset>
                      </wp:positionV>
                      <wp:extent cx="918210" cy="278765"/>
                      <wp:effectExtent l="0" t="0" r="0" b="0"/>
                      <wp:wrapNone/>
                      <wp:docPr id="8" name="文本框 8"/>
                      <wp:cNvGraphicFramePr/>
                      <a:graphic xmlns:a="http://schemas.openxmlformats.org/drawingml/2006/main">
                        <a:graphicData uri="http://schemas.microsoft.com/office/word/2010/wordprocessingShape">
                          <wps:wsp>
                            <wps:cNvSpPr txBox="1"/>
                            <wps:spPr>
                              <a:xfrm>
                                <a:off x="0" y="0"/>
                                <a:ext cx="918210"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187391">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color w:val="FFFF00"/>
                                      <w:lang w:val="en-US" w:eastAsia="zh-CN"/>
                                    </w:rPr>
                                  </w:pPr>
                                  <w:r>
                                    <w:rPr>
                                      <w:rFonts w:hint="eastAsia"/>
                                      <w:color w:val="FFFF00"/>
                                      <w:lang w:val="en-US" w:eastAsia="zh-CN"/>
                                    </w:rPr>
                                    <w:t>2024.10.12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3pt;margin-top:130.55pt;height:21.95pt;width:72.3pt;z-index:251661312;mso-width-relative:page;mso-height-relative:page;" filled="f" stroked="f" coordsize="21600,21600" o:gfxdata="UEsDBAoAAAAAAIdO4kAAAAAAAAAAAAAAAAAEAAAAZHJzL1BLAwQUAAAACACHTuJAw9WyxNsAAAAL&#10;AQAADwAAAGRycy9kb3ducmV2LnhtbE2Py07DMBBF90j8gzVI7KgdQ0MV4lQoUoWEYNHSDbtJ7CYR&#10;9jjE7gO+HndVdjOaozvnlsuTs+xgpjB4UpDNBDBDrdcDdQq2H6u7BbAQkTRaT0bBjwmwrK6vSiy0&#10;P9LaHDaxYymEQoEK+hjHgvPQ9sZhmPnRULrt/OQwpnXquJ7wmMKd5VKInDscKH3ocTR1b9qvzd4p&#10;eK1X77hupFv82vrlbfc8fm8/50rd3mTiCVg0p3iB4ayf1KFKTo3fkw7MKpC5zBN6HrIMWCIexKME&#10;1ii4F3MBvCr5/w7VH1BLAwQUAAAACACHTuJAnivDPDsCAABlBAAADgAAAGRycy9lMm9Eb2MueG1s&#10;rVTNjtowEL5X6jtYvpcQyt8iwoouoqqEuivRqmfjOCSS7XFtQ0IfoH2DPfXSe5+L5+jYARZte9hD&#10;L2bsmXwz3zczTG8bJcleWFeBzmja6VIiNIe80tuMfv60fDOmxHmmcyZBi4wehKO3s9evprWZiB6U&#10;IHNhCYJoN6lNRkvvzSRJHC+FYq4DRmh0FmAV83i12yS3rEZ0JZNetztMarC5scCFc/i6aJ30hGhf&#10;AghFUXGxAL5TQvsW1QrJPFJyZWUcncVqi0Jwf18UTngiM4pMfTwxCdqbcCazKZtsLTNlxU8lsJeU&#10;8IyTYpXGpBeoBfOM7Gz1F5SquAUHhe9wUElLJCqCLNLuM23WJTMickGpnbmI7v4fLP+4f7CkyjOK&#10;bddMYcOPjz+OP38ff30n4yBPbdwEo9YG43zzDhocmvO7w8fAuimsCr/Ih6AfxT1cxBWNJxwfb9Jx&#10;L0UPR1dvNB4NBwElefrYWOffC1AkGBm12LsoKduvnG9DzyEhl4ZlJWXsn9Skzujw7aAbP7h4EFxq&#10;zBEotKUGyzeb5sRrA/kBaVlo58IZvqww+Yo5/8AsDgLWi6vi7/EoJGASOFmUlGC//es9xGN/0EtJ&#10;jYOVUfd1x6ygRH7Q2LmbtN9HWB8v/cGohxd77dlce/RO3QHObopLaXg0Q7yXZ7OwoL7gRs1DVnQx&#10;zTF3Rv3ZvPPtuONGcjGfxyCcPcP8Sq8ND9CtnPOdh6KKSgeZWm1O6uH0xV6dNiWM9/U9Rj39O8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PVssTbAAAACwEAAA8AAAAAAAAAAQAgAAAAIgAAAGRy&#10;cy9kb3ducmV2LnhtbFBLAQIUABQAAAAIAIdO4kCeK8M8OwIAAGUEAAAOAAAAAAAAAAEAIAAAACoB&#10;AABkcnMvZTJvRG9jLnhtbFBLBQYAAAAABgAGAFkBAADXBQAAAAA=&#10;">
                      <v:fill on="f" focussize="0,0"/>
                      <v:stroke on="f" weight="0.5pt"/>
                      <v:imagedata o:title=""/>
                      <o:lock v:ext="edit" aspectratio="f"/>
                      <v:textbox>
                        <w:txbxContent>
                          <w:p w14:paraId="25187391">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color w:val="FFFF00"/>
                                <w:lang w:val="en-US" w:eastAsia="zh-CN"/>
                              </w:rPr>
                            </w:pPr>
                            <w:r>
                              <w:rPr>
                                <w:rFonts w:hint="eastAsia"/>
                                <w:color w:val="FFFF00"/>
                                <w:lang w:val="en-US" w:eastAsia="zh-CN"/>
                              </w:rPr>
                              <w:t>2024.10.12</w:t>
                            </w:r>
                          </w:p>
                        </w:txbxContent>
                      </v:textbox>
                    </v:shape>
                  </w:pict>
                </mc:Fallback>
              </mc:AlternateContent>
            </w:r>
            <w:r>
              <w:rPr>
                <w:rFonts w:hint="default" w:ascii="Times New Roman" w:hAnsi="Times New Roman" w:eastAsia="宋体" w:cs="Times New Roman"/>
                <w:color w:val="auto"/>
                <w:lang w:eastAsia="zh-CN"/>
              </w:rPr>
              <w:drawing>
                <wp:inline distT="0" distB="0" distL="114300" distR="114300">
                  <wp:extent cx="2548890" cy="1911985"/>
                  <wp:effectExtent l="0" t="0" r="3810" b="12065"/>
                  <wp:docPr id="2" name="图片 2" descr="IMG_20241012_0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012_093403"/>
                          <pic:cNvPicPr>
                            <a:picLocks noChangeAspect="1"/>
                          </pic:cNvPicPr>
                        </pic:nvPicPr>
                        <pic:blipFill>
                          <a:blip r:embed="rId10"/>
                          <a:stretch>
                            <a:fillRect/>
                          </a:stretch>
                        </pic:blipFill>
                        <pic:spPr>
                          <a:xfrm>
                            <a:off x="0" y="0"/>
                            <a:ext cx="2548890" cy="1911985"/>
                          </a:xfrm>
                          <a:prstGeom prst="rect">
                            <a:avLst/>
                          </a:prstGeom>
                        </pic:spPr>
                      </pic:pic>
                    </a:graphicData>
                  </a:graphic>
                </wp:inline>
              </w:drawing>
            </w:r>
          </w:p>
        </w:tc>
        <w:tc>
          <w:tcPr>
            <w:tcW w:w="4261" w:type="dxa"/>
            <w:vAlign w:val="center"/>
          </w:tcPr>
          <w:p w14:paraId="01E459DD">
            <w:pPr>
              <w:pStyle w:val="14"/>
              <w:widowControl w:val="0"/>
              <w:bidi w:val="0"/>
              <w:rPr>
                <w:rFonts w:hint="default" w:ascii="Times New Roman" w:hAnsi="Times New Roman" w:eastAsia="宋体" w:cs="Times New Roman"/>
                <w:color w:val="auto"/>
                <w:lang w:eastAsia="zh-CN"/>
              </w:rPr>
            </w:pP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1628775</wp:posOffset>
                      </wp:positionH>
                      <wp:positionV relativeFrom="paragraph">
                        <wp:posOffset>1610360</wp:posOffset>
                      </wp:positionV>
                      <wp:extent cx="918210" cy="27876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918210"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148CA9">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color w:val="FFFF00"/>
                                      <w:lang w:val="en-US" w:eastAsia="zh-CN"/>
                                    </w:rPr>
                                  </w:pPr>
                                  <w:r>
                                    <w:rPr>
                                      <w:rFonts w:hint="eastAsia"/>
                                      <w:color w:val="FFFF00"/>
                                      <w:lang w:val="en-US" w:eastAsia="zh-CN"/>
                                    </w:rPr>
                                    <w:t>2024.10.12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25pt;margin-top:126.8pt;height:21.95pt;width:72.3pt;z-index:251662336;mso-width-relative:page;mso-height-relative:page;" filled="f" stroked="f" coordsize="21600,21600" o:gfxdata="UEsDBAoAAAAAAIdO4kAAAAAAAAAAAAAAAAAEAAAAZHJzL1BLAwQUAAAACACHTuJAxi2dkdsAAAAL&#10;AQAADwAAAGRycy9kb3ducmV2LnhtbE2Py07DMBBF90j8gzVI7KidQNIS4lQoUoWEYNHSTXdO7CYR&#10;9jjE7gO+nukKdvM4unOmXJ6dZUczhcGjhGQmgBlsvR6wk7D9WN0tgIWoUCvr0Uj4NgGW1fVVqQrt&#10;T7g2x03sGIVgKJSEPsax4Dy0vXEqzPxokHZ7PzkVqZ06rid1onBneSpEzp0akC70ajR1b9rPzcFJ&#10;eK1X72rdpG7xY+uXt/3z+LXdZVLe3iTiCVg05/gHw0Wf1KEip8YfUAdmJaRZnhF6Ke5zYEQ8iCQB&#10;1tDkcZ4Br0r+/4fqF1BLAwQUAAAACACHTuJAC/ytZjsCAABnBAAADgAAAGRycy9lMm9Eb2MueG1s&#10;rVTNbhMxEL4j8Q6W73ST9D/qpgqtipAqWqkgzo7Xm13J9hjb6W55AHgDTly481x9Dj57kzQqHHrg&#10;4oxnZr/x981Mzs57o9m98qElW/Lx3ogzZSVVrV2W/NPHqzcnnIUobCU0WVXyBxX4+ez1q7POTdWE&#10;GtKV8gwgNkw7V/ImRjctiiAbZUTYI6csgjV5IyKufllUXnRAN7qYjEZHRUe+cp6kCgHeyyHI14j+&#10;JYBU161UlyRXRtk4oHqlRQSl0LQu8Fl+bV0rGW/qOqjIdMnBNOYTRWAv0lnMzsR06YVrWrl+gnjJ&#10;E55xMqK1KLqFuhRRsJVv/4IyrfQUqI57kkwxEMmKgMV49Eybu0Y4lblA6uC2oof/Bys/3N961laY&#10;hH3OrDDo+OOP748/fz/++sbgg0CdC1Pk3Tlkxv4t9Uje+AOciXdfe5N+wYghDnkftvKqPjIJ5+n4&#10;ZDJGRCI0OT45PjpMKMXTx86H+E6RYckouUf3sqji/jrEIXWTkmpZumq1zh3UlnUlP9o/HOUPthGA&#10;a4saicLw1GTFftGveS2oegAtT8NkBCevWhS/FiHeCo9RwHuxLPEGR60JRWhtcdaQ//ovf8pHhxDl&#10;rMNolTx8WQmvONPvLXp3Oj44AGzMl4PD4wkufjey2I3YlbkgTO8Ya+lkNlN+1Buz9mQ+Y6fmqSpC&#10;wkrULnncmBdxGHjspFTzeU7C9DkRr+2dkwl6kHO+ilS3Wekk06DNWj3MX+7VelfSgO/ec9bT/8Ps&#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YtnZHbAAAACwEAAA8AAAAAAAAAAQAgAAAAIgAAAGRy&#10;cy9kb3ducmV2LnhtbFBLAQIUABQAAAAIAIdO4kAL/K1mOwIAAGcEAAAOAAAAAAAAAAEAIAAAACoB&#10;AABkcnMvZTJvRG9jLnhtbFBLBQYAAAAABgAGAFkBAADXBQAAAAA=&#10;">
                      <v:fill on="f" focussize="0,0"/>
                      <v:stroke on="f" weight="0.5pt"/>
                      <v:imagedata o:title=""/>
                      <o:lock v:ext="edit" aspectratio="f"/>
                      <v:textbox>
                        <w:txbxContent>
                          <w:p w14:paraId="4B148CA9">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color w:val="FFFF00"/>
                                <w:lang w:val="en-US" w:eastAsia="zh-CN"/>
                              </w:rPr>
                            </w:pPr>
                            <w:r>
                              <w:rPr>
                                <w:rFonts w:hint="eastAsia"/>
                                <w:color w:val="FFFF00"/>
                                <w:lang w:val="en-US" w:eastAsia="zh-CN"/>
                              </w:rPr>
                              <w:t>2024.10.12</w:t>
                            </w:r>
                          </w:p>
                        </w:txbxContent>
                      </v:textbox>
                    </v:shape>
                  </w:pict>
                </mc:Fallback>
              </mc:AlternateContent>
            </w:r>
            <w:r>
              <w:rPr>
                <w:rFonts w:hint="default" w:ascii="Times New Roman" w:hAnsi="Times New Roman" w:cs="Times New Roman"/>
                <w:color w:val="auto"/>
              </w:rPr>
              <w:drawing>
                <wp:inline distT="0" distB="0" distL="114300" distR="114300">
                  <wp:extent cx="2547620" cy="1852295"/>
                  <wp:effectExtent l="0" t="0" r="5080" b="1460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2547620" cy="1852295"/>
                          </a:xfrm>
                          <a:prstGeom prst="rect">
                            <a:avLst/>
                          </a:prstGeom>
                          <a:noFill/>
                          <a:ln>
                            <a:noFill/>
                          </a:ln>
                        </pic:spPr>
                      </pic:pic>
                    </a:graphicData>
                  </a:graphic>
                </wp:inline>
              </w:drawing>
            </w:r>
          </w:p>
        </w:tc>
      </w:tr>
      <w:tr w14:paraId="1BE7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1" w:type="dxa"/>
            <w:vAlign w:val="center"/>
          </w:tcPr>
          <w:p w14:paraId="389A4C88">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项目租用办公区现状</w:t>
            </w:r>
          </w:p>
        </w:tc>
        <w:tc>
          <w:tcPr>
            <w:tcW w:w="4261" w:type="dxa"/>
            <w:vAlign w:val="center"/>
          </w:tcPr>
          <w:p w14:paraId="352CE33D">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租用场地现状雨水系统</w:t>
            </w:r>
          </w:p>
        </w:tc>
      </w:tr>
      <w:tr w14:paraId="4482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1" w:type="dxa"/>
            <w:vAlign w:val="center"/>
          </w:tcPr>
          <w:p w14:paraId="50A6E844">
            <w:pPr>
              <w:pStyle w:val="14"/>
              <w:widowControl w:val="0"/>
              <w:bidi w:val="0"/>
              <w:rPr>
                <w:rFonts w:hint="default" w:ascii="Times New Roman" w:hAnsi="Times New Roman" w:eastAsia="宋体" w:cs="Times New Roman"/>
                <w:color w:val="auto"/>
                <w:lang w:eastAsia="zh-CN"/>
              </w:rPr>
            </w:pP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1647190</wp:posOffset>
                      </wp:positionH>
                      <wp:positionV relativeFrom="paragraph">
                        <wp:posOffset>1656715</wp:posOffset>
                      </wp:positionV>
                      <wp:extent cx="918210" cy="27876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918210"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9B8516">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color w:val="FFFF00"/>
                                      <w:lang w:val="en-US" w:eastAsia="zh-CN"/>
                                    </w:rPr>
                                  </w:pPr>
                                  <w:r>
                                    <w:rPr>
                                      <w:rFonts w:hint="eastAsia"/>
                                      <w:color w:val="FFFF00"/>
                                      <w:lang w:val="en-US" w:eastAsia="zh-CN"/>
                                    </w:rPr>
                                    <w:t>2024.10.12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7pt;margin-top:130.45pt;height:21.95pt;width:72.3pt;z-index:251663360;mso-width-relative:page;mso-height-relative:page;" filled="f" stroked="f" coordsize="21600,21600" o:gfxdata="UEsDBAoAAAAAAIdO4kAAAAAAAAAAAAAAAAAEAAAAZHJzL1BLAwQUAAAACACHTuJAjXrZoNwAAAAL&#10;AQAADwAAAGRycy9kb3ducmV2LnhtbE2PTU/DMAyG70j8h8hI3Fiy0k1daTqhShMSgsPGLtzcJmsr&#10;Gqc02Qf8eswJbrb86PXzFuuLG8TJTqH3pGE+UyAsNd701GrYv23uMhAhIhkcPFkNXzbAury+KjA3&#10;/kxbe9rFVnAIhRw1dDGOuZSh6azDMPOjJb4d/OQw8jq10kx45nA3yESppXTYE3/ocLRVZ5uP3dFp&#10;eK42r7itE5d9D9XTy+Fx/Ny/L7S+vZmrBxDRXuIfDL/6rA4lO9X+SCaIQUOyWKWM8rBUKxBMpCrl&#10;drWGe5VmIMtC/u9Q/gBQSwMEFAAAAAgAh07iQE6KdpE8AgAAZwQAAA4AAABkcnMvZTJvRG9jLnht&#10;bK1UwU4bMRC9V+o/WL6XTdIAIWKDUhBVJVSQaNWz4/WyK9ke13bYpR/Q/gGnXnrvd/EdffYmAdEe&#10;OPTijGdm3/i9mcnxSW80u1U+tGRLPt4bcaaspKq1NyX//On8zYyzEIWthCarSn6nAj9ZvH513Lm5&#10;mlBDulKeAcSGeedK3sTo5kURZKOMCHvklEWwJm9ExNXfFJUXHdCNLiaj0UHRka+cJ6lCgPdsCPIN&#10;on8JINV1K9UZybVRNg6oXmkRQSk0rQt8kV9b10rGy7oOKjJdcjCN+UQR2Kt0FotjMb/xwjWt3DxB&#10;vOQJzzgZ0VoU3UGdiSjY2rd/QZlWegpUxz1JphiIZEXAYjx6ps11I5zKXCB1cDvRw/+DlR9vrzxr&#10;K0zClDMrDDr+cP/j4efvh1/fGXwQqHNhjrxrh8zYv6MeyVt/gDPx7mtv0i8YMcQh791OXtVHJuE8&#10;Gs8mY0QkQpPD2eHBfkIpHj92PsT3igxLRsk9updFFbcXIQ6p25RUy9J5q3XuoLasK/nB2/1R/mAX&#10;Abi2qJEoDE9NVuxX/YbXiqo70PI0TEZw8rxF8QsR4pXwGAW8F8sSL3HUmlCENhZnDflv//KnfHQI&#10;Uc46jFbJw9e18Ioz/cGid0fj6RSwMV+m+4cTXPzTyOppxK7NKWF6x1hLJ7OZ8qPemrUn8wU7tUxV&#10;ERJWonbJ49Y8jcPAYyelWi5zEqbPiXhhr51M0IOcy3Wkus1KJ5kGbTbqYf5yrza7kgb86T1nPf4/&#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XrZoNwAAAALAQAADwAAAAAAAAABACAAAAAiAAAA&#10;ZHJzL2Rvd25yZXYueG1sUEsBAhQAFAAAAAgAh07iQE6KdpE8AgAAZwQAAA4AAAAAAAAAAQAgAAAA&#10;KwEAAGRycy9lMm9Eb2MueG1sUEsFBgAAAAAGAAYAWQEAANkFAAAAAA==&#10;">
                      <v:fill on="f" focussize="0,0"/>
                      <v:stroke on="f" weight="0.5pt"/>
                      <v:imagedata o:title=""/>
                      <o:lock v:ext="edit" aspectratio="f"/>
                      <v:textbox>
                        <w:txbxContent>
                          <w:p w14:paraId="079B8516">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color w:val="FFFF00"/>
                                <w:lang w:val="en-US" w:eastAsia="zh-CN"/>
                              </w:rPr>
                            </w:pPr>
                            <w:r>
                              <w:rPr>
                                <w:rFonts w:hint="eastAsia"/>
                                <w:color w:val="FFFF00"/>
                                <w:lang w:val="en-US" w:eastAsia="zh-CN"/>
                              </w:rPr>
                              <w:t>2024.10.12</w:t>
                            </w:r>
                          </w:p>
                        </w:txbxContent>
                      </v:textbox>
                    </v:shape>
                  </w:pict>
                </mc:Fallback>
              </mc:AlternateContent>
            </w:r>
            <w:r>
              <w:rPr>
                <w:rFonts w:hint="default" w:ascii="Times New Roman" w:hAnsi="Times New Roman" w:eastAsia="宋体" w:cs="Times New Roman"/>
                <w:color w:val="auto"/>
                <w:lang w:eastAsia="zh-CN"/>
              </w:rPr>
              <w:drawing>
                <wp:inline distT="0" distB="0" distL="114300" distR="114300">
                  <wp:extent cx="2548890" cy="1911985"/>
                  <wp:effectExtent l="0" t="0" r="3810" b="12065"/>
                  <wp:docPr id="15" name="图片 15" descr="IMG_20241012_09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1012_093346"/>
                          <pic:cNvPicPr>
                            <a:picLocks noChangeAspect="1"/>
                          </pic:cNvPicPr>
                        </pic:nvPicPr>
                        <pic:blipFill>
                          <a:blip r:embed="rId12"/>
                          <a:stretch>
                            <a:fillRect/>
                          </a:stretch>
                        </pic:blipFill>
                        <pic:spPr>
                          <a:xfrm>
                            <a:off x="0" y="0"/>
                            <a:ext cx="2548890" cy="1911985"/>
                          </a:xfrm>
                          <a:prstGeom prst="rect">
                            <a:avLst/>
                          </a:prstGeom>
                        </pic:spPr>
                      </pic:pic>
                    </a:graphicData>
                  </a:graphic>
                </wp:inline>
              </w:drawing>
            </w:r>
          </w:p>
        </w:tc>
        <w:tc>
          <w:tcPr>
            <w:tcW w:w="4261" w:type="dxa"/>
            <w:vAlign w:val="center"/>
          </w:tcPr>
          <w:p w14:paraId="02B39B19">
            <w:pPr>
              <w:pStyle w:val="14"/>
              <w:widowControl w:val="0"/>
              <w:bidi w:val="0"/>
              <w:rPr>
                <w:rFonts w:hint="default" w:ascii="Times New Roman" w:hAnsi="Times New Roman" w:eastAsia="宋体" w:cs="Times New Roman"/>
                <w:color w:val="auto"/>
                <w:lang w:eastAsia="zh-CN"/>
              </w:rPr>
            </w:pP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1642745</wp:posOffset>
                      </wp:positionH>
                      <wp:positionV relativeFrom="paragraph">
                        <wp:posOffset>1670050</wp:posOffset>
                      </wp:positionV>
                      <wp:extent cx="918210" cy="27876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918210"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7261A8">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color w:val="FFFF00"/>
                                      <w:lang w:val="en-US" w:eastAsia="zh-CN"/>
                                    </w:rPr>
                                  </w:pPr>
                                  <w:r>
                                    <w:rPr>
                                      <w:rFonts w:hint="eastAsia"/>
                                      <w:color w:val="FFFF00"/>
                                      <w:lang w:val="en-US" w:eastAsia="zh-CN"/>
                                    </w:rPr>
                                    <w:t>2024.10.12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35pt;margin-top:131.5pt;height:21.95pt;width:72.3pt;z-index:251664384;mso-width-relative:page;mso-height-relative:page;" filled="f" stroked="f" coordsize="21600,21600" o:gfxdata="UEsDBAoAAAAAAIdO4kAAAAAAAAAAAAAAAAAEAAAAZHJzL1BLAwQUAAAACACHTuJAFZ/QtdwAAAAL&#10;AQAADwAAAGRycy9kb3ducmV2LnhtbE2Py07DMBBF90j8gzVI7KjdhIY0jVOhSBUSgkVLN+yc2E0i&#10;7HGI3Qd8PcMKdjOaozvnluuLs+xkpjB4lDCfCWAGW68H7CTs3zZ3ObAQFWplPRoJXybAurq+KlWh&#10;/Rm35rSLHaMQDIWS0Mc4FpyHtjdOhZkfDdLt4CenIq1Tx/WkzhTuLE+EyLhTA9KHXo2m7k37sTs6&#10;Cc/15lVtm8Tl37Z+ejk8jp/794WUtzdzsQIWzSX+wfCrT+pQkVPjj6gDsxKSRf5AKA1ZSqWIuBdp&#10;CqyRkIpsCbwq+f8O1Q9QSwMEFAAAAAgAh07iQLtygZs8AgAAZwQAAA4AAABkcnMvZTJvRG9jLnht&#10;bK1UwU4bMRC9V+o/WL6XTVIIIWKDUhBVJVSQaNWz4/WyK9ke13bYpR/Q/gGnXnrvd/EdffYmAdEe&#10;OPTijGdm3/i9mcnxSW80u1U+tGRLPt4bcaaspKq1NyX//On8zYyzEIWthCarSn6nAj9ZvH513Lm5&#10;mlBDulKeAcSGeedK3sTo5kURZKOMCHvklEWwJm9ExNXfFJUXHdCNLiaj0bToyFfOk1QhwHs2BPkG&#10;0b8EkOq6leqM5NooGwdUr7SIoBSa1gW+yK+tayXjZV0HFZkuOZjGfKII7FU6i8WxmN944ZpWbp4g&#10;XvKEZ5yMaC2K7qDORBRs7du/oEwrPQWq454kUwxEsiJgMR490+a6EU5lLpA6uJ3o4f/Byo+3V561&#10;FSZhypkVBh1/uP/x8PP3w6/vDD4I1LkwR961Q2bs31GP5K0/wJl497U36ReMGOKQ924nr+ojk3Ae&#10;jWeTMSISocnh7HB6kFCKx4+dD/G9IsOSUXKP7mVRxe1FiEPqNiXVsnTeap07qC3rSj59ezDKH+wi&#10;ANcWNRKF4anJiv2q3/BaUXUHWp6GyQhOnrcofiFCvBIeo4D3YlniJY5aE4rQxuKsIf/tX/6Ujw4h&#10;ylmH0Sp5+LoWXnGmP1j07mi8vw/YmC/7B4cTXPzTyOppxK7NKWF6x1hLJ7OZ8qPemrUn8wU7tUxV&#10;ERJWonbJ49Y8jcPAYyelWi5zEqbPiXhhr51M0IOcy3Wkus1KJ5kGbTbqYf5yrza7kgb86T1nPf4/&#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Z/QtdwAAAALAQAADwAAAAAAAAABACAAAAAiAAAA&#10;ZHJzL2Rvd25yZXYueG1sUEsBAhQAFAAAAAgAh07iQLtygZs8AgAAZwQAAA4AAAAAAAAAAQAgAAAA&#10;KwEAAGRycy9lMm9Eb2MueG1sUEsFBgAAAAAGAAYAWQEAANkFAAAAAA==&#10;">
                      <v:fill on="f" focussize="0,0"/>
                      <v:stroke on="f" weight="0.5pt"/>
                      <v:imagedata o:title=""/>
                      <o:lock v:ext="edit" aspectratio="f"/>
                      <v:textbox>
                        <w:txbxContent>
                          <w:p w14:paraId="347261A8">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color w:val="FFFF00"/>
                                <w:lang w:val="en-US" w:eastAsia="zh-CN"/>
                              </w:rPr>
                            </w:pPr>
                            <w:r>
                              <w:rPr>
                                <w:rFonts w:hint="eastAsia"/>
                                <w:color w:val="FFFF00"/>
                                <w:lang w:val="en-US" w:eastAsia="zh-CN"/>
                              </w:rPr>
                              <w:t>2024.10.12</w:t>
                            </w:r>
                          </w:p>
                        </w:txbxContent>
                      </v:textbox>
                    </v:shape>
                  </w:pict>
                </mc:Fallback>
              </mc:AlternateContent>
            </w:r>
            <w:r>
              <w:rPr>
                <w:rFonts w:hint="default" w:ascii="Times New Roman" w:hAnsi="Times New Roman" w:eastAsia="宋体" w:cs="Times New Roman"/>
                <w:color w:val="auto"/>
                <w:lang w:eastAsia="zh-CN"/>
              </w:rPr>
              <w:drawing>
                <wp:inline distT="0" distB="0" distL="114300" distR="114300">
                  <wp:extent cx="2548890" cy="1911985"/>
                  <wp:effectExtent l="0" t="0" r="3810" b="12065"/>
                  <wp:docPr id="12" name="图片 12" descr="IMG_20241012_09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012_093617"/>
                          <pic:cNvPicPr>
                            <a:picLocks noChangeAspect="1"/>
                          </pic:cNvPicPr>
                        </pic:nvPicPr>
                        <pic:blipFill>
                          <a:blip r:embed="rId13"/>
                          <a:stretch>
                            <a:fillRect/>
                          </a:stretch>
                        </pic:blipFill>
                        <pic:spPr>
                          <a:xfrm>
                            <a:off x="0" y="0"/>
                            <a:ext cx="2548890" cy="1911985"/>
                          </a:xfrm>
                          <a:prstGeom prst="rect">
                            <a:avLst/>
                          </a:prstGeom>
                        </pic:spPr>
                      </pic:pic>
                    </a:graphicData>
                  </a:graphic>
                </wp:inline>
              </w:drawing>
            </w:r>
          </w:p>
        </w:tc>
      </w:tr>
      <w:tr w14:paraId="4FA7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1" w:type="dxa"/>
            <w:vAlign w:val="center"/>
          </w:tcPr>
          <w:p w14:paraId="296DA4E2">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周围闲置厂房</w:t>
            </w:r>
          </w:p>
        </w:tc>
        <w:tc>
          <w:tcPr>
            <w:tcW w:w="4261" w:type="dxa"/>
            <w:vAlign w:val="center"/>
          </w:tcPr>
          <w:p w14:paraId="317C4BAA">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西南侧云南帕啦美娜工艺品有限公司</w:t>
            </w:r>
          </w:p>
        </w:tc>
      </w:tr>
    </w:tbl>
    <w:p w14:paraId="4848D9A6">
      <w:pPr>
        <w:rPr>
          <w:rFonts w:hint="default" w:ascii="Times New Roman" w:hAnsi="Times New Roman" w:cs="Times New Roman"/>
          <w:color w:val="auto"/>
        </w:rPr>
      </w:pPr>
    </w:p>
    <w:p w14:paraId="3542F1D9">
      <w:pPr>
        <w:rPr>
          <w:rFonts w:hint="default" w:ascii="Times New Roman" w:hAnsi="Times New Roman" w:cs="Times New Roman"/>
          <w:color w:val="auto"/>
        </w:rPr>
        <w:sectPr>
          <w:pgSz w:w="11906" w:h="16838"/>
          <w:pgMar w:top="1440" w:right="1800" w:bottom="1440" w:left="1800" w:header="851" w:footer="992" w:gutter="0"/>
          <w:cols w:space="425" w:num="1"/>
          <w:docGrid w:type="lines" w:linePitch="312" w:charSpace="0"/>
        </w:sectPr>
      </w:pPr>
    </w:p>
    <w:p w14:paraId="26665516">
      <w:pPr>
        <w:tabs>
          <w:tab w:val="right" w:leader="dot" w:pos="8306"/>
        </w:tabs>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目录</w:t>
      </w:r>
    </w:p>
    <w:p w14:paraId="1C9CBD3C">
      <w:pPr>
        <w:tabs>
          <w:tab w:val="right" w:leader="dot" w:pos="8306"/>
        </w:tabs>
        <w:rPr>
          <w:rFonts w:hint="default" w:ascii="Times New Roman" w:hAnsi="Times New Roman" w:cs="Times New Roman"/>
          <w:color w:val="auto"/>
        </w:rPr>
      </w:pPr>
      <w:r>
        <w:rPr>
          <w:rFonts w:hint="default" w:ascii="Times New Roman" w:hAnsi="Times New Roman" w:cs="Times New Roman"/>
          <w:b/>
          <w:bCs/>
          <w:color w:val="auto"/>
          <w:lang w:val="en-US" w:eastAsia="zh-CN"/>
        </w:rPr>
        <w:fldChar w:fldCharType="begin"/>
      </w:r>
      <w:r>
        <w:rPr>
          <w:rFonts w:hint="default" w:ascii="Times New Roman" w:hAnsi="Times New Roman" w:cs="Times New Roman"/>
          <w:b/>
          <w:bCs/>
          <w:color w:val="auto"/>
          <w:lang w:val="en-US" w:eastAsia="zh-CN"/>
        </w:rPr>
        <w:instrText xml:space="preserve">TOC \o "1-1" \h \u </w:instrText>
      </w:r>
      <w:r>
        <w:rPr>
          <w:rFonts w:hint="default" w:ascii="Times New Roman" w:hAnsi="Times New Roman" w:cs="Times New Roman"/>
          <w:b/>
          <w:bCs/>
          <w:color w:val="auto"/>
          <w:lang w:val="en-US" w:eastAsia="zh-CN"/>
        </w:rPr>
        <w:fldChar w:fldCharType="separate"/>
      </w:r>
      <w:r>
        <w:rPr>
          <w:rFonts w:hint="default" w:ascii="Times New Roman" w:hAnsi="Times New Roman" w:cs="Times New Roman"/>
          <w:bCs/>
          <w:color w:val="auto"/>
          <w:lang w:val="en-US" w:eastAsia="zh-CN"/>
        </w:rPr>
        <w:fldChar w:fldCharType="begin"/>
      </w:r>
      <w:r>
        <w:rPr>
          <w:rFonts w:hint="default" w:ascii="Times New Roman" w:hAnsi="Times New Roman" w:cs="Times New Roman"/>
          <w:bCs/>
          <w:color w:val="auto"/>
          <w:lang w:val="en-US" w:eastAsia="zh-CN"/>
        </w:rPr>
        <w:instrText xml:space="preserve"> HYPERLINK \l _Toc20199 </w:instrText>
      </w:r>
      <w:r>
        <w:rPr>
          <w:rFonts w:hint="default" w:ascii="Times New Roman" w:hAnsi="Times New Roman" w:cs="Times New Roman"/>
          <w:bCs/>
          <w:color w:val="auto"/>
          <w:lang w:val="en-US" w:eastAsia="zh-CN"/>
        </w:rPr>
        <w:fldChar w:fldCharType="separate"/>
      </w:r>
      <w:r>
        <w:rPr>
          <w:rFonts w:hint="default" w:ascii="Times New Roman" w:hAnsi="Times New Roman" w:cs="Times New Roman"/>
          <w:color w:val="auto"/>
          <w:lang w:val="en-US" w:eastAsia="zh-CN"/>
        </w:rPr>
        <w:t>一、建设项目基本情况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_Toc20199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bCs/>
          <w:color w:val="auto"/>
          <w:lang w:val="en-US" w:eastAsia="zh-CN"/>
        </w:rPr>
        <w:fldChar w:fldCharType="end"/>
      </w:r>
    </w:p>
    <w:p w14:paraId="752988CD">
      <w:pPr>
        <w:tabs>
          <w:tab w:val="right" w:leader="dot" w:pos="8306"/>
        </w:tabs>
        <w:rPr>
          <w:rFonts w:hint="default" w:ascii="Times New Roman" w:hAnsi="Times New Roman" w:cs="Times New Roman"/>
          <w:color w:val="auto"/>
        </w:rPr>
      </w:pPr>
      <w:r>
        <w:rPr>
          <w:rFonts w:hint="default" w:ascii="Times New Roman" w:hAnsi="Times New Roman" w:cs="Times New Roman"/>
          <w:bCs/>
          <w:color w:val="auto"/>
          <w:lang w:val="en-US" w:eastAsia="zh-CN"/>
        </w:rPr>
        <w:fldChar w:fldCharType="begin"/>
      </w:r>
      <w:r>
        <w:rPr>
          <w:rFonts w:hint="default" w:ascii="Times New Roman" w:hAnsi="Times New Roman" w:cs="Times New Roman"/>
          <w:bCs/>
          <w:color w:val="auto"/>
          <w:lang w:val="en-US" w:eastAsia="zh-CN"/>
        </w:rPr>
        <w:instrText xml:space="preserve"> HYPERLINK \l _Toc9390 </w:instrText>
      </w:r>
      <w:r>
        <w:rPr>
          <w:rFonts w:hint="default" w:ascii="Times New Roman" w:hAnsi="Times New Roman" w:cs="Times New Roman"/>
          <w:bCs/>
          <w:color w:val="auto"/>
          <w:lang w:val="en-US" w:eastAsia="zh-CN"/>
        </w:rPr>
        <w:fldChar w:fldCharType="separate"/>
      </w:r>
      <w:r>
        <w:rPr>
          <w:rFonts w:hint="default" w:ascii="Times New Roman" w:hAnsi="Times New Roman" w:cs="Times New Roman"/>
          <w:color w:val="auto"/>
          <w:lang w:val="en-US" w:eastAsia="zh-CN"/>
        </w:rPr>
        <w:t>二、建设项目工程分析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_Toc9390 \h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bCs/>
          <w:color w:val="auto"/>
          <w:lang w:val="en-US" w:eastAsia="zh-CN"/>
        </w:rPr>
        <w:fldChar w:fldCharType="end"/>
      </w:r>
    </w:p>
    <w:p w14:paraId="20E48463">
      <w:pPr>
        <w:tabs>
          <w:tab w:val="right" w:leader="dot" w:pos="8306"/>
        </w:tabs>
        <w:rPr>
          <w:rFonts w:hint="default" w:ascii="Times New Roman" w:hAnsi="Times New Roman" w:cs="Times New Roman"/>
          <w:color w:val="auto"/>
        </w:rPr>
      </w:pPr>
      <w:r>
        <w:rPr>
          <w:rFonts w:hint="default" w:ascii="Times New Roman" w:hAnsi="Times New Roman" w:cs="Times New Roman"/>
          <w:bCs/>
          <w:color w:val="auto"/>
          <w:lang w:val="en-US" w:eastAsia="zh-CN"/>
        </w:rPr>
        <w:fldChar w:fldCharType="begin"/>
      </w:r>
      <w:r>
        <w:rPr>
          <w:rFonts w:hint="default" w:ascii="Times New Roman" w:hAnsi="Times New Roman" w:cs="Times New Roman"/>
          <w:bCs/>
          <w:color w:val="auto"/>
          <w:lang w:val="en-US" w:eastAsia="zh-CN"/>
        </w:rPr>
        <w:instrText xml:space="preserve"> HYPERLINK \l _Toc29908 </w:instrText>
      </w:r>
      <w:r>
        <w:rPr>
          <w:rFonts w:hint="default" w:ascii="Times New Roman" w:hAnsi="Times New Roman" w:cs="Times New Roman"/>
          <w:bCs/>
          <w:color w:val="auto"/>
          <w:lang w:val="en-US" w:eastAsia="zh-CN"/>
        </w:rPr>
        <w:fldChar w:fldCharType="separate"/>
      </w:r>
      <w:r>
        <w:rPr>
          <w:rFonts w:hint="default" w:ascii="Times New Roman" w:hAnsi="Times New Roman" w:cs="Times New Roman"/>
          <w:color w:val="auto"/>
          <w:lang w:val="en-US" w:eastAsia="zh-CN"/>
        </w:rPr>
        <w:t>三、区域环境质量现状、环境保护目标及评价标准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_Toc29908 \h </w:instrText>
      </w:r>
      <w:r>
        <w:rPr>
          <w:rFonts w:hint="default" w:ascii="Times New Roman" w:hAnsi="Times New Roman" w:cs="Times New Roman"/>
          <w:color w:val="auto"/>
        </w:rPr>
        <w:fldChar w:fldCharType="separate"/>
      </w:r>
      <w:r>
        <w:rPr>
          <w:rFonts w:hint="default" w:ascii="Times New Roman" w:hAnsi="Times New Roman" w:cs="Times New Roman"/>
          <w:color w:val="auto"/>
        </w:rPr>
        <w:t>34</w:t>
      </w:r>
      <w:r>
        <w:rPr>
          <w:rFonts w:hint="default" w:ascii="Times New Roman" w:hAnsi="Times New Roman" w:cs="Times New Roman"/>
          <w:color w:val="auto"/>
        </w:rPr>
        <w:fldChar w:fldCharType="end"/>
      </w:r>
      <w:r>
        <w:rPr>
          <w:rFonts w:hint="default" w:ascii="Times New Roman" w:hAnsi="Times New Roman" w:cs="Times New Roman"/>
          <w:bCs/>
          <w:color w:val="auto"/>
          <w:lang w:val="en-US" w:eastAsia="zh-CN"/>
        </w:rPr>
        <w:fldChar w:fldCharType="end"/>
      </w:r>
    </w:p>
    <w:p w14:paraId="3477449C">
      <w:pPr>
        <w:tabs>
          <w:tab w:val="right" w:leader="dot" w:pos="8306"/>
        </w:tabs>
        <w:rPr>
          <w:rFonts w:hint="default" w:ascii="Times New Roman" w:hAnsi="Times New Roman" w:cs="Times New Roman"/>
          <w:color w:val="auto"/>
        </w:rPr>
      </w:pPr>
      <w:r>
        <w:rPr>
          <w:rFonts w:hint="default" w:ascii="Times New Roman" w:hAnsi="Times New Roman" w:cs="Times New Roman"/>
          <w:bCs/>
          <w:color w:val="auto"/>
          <w:lang w:val="en-US" w:eastAsia="zh-CN"/>
        </w:rPr>
        <w:fldChar w:fldCharType="begin"/>
      </w:r>
      <w:r>
        <w:rPr>
          <w:rFonts w:hint="default" w:ascii="Times New Roman" w:hAnsi="Times New Roman" w:cs="Times New Roman"/>
          <w:bCs/>
          <w:color w:val="auto"/>
          <w:lang w:val="en-US" w:eastAsia="zh-CN"/>
        </w:rPr>
        <w:instrText xml:space="preserve"> HYPERLINK \l _Toc6685 </w:instrText>
      </w:r>
      <w:r>
        <w:rPr>
          <w:rFonts w:hint="default" w:ascii="Times New Roman" w:hAnsi="Times New Roman" w:cs="Times New Roman"/>
          <w:bCs/>
          <w:color w:val="auto"/>
          <w:lang w:val="en-US" w:eastAsia="zh-CN"/>
        </w:rPr>
        <w:fldChar w:fldCharType="separate"/>
      </w:r>
      <w:r>
        <w:rPr>
          <w:rFonts w:hint="default" w:ascii="Times New Roman" w:hAnsi="Times New Roman" w:cs="Times New Roman"/>
          <w:color w:val="auto"/>
          <w:lang w:val="en-US" w:eastAsia="zh-CN"/>
        </w:rPr>
        <w:t>四、主要环境影响和保护措施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_Toc6685 \h </w:instrText>
      </w:r>
      <w:r>
        <w:rPr>
          <w:rFonts w:hint="default" w:ascii="Times New Roman" w:hAnsi="Times New Roman" w:cs="Times New Roman"/>
          <w:color w:val="auto"/>
        </w:rPr>
        <w:fldChar w:fldCharType="separate"/>
      </w:r>
      <w:r>
        <w:rPr>
          <w:rFonts w:hint="default" w:ascii="Times New Roman" w:hAnsi="Times New Roman" w:cs="Times New Roman"/>
          <w:color w:val="auto"/>
        </w:rPr>
        <w:t>40</w:t>
      </w:r>
      <w:r>
        <w:rPr>
          <w:rFonts w:hint="default" w:ascii="Times New Roman" w:hAnsi="Times New Roman" w:cs="Times New Roman"/>
          <w:color w:val="auto"/>
        </w:rPr>
        <w:fldChar w:fldCharType="end"/>
      </w:r>
      <w:r>
        <w:rPr>
          <w:rFonts w:hint="default" w:ascii="Times New Roman" w:hAnsi="Times New Roman" w:cs="Times New Roman"/>
          <w:bCs/>
          <w:color w:val="auto"/>
          <w:lang w:val="en-US" w:eastAsia="zh-CN"/>
        </w:rPr>
        <w:fldChar w:fldCharType="end"/>
      </w:r>
    </w:p>
    <w:p w14:paraId="5252E3D7">
      <w:pPr>
        <w:tabs>
          <w:tab w:val="right" w:leader="dot" w:pos="8306"/>
        </w:tabs>
        <w:rPr>
          <w:rFonts w:hint="default" w:ascii="Times New Roman" w:hAnsi="Times New Roman" w:cs="Times New Roman"/>
          <w:color w:val="auto"/>
        </w:rPr>
      </w:pPr>
      <w:r>
        <w:rPr>
          <w:rFonts w:hint="default" w:ascii="Times New Roman" w:hAnsi="Times New Roman" w:cs="Times New Roman"/>
          <w:bCs/>
          <w:color w:val="auto"/>
          <w:lang w:val="en-US" w:eastAsia="zh-CN"/>
        </w:rPr>
        <w:fldChar w:fldCharType="begin"/>
      </w:r>
      <w:r>
        <w:rPr>
          <w:rFonts w:hint="default" w:ascii="Times New Roman" w:hAnsi="Times New Roman" w:cs="Times New Roman"/>
          <w:bCs/>
          <w:color w:val="auto"/>
          <w:lang w:val="en-US" w:eastAsia="zh-CN"/>
        </w:rPr>
        <w:instrText xml:space="preserve"> HYPERLINK \l _Toc2693 </w:instrText>
      </w:r>
      <w:r>
        <w:rPr>
          <w:rFonts w:hint="default" w:ascii="Times New Roman" w:hAnsi="Times New Roman" w:cs="Times New Roman"/>
          <w:bCs/>
          <w:color w:val="auto"/>
          <w:lang w:val="en-US" w:eastAsia="zh-CN"/>
        </w:rPr>
        <w:fldChar w:fldCharType="separate"/>
      </w:r>
      <w:r>
        <w:rPr>
          <w:rFonts w:hint="default" w:ascii="Times New Roman" w:hAnsi="Times New Roman" w:cs="Times New Roman"/>
          <w:color w:val="auto"/>
          <w:lang w:val="en-US" w:eastAsia="zh-CN"/>
        </w:rPr>
        <w:t>五、环境保护措施监督检查清单</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_Toc2693 \h </w:instrText>
      </w:r>
      <w:r>
        <w:rPr>
          <w:rFonts w:hint="default" w:ascii="Times New Roman" w:hAnsi="Times New Roman" w:cs="Times New Roman"/>
          <w:color w:val="auto"/>
        </w:rPr>
        <w:fldChar w:fldCharType="separate"/>
      </w:r>
      <w:r>
        <w:rPr>
          <w:rFonts w:hint="default" w:ascii="Times New Roman" w:hAnsi="Times New Roman" w:cs="Times New Roman"/>
          <w:color w:val="auto"/>
        </w:rPr>
        <w:t>73</w:t>
      </w:r>
      <w:r>
        <w:rPr>
          <w:rFonts w:hint="default" w:ascii="Times New Roman" w:hAnsi="Times New Roman" w:cs="Times New Roman"/>
          <w:color w:val="auto"/>
        </w:rPr>
        <w:fldChar w:fldCharType="end"/>
      </w:r>
      <w:r>
        <w:rPr>
          <w:rFonts w:hint="default" w:ascii="Times New Roman" w:hAnsi="Times New Roman" w:cs="Times New Roman"/>
          <w:bCs/>
          <w:color w:val="auto"/>
          <w:lang w:val="en-US" w:eastAsia="zh-CN"/>
        </w:rPr>
        <w:fldChar w:fldCharType="end"/>
      </w:r>
    </w:p>
    <w:p w14:paraId="7EEA5F55">
      <w:pPr>
        <w:tabs>
          <w:tab w:val="right" w:leader="dot" w:pos="8306"/>
        </w:tabs>
        <w:rPr>
          <w:rFonts w:hint="default" w:ascii="Times New Roman" w:hAnsi="Times New Roman" w:cs="Times New Roman"/>
          <w:color w:val="auto"/>
        </w:rPr>
      </w:pPr>
      <w:r>
        <w:rPr>
          <w:rFonts w:hint="default" w:ascii="Times New Roman" w:hAnsi="Times New Roman" w:cs="Times New Roman"/>
          <w:bCs/>
          <w:color w:val="auto"/>
          <w:lang w:val="en-US" w:eastAsia="zh-CN"/>
        </w:rPr>
        <w:fldChar w:fldCharType="begin"/>
      </w:r>
      <w:r>
        <w:rPr>
          <w:rFonts w:hint="default" w:ascii="Times New Roman" w:hAnsi="Times New Roman" w:cs="Times New Roman"/>
          <w:bCs/>
          <w:color w:val="auto"/>
          <w:lang w:val="en-US" w:eastAsia="zh-CN"/>
        </w:rPr>
        <w:instrText xml:space="preserve"> HYPERLINK \l _Toc29747 </w:instrText>
      </w:r>
      <w:r>
        <w:rPr>
          <w:rFonts w:hint="default" w:ascii="Times New Roman" w:hAnsi="Times New Roman" w:cs="Times New Roman"/>
          <w:bCs/>
          <w:color w:val="auto"/>
          <w:lang w:val="en-US" w:eastAsia="zh-CN"/>
        </w:rPr>
        <w:fldChar w:fldCharType="separate"/>
      </w:r>
      <w:r>
        <w:rPr>
          <w:rFonts w:hint="default" w:ascii="Times New Roman" w:hAnsi="Times New Roman" w:cs="Times New Roman"/>
          <w:color w:val="auto"/>
          <w:lang w:val="en-US" w:eastAsia="zh-CN"/>
        </w:rPr>
        <w:t>六、结论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_Toc29747 \h </w:instrText>
      </w:r>
      <w:r>
        <w:rPr>
          <w:rFonts w:hint="default" w:ascii="Times New Roman" w:hAnsi="Times New Roman" w:cs="Times New Roman"/>
          <w:color w:val="auto"/>
        </w:rPr>
        <w:fldChar w:fldCharType="separate"/>
      </w:r>
      <w:r>
        <w:rPr>
          <w:rFonts w:hint="default" w:ascii="Times New Roman" w:hAnsi="Times New Roman" w:cs="Times New Roman"/>
          <w:color w:val="auto"/>
        </w:rPr>
        <w:t>76</w:t>
      </w:r>
      <w:r>
        <w:rPr>
          <w:rFonts w:hint="default" w:ascii="Times New Roman" w:hAnsi="Times New Roman" w:cs="Times New Roman"/>
          <w:color w:val="auto"/>
        </w:rPr>
        <w:fldChar w:fldCharType="end"/>
      </w:r>
      <w:r>
        <w:rPr>
          <w:rFonts w:hint="default" w:ascii="Times New Roman" w:hAnsi="Times New Roman" w:cs="Times New Roman"/>
          <w:bCs/>
          <w:color w:val="auto"/>
          <w:lang w:val="en-US" w:eastAsia="zh-CN"/>
        </w:rPr>
        <w:fldChar w:fldCharType="end"/>
      </w:r>
    </w:p>
    <w:p w14:paraId="07ED33ED">
      <w:pPr>
        <w:bidi w:val="0"/>
        <w:rPr>
          <w:rFonts w:hint="default" w:ascii="Times New Roman" w:hAnsi="Times New Roman" w:cs="Times New Roman"/>
          <w:b/>
          <w:bCs/>
          <w:color w:val="auto"/>
          <w:lang w:val="en-US" w:eastAsia="zh-CN"/>
        </w:rPr>
      </w:pPr>
      <w:r>
        <w:rPr>
          <w:rFonts w:hint="default" w:ascii="Times New Roman" w:hAnsi="Times New Roman" w:cs="Times New Roman"/>
          <w:bCs/>
          <w:color w:val="auto"/>
          <w:lang w:val="en-US" w:eastAsia="zh-CN"/>
        </w:rPr>
        <w:fldChar w:fldCharType="end"/>
      </w:r>
      <w:r>
        <w:rPr>
          <w:rFonts w:hint="default" w:ascii="Times New Roman" w:hAnsi="Times New Roman" w:cs="Times New Roman"/>
          <w:b/>
          <w:bCs/>
          <w:color w:val="auto"/>
          <w:lang w:val="en-US" w:eastAsia="zh-CN"/>
        </w:rPr>
        <w:t>附表：</w:t>
      </w:r>
    </w:p>
    <w:p w14:paraId="1E62AEDB">
      <w:pP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建设项目污染物排放量汇总表</w:t>
      </w:r>
    </w:p>
    <w:p w14:paraId="4189CB2E">
      <w:pP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附件：</w:t>
      </w:r>
    </w:p>
    <w:p w14:paraId="7F24C68F">
      <w:pPr>
        <w:rPr>
          <w:rFonts w:hint="default" w:ascii="Times New Roman" w:hAnsi="Times New Roman" w:cs="Times New Roman"/>
          <w:color w:val="auto"/>
          <w:lang w:val="en-US" w:eastAsia="zh-CN"/>
        </w:rPr>
      </w:pPr>
      <w:r>
        <w:rPr>
          <w:rFonts w:hint="eastAsia" w:cs="Times New Roman"/>
          <w:color w:val="auto"/>
          <w:lang w:val="en-US" w:eastAsia="zh-CN"/>
        </w:rPr>
        <w:t xml:space="preserve">附件1 </w:t>
      </w:r>
      <w:r>
        <w:rPr>
          <w:rFonts w:hint="default" w:ascii="Times New Roman" w:hAnsi="Times New Roman" w:cs="Times New Roman"/>
          <w:color w:val="auto"/>
          <w:lang w:val="en-US" w:eastAsia="zh-CN"/>
        </w:rPr>
        <w:t>《云南吉步商贸有限公司澄江吉步轻奢环保家具城厂房标准化建设项目》专家评审意见</w:t>
      </w:r>
      <w:r>
        <w:rPr>
          <w:rFonts w:hint="eastAsia" w:cs="Times New Roman"/>
          <w:color w:val="auto"/>
          <w:lang w:val="en-US" w:eastAsia="zh-CN"/>
        </w:rPr>
        <w:t>及修改对照表</w:t>
      </w:r>
    </w:p>
    <w:p w14:paraId="261D4514">
      <w:pPr>
        <w:rPr>
          <w:rFonts w:hint="default" w:ascii="Times New Roman" w:hAnsi="Times New Roman" w:cs="Times New Roman"/>
          <w:color w:val="auto"/>
          <w:lang w:val="en-US" w:eastAsia="zh-CN"/>
        </w:rPr>
      </w:pPr>
      <w:r>
        <w:rPr>
          <w:rFonts w:hint="eastAsia" w:cs="Times New Roman"/>
          <w:color w:val="auto"/>
          <w:lang w:val="en-US" w:eastAsia="zh-CN"/>
        </w:rPr>
        <w:t xml:space="preserve">附件2 </w:t>
      </w:r>
      <w:r>
        <w:rPr>
          <w:rFonts w:hint="default" w:ascii="Times New Roman" w:hAnsi="Times New Roman" w:cs="Times New Roman"/>
          <w:color w:val="auto"/>
          <w:lang w:val="en-US" w:eastAsia="zh-CN"/>
        </w:rPr>
        <w:t>《云南吉步商贸有限公司澄江吉步轻奢环保家具城厂房标准化建设项目》专家</w:t>
      </w:r>
      <w:r>
        <w:rPr>
          <w:rFonts w:hint="eastAsia" w:cs="Times New Roman"/>
          <w:color w:val="auto"/>
          <w:lang w:val="en-US" w:eastAsia="zh-CN"/>
        </w:rPr>
        <w:t>签到表</w:t>
      </w:r>
    </w:p>
    <w:p w14:paraId="2FEF3D9D">
      <w:pPr>
        <w:rPr>
          <w:rFonts w:hint="default" w:ascii="Times New Roman" w:hAnsi="Times New Roman" w:cs="Times New Roman"/>
          <w:color w:val="auto"/>
          <w:lang w:val="en-US" w:eastAsia="zh-CN"/>
        </w:rPr>
      </w:pPr>
      <w:r>
        <w:rPr>
          <w:rFonts w:hint="eastAsia" w:cs="Times New Roman"/>
          <w:color w:val="auto"/>
          <w:lang w:val="en-US" w:eastAsia="zh-CN"/>
        </w:rPr>
        <w:t xml:space="preserve">附件3 </w:t>
      </w:r>
      <w:r>
        <w:rPr>
          <w:rFonts w:hint="default" w:ascii="Times New Roman" w:hAnsi="Times New Roman" w:cs="Times New Roman"/>
          <w:color w:val="auto"/>
          <w:lang w:val="en-US" w:eastAsia="zh-CN"/>
        </w:rPr>
        <w:t>专家</w:t>
      </w:r>
      <w:r>
        <w:rPr>
          <w:rFonts w:hint="eastAsia" w:cs="Times New Roman"/>
          <w:color w:val="auto"/>
          <w:lang w:val="en-US" w:eastAsia="zh-CN"/>
        </w:rPr>
        <w:t>复核意见及修改对照表</w:t>
      </w:r>
    </w:p>
    <w:p w14:paraId="71D0AA1B">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w:t>
      </w:r>
      <w:r>
        <w:rPr>
          <w:rFonts w:hint="eastAsia" w:cs="Times New Roman"/>
          <w:color w:val="auto"/>
          <w:lang w:val="en-US" w:eastAsia="zh-CN"/>
        </w:rPr>
        <w:t>4</w:t>
      </w:r>
      <w:r>
        <w:rPr>
          <w:rFonts w:hint="default" w:ascii="Times New Roman" w:hAnsi="Times New Roman" w:cs="Times New Roman"/>
          <w:color w:val="auto"/>
          <w:lang w:val="en-US" w:eastAsia="zh-CN"/>
        </w:rPr>
        <w:t xml:space="preserve"> 委托书</w:t>
      </w:r>
    </w:p>
    <w:p w14:paraId="4E080695">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w:t>
      </w:r>
      <w:r>
        <w:rPr>
          <w:rFonts w:hint="eastAsia" w:cs="Times New Roman"/>
          <w:color w:val="auto"/>
          <w:lang w:val="en-US" w:eastAsia="zh-CN"/>
        </w:rPr>
        <w:t>5</w:t>
      </w:r>
      <w:r>
        <w:rPr>
          <w:rFonts w:hint="default" w:ascii="Times New Roman" w:hAnsi="Times New Roman" w:cs="Times New Roman"/>
          <w:color w:val="auto"/>
          <w:lang w:val="en-US" w:eastAsia="zh-CN"/>
        </w:rPr>
        <w:t xml:space="preserve"> 投资备案证</w:t>
      </w:r>
    </w:p>
    <w:p w14:paraId="65BE2595">
      <w:pP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附件</w:t>
      </w:r>
      <w:r>
        <w:rPr>
          <w:rFonts w:hint="eastAsia" w:cs="Times New Roman"/>
          <w:color w:val="auto"/>
          <w:lang w:val="en-US" w:eastAsia="zh-CN"/>
        </w:rPr>
        <w:t>6</w:t>
      </w:r>
      <w:r>
        <w:rPr>
          <w:rFonts w:hint="default" w:ascii="Times New Roman" w:hAnsi="Times New Roman" w:cs="Times New Roman"/>
          <w:color w:val="auto"/>
          <w:lang w:val="en-US" w:eastAsia="zh-CN"/>
        </w:rPr>
        <w:t xml:space="preserve"> 营业执照</w:t>
      </w:r>
    </w:p>
    <w:p w14:paraId="2F6FE56A">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w:t>
      </w:r>
      <w:r>
        <w:rPr>
          <w:rFonts w:hint="eastAsia" w:cs="Times New Roman"/>
          <w:color w:val="auto"/>
          <w:lang w:val="en-US" w:eastAsia="zh-CN"/>
        </w:rPr>
        <w:t>7</w:t>
      </w:r>
      <w:r>
        <w:rPr>
          <w:rFonts w:hint="default" w:ascii="Times New Roman" w:hAnsi="Times New Roman" w:cs="Times New Roman"/>
          <w:color w:val="auto"/>
          <w:lang w:val="en-US" w:eastAsia="zh-CN"/>
        </w:rPr>
        <w:t xml:space="preserve"> 租赁协议</w:t>
      </w:r>
    </w:p>
    <w:p w14:paraId="5CC53141">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w:t>
      </w:r>
      <w:r>
        <w:rPr>
          <w:rFonts w:hint="eastAsia" w:cs="Times New Roman"/>
          <w:color w:val="auto"/>
          <w:lang w:val="en-US" w:eastAsia="zh-CN"/>
        </w:rPr>
        <w:t>8</w:t>
      </w:r>
      <w:r>
        <w:rPr>
          <w:rFonts w:hint="default" w:ascii="Times New Roman" w:hAnsi="Times New Roman" w:cs="Times New Roman"/>
          <w:color w:val="auto"/>
          <w:lang w:val="en-US" w:eastAsia="zh-CN"/>
        </w:rPr>
        <w:t xml:space="preserve"> 油漆、稀释剂及固化剂技术说明书</w:t>
      </w:r>
    </w:p>
    <w:p w14:paraId="4AFC5760">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w:t>
      </w:r>
      <w:r>
        <w:rPr>
          <w:rFonts w:hint="eastAsia" w:cs="Times New Roman"/>
          <w:color w:val="auto"/>
          <w:lang w:val="en-US" w:eastAsia="zh-CN"/>
        </w:rPr>
        <w:t>9</w:t>
      </w:r>
      <w:r>
        <w:rPr>
          <w:rFonts w:hint="default" w:ascii="Times New Roman" w:hAnsi="Times New Roman" w:cs="Times New Roman"/>
          <w:color w:val="auto"/>
          <w:lang w:val="en-US" w:eastAsia="zh-CN"/>
        </w:rPr>
        <w:t xml:space="preserve"> 玉溪市生态环境局澄江分局关于澄江吉步轻奢环保家具城厂房标准化建设项目</w:t>
      </w:r>
      <w:r>
        <w:rPr>
          <w:rFonts w:hint="eastAsia" w:cs="Times New Roman"/>
          <w:color w:val="auto"/>
          <w:lang w:val="en-US" w:eastAsia="zh-CN"/>
        </w:rPr>
        <w:t>“</w:t>
      </w:r>
      <w:r>
        <w:rPr>
          <w:rFonts w:hint="default" w:ascii="Times New Roman" w:hAnsi="Times New Roman" w:cs="Times New Roman"/>
          <w:color w:val="auto"/>
          <w:lang w:val="en-US" w:eastAsia="zh-CN"/>
        </w:rPr>
        <w:t>三线一单</w:t>
      </w:r>
      <w:r>
        <w:rPr>
          <w:rFonts w:hint="eastAsia" w:cs="Times New Roman"/>
          <w:color w:val="auto"/>
          <w:lang w:val="en-US" w:eastAsia="zh-CN"/>
        </w:rPr>
        <w:t>”</w:t>
      </w:r>
      <w:r>
        <w:rPr>
          <w:rFonts w:hint="default" w:ascii="Times New Roman" w:hAnsi="Times New Roman" w:cs="Times New Roman"/>
          <w:color w:val="auto"/>
          <w:lang w:val="en-US" w:eastAsia="zh-CN"/>
        </w:rPr>
        <w:t>占用情况查询的回复</w:t>
      </w:r>
    </w:p>
    <w:p w14:paraId="5C968DAC">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w:t>
      </w:r>
      <w:r>
        <w:rPr>
          <w:rFonts w:hint="eastAsia" w:cs="Times New Roman"/>
          <w:color w:val="auto"/>
          <w:lang w:val="en-US" w:eastAsia="zh-CN"/>
        </w:rPr>
        <w:t>10</w:t>
      </w:r>
      <w:r>
        <w:rPr>
          <w:rFonts w:hint="default" w:ascii="Times New Roman" w:hAnsi="Times New Roman" w:cs="Times New Roman"/>
          <w:color w:val="auto"/>
          <w:lang w:val="en-US" w:eastAsia="zh-CN"/>
        </w:rPr>
        <w:t xml:space="preserve"> 澄江市自然资源局关于云南吉步商贸厂房项目查询</w:t>
      </w:r>
      <w:r>
        <w:rPr>
          <w:rFonts w:hint="eastAsia" w:cs="Times New Roman"/>
          <w:color w:val="auto"/>
          <w:lang w:val="en-US" w:eastAsia="zh-CN"/>
        </w:rPr>
        <w:t>“</w:t>
      </w:r>
      <w:r>
        <w:rPr>
          <w:rFonts w:hint="default" w:ascii="Times New Roman" w:hAnsi="Times New Roman" w:cs="Times New Roman"/>
          <w:color w:val="auto"/>
          <w:lang w:val="en-US" w:eastAsia="zh-CN"/>
        </w:rPr>
        <w:t>三区三线</w:t>
      </w:r>
      <w:r>
        <w:rPr>
          <w:rFonts w:hint="eastAsia" w:cs="Times New Roman"/>
          <w:color w:val="auto"/>
          <w:lang w:val="en-US" w:eastAsia="zh-CN"/>
        </w:rPr>
        <w:t>”</w:t>
      </w:r>
      <w:r>
        <w:rPr>
          <w:rFonts w:hint="default" w:ascii="Times New Roman" w:hAnsi="Times New Roman" w:cs="Times New Roman"/>
          <w:color w:val="auto"/>
          <w:lang w:val="en-US" w:eastAsia="zh-CN"/>
        </w:rPr>
        <w:t>的说明</w:t>
      </w:r>
    </w:p>
    <w:p w14:paraId="6882AC35">
      <w:pPr>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附件</w:t>
      </w:r>
      <w:r>
        <w:rPr>
          <w:rFonts w:hint="eastAsia" w:cs="Times New Roman"/>
          <w:color w:val="auto"/>
          <w:lang w:val="en-US" w:eastAsia="zh-CN"/>
        </w:rPr>
        <w:t>11</w:t>
      </w:r>
      <w:r>
        <w:rPr>
          <w:rFonts w:hint="default" w:ascii="Times New Roman" w:hAnsi="Times New Roman" w:cs="Times New Roman"/>
          <w:color w:val="auto"/>
          <w:lang w:val="en-US" w:eastAsia="zh-CN"/>
        </w:rPr>
        <w:t xml:space="preserve"> 环评合同</w:t>
      </w:r>
    </w:p>
    <w:p w14:paraId="5EE42BCB">
      <w:pP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附件</w:t>
      </w:r>
      <w:r>
        <w:rPr>
          <w:rFonts w:hint="eastAsia" w:cs="Times New Roman"/>
          <w:color w:val="auto"/>
          <w:lang w:val="en-US" w:eastAsia="zh-CN"/>
        </w:rPr>
        <w:t>12</w:t>
      </w:r>
      <w:r>
        <w:rPr>
          <w:rFonts w:hint="default" w:ascii="Times New Roman" w:hAnsi="Times New Roman" w:cs="Times New Roman"/>
          <w:color w:val="auto"/>
          <w:lang w:val="en-US" w:eastAsia="zh-CN"/>
        </w:rPr>
        <w:t xml:space="preserve"> 内审表及进度表</w:t>
      </w:r>
    </w:p>
    <w:p w14:paraId="2C3A555B">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w:t>
      </w:r>
      <w:r>
        <w:rPr>
          <w:rFonts w:hint="eastAsia" w:cs="Times New Roman"/>
          <w:color w:val="auto"/>
          <w:lang w:val="en-US" w:eastAsia="zh-CN"/>
        </w:rPr>
        <w:t>13</w:t>
      </w:r>
      <w:r>
        <w:rPr>
          <w:rFonts w:hint="default" w:ascii="Times New Roman" w:hAnsi="Times New Roman" w:cs="Times New Roman"/>
          <w:color w:val="auto"/>
          <w:lang w:val="en-US" w:eastAsia="zh-CN"/>
        </w:rPr>
        <w:t xml:space="preserve"> 环境质量现状监测报告</w:t>
      </w:r>
    </w:p>
    <w:p w14:paraId="54649A90">
      <w:pPr>
        <w:rPr>
          <w:rFonts w:hint="default" w:ascii="Times New Roman" w:hAnsi="Times New Roman" w:cs="Times New Roman"/>
          <w:color w:val="auto"/>
          <w:lang w:val="en-US" w:eastAsia="zh-CN"/>
        </w:rPr>
      </w:pPr>
      <w:r>
        <w:rPr>
          <w:rFonts w:hint="eastAsia" w:cs="Times New Roman"/>
          <w:color w:val="auto"/>
          <w:lang w:val="en-US" w:eastAsia="zh-CN"/>
        </w:rPr>
        <w:t>附件14  确认书</w:t>
      </w:r>
    </w:p>
    <w:p w14:paraId="4370C317">
      <w:pPr>
        <w:bidi w:val="0"/>
        <w:rPr>
          <w:rFonts w:hint="default" w:ascii="Times New Roman" w:hAnsi="Times New Roman" w:cs="Times New Roman"/>
          <w:color w:val="auto"/>
        </w:rPr>
      </w:pPr>
    </w:p>
    <w:p w14:paraId="3F871576">
      <w:pP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附图：</w:t>
      </w:r>
    </w:p>
    <w:p w14:paraId="566CD5F1">
      <w:pPr>
        <w:rPr>
          <w:rFonts w:hint="default" w:ascii="Times New Roman" w:hAnsi="Times New Roman" w:cs="Times New Roman"/>
          <w:color w:val="auto"/>
        </w:rPr>
      </w:pPr>
      <w:r>
        <w:rPr>
          <w:rFonts w:hint="default" w:ascii="Times New Roman" w:hAnsi="Times New Roman" w:cs="Times New Roman"/>
          <w:color w:val="auto"/>
        </w:rPr>
        <w:t>附图1 项目地</w:t>
      </w:r>
      <w:bookmarkStart w:id="8" w:name="_GoBack"/>
      <w:bookmarkEnd w:id="8"/>
      <w:r>
        <w:rPr>
          <w:rFonts w:hint="default" w:ascii="Times New Roman" w:hAnsi="Times New Roman" w:cs="Times New Roman"/>
          <w:color w:val="auto"/>
        </w:rPr>
        <w:t>理位置图</w:t>
      </w:r>
    </w:p>
    <w:p w14:paraId="5043EB46">
      <w:pPr>
        <w:rPr>
          <w:rFonts w:hint="default" w:ascii="Times New Roman" w:hAnsi="Times New Roman" w:cs="Times New Roman"/>
          <w:color w:val="auto"/>
        </w:rPr>
      </w:pPr>
      <w:r>
        <w:rPr>
          <w:rFonts w:hint="default" w:ascii="Times New Roman" w:hAnsi="Times New Roman" w:cs="Times New Roman"/>
          <w:color w:val="auto"/>
        </w:rPr>
        <w:t>附图2 项目区水系图</w:t>
      </w:r>
    </w:p>
    <w:p w14:paraId="18DFE426">
      <w:pPr>
        <w:rPr>
          <w:rFonts w:hint="default" w:ascii="Times New Roman" w:hAnsi="Times New Roman" w:cs="Times New Roman"/>
          <w:color w:val="auto"/>
        </w:rPr>
      </w:pPr>
      <w:r>
        <w:rPr>
          <w:rFonts w:hint="default" w:ascii="Times New Roman" w:hAnsi="Times New Roman" w:cs="Times New Roman"/>
          <w:color w:val="auto"/>
        </w:rPr>
        <w:t>附图3 项目总平面布局图</w:t>
      </w:r>
    </w:p>
    <w:p w14:paraId="54D47899">
      <w:pPr>
        <w:rPr>
          <w:rFonts w:hint="default" w:ascii="Times New Roman" w:hAnsi="Times New Roman" w:cs="Times New Roman"/>
          <w:color w:val="auto"/>
        </w:rPr>
      </w:pPr>
      <w:r>
        <w:rPr>
          <w:rFonts w:hint="default" w:ascii="Times New Roman" w:hAnsi="Times New Roman" w:cs="Times New Roman"/>
          <w:color w:val="auto"/>
        </w:rPr>
        <w:t>附图4 项目周边关系图</w:t>
      </w:r>
    </w:p>
    <w:p w14:paraId="7E1298AE">
      <w:pPr>
        <w:rPr>
          <w:rFonts w:hint="default" w:ascii="Times New Roman" w:hAnsi="Times New Roman" w:cs="Times New Roman"/>
          <w:color w:val="auto"/>
        </w:rPr>
      </w:pPr>
      <w:r>
        <w:rPr>
          <w:rFonts w:hint="default" w:ascii="Times New Roman" w:hAnsi="Times New Roman" w:cs="Times New Roman"/>
          <w:color w:val="auto"/>
        </w:rPr>
        <w:t>附图5 项目区现状监测点位图</w:t>
      </w:r>
    </w:p>
    <w:p w14:paraId="5D669541">
      <w:pPr>
        <w:rPr>
          <w:rFonts w:hint="eastAsia" w:cs="Times New Roman"/>
          <w:color w:val="auto"/>
          <w:lang w:val="en-US" w:eastAsia="zh-CN"/>
        </w:rPr>
      </w:pPr>
      <w:r>
        <w:rPr>
          <w:rFonts w:hint="eastAsia" w:cs="Times New Roman"/>
          <w:color w:val="auto"/>
          <w:lang w:val="en-US" w:eastAsia="zh-CN"/>
        </w:rPr>
        <w:t>附图6 项目区防渗分区图</w:t>
      </w:r>
    </w:p>
    <w:p w14:paraId="647B7841">
      <w:pPr>
        <w:rPr>
          <w:rFonts w:hint="eastAsia" w:cs="Times New Roman"/>
          <w:color w:val="auto"/>
          <w:lang w:val="en-US" w:eastAsia="zh-CN"/>
        </w:rPr>
      </w:pPr>
      <w:r>
        <w:rPr>
          <w:rFonts w:hint="eastAsia" w:cs="Times New Roman"/>
          <w:color w:val="auto"/>
          <w:lang w:val="en-US" w:eastAsia="zh-CN"/>
        </w:rPr>
        <w:t>附图7 项目与抚仙湖“两线三区”位置示意图</w:t>
      </w:r>
    </w:p>
    <w:p w14:paraId="6459A269">
      <w:pPr>
        <w:rPr>
          <w:rFonts w:hint="default" w:cs="Times New Roman"/>
          <w:color w:val="auto"/>
          <w:lang w:val="en-US" w:eastAsia="zh-CN"/>
        </w:rPr>
      </w:pPr>
      <w:r>
        <w:rPr>
          <w:rFonts w:hint="eastAsia" w:cs="Times New Roman"/>
          <w:color w:val="auto"/>
          <w:lang w:val="en-US" w:eastAsia="zh-CN"/>
        </w:rPr>
        <w:t>附图8 项目与附近地质公园、自然保护区、风景名胜区位置示意图</w:t>
      </w:r>
    </w:p>
    <w:p w14:paraId="60BC9EF8">
      <w:pPr>
        <w:rPr>
          <w:rFonts w:hint="default" w:ascii="Times New Roman" w:hAnsi="Times New Roman" w:cs="Times New Roman"/>
          <w:color w:val="auto"/>
        </w:rPr>
      </w:pPr>
    </w:p>
    <w:p w14:paraId="2DA3D364">
      <w:pPr>
        <w:rPr>
          <w:rFonts w:hint="default" w:ascii="Times New Roman" w:hAnsi="Times New Roman" w:cs="Times New Roman"/>
          <w:color w:val="auto"/>
        </w:rPr>
        <w:sectPr>
          <w:pgSz w:w="11906" w:h="16838"/>
          <w:pgMar w:top="1440" w:right="1800" w:bottom="1440" w:left="1800" w:header="851" w:footer="992" w:gutter="0"/>
          <w:cols w:space="425" w:num="1"/>
          <w:docGrid w:type="lines" w:linePitch="312" w:charSpace="0"/>
        </w:sectPr>
      </w:pPr>
    </w:p>
    <w:p w14:paraId="734278E1">
      <w:pPr>
        <w:pStyle w:val="2"/>
        <w:bidi w:val="0"/>
        <w:rPr>
          <w:rFonts w:hint="default" w:ascii="Times New Roman" w:hAnsi="Times New Roman" w:cs="Times New Roman"/>
          <w:color w:val="auto"/>
          <w:lang w:val="en-US" w:eastAsia="zh-CN"/>
        </w:rPr>
      </w:pPr>
      <w:bookmarkStart w:id="0" w:name="_Toc20199"/>
      <w:r>
        <w:rPr>
          <w:rFonts w:hint="default" w:ascii="Times New Roman" w:hAnsi="Times New Roman" w:cs="Times New Roman"/>
          <w:color w:val="auto"/>
          <w:lang w:val="en-US" w:eastAsia="zh-CN"/>
        </w:rPr>
        <w:t>一、建设项目基本情况</w:t>
      </w:r>
      <w:bookmarkEnd w:id="0"/>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9"/>
        <w:gridCol w:w="1832"/>
        <w:gridCol w:w="1875"/>
        <w:gridCol w:w="3136"/>
      </w:tblGrid>
      <w:tr w14:paraId="449D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679" w:type="dxa"/>
            <w:vAlign w:val="center"/>
          </w:tcPr>
          <w:p w14:paraId="17E70D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建设项目名称</w:t>
            </w:r>
          </w:p>
        </w:tc>
        <w:tc>
          <w:tcPr>
            <w:tcW w:w="6843" w:type="dxa"/>
            <w:gridSpan w:val="3"/>
            <w:vAlign w:val="center"/>
          </w:tcPr>
          <w:p w14:paraId="33DABF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cs="Times New Roman"/>
                <w:color w:val="auto"/>
                <w:vertAlign w:val="baseline"/>
                <w:lang w:eastAsia="zh-CN"/>
              </w:rPr>
              <w:t>云南吉步商贸有限公司澄江吉步轻奢环保家具城厂房标准化建设项目</w:t>
            </w:r>
          </w:p>
        </w:tc>
      </w:tr>
      <w:tr w14:paraId="45A8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679" w:type="dxa"/>
            <w:vAlign w:val="center"/>
          </w:tcPr>
          <w:p w14:paraId="065B13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项目代码</w:t>
            </w:r>
          </w:p>
        </w:tc>
        <w:tc>
          <w:tcPr>
            <w:tcW w:w="6843" w:type="dxa"/>
            <w:gridSpan w:val="3"/>
            <w:vAlign w:val="center"/>
          </w:tcPr>
          <w:p w14:paraId="55AC21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vertAlign w:val="baseline"/>
              </w:rPr>
              <w:t>2408-530422-04-01-641388</w:t>
            </w:r>
          </w:p>
        </w:tc>
      </w:tr>
      <w:tr w14:paraId="078C2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9" w:type="dxa"/>
            <w:vAlign w:val="center"/>
          </w:tcPr>
          <w:p w14:paraId="157778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建设单位联系人</w:t>
            </w:r>
          </w:p>
        </w:tc>
        <w:tc>
          <w:tcPr>
            <w:tcW w:w="1832" w:type="dxa"/>
            <w:vAlign w:val="center"/>
          </w:tcPr>
          <w:p w14:paraId="196319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刘庆九</w:t>
            </w:r>
          </w:p>
        </w:tc>
        <w:tc>
          <w:tcPr>
            <w:tcW w:w="1875" w:type="dxa"/>
            <w:vAlign w:val="center"/>
          </w:tcPr>
          <w:p w14:paraId="3ADFCD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b w:val="0"/>
                <w:bCs w:val="0"/>
                <w:color w:val="auto"/>
                <w:vertAlign w:val="baseline"/>
                <w:lang w:val="en-US" w:eastAsia="zh-CN"/>
              </w:rPr>
              <w:t>联系方式</w:t>
            </w:r>
          </w:p>
        </w:tc>
        <w:tc>
          <w:tcPr>
            <w:tcW w:w="3136" w:type="dxa"/>
            <w:vAlign w:val="center"/>
          </w:tcPr>
          <w:p w14:paraId="332BFA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15388881777</w:t>
            </w:r>
          </w:p>
        </w:tc>
      </w:tr>
      <w:tr w14:paraId="6D21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679" w:type="dxa"/>
            <w:vAlign w:val="center"/>
          </w:tcPr>
          <w:p w14:paraId="00296C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建设地点</w:t>
            </w:r>
          </w:p>
        </w:tc>
        <w:tc>
          <w:tcPr>
            <w:tcW w:w="6843" w:type="dxa"/>
            <w:gridSpan w:val="3"/>
            <w:vAlign w:val="center"/>
          </w:tcPr>
          <w:p w14:paraId="0EA369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u w:val="single"/>
                <w:vertAlign w:val="baseline"/>
                <w:lang w:val="en-US" w:eastAsia="zh-CN"/>
              </w:rPr>
              <w:t>云南</w:t>
            </w:r>
            <w:r>
              <w:rPr>
                <w:rFonts w:hint="default" w:ascii="Times New Roman" w:hAnsi="Times New Roman" w:cs="Times New Roman"/>
                <w:color w:val="auto"/>
                <w:vertAlign w:val="baseline"/>
              </w:rPr>
              <w:t>省</w:t>
            </w:r>
            <w:r>
              <w:rPr>
                <w:rFonts w:hint="default" w:ascii="Times New Roman" w:hAnsi="Times New Roman" w:cs="Times New Roman"/>
                <w:color w:val="auto"/>
                <w:vertAlign w:val="baseline"/>
                <w:lang w:eastAsia="zh-CN"/>
              </w:rPr>
              <w:t>（</w:t>
            </w:r>
            <w:r>
              <w:rPr>
                <w:rFonts w:hint="default" w:ascii="Times New Roman" w:hAnsi="Times New Roman" w:cs="Times New Roman"/>
                <w:color w:val="auto"/>
                <w:vertAlign w:val="baseline"/>
              </w:rPr>
              <w:t>自治区）</w:t>
            </w:r>
            <w:r>
              <w:rPr>
                <w:rFonts w:hint="default" w:ascii="Times New Roman" w:hAnsi="Times New Roman" w:cs="Times New Roman"/>
                <w:color w:val="auto"/>
                <w:u w:val="single"/>
                <w:vertAlign w:val="baseline"/>
                <w:lang w:val="en-US" w:eastAsia="zh-CN"/>
              </w:rPr>
              <w:t>玉溪</w:t>
            </w:r>
            <w:r>
              <w:rPr>
                <w:rFonts w:hint="default" w:ascii="Times New Roman" w:hAnsi="Times New Roman" w:cs="Times New Roman"/>
                <w:color w:val="auto"/>
                <w:vertAlign w:val="baseline"/>
              </w:rPr>
              <w:t>市</w:t>
            </w:r>
            <w:r>
              <w:rPr>
                <w:rFonts w:hint="default" w:ascii="Times New Roman" w:hAnsi="Times New Roman" w:cs="Times New Roman"/>
                <w:color w:val="auto"/>
                <w:u w:val="single"/>
                <w:vertAlign w:val="baseline"/>
                <w:lang w:val="en-US" w:eastAsia="zh-CN"/>
              </w:rPr>
              <w:t>澄江</w:t>
            </w:r>
            <w:r>
              <w:rPr>
                <w:rFonts w:hint="default" w:ascii="Times New Roman" w:hAnsi="Times New Roman" w:cs="Times New Roman"/>
                <w:color w:val="auto"/>
                <w:vertAlign w:val="baseline"/>
                <w:lang w:val="en-US" w:eastAsia="zh-CN"/>
              </w:rPr>
              <w:t>市</w:t>
            </w:r>
            <w:r>
              <w:rPr>
                <w:rFonts w:hint="default" w:ascii="Times New Roman" w:hAnsi="Times New Roman" w:cs="Times New Roman"/>
                <w:color w:val="auto"/>
                <w:u w:val="single"/>
                <w:vertAlign w:val="baseline"/>
                <w:lang w:val="en-US" w:eastAsia="zh-CN"/>
              </w:rPr>
              <w:t>右所镇右所社区大坡头</w:t>
            </w:r>
          </w:p>
        </w:tc>
      </w:tr>
      <w:tr w14:paraId="7A19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679" w:type="dxa"/>
            <w:vAlign w:val="center"/>
          </w:tcPr>
          <w:p w14:paraId="2B45F6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地理坐标</w:t>
            </w:r>
          </w:p>
        </w:tc>
        <w:tc>
          <w:tcPr>
            <w:tcW w:w="6843" w:type="dxa"/>
            <w:gridSpan w:val="3"/>
            <w:vAlign w:val="center"/>
          </w:tcPr>
          <w:p w14:paraId="1781EC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vertAlign w:val="baseline"/>
                <w:lang w:eastAsia="zh-CN"/>
              </w:rPr>
              <w:t>（</w:t>
            </w:r>
            <w:r>
              <w:rPr>
                <w:rFonts w:hint="default" w:ascii="Times New Roman" w:hAnsi="Times New Roman" w:cs="Times New Roman"/>
                <w:color w:val="auto"/>
                <w:u w:val="single"/>
                <w:vertAlign w:val="baseline"/>
                <w:lang w:val="en-US" w:eastAsia="zh-CN"/>
              </w:rPr>
              <w:t>102</w:t>
            </w:r>
            <w:r>
              <w:rPr>
                <w:rFonts w:hint="default" w:ascii="Times New Roman" w:hAnsi="Times New Roman" w:cs="Times New Roman"/>
                <w:color w:val="auto"/>
                <w:vertAlign w:val="baseline"/>
              </w:rPr>
              <w:t>度</w:t>
            </w:r>
            <w:r>
              <w:rPr>
                <w:rFonts w:hint="default" w:ascii="Times New Roman" w:hAnsi="Times New Roman" w:cs="Times New Roman"/>
                <w:color w:val="auto"/>
                <w:u w:val="single"/>
                <w:vertAlign w:val="baseline"/>
                <w:lang w:val="en-US" w:eastAsia="zh-CN"/>
              </w:rPr>
              <w:t>57</w:t>
            </w:r>
            <w:r>
              <w:rPr>
                <w:rFonts w:hint="default" w:ascii="Times New Roman" w:hAnsi="Times New Roman" w:cs="Times New Roman"/>
                <w:color w:val="auto"/>
                <w:vertAlign w:val="baseline"/>
              </w:rPr>
              <w:t>分</w:t>
            </w:r>
            <w:r>
              <w:rPr>
                <w:rFonts w:hint="default" w:ascii="Times New Roman" w:hAnsi="Times New Roman" w:cs="Times New Roman"/>
                <w:color w:val="auto"/>
                <w:u w:val="single"/>
                <w:vertAlign w:val="baseline"/>
                <w:lang w:val="en-US" w:eastAsia="zh-CN"/>
              </w:rPr>
              <w:t>14.873</w:t>
            </w:r>
            <w:r>
              <w:rPr>
                <w:rFonts w:hint="default" w:ascii="Times New Roman" w:hAnsi="Times New Roman" w:cs="Times New Roman"/>
                <w:color w:val="auto"/>
                <w:vertAlign w:val="baseline"/>
              </w:rPr>
              <w:t>秒，</w:t>
            </w:r>
            <w:r>
              <w:rPr>
                <w:rFonts w:hint="default" w:ascii="Times New Roman" w:hAnsi="Times New Roman" w:cs="Times New Roman"/>
                <w:color w:val="auto"/>
                <w:u w:val="single"/>
                <w:vertAlign w:val="baseline"/>
                <w:lang w:val="en-US" w:eastAsia="zh-CN"/>
              </w:rPr>
              <w:t>24</w:t>
            </w:r>
            <w:r>
              <w:rPr>
                <w:rFonts w:hint="default" w:ascii="Times New Roman" w:hAnsi="Times New Roman" w:cs="Times New Roman"/>
                <w:color w:val="auto"/>
                <w:vertAlign w:val="baseline"/>
              </w:rPr>
              <w:t>度</w:t>
            </w:r>
            <w:r>
              <w:rPr>
                <w:rFonts w:hint="default" w:ascii="Times New Roman" w:hAnsi="Times New Roman" w:cs="Times New Roman"/>
                <w:color w:val="auto"/>
                <w:u w:val="single"/>
                <w:vertAlign w:val="baseline"/>
                <w:lang w:val="en-US" w:eastAsia="zh-CN"/>
              </w:rPr>
              <w:t>38</w:t>
            </w:r>
            <w:r>
              <w:rPr>
                <w:rFonts w:hint="default" w:ascii="Times New Roman" w:hAnsi="Times New Roman" w:cs="Times New Roman"/>
                <w:color w:val="auto"/>
                <w:vertAlign w:val="baseline"/>
              </w:rPr>
              <w:t>分</w:t>
            </w:r>
            <w:r>
              <w:rPr>
                <w:rFonts w:hint="default" w:ascii="Times New Roman" w:hAnsi="Times New Roman" w:cs="Times New Roman"/>
                <w:color w:val="auto"/>
                <w:u w:val="single"/>
                <w:vertAlign w:val="baseline"/>
                <w:lang w:val="en-US" w:eastAsia="zh-CN"/>
              </w:rPr>
              <w:t>42.924</w:t>
            </w:r>
            <w:r>
              <w:rPr>
                <w:rFonts w:hint="default" w:ascii="Times New Roman" w:hAnsi="Times New Roman" w:cs="Times New Roman"/>
                <w:color w:val="auto"/>
                <w:vertAlign w:val="baseline"/>
              </w:rPr>
              <w:t>秒）</w:t>
            </w:r>
          </w:p>
        </w:tc>
      </w:tr>
      <w:tr w14:paraId="53BE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9" w:type="dxa"/>
            <w:vAlign w:val="center"/>
          </w:tcPr>
          <w:p w14:paraId="157336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国民经济行业类别</w:t>
            </w:r>
          </w:p>
        </w:tc>
        <w:tc>
          <w:tcPr>
            <w:tcW w:w="1832" w:type="dxa"/>
            <w:vAlign w:val="center"/>
          </w:tcPr>
          <w:p w14:paraId="568EA5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vertAlign w:val="baseline"/>
              </w:rPr>
              <w:t>C</w:t>
            </w:r>
            <w:r>
              <w:rPr>
                <w:rFonts w:hint="default" w:ascii="Times New Roman" w:hAnsi="Times New Roman" w:cs="Times New Roman"/>
                <w:color w:val="auto"/>
                <w:vertAlign w:val="baseline"/>
                <w:lang w:val="en-US" w:eastAsia="zh-CN"/>
              </w:rPr>
              <w:t>2033木楼梯</w:t>
            </w:r>
            <w:r>
              <w:rPr>
                <w:rFonts w:hint="default" w:ascii="Times New Roman" w:hAnsi="Times New Roman" w:cs="Times New Roman"/>
                <w:color w:val="auto"/>
                <w:vertAlign w:val="baseline"/>
              </w:rPr>
              <w:t>制造</w:t>
            </w:r>
          </w:p>
        </w:tc>
        <w:tc>
          <w:tcPr>
            <w:tcW w:w="1875" w:type="dxa"/>
            <w:vAlign w:val="center"/>
          </w:tcPr>
          <w:p w14:paraId="21381D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vertAlign w:val="baseline"/>
              </w:rPr>
            </w:pPr>
            <w:r>
              <w:rPr>
                <w:rFonts w:hint="default" w:ascii="Times New Roman" w:hAnsi="Times New Roman" w:cs="Times New Roman"/>
                <w:b w:val="0"/>
                <w:bCs w:val="0"/>
                <w:color w:val="auto"/>
                <w:vertAlign w:val="baseline"/>
              </w:rPr>
              <w:t>建设项目行业类别</w:t>
            </w:r>
          </w:p>
        </w:tc>
        <w:tc>
          <w:tcPr>
            <w:tcW w:w="3136" w:type="dxa"/>
            <w:vAlign w:val="center"/>
          </w:tcPr>
          <w:p w14:paraId="408C6D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lang w:val="en-US" w:eastAsia="zh-CN"/>
              </w:rPr>
              <w:t>十七</w:t>
            </w:r>
            <w:r>
              <w:rPr>
                <w:rFonts w:hint="default" w:ascii="Times New Roman" w:hAnsi="Times New Roman" w:cs="Times New Roman"/>
                <w:color w:val="auto"/>
              </w:rPr>
              <w:t>、</w:t>
            </w:r>
            <w:r>
              <w:rPr>
                <w:rFonts w:hint="default" w:ascii="Times New Roman" w:hAnsi="Times New Roman" w:cs="Times New Roman"/>
                <w:color w:val="auto"/>
                <w:lang w:val="en-US" w:eastAsia="zh-CN"/>
              </w:rPr>
              <w:t>木材加工和木、竹、藤、棕、草制品业--木质制品制造203</w:t>
            </w:r>
          </w:p>
        </w:tc>
      </w:tr>
      <w:tr w14:paraId="13B4E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9" w:type="dxa"/>
            <w:vAlign w:val="center"/>
          </w:tcPr>
          <w:p w14:paraId="6EC23B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建设性质</w:t>
            </w:r>
          </w:p>
        </w:tc>
        <w:tc>
          <w:tcPr>
            <w:tcW w:w="1832" w:type="dxa"/>
            <w:vAlign w:val="center"/>
          </w:tcPr>
          <w:p w14:paraId="724E780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vertAlign w:val="baseline"/>
              </w:rPr>
            </w:pPr>
            <w:r>
              <w:rPr>
                <w:rFonts w:hint="default" w:ascii="Times New Roman" w:hAnsi="Times New Roman" w:cs="Times New Roman"/>
                <w:color w:val="auto"/>
                <w:vertAlign w:val="baseline"/>
                <w:lang w:eastAsia="zh-CN"/>
              </w:rPr>
              <w:t>☑</w:t>
            </w:r>
            <w:r>
              <w:rPr>
                <w:rFonts w:hint="default" w:ascii="Times New Roman" w:hAnsi="Times New Roman" w:cs="Times New Roman"/>
                <w:color w:val="auto"/>
                <w:vertAlign w:val="baseline"/>
              </w:rPr>
              <w:t>新建</w:t>
            </w:r>
            <w:r>
              <w:rPr>
                <w:rFonts w:hint="default" w:ascii="Times New Roman" w:hAnsi="Times New Roman" w:cs="Times New Roman"/>
                <w:color w:val="auto"/>
                <w:vertAlign w:val="baseline"/>
                <w:lang w:eastAsia="zh-CN"/>
              </w:rPr>
              <w:t>（</w:t>
            </w:r>
            <w:r>
              <w:rPr>
                <w:rFonts w:hint="default" w:ascii="Times New Roman" w:hAnsi="Times New Roman" w:cs="Times New Roman"/>
                <w:color w:val="auto"/>
                <w:vertAlign w:val="baseline"/>
              </w:rPr>
              <w:t>迁建）</w:t>
            </w:r>
          </w:p>
          <w:p w14:paraId="7FCC7AF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vertAlign w:val="baseline"/>
              </w:rPr>
            </w:pPr>
            <w:r>
              <w:rPr>
                <w:rFonts w:hint="eastAsia" w:cs="Times New Roman"/>
                <w:color w:val="auto"/>
                <w:vertAlign w:val="baseline"/>
                <w:lang w:eastAsia="zh-CN"/>
              </w:rPr>
              <w:t>□</w:t>
            </w:r>
            <w:r>
              <w:rPr>
                <w:rFonts w:hint="default" w:ascii="Times New Roman" w:hAnsi="Times New Roman" w:cs="Times New Roman"/>
                <w:color w:val="auto"/>
                <w:vertAlign w:val="baseline"/>
              </w:rPr>
              <w:t>改建</w:t>
            </w:r>
          </w:p>
          <w:p w14:paraId="6CF568C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vertAlign w:val="baseline"/>
              </w:rPr>
            </w:pPr>
            <w:r>
              <w:rPr>
                <w:rFonts w:hint="eastAsia" w:cs="Times New Roman"/>
                <w:color w:val="auto"/>
                <w:vertAlign w:val="baseline"/>
                <w:lang w:eastAsia="zh-CN"/>
              </w:rPr>
              <w:t>□</w:t>
            </w:r>
            <w:r>
              <w:rPr>
                <w:rFonts w:hint="default" w:ascii="Times New Roman" w:hAnsi="Times New Roman" w:cs="Times New Roman"/>
                <w:color w:val="auto"/>
                <w:vertAlign w:val="baseline"/>
              </w:rPr>
              <w:t>扩建</w:t>
            </w:r>
          </w:p>
          <w:p w14:paraId="00AB071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vertAlign w:val="baseline"/>
              </w:rPr>
            </w:pPr>
            <w:r>
              <w:rPr>
                <w:rFonts w:hint="eastAsia" w:cs="Times New Roman"/>
                <w:color w:val="auto"/>
                <w:vertAlign w:val="baseline"/>
                <w:lang w:eastAsia="zh-CN"/>
              </w:rPr>
              <w:t>□</w:t>
            </w:r>
            <w:r>
              <w:rPr>
                <w:rFonts w:hint="default" w:ascii="Times New Roman" w:hAnsi="Times New Roman" w:cs="Times New Roman"/>
                <w:color w:val="auto"/>
                <w:vertAlign w:val="baseline"/>
              </w:rPr>
              <w:t>技术改造</w:t>
            </w:r>
          </w:p>
        </w:tc>
        <w:tc>
          <w:tcPr>
            <w:tcW w:w="1875" w:type="dxa"/>
            <w:vAlign w:val="center"/>
          </w:tcPr>
          <w:p w14:paraId="673BC0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vertAlign w:val="baseline"/>
              </w:rPr>
            </w:pPr>
            <w:r>
              <w:rPr>
                <w:rFonts w:hint="default" w:ascii="Times New Roman" w:hAnsi="Times New Roman" w:cs="Times New Roman"/>
                <w:b w:val="0"/>
                <w:bCs w:val="0"/>
                <w:color w:val="auto"/>
                <w:vertAlign w:val="baseline"/>
              </w:rPr>
              <w:t>建设项目申报情形</w:t>
            </w:r>
          </w:p>
        </w:tc>
        <w:tc>
          <w:tcPr>
            <w:tcW w:w="3136" w:type="dxa"/>
            <w:vAlign w:val="center"/>
          </w:tcPr>
          <w:p w14:paraId="2D7FCE4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vertAlign w:val="baseline"/>
              </w:rPr>
            </w:pPr>
            <w:r>
              <w:rPr>
                <w:rFonts w:hint="default" w:ascii="Times New Roman" w:hAnsi="Times New Roman" w:cs="Times New Roman"/>
                <w:color w:val="auto"/>
                <w:vertAlign w:val="baseline"/>
                <w:lang w:eastAsia="zh-CN"/>
              </w:rPr>
              <w:t>☑</w:t>
            </w:r>
            <w:r>
              <w:rPr>
                <w:rFonts w:hint="default" w:ascii="Times New Roman" w:hAnsi="Times New Roman" w:cs="Times New Roman"/>
                <w:color w:val="auto"/>
                <w:vertAlign w:val="baseline"/>
              </w:rPr>
              <w:t>首次申报项目</w:t>
            </w:r>
          </w:p>
          <w:p w14:paraId="771129D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vertAlign w:val="baseline"/>
              </w:rPr>
            </w:pPr>
            <w:r>
              <w:rPr>
                <w:rFonts w:hint="eastAsia" w:cs="Times New Roman"/>
                <w:color w:val="auto"/>
                <w:vertAlign w:val="baseline"/>
                <w:lang w:eastAsia="zh-CN"/>
              </w:rPr>
              <w:t>□</w:t>
            </w:r>
            <w:r>
              <w:rPr>
                <w:rFonts w:hint="default" w:ascii="Times New Roman" w:hAnsi="Times New Roman" w:cs="Times New Roman"/>
                <w:color w:val="auto"/>
                <w:vertAlign w:val="baseline"/>
              </w:rPr>
              <w:t>不予批准后再次申报项目</w:t>
            </w:r>
          </w:p>
          <w:p w14:paraId="5AAD14C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vertAlign w:val="baseline"/>
              </w:rPr>
            </w:pPr>
            <w:r>
              <w:rPr>
                <w:rFonts w:hint="eastAsia" w:cs="Times New Roman"/>
                <w:color w:val="auto"/>
                <w:vertAlign w:val="baseline"/>
                <w:lang w:eastAsia="zh-CN"/>
              </w:rPr>
              <w:t>□</w:t>
            </w:r>
            <w:r>
              <w:rPr>
                <w:rFonts w:hint="default" w:ascii="Times New Roman" w:hAnsi="Times New Roman" w:cs="Times New Roman"/>
                <w:color w:val="auto"/>
                <w:vertAlign w:val="baseline"/>
              </w:rPr>
              <w:t>超五年重新审核项目</w:t>
            </w:r>
          </w:p>
          <w:p w14:paraId="192D80A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vertAlign w:val="baseline"/>
              </w:rPr>
            </w:pPr>
            <w:r>
              <w:rPr>
                <w:rFonts w:hint="eastAsia" w:cs="Times New Roman"/>
                <w:color w:val="auto"/>
                <w:vertAlign w:val="baseline"/>
                <w:lang w:eastAsia="zh-CN"/>
              </w:rPr>
              <w:t>□</w:t>
            </w:r>
            <w:r>
              <w:rPr>
                <w:rFonts w:hint="default" w:ascii="Times New Roman" w:hAnsi="Times New Roman" w:cs="Times New Roman"/>
                <w:color w:val="auto"/>
                <w:vertAlign w:val="baseline"/>
              </w:rPr>
              <w:t>重大变动重新报批项目</w:t>
            </w:r>
          </w:p>
        </w:tc>
      </w:tr>
      <w:tr w14:paraId="3C5B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9" w:type="dxa"/>
            <w:vAlign w:val="center"/>
          </w:tcPr>
          <w:p w14:paraId="726BB6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vertAlign w:val="baseline"/>
              </w:rPr>
            </w:pPr>
            <w:r>
              <w:rPr>
                <w:rFonts w:hint="default" w:ascii="Times New Roman" w:hAnsi="Times New Roman" w:cs="Times New Roman"/>
                <w:b w:val="0"/>
                <w:bCs w:val="0"/>
                <w:color w:val="auto"/>
                <w:vertAlign w:val="baseline"/>
              </w:rPr>
              <w:t>项目审批</w:t>
            </w:r>
            <w:r>
              <w:rPr>
                <w:rFonts w:hint="default" w:ascii="Times New Roman" w:hAnsi="Times New Roman" w:cs="Times New Roman"/>
                <w:b w:val="0"/>
                <w:bCs w:val="0"/>
                <w:color w:val="auto"/>
                <w:vertAlign w:val="baseline"/>
                <w:lang w:eastAsia="zh-CN"/>
              </w:rPr>
              <w:t>（</w:t>
            </w:r>
            <w:r>
              <w:rPr>
                <w:rFonts w:hint="default" w:ascii="Times New Roman" w:hAnsi="Times New Roman" w:cs="Times New Roman"/>
                <w:b w:val="0"/>
                <w:bCs w:val="0"/>
                <w:color w:val="auto"/>
                <w:vertAlign w:val="baseline"/>
              </w:rPr>
              <w:t>核准/备案）部门</w:t>
            </w:r>
            <w:r>
              <w:rPr>
                <w:rFonts w:hint="default" w:ascii="Times New Roman" w:hAnsi="Times New Roman" w:cs="Times New Roman"/>
                <w:b w:val="0"/>
                <w:bCs w:val="0"/>
                <w:color w:val="auto"/>
                <w:vertAlign w:val="baseline"/>
                <w:lang w:eastAsia="zh-CN"/>
              </w:rPr>
              <w:t>（</w:t>
            </w:r>
            <w:r>
              <w:rPr>
                <w:rFonts w:hint="default" w:ascii="Times New Roman" w:hAnsi="Times New Roman" w:cs="Times New Roman"/>
                <w:b w:val="0"/>
                <w:bCs w:val="0"/>
                <w:color w:val="auto"/>
                <w:vertAlign w:val="baseline"/>
              </w:rPr>
              <w:t>选填）</w:t>
            </w:r>
          </w:p>
        </w:tc>
        <w:tc>
          <w:tcPr>
            <w:tcW w:w="1832" w:type="dxa"/>
            <w:vAlign w:val="center"/>
          </w:tcPr>
          <w:p w14:paraId="047A58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澄江市发展和改革局</w:t>
            </w:r>
          </w:p>
        </w:tc>
        <w:tc>
          <w:tcPr>
            <w:tcW w:w="1875" w:type="dxa"/>
            <w:vAlign w:val="center"/>
          </w:tcPr>
          <w:p w14:paraId="5AC68F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vertAlign w:val="baseline"/>
              </w:rPr>
            </w:pPr>
            <w:r>
              <w:rPr>
                <w:rFonts w:hint="default" w:ascii="Times New Roman" w:hAnsi="Times New Roman" w:cs="Times New Roman"/>
                <w:b w:val="0"/>
                <w:bCs w:val="0"/>
                <w:color w:val="auto"/>
                <w:vertAlign w:val="baseline"/>
              </w:rPr>
              <w:t>项目审批</w:t>
            </w:r>
            <w:r>
              <w:rPr>
                <w:rFonts w:hint="default" w:ascii="Times New Roman" w:hAnsi="Times New Roman" w:cs="Times New Roman"/>
                <w:b w:val="0"/>
                <w:bCs w:val="0"/>
                <w:color w:val="auto"/>
                <w:vertAlign w:val="baseline"/>
                <w:lang w:eastAsia="zh-CN"/>
              </w:rPr>
              <w:t>（</w:t>
            </w:r>
            <w:r>
              <w:rPr>
                <w:rFonts w:hint="default" w:ascii="Times New Roman" w:hAnsi="Times New Roman" w:cs="Times New Roman"/>
                <w:b w:val="0"/>
                <w:bCs w:val="0"/>
                <w:color w:val="auto"/>
                <w:vertAlign w:val="baseline"/>
              </w:rPr>
              <w:t>核准/备案）文号</w:t>
            </w:r>
            <w:r>
              <w:rPr>
                <w:rFonts w:hint="default" w:ascii="Times New Roman" w:hAnsi="Times New Roman" w:cs="Times New Roman"/>
                <w:b w:val="0"/>
                <w:bCs w:val="0"/>
                <w:color w:val="auto"/>
                <w:vertAlign w:val="baseline"/>
                <w:lang w:eastAsia="zh-CN"/>
              </w:rPr>
              <w:t>（</w:t>
            </w:r>
            <w:r>
              <w:rPr>
                <w:rFonts w:hint="default" w:ascii="Times New Roman" w:hAnsi="Times New Roman" w:cs="Times New Roman"/>
                <w:b w:val="0"/>
                <w:bCs w:val="0"/>
                <w:color w:val="auto"/>
                <w:vertAlign w:val="baseline"/>
              </w:rPr>
              <w:t>选填）</w:t>
            </w:r>
          </w:p>
        </w:tc>
        <w:tc>
          <w:tcPr>
            <w:tcW w:w="3136" w:type="dxa"/>
            <w:vAlign w:val="center"/>
          </w:tcPr>
          <w:p w14:paraId="05E95E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项目代码：2408-530422-04-01-641388</w:t>
            </w:r>
          </w:p>
        </w:tc>
      </w:tr>
      <w:tr w14:paraId="0D19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9" w:type="dxa"/>
            <w:vAlign w:val="center"/>
          </w:tcPr>
          <w:p w14:paraId="0BFCC1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vertAlign w:val="baseline"/>
              </w:rPr>
            </w:pPr>
            <w:r>
              <w:rPr>
                <w:rFonts w:hint="default" w:ascii="Times New Roman" w:hAnsi="Times New Roman" w:cs="Times New Roman"/>
                <w:b w:val="0"/>
                <w:bCs w:val="0"/>
                <w:color w:val="auto"/>
                <w:vertAlign w:val="baseline"/>
              </w:rPr>
              <w:t>总投资</w:t>
            </w:r>
            <w:r>
              <w:rPr>
                <w:rFonts w:hint="default" w:ascii="Times New Roman" w:hAnsi="Times New Roman" w:cs="Times New Roman"/>
                <w:b w:val="0"/>
                <w:bCs w:val="0"/>
                <w:color w:val="auto"/>
                <w:vertAlign w:val="baseline"/>
                <w:lang w:eastAsia="zh-CN"/>
              </w:rPr>
              <w:t>（</w:t>
            </w:r>
            <w:r>
              <w:rPr>
                <w:rFonts w:hint="default" w:ascii="Times New Roman" w:hAnsi="Times New Roman" w:cs="Times New Roman"/>
                <w:b w:val="0"/>
                <w:bCs w:val="0"/>
                <w:color w:val="auto"/>
                <w:vertAlign w:val="baseline"/>
              </w:rPr>
              <w:t>万元）</w:t>
            </w:r>
          </w:p>
        </w:tc>
        <w:tc>
          <w:tcPr>
            <w:tcW w:w="1832" w:type="dxa"/>
            <w:vAlign w:val="center"/>
          </w:tcPr>
          <w:p w14:paraId="1E5232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860</w:t>
            </w:r>
          </w:p>
        </w:tc>
        <w:tc>
          <w:tcPr>
            <w:tcW w:w="1875" w:type="dxa"/>
            <w:vAlign w:val="center"/>
          </w:tcPr>
          <w:p w14:paraId="02B8DC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环保投资（万元）</w:t>
            </w:r>
          </w:p>
        </w:tc>
        <w:tc>
          <w:tcPr>
            <w:tcW w:w="3136" w:type="dxa"/>
            <w:vAlign w:val="center"/>
          </w:tcPr>
          <w:p w14:paraId="6DF9C8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38.5</w:t>
            </w:r>
          </w:p>
        </w:tc>
      </w:tr>
      <w:tr w14:paraId="18EA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9" w:type="dxa"/>
            <w:vAlign w:val="center"/>
          </w:tcPr>
          <w:p w14:paraId="41D34C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vertAlign w:val="baseline"/>
              </w:rPr>
            </w:pPr>
            <w:r>
              <w:rPr>
                <w:rFonts w:hint="default" w:ascii="Times New Roman" w:hAnsi="Times New Roman" w:cs="Times New Roman"/>
                <w:b w:val="0"/>
                <w:bCs w:val="0"/>
                <w:color w:val="auto"/>
                <w:vertAlign w:val="baseline"/>
              </w:rPr>
              <w:t>环保投资占比</w:t>
            </w:r>
            <w:r>
              <w:rPr>
                <w:rFonts w:hint="default" w:ascii="Times New Roman" w:hAnsi="Times New Roman" w:cs="Times New Roman"/>
                <w:b w:val="0"/>
                <w:bCs w:val="0"/>
                <w:color w:val="auto"/>
                <w:vertAlign w:val="baseline"/>
                <w:lang w:eastAsia="zh-CN"/>
              </w:rPr>
              <w:t>（</w:t>
            </w:r>
            <w:r>
              <w:rPr>
                <w:rFonts w:hint="default" w:ascii="Times New Roman" w:hAnsi="Times New Roman" w:cs="Times New Roman"/>
                <w:b w:val="0"/>
                <w:bCs w:val="0"/>
                <w:color w:val="auto"/>
                <w:vertAlign w:val="baseline"/>
              </w:rPr>
              <w:t>%）</w:t>
            </w:r>
          </w:p>
        </w:tc>
        <w:tc>
          <w:tcPr>
            <w:tcW w:w="1832" w:type="dxa"/>
            <w:vAlign w:val="center"/>
          </w:tcPr>
          <w:p w14:paraId="0EC48E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4.47</w:t>
            </w:r>
          </w:p>
        </w:tc>
        <w:tc>
          <w:tcPr>
            <w:tcW w:w="1875" w:type="dxa"/>
            <w:vAlign w:val="center"/>
          </w:tcPr>
          <w:p w14:paraId="58BA8B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施工工期</w:t>
            </w:r>
          </w:p>
        </w:tc>
        <w:tc>
          <w:tcPr>
            <w:tcW w:w="3136" w:type="dxa"/>
            <w:vAlign w:val="center"/>
          </w:tcPr>
          <w:p w14:paraId="00E400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2个月</w:t>
            </w:r>
          </w:p>
        </w:tc>
      </w:tr>
      <w:tr w14:paraId="700A7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9" w:type="dxa"/>
            <w:vAlign w:val="center"/>
          </w:tcPr>
          <w:p w14:paraId="33894B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vertAlign w:val="baseline"/>
              </w:rPr>
            </w:pPr>
            <w:r>
              <w:rPr>
                <w:rFonts w:hint="default" w:ascii="Times New Roman" w:hAnsi="Times New Roman" w:cs="Times New Roman"/>
                <w:b w:val="0"/>
                <w:bCs w:val="0"/>
                <w:color w:val="auto"/>
                <w:vertAlign w:val="baseline"/>
              </w:rPr>
              <w:t>是否开工建设</w:t>
            </w:r>
          </w:p>
        </w:tc>
        <w:tc>
          <w:tcPr>
            <w:tcW w:w="1832" w:type="dxa"/>
            <w:vAlign w:val="center"/>
          </w:tcPr>
          <w:p w14:paraId="71ED14D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eastAsia="zh-CN"/>
              </w:rPr>
              <w:t>☑</w:t>
            </w:r>
            <w:r>
              <w:rPr>
                <w:rFonts w:hint="default" w:ascii="Times New Roman" w:hAnsi="Times New Roman" w:cs="Times New Roman"/>
                <w:color w:val="auto"/>
                <w:vertAlign w:val="baseline"/>
                <w:lang w:val="en-US" w:eastAsia="zh-CN"/>
              </w:rPr>
              <w:t>否</w:t>
            </w:r>
          </w:p>
          <w:p w14:paraId="422DB95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u w:val="single"/>
                <w:vertAlign w:val="baseline"/>
                <w:lang w:val="en-US" w:eastAsia="zh-CN"/>
              </w:rPr>
            </w:pPr>
            <w:r>
              <w:rPr>
                <w:rFonts w:hint="default" w:ascii="Times New Roman" w:hAnsi="Times New Roman" w:cs="Times New Roman"/>
                <w:color w:val="auto"/>
                <w:vertAlign w:val="baseline"/>
              </w:rPr>
              <w:t>□</w:t>
            </w:r>
            <w:r>
              <w:rPr>
                <w:rFonts w:hint="default" w:ascii="Times New Roman" w:hAnsi="Times New Roman" w:cs="Times New Roman"/>
                <w:color w:val="auto"/>
                <w:vertAlign w:val="baseline"/>
                <w:lang w:val="en-US" w:eastAsia="zh-CN"/>
              </w:rPr>
              <w:t>是：</w:t>
            </w:r>
            <w:r>
              <w:rPr>
                <w:rFonts w:hint="default" w:ascii="Times New Roman" w:hAnsi="Times New Roman" w:cs="Times New Roman"/>
                <w:color w:val="auto"/>
                <w:u w:val="single"/>
                <w:vertAlign w:val="baseline"/>
                <w:lang w:val="en-US" w:eastAsia="zh-CN"/>
              </w:rPr>
              <w:t xml:space="preserve">       </w:t>
            </w:r>
          </w:p>
          <w:p w14:paraId="2AAD23E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u w:val="single"/>
                <w:vertAlign w:val="baseline"/>
                <w:lang w:val="en-US" w:eastAsia="zh-CN"/>
              </w:rPr>
            </w:pPr>
            <w:r>
              <w:rPr>
                <w:rFonts w:hint="default" w:ascii="Times New Roman" w:hAnsi="Times New Roman" w:cs="Times New Roman"/>
                <w:color w:val="auto"/>
                <w:u w:val="single"/>
                <w:vertAlign w:val="baseline"/>
                <w:lang w:val="en-US" w:eastAsia="zh-CN"/>
              </w:rPr>
              <w:t xml:space="preserve">              </w:t>
            </w:r>
          </w:p>
        </w:tc>
        <w:tc>
          <w:tcPr>
            <w:tcW w:w="1875" w:type="dxa"/>
            <w:vAlign w:val="center"/>
          </w:tcPr>
          <w:p w14:paraId="1168BD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用地面积（m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vertAlign w:val="baseline"/>
                <w:lang w:val="en-US" w:eastAsia="zh-CN"/>
              </w:rPr>
              <w:t>）</w:t>
            </w:r>
          </w:p>
        </w:tc>
        <w:tc>
          <w:tcPr>
            <w:tcW w:w="3136" w:type="dxa"/>
            <w:vAlign w:val="center"/>
          </w:tcPr>
          <w:p w14:paraId="3D940B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4000</w:t>
            </w:r>
          </w:p>
        </w:tc>
      </w:tr>
      <w:tr w14:paraId="547D8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9" w:type="dxa"/>
            <w:vAlign w:val="center"/>
          </w:tcPr>
          <w:p w14:paraId="301F30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vertAlign w:val="baseline"/>
              </w:rPr>
            </w:pPr>
            <w:r>
              <w:rPr>
                <w:rFonts w:hint="default" w:ascii="Times New Roman" w:hAnsi="Times New Roman" w:cs="Times New Roman"/>
                <w:b w:val="0"/>
                <w:bCs w:val="0"/>
                <w:color w:val="auto"/>
                <w:vertAlign w:val="baseline"/>
              </w:rPr>
              <w:t>专项评价设置情况</w:t>
            </w:r>
          </w:p>
        </w:tc>
        <w:tc>
          <w:tcPr>
            <w:tcW w:w="6843" w:type="dxa"/>
            <w:gridSpan w:val="3"/>
            <w:vAlign w:val="top"/>
          </w:tcPr>
          <w:p w14:paraId="48527732">
            <w:pPr>
              <w:bidi w:val="0"/>
              <w:spacing w:line="24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表1-1</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 xml:space="preserve"> 项目专项评价判定表</w:t>
            </w:r>
          </w:p>
          <w:tbl>
            <w:tblPr>
              <w:tblStyle w:val="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2472"/>
              <w:gridCol w:w="2472"/>
              <w:gridCol w:w="920"/>
            </w:tblGrid>
            <w:tr w14:paraId="0255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69" w:type="pct"/>
                  <w:noWrap w:val="0"/>
                  <w:vAlign w:val="center"/>
                </w:tcPr>
                <w:p w14:paraId="40AE7266">
                  <w:pPr>
                    <w:pStyle w:val="14"/>
                    <w:bidi w:val="0"/>
                    <w:spacing w:line="240" w:lineRule="auto"/>
                    <w:rPr>
                      <w:rFonts w:hint="default" w:ascii="Times New Roman" w:hAnsi="Times New Roman" w:cs="Times New Roman"/>
                      <w:b/>
                      <w:bCs/>
                      <w:color w:val="auto"/>
                    </w:rPr>
                  </w:pPr>
                  <w:r>
                    <w:rPr>
                      <w:rFonts w:hint="default" w:ascii="Times New Roman" w:hAnsi="Times New Roman" w:cs="Times New Roman"/>
                      <w:b/>
                      <w:bCs/>
                      <w:color w:val="auto"/>
                    </w:rPr>
                    <w:t>专项评价类比</w:t>
                  </w:r>
                </w:p>
              </w:tc>
              <w:tc>
                <w:tcPr>
                  <w:tcW w:w="1868" w:type="pct"/>
                  <w:noWrap w:val="0"/>
                  <w:vAlign w:val="center"/>
                </w:tcPr>
                <w:p w14:paraId="5EEB48A2">
                  <w:pPr>
                    <w:pStyle w:val="14"/>
                    <w:bidi w:val="0"/>
                    <w:spacing w:line="240" w:lineRule="auto"/>
                    <w:rPr>
                      <w:rFonts w:hint="default" w:ascii="Times New Roman" w:hAnsi="Times New Roman" w:cs="Times New Roman"/>
                      <w:b/>
                      <w:bCs/>
                      <w:color w:val="auto"/>
                    </w:rPr>
                  </w:pPr>
                  <w:r>
                    <w:rPr>
                      <w:rFonts w:hint="default" w:ascii="Times New Roman" w:hAnsi="Times New Roman" w:cs="Times New Roman"/>
                      <w:b/>
                      <w:bCs/>
                      <w:color w:val="auto"/>
                    </w:rPr>
                    <w:t>设置原则</w:t>
                  </w:r>
                </w:p>
              </w:tc>
              <w:tc>
                <w:tcPr>
                  <w:tcW w:w="1868" w:type="pct"/>
                  <w:noWrap w:val="0"/>
                  <w:vAlign w:val="center"/>
                </w:tcPr>
                <w:p w14:paraId="31C28965">
                  <w:pPr>
                    <w:pStyle w:val="14"/>
                    <w:bidi w:val="0"/>
                    <w:spacing w:line="240" w:lineRule="auto"/>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693" w:type="pct"/>
                  <w:noWrap w:val="0"/>
                  <w:vAlign w:val="center"/>
                </w:tcPr>
                <w:p w14:paraId="00EEDEF2">
                  <w:pPr>
                    <w:pStyle w:val="14"/>
                    <w:bidi w:val="0"/>
                    <w:spacing w:line="240" w:lineRule="auto"/>
                    <w:rPr>
                      <w:rFonts w:hint="default" w:ascii="Times New Roman" w:hAnsi="Times New Roman" w:cs="Times New Roman"/>
                      <w:b/>
                      <w:bCs/>
                      <w:color w:val="auto"/>
                    </w:rPr>
                  </w:pPr>
                  <w:r>
                    <w:rPr>
                      <w:rFonts w:hint="default" w:ascii="Times New Roman" w:hAnsi="Times New Roman" w:cs="Times New Roman"/>
                      <w:b/>
                      <w:bCs/>
                      <w:color w:val="auto"/>
                    </w:rPr>
                    <w:t>是否设置专项评价</w:t>
                  </w:r>
                </w:p>
              </w:tc>
            </w:tr>
            <w:tr w14:paraId="747A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noWrap w:val="0"/>
                  <w:vAlign w:val="center"/>
                </w:tcPr>
                <w:p w14:paraId="12EAB1DE">
                  <w:pPr>
                    <w:pStyle w:val="14"/>
                    <w:bidi w:val="0"/>
                    <w:spacing w:line="240" w:lineRule="auto"/>
                    <w:rPr>
                      <w:rFonts w:hint="default" w:ascii="Times New Roman" w:hAnsi="Times New Roman" w:cs="Times New Roman"/>
                      <w:color w:val="auto"/>
                    </w:rPr>
                  </w:pPr>
                  <w:r>
                    <w:rPr>
                      <w:rFonts w:hint="default" w:ascii="Times New Roman" w:hAnsi="Times New Roman" w:cs="Times New Roman"/>
                      <w:color w:val="auto"/>
                    </w:rPr>
                    <w:t>大气</w:t>
                  </w:r>
                </w:p>
              </w:tc>
              <w:tc>
                <w:tcPr>
                  <w:tcW w:w="1868" w:type="pct"/>
                  <w:noWrap w:val="0"/>
                  <w:vAlign w:val="center"/>
                </w:tcPr>
                <w:p w14:paraId="03260597">
                  <w:pPr>
                    <w:pStyle w:val="14"/>
                    <w:bidi w:val="0"/>
                    <w:spacing w:line="240" w:lineRule="auto"/>
                    <w:jc w:val="left"/>
                    <w:rPr>
                      <w:rFonts w:hint="default" w:ascii="Times New Roman" w:hAnsi="Times New Roman" w:cs="Times New Roman"/>
                      <w:color w:val="auto"/>
                    </w:rPr>
                  </w:pPr>
                  <w:r>
                    <w:rPr>
                      <w:rFonts w:hint="default" w:ascii="Times New Roman" w:hAnsi="Times New Roman" w:cs="Times New Roman"/>
                      <w:color w:val="auto"/>
                    </w:rPr>
                    <w:t>排放废气含有毒有害污染物1、二噁英、苯并[a]芘、氰化物、氯气且厂界500m范围内有环境空气保护目标2的建设项目。</w:t>
                  </w:r>
                </w:p>
              </w:tc>
              <w:tc>
                <w:tcPr>
                  <w:tcW w:w="1868" w:type="pct"/>
                  <w:noWrap w:val="0"/>
                  <w:vAlign w:val="center"/>
                </w:tcPr>
                <w:p w14:paraId="0F036DC9">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项目不排放含有毒有害污染物及二噁英、苯并[a]芘、氰化物、氯气</w:t>
                  </w:r>
                  <w:r>
                    <w:rPr>
                      <w:rFonts w:hint="default" w:ascii="Times New Roman" w:hAnsi="Times New Roman" w:cs="Times New Roman"/>
                      <w:color w:val="auto"/>
                      <w:lang w:eastAsia="zh-CN"/>
                    </w:rPr>
                    <w:t>。</w:t>
                  </w:r>
                </w:p>
              </w:tc>
              <w:tc>
                <w:tcPr>
                  <w:tcW w:w="693" w:type="pct"/>
                  <w:noWrap w:val="0"/>
                  <w:vAlign w:val="center"/>
                </w:tcPr>
                <w:p w14:paraId="684F0C78">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否</w:t>
                  </w:r>
                </w:p>
              </w:tc>
            </w:tr>
            <w:tr w14:paraId="40EF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noWrap w:val="0"/>
                  <w:vAlign w:val="center"/>
                </w:tcPr>
                <w:p w14:paraId="0C4001EB">
                  <w:pPr>
                    <w:pStyle w:val="14"/>
                    <w:bidi w:val="0"/>
                    <w:spacing w:line="240" w:lineRule="auto"/>
                    <w:rPr>
                      <w:rFonts w:hint="default" w:ascii="Times New Roman" w:hAnsi="Times New Roman" w:cs="Times New Roman"/>
                      <w:color w:val="auto"/>
                    </w:rPr>
                  </w:pPr>
                  <w:r>
                    <w:rPr>
                      <w:rFonts w:hint="default" w:ascii="Times New Roman" w:hAnsi="Times New Roman" w:cs="Times New Roman"/>
                      <w:color w:val="auto"/>
                    </w:rPr>
                    <w:t>地表水</w:t>
                  </w:r>
                </w:p>
              </w:tc>
              <w:tc>
                <w:tcPr>
                  <w:tcW w:w="1868" w:type="pct"/>
                  <w:noWrap w:val="0"/>
                  <w:vAlign w:val="center"/>
                </w:tcPr>
                <w:p w14:paraId="22A5B27C">
                  <w:pPr>
                    <w:pStyle w:val="14"/>
                    <w:bidi w:val="0"/>
                    <w:spacing w:line="240" w:lineRule="auto"/>
                    <w:jc w:val="left"/>
                    <w:rPr>
                      <w:rFonts w:hint="default" w:ascii="Times New Roman" w:hAnsi="Times New Roman" w:cs="Times New Roman"/>
                      <w:color w:val="auto"/>
                    </w:rPr>
                  </w:pPr>
                  <w:r>
                    <w:rPr>
                      <w:rFonts w:hint="default" w:ascii="Times New Roman" w:hAnsi="Times New Roman" w:cs="Times New Roman"/>
                      <w:color w:val="auto"/>
                    </w:rPr>
                    <w:t>新增工业废水直排建设项目</w:t>
                  </w:r>
                  <w:r>
                    <w:rPr>
                      <w:rFonts w:hint="default" w:ascii="Times New Roman" w:hAnsi="Times New Roman" w:cs="Times New Roman"/>
                      <w:color w:val="auto"/>
                      <w:lang w:eastAsia="zh-CN"/>
                    </w:rPr>
                    <w:t>（</w:t>
                  </w:r>
                  <w:r>
                    <w:rPr>
                      <w:rFonts w:hint="default" w:ascii="Times New Roman" w:hAnsi="Times New Roman" w:cs="Times New Roman"/>
                      <w:color w:val="auto"/>
                    </w:rPr>
                    <w:t>槽罐车外送污水处理厂的除外）</w:t>
                  </w:r>
                  <w:r>
                    <w:rPr>
                      <w:rFonts w:hint="eastAsia" w:cs="Times New Roman"/>
                      <w:color w:val="auto"/>
                      <w:lang w:eastAsia="zh-CN"/>
                    </w:rPr>
                    <w:t>；</w:t>
                  </w:r>
                  <w:r>
                    <w:rPr>
                      <w:rFonts w:hint="default" w:ascii="Times New Roman" w:hAnsi="Times New Roman" w:cs="Times New Roman"/>
                      <w:color w:val="auto"/>
                    </w:rPr>
                    <w:t>新增废水直排的污水集中处理厂。</w:t>
                  </w:r>
                </w:p>
              </w:tc>
              <w:tc>
                <w:tcPr>
                  <w:tcW w:w="1868" w:type="pct"/>
                  <w:noWrap w:val="0"/>
                  <w:vAlign w:val="center"/>
                </w:tcPr>
                <w:p w14:paraId="4574A722">
                  <w:pPr>
                    <w:pStyle w:val="14"/>
                    <w:bidi w:val="0"/>
                    <w:rPr>
                      <w:rFonts w:hint="default" w:ascii="Times New Roman" w:hAnsi="Times New Roman" w:cs="Times New Roman"/>
                      <w:color w:val="auto"/>
                      <w:lang w:val="en-US" w:eastAsia="zh-CN"/>
                    </w:rPr>
                  </w:pPr>
                  <w:r>
                    <w:rPr>
                      <w:rFonts w:hint="default"/>
                      <w:color w:val="auto"/>
                      <w:lang w:val="en-US" w:eastAsia="zh-CN"/>
                    </w:rPr>
                    <w:t>本项目生产过程中</w:t>
                  </w:r>
                  <w:r>
                    <w:rPr>
                      <w:rFonts w:hint="eastAsia"/>
                      <w:color w:val="auto"/>
                      <w:lang w:val="en-US" w:eastAsia="zh-CN"/>
                    </w:rPr>
                    <w:t>仅产生少量员工洗手废水及水帘处理系统更换废液，其中，</w:t>
                  </w:r>
                  <w:r>
                    <w:rPr>
                      <w:rFonts w:hint="eastAsia" w:eastAsia="宋体"/>
                      <w:color w:val="auto"/>
                      <w:sz w:val="21"/>
                      <w:szCs w:val="21"/>
                      <w:lang w:val="en-US" w:eastAsia="zh-CN"/>
                    </w:rPr>
                    <w:t>洗手废水经沉淀后回用于厂区道路洒水降尘，水帘废液作为危险废物</w:t>
                  </w:r>
                  <w:r>
                    <w:rPr>
                      <w:rFonts w:hint="eastAsia"/>
                      <w:color w:val="auto"/>
                      <w:sz w:val="21"/>
                      <w:szCs w:val="21"/>
                      <w:lang w:val="en-US" w:eastAsia="zh-CN"/>
                    </w:rPr>
                    <w:t>暂存于危废间，</w:t>
                  </w:r>
                  <w:r>
                    <w:rPr>
                      <w:rFonts w:hint="default"/>
                      <w:color w:val="auto"/>
                      <w:sz w:val="21"/>
                      <w:szCs w:val="21"/>
                    </w:rPr>
                    <w:t>委托</w:t>
                  </w:r>
                  <w:r>
                    <w:rPr>
                      <w:rFonts w:hint="default"/>
                      <w:color w:val="auto"/>
                      <w:sz w:val="21"/>
                      <w:szCs w:val="21"/>
                      <w:lang w:val="en-US" w:eastAsia="zh-CN"/>
                    </w:rPr>
                    <w:t>有资质的单位清运</w:t>
                  </w:r>
                  <w:r>
                    <w:rPr>
                      <w:rFonts w:hint="default"/>
                      <w:color w:val="auto"/>
                      <w:sz w:val="21"/>
                      <w:szCs w:val="21"/>
                    </w:rPr>
                    <w:t>处理</w:t>
                  </w:r>
                  <w:r>
                    <w:rPr>
                      <w:rFonts w:hint="default"/>
                      <w:color w:val="auto"/>
                      <w:lang w:val="en-US" w:eastAsia="zh-CN"/>
                    </w:rPr>
                    <w:t>。</w:t>
                  </w:r>
                  <w:r>
                    <w:rPr>
                      <w:rFonts w:hint="eastAsia"/>
                      <w:color w:val="auto"/>
                      <w:lang w:val="en-US" w:eastAsia="zh-CN"/>
                    </w:rPr>
                    <w:t>项目无废水外排</w:t>
                  </w:r>
                  <w:r>
                    <w:rPr>
                      <w:rFonts w:hint="default" w:ascii="Times New Roman" w:hAnsi="Times New Roman" w:cs="Times New Roman"/>
                      <w:color w:val="auto"/>
                      <w:lang w:val="en-US" w:eastAsia="zh-CN"/>
                    </w:rPr>
                    <w:t>。</w:t>
                  </w:r>
                </w:p>
              </w:tc>
              <w:tc>
                <w:tcPr>
                  <w:tcW w:w="693" w:type="pct"/>
                  <w:noWrap w:val="0"/>
                  <w:vAlign w:val="center"/>
                </w:tcPr>
                <w:p w14:paraId="6422A8C9">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否</w:t>
                  </w:r>
                </w:p>
              </w:tc>
            </w:tr>
            <w:tr w14:paraId="764C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noWrap w:val="0"/>
                  <w:vAlign w:val="center"/>
                </w:tcPr>
                <w:p w14:paraId="5C433974">
                  <w:pPr>
                    <w:pStyle w:val="14"/>
                    <w:bidi w:val="0"/>
                    <w:spacing w:line="240" w:lineRule="auto"/>
                    <w:rPr>
                      <w:rFonts w:hint="default" w:ascii="Times New Roman" w:hAnsi="Times New Roman" w:cs="Times New Roman"/>
                      <w:color w:val="auto"/>
                    </w:rPr>
                  </w:pPr>
                  <w:r>
                    <w:rPr>
                      <w:rFonts w:hint="default" w:ascii="Times New Roman" w:hAnsi="Times New Roman" w:cs="Times New Roman"/>
                      <w:color w:val="auto"/>
                    </w:rPr>
                    <w:t>环境风险</w:t>
                  </w:r>
                </w:p>
              </w:tc>
              <w:tc>
                <w:tcPr>
                  <w:tcW w:w="1868" w:type="pct"/>
                  <w:noWrap w:val="0"/>
                  <w:vAlign w:val="center"/>
                </w:tcPr>
                <w:p w14:paraId="62AF676A">
                  <w:pPr>
                    <w:pStyle w:val="14"/>
                    <w:bidi w:val="0"/>
                    <w:spacing w:line="240" w:lineRule="auto"/>
                    <w:jc w:val="left"/>
                    <w:rPr>
                      <w:rFonts w:hint="default" w:ascii="Times New Roman" w:hAnsi="Times New Roman" w:cs="Times New Roman"/>
                      <w:color w:val="auto"/>
                    </w:rPr>
                  </w:pPr>
                  <w:r>
                    <w:rPr>
                      <w:rFonts w:hint="default" w:ascii="Times New Roman" w:hAnsi="Times New Roman" w:cs="Times New Roman"/>
                      <w:color w:val="auto"/>
                    </w:rPr>
                    <w:t>有毒有害和易燃易爆危险物质存储量超过临界量3的建设项目。</w:t>
                  </w:r>
                </w:p>
              </w:tc>
              <w:tc>
                <w:tcPr>
                  <w:tcW w:w="1868" w:type="pct"/>
                  <w:noWrap w:val="0"/>
                  <w:vAlign w:val="center"/>
                </w:tcPr>
                <w:p w14:paraId="3D6AB14D">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项目</w:t>
                  </w:r>
                  <w:r>
                    <w:rPr>
                      <w:rFonts w:hint="default" w:ascii="Times New Roman" w:hAnsi="Times New Roman" w:cs="Times New Roman"/>
                      <w:color w:val="auto"/>
                      <w:lang w:val="en-US" w:eastAsia="zh-CN"/>
                    </w:rPr>
                    <w:t>风险物质（废机油）未超过临界量。</w:t>
                  </w:r>
                </w:p>
              </w:tc>
              <w:tc>
                <w:tcPr>
                  <w:tcW w:w="693" w:type="pct"/>
                  <w:noWrap w:val="0"/>
                  <w:vAlign w:val="center"/>
                </w:tcPr>
                <w:p w14:paraId="41876031">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否</w:t>
                  </w:r>
                </w:p>
              </w:tc>
            </w:tr>
            <w:tr w14:paraId="37873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noWrap w:val="0"/>
                  <w:vAlign w:val="center"/>
                </w:tcPr>
                <w:p w14:paraId="3A0F9F9A">
                  <w:pPr>
                    <w:pStyle w:val="14"/>
                    <w:bidi w:val="0"/>
                    <w:spacing w:line="240" w:lineRule="auto"/>
                    <w:rPr>
                      <w:rFonts w:hint="default" w:ascii="Times New Roman" w:hAnsi="Times New Roman" w:cs="Times New Roman"/>
                      <w:color w:val="auto"/>
                    </w:rPr>
                  </w:pPr>
                  <w:r>
                    <w:rPr>
                      <w:rFonts w:hint="default" w:ascii="Times New Roman" w:hAnsi="Times New Roman" w:cs="Times New Roman"/>
                      <w:color w:val="auto"/>
                    </w:rPr>
                    <w:t>生态</w:t>
                  </w:r>
                </w:p>
              </w:tc>
              <w:tc>
                <w:tcPr>
                  <w:tcW w:w="1868" w:type="pct"/>
                  <w:noWrap w:val="0"/>
                  <w:vAlign w:val="center"/>
                </w:tcPr>
                <w:p w14:paraId="4D32C4FA">
                  <w:pPr>
                    <w:pStyle w:val="14"/>
                    <w:bidi w:val="0"/>
                    <w:spacing w:line="240" w:lineRule="auto"/>
                    <w:jc w:val="left"/>
                    <w:rPr>
                      <w:rFonts w:hint="default" w:ascii="Times New Roman" w:hAnsi="Times New Roman" w:cs="Times New Roman"/>
                      <w:color w:val="auto"/>
                    </w:rPr>
                  </w:pPr>
                  <w:r>
                    <w:rPr>
                      <w:rFonts w:hint="default" w:ascii="Times New Roman" w:hAnsi="Times New Roman" w:cs="Times New Roman"/>
                      <w:color w:val="auto"/>
                    </w:rPr>
                    <w:t>取水口下游500米范围内有重要水生生物的自然产卵场、索饵场、越冬场和洄游通道的新增河道取水的污染类建设项目。</w:t>
                  </w:r>
                </w:p>
              </w:tc>
              <w:tc>
                <w:tcPr>
                  <w:tcW w:w="1868" w:type="pct"/>
                  <w:noWrap w:val="0"/>
                  <w:vAlign w:val="center"/>
                </w:tcPr>
                <w:p w14:paraId="1000920E">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项目用水</w:t>
                  </w:r>
                  <w:r>
                    <w:rPr>
                      <w:rFonts w:hint="default" w:ascii="Times New Roman" w:hAnsi="Times New Roman" w:cs="Times New Roman"/>
                      <w:color w:val="auto"/>
                      <w:lang w:val="en-US" w:eastAsia="zh-CN"/>
                    </w:rPr>
                    <w:t>依托现状市政</w:t>
                  </w:r>
                  <w:r>
                    <w:rPr>
                      <w:rFonts w:hint="default" w:ascii="Times New Roman" w:hAnsi="Times New Roman" w:cs="Times New Roman"/>
                      <w:color w:val="auto"/>
                    </w:rPr>
                    <w:t>供水管网提供，不直接从河道取水。</w:t>
                  </w:r>
                </w:p>
              </w:tc>
              <w:tc>
                <w:tcPr>
                  <w:tcW w:w="693" w:type="pct"/>
                  <w:noWrap w:val="0"/>
                  <w:vAlign w:val="center"/>
                </w:tcPr>
                <w:p w14:paraId="1A6E0B65">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否</w:t>
                  </w:r>
                </w:p>
              </w:tc>
            </w:tr>
            <w:tr w14:paraId="0E3A6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noWrap w:val="0"/>
                  <w:vAlign w:val="center"/>
                </w:tcPr>
                <w:p w14:paraId="3FFA105B">
                  <w:pPr>
                    <w:pStyle w:val="14"/>
                    <w:bidi w:val="0"/>
                    <w:spacing w:line="240" w:lineRule="auto"/>
                    <w:rPr>
                      <w:rFonts w:hint="default" w:ascii="Times New Roman" w:hAnsi="Times New Roman" w:cs="Times New Roman"/>
                      <w:color w:val="auto"/>
                    </w:rPr>
                  </w:pPr>
                  <w:r>
                    <w:rPr>
                      <w:rFonts w:hint="default" w:ascii="Times New Roman" w:hAnsi="Times New Roman" w:cs="Times New Roman"/>
                      <w:color w:val="auto"/>
                    </w:rPr>
                    <w:t>海洋</w:t>
                  </w:r>
                </w:p>
              </w:tc>
              <w:tc>
                <w:tcPr>
                  <w:tcW w:w="1868" w:type="pct"/>
                  <w:noWrap w:val="0"/>
                  <w:vAlign w:val="center"/>
                </w:tcPr>
                <w:p w14:paraId="1C7E91E7">
                  <w:pPr>
                    <w:pStyle w:val="14"/>
                    <w:bidi w:val="0"/>
                    <w:spacing w:line="240" w:lineRule="auto"/>
                    <w:jc w:val="left"/>
                    <w:rPr>
                      <w:rFonts w:hint="default" w:ascii="Times New Roman" w:hAnsi="Times New Roman" w:cs="Times New Roman"/>
                      <w:color w:val="auto"/>
                    </w:rPr>
                  </w:pPr>
                  <w:r>
                    <w:rPr>
                      <w:rFonts w:hint="default" w:ascii="Times New Roman" w:hAnsi="Times New Roman" w:cs="Times New Roman"/>
                      <w:color w:val="auto"/>
                    </w:rPr>
                    <w:t>直接向海排放污染物的海洋工程建设项目。</w:t>
                  </w:r>
                </w:p>
              </w:tc>
              <w:tc>
                <w:tcPr>
                  <w:tcW w:w="1868" w:type="pct"/>
                  <w:noWrap w:val="0"/>
                  <w:vAlign w:val="center"/>
                </w:tcPr>
                <w:p w14:paraId="1BC156D6">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项目不向海洋排放污染物。</w:t>
                  </w:r>
                </w:p>
              </w:tc>
              <w:tc>
                <w:tcPr>
                  <w:tcW w:w="693" w:type="pct"/>
                  <w:noWrap w:val="0"/>
                  <w:vAlign w:val="center"/>
                </w:tcPr>
                <w:p w14:paraId="788404AA">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否</w:t>
                  </w:r>
                </w:p>
              </w:tc>
            </w:tr>
            <w:tr w14:paraId="0CFE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noWrap w:val="0"/>
                  <w:vAlign w:val="center"/>
                </w:tcPr>
                <w:p w14:paraId="0B68EDC1">
                  <w:pPr>
                    <w:pStyle w:val="14"/>
                    <w:bidi w:val="0"/>
                    <w:spacing w:line="240" w:lineRule="auto"/>
                    <w:jc w:val="left"/>
                    <w:rPr>
                      <w:rFonts w:hint="default" w:ascii="Times New Roman" w:hAnsi="Times New Roman" w:cs="Times New Roman"/>
                      <w:color w:val="auto"/>
                    </w:rPr>
                  </w:pPr>
                  <w:r>
                    <w:rPr>
                      <w:rFonts w:hint="default" w:ascii="Times New Roman" w:hAnsi="Times New Roman" w:cs="Times New Roman"/>
                      <w:color w:val="auto"/>
                    </w:rPr>
                    <w:t>注：1.废气中有毒有害污染物指纳入《有毒有害大气污染物名录》的污染物</w:t>
                  </w:r>
                  <w:r>
                    <w:rPr>
                      <w:rFonts w:hint="default" w:ascii="Times New Roman" w:hAnsi="Times New Roman" w:cs="Times New Roman"/>
                      <w:color w:val="auto"/>
                      <w:lang w:eastAsia="zh-CN"/>
                    </w:rPr>
                    <w:t>（</w:t>
                  </w:r>
                  <w:r>
                    <w:rPr>
                      <w:rFonts w:hint="default" w:ascii="Times New Roman" w:hAnsi="Times New Roman" w:cs="Times New Roman"/>
                      <w:color w:val="auto"/>
                    </w:rPr>
                    <w:t>不包括无排放标准的污染物）。</w:t>
                  </w:r>
                </w:p>
                <w:p w14:paraId="32669BF3">
                  <w:pPr>
                    <w:pStyle w:val="14"/>
                    <w:bidi w:val="0"/>
                    <w:spacing w:line="240" w:lineRule="auto"/>
                    <w:jc w:val="left"/>
                    <w:rPr>
                      <w:rFonts w:hint="default" w:ascii="Times New Roman" w:hAnsi="Times New Roman" w:cs="Times New Roman"/>
                      <w:color w:val="auto"/>
                    </w:rPr>
                  </w:pPr>
                  <w:r>
                    <w:rPr>
                      <w:rFonts w:hint="default" w:ascii="Times New Roman" w:hAnsi="Times New Roman" w:cs="Times New Roman"/>
                      <w:color w:val="auto"/>
                    </w:rPr>
                    <w:t>2.环境空气保护目标指自然保护区、风景名胜区、居住区、文化区和农村地区中人群较集中的区域。</w:t>
                  </w:r>
                </w:p>
                <w:p w14:paraId="3946424B">
                  <w:pPr>
                    <w:pStyle w:val="14"/>
                    <w:bidi w:val="0"/>
                    <w:spacing w:line="240" w:lineRule="auto"/>
                    <w:jc w:val="left"/>
                    <w:rPr>
                      <w:rFonts w:hint="default" w:ascii="Times New Roman" w:hAnsi="Times New Roman" w:cs="Times New Roman"/>
                      <w:color w:val="auto"/>
                    </w:rPr>
                  </w:pPr>
                  <w:r>
                    <w:rPr>
                      <w:rFonts w:hint="default" w:ascii="Times New Roman" w:hAnsi="Times New Roman" w:cs="Times New Roman"/>
                      <w:color w:val="auto"/>
                    </w:rPr>
                    <w:t>3.临界量及其计算方法可参考《建设项目环境风险评价技术导则》</w:t>
                  </w:r>
                  <w:r>
                    <w:rPr>
                      <w:rFonts w:hint="default" w:ascii="Times New Roman" w:hAnsi="Times New Roman" w:cs="Times New Roman"/>
                      <w:color w:val="auto"/>
                      <w:lang w:eastAsia="zh-CN"/>
                    </w:rPr>
                    <w:t>（</w:t>
                  </w:r>
                  <w:r>
                    <w:rPr>
                      <w:rFonts w:hint="default" w:ascii="Times New Roman" w:hAnsi="Times New Roman" w:cs="Times New Roman"/>
                      <w:color w:val="auto"/>
                    </w:rPr>
                    <w:t>HJ 169）附录B、附录C。</w:t>
                  </w:r>
                </w:p>
              </w:tc>
            </w:tr>
          </w:tbl>
          <w:p w14:paraId="37C84B1A">
            <w:pPr>
              <w:bidi w:val="0"/>
              <w:spacing w:line="240" w:lineRule="auto"/>
              <w:rPr>
                <w:rFonts w:hint="default" w:ascii="Times New Roman" w:hAnsi="Times New Roman" w:cs="Times New Roman"/>
                <w:color w:val="auto"/>
                <w:vertAlign w:val="baseline"/>
              </w:rPr>
            </w:pPr>
            <w:r>
              <w:rPr>
                <w:rFonts w:hint="default" w:ascii="Times New Roman" w:hAnsi="Times New Roman" w:cs="Times New Roman"/>
                <w:color w:val="auto"/>
              </w:rPr>
              <w:t>由上表可知，项目不设置专章评价。</w:t>
            </w:r>
          </w:p>
        </w:tc>
      </w:tr>
      <w:tr w14:paraId="635A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679" w:type="dxa"/>
            <w:vAlign w:val="center"/>
          </w:tcPr>
          <w:p w14:paraId="75CC27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vertAlign w:val="baseline"/>
              </w:rPr>
            </w:pPr>
            <w:r>
              <w:rPr>
                <w:rFonts w:hint="default" w:ascii="Times New Roman" w:hAnsi="Times New Roman" w:cs="Times New Roman"/>
                <w:b w:val="0"/>
                <w:bCs w:val="0"/>
                <w:color w:val="auto"/>
                <w:vertAlign w:val="baseline"/>
              </w:rPr>
              <w:t>规划情况</w:t>
            </w:r>
          </w:p>
        </w:tc>
        <w:tc>
          <w:tcPr>
            <w:tcW w:w="6843" w:type="dxa"/>
            <w:gridSpan w:val="3"/>
            <w:vAlign w:val="center"/>
          </w:tcPr>
          <w:p w14:paraId="093745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无</w:t>
            </w:r>
          </w:p>
        </w:tc>
      </w:tr>
      <w:tr w14:paraId="08AC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9" w:type="dxa"/>
            <w:vAlign w:val="center"/>
          </w:tcPr>
          <w:p w14:paraId="68DA59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vertAlign w:val="baseline"/>
              </w:rPr>
            </w:pPr>
            <w:r>
              <w:rPr>
                <w:rFonts w:hint="default" w:ascii="Times New Roman" w:hAnsi="Times New Roman" w:cs="Times New Roman"/>
                <w:b w:val="0"/>
                <w:bCs w:val="0"/>
                <w:color w:val="auto"/>
                <w:vertAlign w:val="baseline"/>
              </w:rPr>
              <w:t>规划环境影响评价情况</w:t>
            </w:r>
          </w:p>
        </w:tc>
        <w:tc>
          <w:tcPr>
            <w:tcW w:w="6843" w:type="dxa"/>
            <w:gridSpan w:val="3"/>
            <w:vAlign w:val="center"/>
          </w:tcPr>
          <w:p w14:paraId="5D3BA7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无</w:t>
            </w:r>
          </w:p>
        </w:tc>
      </w:tr>
      <w:tr w14:paraId="32EDD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9" w:type="dxa"/>
            <w:vAlign w:val="center"/>
          </w:tcPr>
          <w:p w14:paraId="4C51E4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vertAlign w:val="baseline"/>
              </w:rPr>
            </w:pPr>
            <w:r>
              <w:rPr>
                <w:rFonts w:hint="default" w:ascii="Times New Roman" w:hAnsi="Times New Roman" w:cs="Times New Roman"/>
                <w:b w:val="0"/>
                <w:bCs w:val="0"/>
                <w:color w:val="auto"/>
                <w:vertAlign w:val="baseline"/>
              </w:rPr>
              <w:t>规划及规划环境影响评价符合性分析</w:t>
            </w:r>
          </w:p>
        </w:tc>
        <w:tc>
          <w:tcPr>
            <w:tcW w:w="6843" w:type="dxa"/>
            <w:gridSpan w:val="3"/>
            <w:vAlign w:val="center"/>
          </w:tcPr>
          <w:p w14:paraId="627F4E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无</w:t>
            </w:r>
          </w:p>
        </w:tc>
      </w:tr>
      <w:tr w14:paraId="7F88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9" w:type="dxa"/>
            <w:vAlign w:val="center"/>
          </w:tcPr>
          <w:p w14:paraId="3A6F35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vertAlign w:val="baseline"/>
              </w:rPr>
            </w:pPr>
            <w:r>
              <w:rPr>
                <w:rFonts w:hint="default" w:ascii="Times New Roman" w:hAnsi="Times New Roman" w:cs="Times New Roman"/>
                <w:b w:val="0"/>
                <w:bCs w:val="0"/>
                <w:color w:val="auto"/>
                <w:vertAlign w:val="baseline"/>
              </w:rPr>
              <w:t>其他符合性分析</w:t>
            </w:r>
          </w:p>
        </w:tc>
        <w:tc>
          <w:tcPr>
            <w:tcW w:w="6843" w:type="dxa"/>
            <w:gridSpan w:val="3"/>
            <w:vAlign w:val="center"/>
          </w:tcPr>
          <w:p w14:paraId="750A9D9B">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1、项目与</w:t>
            </w:r>
            <w:r>
              <w:rPr>
                <w:rFonts w:hint="eastAsia" w:cs="Times New Roman"/>
                <w:b/>
                <w:bCs/>
                <w:color w:val="auto"/>
                <w:lang w:val="en-US" w:eastAsia="zh-CN"/>
              </w:rPr>
              <w:t>“</w:t>
            </w:r>
            <w:r>
              <w:rPr>
                <w:rFonts w:hint="default" w:ascii="Times New Roman" w:hAnsi="Times New Roman" w:cs="Times New Roman"/>
                <w:b/>
                <w:bCs/>
                <w:color w:val="auto"/>
                <w:lang w:val="en-US" w:eastAsia="zh-CN"/>
              </w:rPr>
              <w:t>三线一单</w:t>
            </w:r>
            <w:r>
              <w:rPr>
                <w:rFonts w:hint="eastAsia" w:cs="Times New Roman"/>
                <w:b/>
                <w:bCs/>
                <w:color w:val="auto"/>
                <w:lang w:val="en-US" w:eastAsia="zh-CN"/>
              </w:rPr>
              <w:t>”</w:t>
            </w:r>
            <w:r>
              <w:rPr>
                <w:rFonts w:hint="default" w:ascii="Times New Roman" w:hAnsi="Times New Roman" w:cs="Times New Roman"/>
                <w:b/>
                <w:bCs/>
                <w:color w:val="auto"/>
                <w:lang w:val="en-US" w:eastAsia="zh-CN"/>
              </w:rPr>
              <w:t>相符性分析</w:t>
            </w:r>
          </w:p>
          <w:p w14:paraId="095220AA">
            <w:pPr>
              <w:bidi w:val="0"/>
              <w:rPr>
                <w:rFonts w:hint="default" w:ascii="Times New Roman" w:hAnsi="Times New Roman" w:cs="Times New Roman"/>
                <w:color w:val="auto"/>
              </w:rPr>
            </w:pPr>
            <w:r>
              <w:rPr>
                <w:rFonts w:hint="default" w:ascii="Times New Roman" w:hAnsi="Times New Roman" w:cs="Times New Roman"/>
                <w:color w:val="auto"/>
                <w:lang w:val="en-US" w:eastAsia="zh-CN"/>
              </w:rPr>
              <w:t>项目与《玉溪市人民政府关于印发玉溪市</w:t>
            </w:r>
            <w:r>
              <w:rPr>
                <w:rFonts w:hint="eastAsia" w:cs="Times New Roman"/>
                <w:color w:val="auto"/>
                <w:lang w:val="en-US" w:eastAsia="zh-CN"/>
              </w:rPr>
              <w:t>“</w:t>
            </w:r>
            <w:r>
              <w:rPr>
                <w:rFonts w:hint="default" w:ascii="Times New Roman" w:hAnsi="Times New Roman" w:cs="Times New Roman"/>
                <w:color w:val="auto"/>
                <w:lang w:val="en-US" w:eastAsia="zh-CN"/>
              </w:rPr>
              <w:t>三线一单</w:t>
            </w:r>
            <w:r>
              <w:rPr>
                <w:rFonts w:hint="eastAsia" w:cs="Times New Roman"/>
                <w:color w:val="auto"/>
                <w:lang w:val="en-US" w:eastAsia="zh-CN"/>
              </w:rPr>
              <w:t>”</w:t>
            </w:r>
            <w:r>
              <w:rPr>
                <w:rFonts w:hint="default" w:ascii="Times New Roman" w:hAnsi="Times New Roman" w:cs="Times New Roman"/>
                <w:color w:val="auto"/>
                <w:lang w:val="en-US" w:eastAsia="zh-CN"/>
              </w:rPr>
              <w:t>生态环境分区管控实施意见的通知》（玉政发〔2021〕15号）及《玉溪市生态环境局关于印发玉溪市生态环境分区管控动态更新调整方案（2023）年的通知》（玉市环〔2024〕40号）符合性分析。</w:t>
            </w:r>
          </w:p>
          <w:p w14:paraId="68E8A616">
            <w:pPr>
              <w:bidi w:val="0"/>
              <w:rPr>
                <w:rFonts w:hint="default"/>
                <w:color w:val="auto"/>
                <w:lang w:val="en-US" w:eastAsia="zh-CN"/>
              </w:rPr>
            </w:pPr>
            <w:r>
              <w:rPr>
                <w:rFonts w:hint="default" w:ascii="Times New Roman" w:hAnsi="Times New Roman" w:cs="Times New Roman"/>
                <w:color w:val="auto"/>
                <w:lang w:val="en-US" w:eastAsia="zh-CN"/>
              </w:rPr>
              <w:t>项目位于云南省玉溪市澄江市右所镇右所社区大坡头，根据《玉溪市生态环境局关于印发玉溪市生态环境分区管控动态更新调整方案（2023）年的通知》（玉市环〔2024〕40号）以及玉溪市生态环境局澄江分局关于本项目</w:t>
            </w:r>
            <w:r>
              <w:rPr>
                <w:rFonts w:hint="eastAsia" w:cs="Times New Roman"/>
                <w:color w:val="auto"/>
                <w:lang w:val="en-US" w:eastAsia="zh-CN"/>
              </w:rPr>
              <w:t>“</w:t>
            </w:r>
            <w:r>
              <w:rPr>
                <w:rFonts w:hint="default" w:ascii="Times New Roman" w:hAnsi="Times New Roman" w:cs="Times New Roman"/>
                <w:color w:val="auto"/>
                <w:lang w:val="en-US" w:eastAsia="zh-CN"/>
              </w:rPr>
              <w:t>三线一单</w:t>
            </w:r>
            <w:r>
              <w:rPr>
                <w:rFonts w:hint="eastAsia" w:cs="Times New Roman"/>
                <w:color w:val="auto"/>
                <w:lang w:val="en-US" w:eastAsia="zh-CN"/>
              </w:rPr>
              <w:t>”</w:t>
            </w:r>
            <w:r>
              <w:rPr>
                <w:rFonts w:hint="default" w:ascii="Times New Roman" w:hAnsi="Times New Roman" w:cs="Times New Roman"/>
                <w:color w:val="auto"/>
                <w:lang w:val="en-US" w:eastAsia="zh-CN"/>
              </w:rPr>
              <w:t>占用情况查询的回复（详见附件</w:t>
            </w:r>
            <w:r>
              <w:rPr>
                <w:rFonts w:hint="eastAsia" w:cs="Times New Roman"/>
                <w:color w:val="auto"/>
                <w:lang w:val="en-US" w:eastAsia="zh-CN"/>
              </w:rPr>
              <w:t>9</w:t>
            </w:r>
            <w:r>
              <w:rPr>
                <w:rFonts w:hint="default" w:ascii="Times New Roman" w:hAnsi="Times New Roman" w:cs="Times New Roman"/>
                <w:color w:val="auto"/>
                <w:lang w:val="en-US" w:eastAsia="zh-CN"/>
              </w:rPr>
              <w:t>），项目所在区域属于</w:t>
            </w:r>
            <w:r>
              <w:rPr>
                <w:rFonts w:hint="default" w:ascii="Times New Roman" w:hAnsi="Times New Roman" w:cs="Times New Roman"/>
                <w:b/>
                <w:bCs/>
                <w:color w:val="auto"/>
                <w:lang w:val="en-US" w:eastAsia="zh-CN"/>
              </w:rPr>
              <w:t>澄江市乡镇生活污染重点管控单元</w:t>
            </w:r>
            <w:r>
              <w:rPr>
                <w:rFonts w:hint="default" w:ascii="Times New Roman" w:hAnsi="Times New Roman" w:cs="Times New Roman"/>
                <w:color w:val="auto"/>
                <w:lang w:val="en-US" w:eastAsia="zh-CN"/>
              </w:rPr>
              <w:t>，</w:t>
            </w:r>
            <w:r>
              <w:rPr>
                <w:rFonts w:hint="default"/>
                <w:color w:val="auto"/>
                <w:lang w:val="en-US" w:eastAsia="zh-CN"/>
              </w:rPr>
              <w:t>不涉及集中式饮用水源地、千吨万人水源地保护区。</w:t>
            </w:r>
          </w:p>
          <w:p w14:paraId="734AC127">
            <w:pPr>
              <w:bidi w:val="0"/>
              <w:ind w:left="0" w:leftChars="0" w:firstLine="0" w:firstLineChars="0"/>
              <w:jc w:val="center"/>
              <w:rPr>
                <w:rFonts w:hint="default"/>
                <w:b/>
                <w:bCs/>
                <w:color w:val="auto"/>
              </w:rPr>
            </w:pPr>
            <w:r>
              <w:rPr>
                <w:rFonts w:hint="default"/>
                <w:b/>
                <w:bCs/>
                <w:color w:val="auto"/>
              </w:rPr>
              <w:t>表1-</w:t>
            </w:r>
            <w:r>
              <w:rPr>
                <w:rFonts w:hint="default"/>
                <w:b/>
                <w:bCs/>
                <w:color w:val="auto"/>
                <w:lang w:val="en-US" w:eastAsia="zh-CN"/>
              </w:rPr>
              <w:t>2</w:t>
            </w:r>
            <w:r>
              <w:rPr>
                <w:rFonts w:hint="default"/>
                <w:b/>
                <w:bCs/>
                <w:color w:val="auto"/>
              </w:rPr>
              <w:t xml:space="preserve"> </w:t>
            </w:r>
            <w:r>
              <w:rPr>
                <w:rFonts w:hint="default"/>
                <w:b/>
                <w:bCs/>
                <w:color w:val="auto"/>
                <w:lang w:val="en-US" w:eastAsia="zh-CN"/>
              </w:rPr>
              <w:t xml:space="preserve"> </w:t>
            </w:r>
            <w:r>
              <w:rPr>
                <w:rFonts w:hint="default"/>
                <w:b/>
                <w:bCs/>
                <w:color w:val="auto"/>
              </w:rPr>
              <w:t>项目与</w:t>
            </w:r>
            <w:r>
              <w:rPr>
                <w:rFonts w:hint="eastAsia"/>
                <w:b/>
                <w:bCs/>
                <w:color w:val="auto"/>
                <w:lang w:eastAsia="zh-CN"/>
              </w:rPr>
              <w:t>“</w:t>
            </w:r>
            <w:r>
              <w:rPr>
                <w:rFonts w:hint="default"/>
                <w:b/>
                <w:bCs/>
                <w:color w:val="auto"/>
                <w:lang w:val="en-US" w:eastAsia="zh-CN"/>
              </w:rPr>
              <w:t>三线一单</w:t>
            </w:r>
            <w:r>
              <w:rPr>
                <w:rFonts w:hint="eastAsia"/>
                <w:b/>
                <w:bCs/>
                <w:color w:val="auto"/>
                <w:lang w:eastAsia="zh-CN"/>
              </w:rPr>
              <w:t>”</w:t>
            </w:r>
            <w:r>
              <w:rPr>
                <w:rFonts w:hint="default"/>
                <w:b/>
                <w:bCs/>
                <w:color w:val="auto"/>
              </w:rPr>
              <w:t>符合性分析</w:t>
            </w:r>
          </w:p>
          <w:tbl>
            <w:tblPr>
              <w:tblStyle w:val="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2765"/>
              <w:gridCol w:w="2455"/>
              <w:gridCol w:w="724"/>
            </w:tblGrid>
            <w:tr w14:paraId="6941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597" w:type="pct"/>
                  <w:gridSpan w:val="2"/>
                  <w:noWrap w:val="0"/>
                  <w:vAlign w:val="center"/>
                </w:tcPr>
                <w:p w14:paraId="3F40ECB8">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文件要求</w:t>
                  </w:r>
                </w:p>
              </w:tc>
              <w:tc>
                <w:tcPr>
                  <w:tcW w:w="1855" w:type="pct"/>
                  <w:noWrap w:val="0"/>
                  <w:vAlign w:val="center"/>
                </w:tcPr>
                <w:p w14:paraId="6CFF992C">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项目情况</w:t>
                  </w:r>
                </w:p>
              </w:tc>
              <w:tc>
                <w:tcPr>
                  <w:tcW w:w="547" w:type="pct"/>
                  <w:noWrap w:val="0"/>
                  <w:vAlign w:val="center"/>
                </w:tcPr>
                <w:p w14:paraId="60CA65DF">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符合</w:t>
                  </w:r>
                  <w:r>
                    <w:rPr>
                      <w:rFonts w:hint="default" w:ascii="Times New Roman" w:hAnsi="Times New Roman" w:cs="Times New Roman"/>
                      <w:b/>
                      <w:bCs/>
                      <w:color w:val="auto"/>
                      <w:lang w:val="en-US" w:eastAsia="zh-CN"/>
                    </w:rPr>
                    <w:t>性</w:t>
                  </w:r>
                </w:p>
              </w:tc>
            </w:tr>
            <w:tr w14:paraId="3C2D4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noWrap w:val="0"/>
                  <w:vAlign w:val="center"/>
                </w:tcPr>
                <w:p w14:paraId="63759E69">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生态保护红线和一般生态空间</w:t>
                  </w:r>
                </w:p>
              </w:tc>
              <w:tc>
                <w:tcPr>
                  <w:tcW w:w="2089" w:type="pct"/>
                  <w:noWrap w:val="0"/>
                  <w:vAlign w:val="center"/>
                </w:tcPr>
                <w:p w14:paraId="1C6F9476">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执行《云南省人民政府关于发布云南省生态保护红线的通知》（云政发〔2018〕32 号），生态保护红线评估调整成果获批后，按照批准成果执行。将未划入生态保护红线的自然保护地、饮用水水源保护区、重要湿地、基本草原、生态公益林、天然林等生态功能重要、生态环境敏感区域划为一般生态空间。</w:t>
                  </w:r>
                </w:p>
              </w:tc>
              <w:tc>
                <w:tcPr>
                  <w:tcW w:w="1855" w:type="pct"/>
                  <w:noWrap w:val="0"/>
                  <w:vAlign w:val="center"/>
                </w:tcPr>
                <w:p w14:paraId="33AD0173">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根据</w:t>
                  </w:r>
                  <w:r>
                    <w:rPr>
                      <w:rFonts w:hint="eastAsia" w:cs="Times New Roman"/>
                      <w:color w:val="auto"/>
                      <w:lang w:val="en-US" w:eastAsia="zh-CN"/>
                    </w:rPr>
                    <w:t>“</w:t>
                  </w:r>
                  <w:r>
                    <w:rPr>
                      <w:rFonts w:hint="default" w:ascii="Times New Roman" w:hAnsi="Times New Roman" w:cs="Times New Roman"/>
                      <w:color w:val="auto"/>
                      <w:lang w:val="en-US" w:eastAsia="zh-CN"/>
                    </w:rPr>
                    <w:t>三区三线</w:t>
                  </w:r>
                  <w:r>
                    <w:rPr>
                      <w:rFonts w:hint="eastAsia" w:cs="Times New Roman"/>
                      <w:color w:val="auto"/>
                      <w:lang w:val="en-US" w:eastAsia="zh-CN"/>
                    </w:rPr>
                    <w:t>”</w:t>
                  </w:r>
                  <w:r>
                    <w:rPr>
                      <w:rFonts w:hint="default" w:ascii="Times New Roman" w:hAnsi="Times New Roman" w:cs="Times New Roman"/>
                      <w:color w:val="auto"/>
                      <w:lang w:val="en-US" w:eastAsia="zh-CN"/>
                    </w:rPr>
                    <w:t>查询意见，项目范围不占用国土空间规划划定的生态保护红线、永久基本农田，占地范围内属于城镇开发边界内。根据</w:t>
                  </w:r>
                  <w:r>
                    <w:rPr>
                      <w:rFonts w:hint="eastAsia" w:cs="Times New Roman"/>
                      <w:color w:val="auto"/>
                      <w:lang w:val="en-US" w:eastAsia="zh-CN"/>
                    </w:rPr>
                    <w:t>“</w:t>
                  </w:r>
                  <w:r>
                    <w:rPr>
                      <w:rFonts w:hint="default" w:ascii="Times New Roman" w:hAnsi="Times New Roman" w:cs="Times New Roman"/>
                      <w:color w:val="auto"/>
                      <w:lang w:val="en-US" w:eastAsia="zh-CN"/>
                    </w:rPr>
                    <w:t>三线一单</w:t>
                  </w:r>
                  <w:r>
                    <w:rPr>
                      <w:rFonts w:hint="eastAsia" w:cs="Times New Roman"/>
                      <w:color w:val="auto"/>
                      <w:lang w:val="en-US" w:eastAsia="zh-CN"/>
                    </w:rPr>
                    <w:t>”</w:t>
                  </w:r>
                  <w:r>
                    <w:rPr>
                      <w:rFonts w:hint="default" w:ascii="Times New Roman" w:hAnsi="Times New Roman" w:cs="Times New Roman"/>
                      <w:color w:val="auto"/>
                      <w:lang w:val="en-US" w:eastAsia="zh-CN"/>
                    </w:rPr>
                    <w:t>查询意见，项目占地范围不涉及国家地质公园、自然保护区。周围无饮用水水源保护区、重要湿地、基本草原、生态公益林、天然林等生态功能重要、生态环境敏感区域。</w:t>
                  </w:r>
                </w:p>
              </w:tc>
              <w:tc>
                <w:tcPr>
                  <w:tcW w:w="547" w:type="pct"/>
                  <w:noWrap w:val="0"/>
                  <w:vAlign w:val="center"/>
                </w:tcPr>
                <w:p w14:paraId="1F298CCC">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符合</w:t>
                  </w:r>
                </w:p>
              </w:tc>
            </w:tr>
            <w:tr w14:paraId="4AAA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restart"/>
                  <w:noWrap w:val="0"/>
                  <w:vAlign w:val="center"/>
                </w:tcPr>
                <w:p w14:paraId="16326BCE">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环境质量底线</w:t>
                  </w:r>
                </w:p>
              </w:tc>
              <w:tc>
                <w:tcPr>
                  <w:tcW w:w="2089" w:type="pct"/>
                  <w:noWrap w:val="0"/>
                  <w:vAlign w:val="center"/>
                </w:tcPr>
                <w:p w14:paraId="4C021769">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水环境质量底线。到2025年，全市水环境质量持续改善，纳入国家和省级考核的地表水监测断面水质优良率稳步提升。抚仙湖水质稳定保持Ⅰ类水质标准，星云湖、杞麓湖水质指标均达到Ⅴ类水质标准。中心城区及县城集中式饮用水水源地水质达标率为100%。到2035年，全市水环境质量总体改善，水生生态系统功能恢复。地表水水体水质优良率全面提升，彻底消除劣V类水体。抚仙湖水质稳定保持Ⅰ类水质标准，星云湖和杞麓湖水质持续稳定向好。</w:t>
                  </w:r>
                </w:p>
              </w:tc>
              <w:tc>
                <w:tcPr>
                  <w:tcW w:w="1855" w:type="pct"/>
                  <w:noWrap w:val="0"/>
                  <w:vAlign w:val="center"/>
                </w:tcPr>
                <w:p w14:paraId="10557C06">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本项目采用雨污分流系统，雨水通过厂内雨水沟收集后排入周边雨水沟渠</w:t>
                  </w:r>
                  <w:r>
                    <w:rPr>
                      <w:rFonts w:hint="eastAsia" w:cs="Times New Roman"/>
                      <w:color w:val="auto"/>
                      <w:lang w:val="en-US" w:eastAsia="zh-CN"/>
                    </w:rPr>
                    <w:t>；</w:t>
                  </w:r>
                  <w:r>
                    <w:rPr>
                      <w:rFonts w:hint="default"/>
                      <w:color w:val="auto"/>
                      <w:lang w:val="en-US" w:eastAsia="zh-CN"/>
                    </w:rPr>
                    <w:t>本项目生产过程中</w:t>
                  </w:r>
                  <w:r>
                    <w:rPr>
                      <w:rFonts w:hint="eastAsia"/>
                      <w:color w:val="auto"/>
                      <w:lang w:val="en-US" w:eastAsia="zh-CN"/>
                    </w:rPr>
                    <w:t>仅产生少量员工洗手废水及水帘处理系统更换废液，其中，</w:t>
                  </w:r>
                  <w:r>
                    <w:rPr>
                      <w:rFonts w:hint="eastAsia" w:eastAsia="宋体"/>
                      <w:color w:val="auto"/>
                      <w:sz w:val="21"/>
                      <w:szCs w:val="21"/>
                      <w:lang w:val="en-US" w:eastAsia="zh-CN"/>
                    </w:rPr>
                    <w:t>洗手废水经沉淀后回用于厂区道路洒水降尘，水帘废液作为危险废物</w:t>
                  </w:r>
                  <w:r>
                    <w:rPr>
                      <w:rFonts w:hint="eastAsia"/>
                      <w:color w:val="auto"/>
                      <w:sz w:val="21"/>
                      <w:szCs w:val="21"/>
                      <w:lang w:val="en-US" w:eastAsia="zh-CN"/>
                    </w:rPr>
                    <w:t>暂存于危废间，</w:t>
                  </w:r>
                  <w:r>
                    <w:rPr>
                      <w:rFonts w:hint="default"/>
                      <w:color w:val="auto"/>
                      <w:sz w:val="21"/>
                      <w:szCs w:val="21"/>
                    </w:rPr>
                    <w:t>委托</w:t>
                  </w:r>
                  <w:r>
                    <w:rPr>
                      <w:rFonts w:hint="default"/>
                      <w:color w:val="auto"/>
                      <w:sz w:val="21"/>
                      <w:szCs w:val="21"/>
                      <w:lang w:val="en-US" w:eastAsia="zh-CN"/>
                    </w:rPr>
                    <w:t>有资质的单位清运</w:t>
                  </w:r>
                  <w:r>
                    <w:rPr>
                      <w:rFonts w:hint="default"/>
                      <w:color w:val="auto"/>
                      <w:sz w:val="21"/>
                      <w:szCs w:val="21"/>
                    </w:rPr>
                    <w:t>处理</w:t>
                  </w:r>
                  <w:r>
                    <w:rPr>
                      <w:rFonts w:hint="default"/>
                      <w:color w:val="auto"/>
                      <w:lang w:val="en-US" w:eastAsia="zh-CN"/>
                    </w:rPr>
                    <w:t>。</w:t>
                  </w:r>
                  <w:r>
                    <w:rPr>
                      <w:rFonts w:hint="eastAsia"/>
                      <w:color w:val="auto"/>
                      <w:lang w:val="en-US" w:eastAsia="zh-CN"/>
                    </w:rPr>
                    <w:t>项目无废水外排</w:t>
                  </w:r>
                  <w:r>
                    <w:rPr>
                      <w:rFonts w:hint="default"/>
                      <w:color w:val="auto"/>
                      <w:lang w:val="en-US" w:eastAsia="zh-CN"/>
                    </w:rPr>
                    <w:t>。</w:t>
                  </w:r>
                  <w:r>
                    <w:rPr>
                      <w:rFonts w:hint="default"/>
                      <w:color w:val="auto"/>
                    </w:rPr>
                    <w:t>不会对</w:t>
                  </w:r>
                  <w:r>
                    <w:rPr>
                      <w:rFonts w:hint="default"/>
                      <w:color w:val="auto"/>
                      <w:lang w:val="en-US" w:eastAsia="zh-CN"/>
                    </w:rPr>
                    <w:t>地表水</w:t>
                  </w:r>
                  <w:r>
                    <w:rPr>
                      <w:rFonts w:hint="default"/>
                      <w:color w:val="auto"/>
                    </w:rPr>
                    <w:t>环境产生影响，</w:t>
                  </w:r>
                  <w:r>
                    <w:rPr>
                      <w:rFonts w:hint="default"/>
                      <w:color w:val="auto"/>
                      <w:lang w:val="en-US" w:eastAsia="zh-CN"/>
                    </w:rPr>
                    <w:t>不会改变区域地表水环境功能，</w:t>
                  </w:r>
                  <w:r>
                    <w:rPr>
                      <w:rFonts w:hint="default"/>
                      <w:color w:val="auto"/>
                    </w:rPr>
                    <w:t>符合管控要求</w:t>
                  </w:r>
                  <w:r>
                    <w:rPr>
                      <w:rFonts w:hint="default" w:ascii="Times New Roman" w:hAnsi="Times New Roman" w:cs="Times New Roman"/>
                      <w:color w:val="auto"/>
                      <w:lang w:eastAsia="zh-CN"/>
                    </w:rPr>
                    <w:t>。</w:t>
                  </w:r>
                </w:p>
              </w:tc>
              <w:tc>
                <w:tcPr>
                  <w:tcW w:w="547" w:type="pct"/>
                  <w:noWrap w:val="0"/>
                  <w:vAlign w:val="center"/>
                </w:tcPr>
                <w:p w14:paraId="330DF6EF">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符合</w:t>
                  </w:r>
                </w:p>
              </w:tc>
            </w:tr>
            <w:tr w14:paraId="24BC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noWrap w:val="0"/>
                  <w:vAlign w:val="center"/>
                </w:tcPr>
                <w:p w14:paraId="20606B13">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p>
              </w:tc>
              <w:tc>
                <w:tcPr>
                  <w:tcW w:w="2089" w:type="pct"/>
                  <w:noWrap w:val="0"/>
                  <w:vAlign w:val="center"/>
                </w:tcPr>
                <w:p w14:paraId="02BAF56B">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大气环境质量底线。到2025年，全市环境空气质量稳中向好，中心城区城市空气质量优良天数比率保持稳定，主要污染物排放量达到国家和省级污染物总量控制要求，单位GDP二氧化碳排放控制在省下达指标内。到2035年，全市环境空气质量持续保持优良，实现稳中向好，主要污染物排放总量和二氧化碳排放量持续减少。</w:t>
                  </w:r>
                </w:p>
              </w:tc>
              <w:tc>
                <w:tcPr>
                  <w:tcW w:w="1855" w:type="pct"/>
                  <w:noWrap w:val="0"/>
                  <w:vAlign w:val="center"/>
                </w:tcPr>
                <w:p w14:paraId="78F9D569">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eastAsia="zh-CN"/>
                    </w:rPr>
                    <w:t>根据《</w:t>
                  </w:r>
                  <w:r>
                    <w:rPr>
                      <w:rFonts w:hint="default" w:ascii="Times New Roman" w:hAnsi="Times New Roman" w:cs="Times New Roman"/>
                      <w:color w:val="auto"/>
                      <w:lang w:val="en-US" w:eastAsia="zh-CN"/>
                    </w:rPr>
                    <w:t>2023年度玉溪市环境空气质量状况统计分析报告</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项目区环境空气质量</w:t>
                  </w:r>
                  <w:r>
                    <w:rPr>
                      <w:rFonts w:hint="default" w:ascii="Times New Roman" w:hAnsi="Times New Roman" w:cs="Times New Roman"/>
                      <w:color w:val="auto"/>
                    </w:rPr>
                    <w:t>满足《环境空气质量标准》</w:t>
                  </w:r>
                  <w:r>
                    <w:rPr>
                      <w:rFonts w:hint="default" w:ascii="Times New Roman" w:hAnsi="Times New Roman" w:cs="Times New Roman"/>
                      <w:color w:val="auto"/>
                      <w:lang w:eastAsia="zh-CN"/>
                    </w:rPr>
                    <w:t>（</w:t>
                  </w:r>
                  <w:r>
                    <w:rPr>
                      <w:rFonts w:hint="default" w:ascii="Times New Roman" w:hAnsi="Times New Roman" w:cs="Times New Roman"/>
                      <w:color w:val="auto"/>
                    </w:rPr>
                    <w:t>GB3095-2012）二级标准</w:t>
                  </w:r>
                  <w:r>
                    <w:rPr>
                      <w:rFonts w:hint="eastAsia" w:cs="Times New Roman"/>
                      <w:color w:val="auto"/>
                      <w:lang w:eastAsia="zh-CN"/>
                    </w:rPr>
                    <w:t>；</w:t>
                  </w:r>
                  <w:r>
                    <w:rPr>
                      <w:rFonts w:hint="default" w:ascii="Times New Roman" w:hAnsi="Times New Roman" w:cs="Times New Roman"/>
                      <w:color w:val="auto"/>
                    </w:rPr>
                    <w:t>经工程分析可知，</w:t>
                  </w:r>
                  <w:r>
                    <w:rPr>
                      <w:rFonts w:hint="default" w:ascii="Times New Roman" w:hAnsi="Times New Roman" w:cs="Times New Roman"/>
                      <w:color w:val="auto"/>
                      <w:lang w:val="en-US" w:eastAsia="zh-CN"/>
                    </w:rPr>
                    <w:t>建设及运营过程中在采取相应环保措施后，项目各大气污染物均能达标排放，本项目建设不会突破当地大气环境质量底线。</w:t>
                  </w:r>
                </w:p>
              </w:tc>
              <w:tc>
                <w:tcPr>
                  <w:tcW w:w="547" w:type="pct"/>
                  <w:noWrap w:val="0"/>
                  <w:vAlign w:val="center"/>
                </w:tcPr>
                <w:p w14:paraId="1EB25DC8">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符合</w:t>
                  </w:r>
                </w:p>
              </w:tc>
            </w:tr>
            <w:tr w14:paraId="5B86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noWrap w:val="0"/>
                  <w:vAlign w:val="center"/>
                </w:tcPr>
                <w:p w14:paraId="166FBE14">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p>
              </w:tc>
              <w:tc>
                <w:tcPr>
                  <w:tcW w:w="2089" w:type="pct"/>
                  <w:noWrap w:val="0"/>
                  <w:vAlign w:val="center"/>
                </w:tcPr>
                <w:p w14:paraId="58F10108">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土壤环境风险防控底线。到2025年，全市土壤环境风险防范体系进一步完善，受污染耕地安全利用率和污染地块安全利用率达到省下达的目标要求。到2035年，全市土壤环境质量稳中向好，农用地和建设用地土壤环境安全得到有效保障，受污染耕地安全利用率和污染地块安全利用率进一步提高，土壤环境风险得到全面管控。</w:t>
                  </w:r>
                </w:p>
              </w:tc>
              <w:tc>
                <w:tcPr>
                  <w:tcW w:w="1855" w:type="pct"/>
                  <w:noWrap w:val="0"/>
                  <w:vAlign w:val="center"/>
                </w:tcPr>
                <w:p w14:paraId="452942F2">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eastAsia="zh-CN"/>
                    </w:rPr>
                  </w:pPr>
                  <w:r>
                    <w:rPr>
                      <w:rFonts w:hint="default" w:ascii="Times New Roman" w:hAnsi="Times New Roman" w:cs="Times New Roman"/>
                      <w:color w:val="auto"/>
                    </w:rPr>
                    <w:t>本项目无废水</w:t>
                  </w:r>
                  <w:r>
                    <w:rPr>
                      <w:rFonts w:hint="default" w:ascii="Times New Roman" w:hAnsi="Times New Roman" w:cs="Times New Roman"/>
                      <w:color w:val="auto"/>
                      <w:lang w:val="en-US" w:eastAsia="zh-CN"/>
                    </w:rPr>
                    <w:t>外排，在确保各项防渗措施得以落实，并加强厂区环境管理的前提下，可有效避免土壤及地下水环境受到项目影响，符合</w:t>
                  </w:r>
                  <w:r>
                    <w:rPr>
                      <w:rFonts w:hint="default" w:ascii="Times New Roman" w:hAnsi="Times New Roman" w:cs="Times New Roman"/>
                      <w:color w:val="auto"/>
                    </w:rPr>
                    <w:t>土壤环境风险</w:t>
                  </w:r>
                  <w:r>
                    <w:rPr>
                      <w:rFonts w:hint="default" w:ascii="Times New Roman" w:hAnsi="Times New Roman" w:cs="Times New Roman"/>
                      <w:color w:val="auto"/>
                      <w:lang w:val="en-US" w:eastAsia="zh-CN"/>
                    </w:rPr>
                    <w:t>防控底线要求。</w:t>
                  </w:r>
                </w:p>
              </w:tc>
              <w:tc>
                <w:tcPr>
                  <w:tcW w:w="547" w:type="pct"/>
                  <w:noWrap w:val="0"/>
                  <w:vAlign w:val="center"/>
                </w:tcPr>
                <w:p w14:paraId="022B6203">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eastAsia="zh-CN"/>
                    </w:rPr>
                    <w:t>符合</w:t>
                  </w:r>
                </w:p>
              </w:tc>
            </w:tr>
            <w:tr w14:paraId="66C96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noWrap w:val="0"/>
                  <w:vAlign w:val="center"/>
                </w:tcPr>
                <w:p w14:paraId="3E7BA788">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资源利用上线</w:t>
                  </w:r>
                </w:p>
              </w:tc>
              <w:tc>
                <w:tcPr>
                  <w:tcW w:w="2089" w:type="pct"/>
                  <w:noWrap w:val="0"/>
                  <w:vAlign w:val="center"/>
                </w:tcPr>
                <w:p w14:paraId="656B77CB">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强化资源能源节约集约利用，持续提升资源能源利用效率，水资源、土地资源、能源消耗等达到或优于省下达的总量和强度控制目标。</w:t>
                  </w:r>
                </w:p>
              </w:tc>
              <w:tc>
                <w:tcPr>
                  <w:tcW w:w="1855" w:type="pct"/>
                  <w:noWrap w:val="0"/>
                  <w:vAlign w:val="center"/>
                </w:tcPr>
                <w:p w14:paraId="3DAAAAFA">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土地资源：项目租用云南澄江县德安磷化工有限责任公司厂址范围的闲置厂房及空地进行建设</w:t>
                  </w:r>
                  <w:r>
                    <w:rPr>
                      <w:rFonts w:hint="default" w:ascii="Times New Roman" w:hAnsi="Times New Roman" w:cs="Times New Roman"/>
                      <w:color w:val="auto"/>
                      <w:lang w:eastAsia="zh-CN"/>
                    </w:rPr>
                    <w:t>，不新增用地</w:t>
                  </w:r>
                  <w:r>
                    <w:rPr>
                      <w:rFonts w:hint="default" w:ascii="Times New Roman" w:hAnsi="Times New Roman" w:cs="Times New Roman"/>
                      <w:color w:val="auto"/>
                      <w:lang w:val="en-US" w:eastAsia="zh-CN"/>
                    </w:rPr>
                    <w:t>，有助于提高土地利用率</w:t>
                  </w:r>
                  <w:r>
                    <w:rPr>
                      <w:rFonts w:hint="eastAsia" w:cs="Times New Roman"/>
                      <w:color w:val="auto"/>
                      <w:lang w:val="en-US" w:eastAsia="zh-CN"/>
                    </w:rPr>
                    <w:t>；</w:t>
                  </w:r>
                </w:p>
                <w:p w14:paraId="2394C35F">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水资源：</w:t>
                  </w:r>
                  <w:r>
                    <w:rPr>
                      <w:rFonts w:hint="eastAsia"/>
                      <w:color w:val="auto"/>
                      <w:lang w:val="en-US" w:eastAsia="zh-CN"/>
                    </w:rPr>
                    <w:t>项目生产不使用水，仅少量办公洗手用水、水帘系统更换用水及绿化用水，根据工程分析，年用水量较少，不会给水资源利用带来明显的压力</w:t>
                  </w:r>
                  <w:r>
                    <w:rPr>
                      <w:rFonts w:hint="eastAsia" w:cs="Times New Roman"/>
                      <w:color w:val="auto"/>
                      <w:lang w:val="en-US" w:eastAsia="zh-CN"/>
                    </w:rPr>
                    <w:t>；</w:t>
                  </w:r>
                </w:p>
                <w:p w14:paraId="67BBD586">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矿产资源：不涉及</w:t>
                  </w:r>
                  <w:r>
                    <w:rPr>
                      <w:rFonts w:hint="eastAsia" w:cs="Times New Roman"/>
                      <w:color w:val="auto"/>
                      <w:lang w:val="en-US" w:eastAsia="zh-CN"/>
                    </w:rPr>
                    <w:t>；</w:t>
                  </w:r>
                </w:p>
                <w:p w14:paraId="21446936">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能源：本项目仅生产设备运行及办公过程使用电能，符合绿色低碳发展的要求。</w:t>
                  </w:r>
                </w:p>
              </w:tc>
              <w:tc>
                <w:tcPr>
                  <w:tcW w:w="547" w:type="pct"/>
                  <w:noWrap w:val="0"/>
                  <w:vAlign w:val="center"/>
                </w:tcPr>
                <w:p w14:paraId="28D077C8">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eastAsia="zh-CN"/>
                    </w:rPr>
                    <w:t>符合</w:t>
                  </w:r>
                </w:p>
              </w:tc>
            </w:tr>
            <w:tr w14:paraId="57C1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noWrap w:val="0"/>
                  <w:vAlign w:val="center"/>
                </w:tcPr>
                <w:p w14:paraId="64C182C2">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玉溪市生态环境管控总体要求</w:t>
                  </w:r>
                </w:p>
              </w:tc>
            </w:tr>
            <w:tr w14:paraId="45A8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noWrap w:val="0"/>
                  <w:vAlign w:val="center"/>
                </w:tcPr>
                <w:p w14:paraId="1695CB6B">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管控领域</w:t>
                  </w:r>
                </w:p>
              </w:tc>
              <w:tc>
                <w:tcPr>
                  <w:tcW w:w="2089" w:type="pct"/>
                  <w:noWrap w:val="0"/>
                  <w:vAlign w:val="center"/>
                </w:tcPr>
                <w:p w14:paraId="61A096DF">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管控要求</w:t>
                  </w:r>
                </w:p>
              </w:tc>
              <w:tc>
                <w:tcPr>
                  <w:tcW w:w="1855" w:type="pct"/>
                  <w:noWrap w:val="0"/>
                  <w:vAlign w:val="center"/>
                </w:tcPr>
                <w:p w14:paraId="0301BDD1">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项目情况</w:t>
                  </w:r>
                </w:p>
              </w:tc>
              <w:tc>
                <w:tcPr>
                  <w:tcW w:w="547" w:type="pct"/>
                  <w:noWrap w:val="0"/>
                  <w:vAlign w:val="center"/>
                </w:tcPr>
                <w:p w14:paraId="7A4C4E5D">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符合情况</w:t>
                  </w:r>
                </w:p>
              </w:tc>
            </w:tr>
            <w:tr w14:paraId="04F6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restart"/>
                  <w:noWrap w:val="0"/>
                  <w:vAlign w:val="center"/>
                </w:tcPr>
                <w:p w14:paraId="184EFB83">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空间布局约束</w:t>
                  </w:r>
                </w:p>
              </w:tc>
              <w:tc>
                <w:tcPr>
                  <w:tcW w:w="2089" w:type="pct"/>
                  <w:noWrap w:val="0"/>
                  <w:vAlign w:val="center"/>
                </w:tcPr>
                <w:p w14:paraId="3166E16B">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1.严格落实国家产业政策、国家产业结构调整指导目录。坚决遏制高耗能、高排放、低水平项目盲目发展，项目审批严格落实国家和云南省相关政策要求。严格落实钢铁、水泥、平板玻璃、电解铝等行业产能置换相关政策，严管严控新增电解铝和工业硅产能。</w:t>
                  </w:r>
                </w:p>
              </w:tc>
              <w:tc>
                <w:tcPr>
                  <w:tcW w:w="1855" w:type="pct"/>
                  <w:noWrap w:val="0"/>
                  <w:vAlign w:val="center"/>
                </w:tcPr>
                <w:p w14:paraId="5C8B4E60">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rPr>
                  </w:pPr>
                  <w:r>
                    <w:rPr>
                      <w:rFonts w:hint="default" w:ascii="Times New Roman" w:hAnsi="Times New Roman" w:cs="Times New Roman"/>
                      <w:color w:val="auto"/>
                      <w:lang w:val="en-US" w:eastAsia="zh-CN"/>
                    </w:rPr>
                    <w:t>根据与</w:t>
                  </w:r>
                  <w:r>
                    <w:rPr>
                      <w:rFonts w:hint="default" w:ascii="Times New Roman" w:hAnsi="Times New Roman" w:cs="Times New Roman"/>
                      <w:color w:val="auto"/>
                      <w:lang w:val="en-US"/>
                    </w:rPr>
                    <w:t>《产业结构调整指导目录</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rPr>
                    <w:t>2024年本）》</w:t>
                  </w:r>
                  <w:r>
                    <w:rPr>
                      <w:rFonts w:hint="default" w:ascii="Times New Roman" w:hAnsi="Times New Roman" w:cs="Times New Roman"/>
                      <w:color w:val="auto"/>
                      <w:lang w:val="en-US" w:eastAsia="zh-CN"/>
                    </w:rPr>
                    <w:t>分析，本项目未在鼓励类、淘汰类或限制类目录内，项目已获得澄江市发展和改革局出具的云南省固定资产投资项目备案证，项目代码2408-530422-04-01-641388，视为允许类，符合国家及地方的产业政策</w:t>
                  </w:r>
                  <w:r>
                    <w:rPr>
                      <w:rFonts w:hint="default" w:ascii="Times New Roman" w:hAnsi="Times New Roman" w:cs="Times New Roman"/>
                      <w:color w:val="auto"/>
                      <w:lang w:val="en-US"/>
                    </w:rPr>
                    <w:t>。</w:t>
                  </w:r>
                </w:p>
              </w:tc>
              <w:tc>
                <w:tcPr>
                  <w:tcW w:w="547" w:type="pct"/>
                  <w:noWrap w:val="0"/>
                  <w:vAlign w:val="center"/>
                </w:tcPr>
                <w:p w14:paraId="2EACF57D">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2475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noWrap w:val="0"/>
                  <w:vAlign w:val="center"/>
                </w:tcPr>
                <w:p w14:paraId="5A5B03BD">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p>
              </w:tc>
              <w:tc>
                <w:tcPr>
                  <w:tcW w:w="2089" w:type="pct"/>
                  <w:noWrap w:val="0"/>
                  <w:vAlign w:val="center"/>
                </w:tcPr>
                <w:p w14:paraId="2AED5321">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2.加强河湖水域岸线空间管控，严格落实九大高原湖泊（抚仙湖、星云湖、杞麓湖）</w:t>
                  </w:r>
                  <w:r>
                    <w:rPr>
                      <w:rFonts w:hint="eastAsia" w:cs="Times New Roman"/>
                      <w:color w:val="auto"/>
                      <w:lang w:val="en-US" w:eastAsia="zh-CN"/>
                    </w:rPr>
                    <w:t>“</w:t>
                  </w:r>
                  <w:r>
                    <w:rPr>
                      <w:rFonts w:hint="default" w:ascii="Times New Roman" w:hAnsi="Times New Roman" w:cs="Times New Roman"/>
                      <w:color w:val="auto"/>
                      <w:lang w:val="en-US" w:eastAsia="zh-CN"/>
                    </w:rPr>
                    <w:t>两线三区</w:t>
                  </w:r>
                  <w:r>
                    <w:rPr>
                      <w:rFonts w:hint="eastAsia" w:cs="Times New Roman"/>
                      <w:color w:val="auto"/>
                      <w:lang w:val="en-US" w:eastAsia="zh-CN"/>
                    </w:rPr>
                    <w:t>”</w:t>
                  </w:r>
                  <w:r>
                    <w:rPr>
                      <w:rFonts w:hint="default" w:ascii="Times New Roman" w:hAnsi="Times New Roman" w:cs="Times New Roman"/>
                      <w:color w:val="auto"/>
                      <w:lang w:val="en-US" w:eastAsia="zh-CN"/>
                    </w:rPr>
                    <w:t>相关管控要求。加快推动重点区域、重点流域落后和过剩产能退出。依法加快城市建成区重污染企业搬迁改造或关闭退出。</w:t>
                  </w:r>
                </w:p>
              </w:tc>
              <w:tc>
                <w:tcPr>
                  <w:tcW w:w="1855" w:type="pct"/>
                  <w:noWrap w:val="0"/>
                  <w:vAlign w:val="center"/>
                </w:tcPr>
                <w:p w14:paraId="6F97AE63">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通过与《云南省抚仙湖保护条例（2024年1月1日施行）》分析对照，项目符合</w:t>
                  </w:r>
                  <w:r>
                    <w:rPr>
                      <w:rFonts w:hint="eastAsia" w:cs="Times New Roman"/>
                      <w:color w:val="auto"/>
                      <w:lang w:val="en-US" w:eastAsia="zh-CN"/>
                    </w:rPr>
                    <w:t>“</w:t>
                  </w:r>
                  <w:r>
                    <w:rPr>
                      <w:rFonts w:hint="default" w:ascii="Times New Roman" w:hAnsi="Times New Roman" w:cs="Times New Roman"/>
                      <w:color w:val="auto"/>
                      <w:lang w:val="en-US" w:eastAsia="zh-CN"/>
                    </w:rPr>
                    <w:t>两线三区</w:t>
                  </w:r>
                  <w:r>
                    <w:rPr>
                      <w:rFonts w:hint="eastAsia" w:cs="Times New Roman"/>
                      <w:color w:val="auto"/>
                      <w:lang w:val="en-US" w:eastAsia="zh-CN"/>
                    </w:rPr>
                    <w:t>”</w:t>
                  </w:r>
                  <w:r>
                    <w:rPr>
                      <w:rFonts w:hint="default" w:ascii="Times New Roman" w:hAnsi="Times New Roman" w:cs="Times New Roman"/>
                      <w:color w:val="auto"/>
                      <w:lang w:val="en-US" w:eastAsia="zh-CN"/>
                    </w:rPr>
                    <w:t>相关管控要求</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且项目不属于重点区域、重点流域落后和过剩产能，不属于重污染企业。</w:t>
                  </w:r>
                </w:p>
              </w:tc>
              <w:tc>
                <w:tcPr>
                  <w:tcW w:w="547" w:type="pct"/>
                  <w:noWrap w:val="0"/>
                  <w:vAlign w:val="center"/>
                </w:tcPr>
                <w:p w14:paraId="55783919">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788B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noWrap w:val="0"/>
                  <w:vAlign w:val="center"/>
                </w:tcPr>
                <w:p w14:paraId="2D646859">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p>
              </w:tc>
              <w:tc>
                <w:tcPr>
                  <w:tcW w:w="2089" w:type="pct"/>
                  <w:noWrap w:val="0"/>
                  <w:vAlign w:val="center"/>
                </w:tcPr>
                <w:p w14:paraId="1995BBFD">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3.禁止在合规园区外新建、扩建钢铁、石化、化工、焦化、建材、有色、制浆造纸行业中的高污染项目。禁止新建、扩建不符合国家石化、现代煤化工等产业布局规划的项目。禁止列入《云南省城镇人口密集区危险化学品生产企业搬迁改造名单》的搬迁改造企业在原址新建、扩建危险化学品生产项目。新建、改建、扩建</w:t>
                  </w:r>
                  <w:r>
                    <w:rPr>
                      <w:rFonts w:hint="eastAsia" w:cs="Times New Roman"/>
                      <w:color w:val="auto"/>
                      <w:lang w:val="en-US" w:eastAsia="zh-CN"/>
                    </w:rPr>
                    <w:t>“</w:t>
                  </w:r>
                  <w:r>
                    <w:rPr>
                      <w:rFonts w:hint="default" w:ascii="Times New Roman" w:hAnsi="Times New Roman" w:cs="Times New Roman"/>
                      <w:color w:val="auto"/>
                      <w:lang w:val="en-US" w:eastAsia="zh-CN"/>
                    </w:rPr>
                    <w:t>两高</w:t>
                  </w:r>
                  <w:r>
                    <w:rPr>
                      <w:rFonts w:hint="eastAsia" w:cs="Times New Roman"/>
                      <w:color w:val="auto"/>
                      <w:lang w:val="en-US" w:eastAsia="zh-CN"/>
                    </w:rPr>
                    <w:t>”</w:t>
                  </w:r>
                  <w:r>
                    <w:rPr>
                      <w:rFonts w:hint="default" w:ascii="Times New Roman" w:hAnsi="Times New Roman" w:cs="Times New Roman"/>
                      <w:color w:val="auto"/>
                      <w:lang w:val="en-US" w:eastAsia="zh-CN"/>
                    </w:rPr>
                    <w:t>项目须符合生态环境保护法律法规和相关法定规划，满足重点污染物排放总量控制、碳排放达峰目标、生态环境准入清单、相关规划环评和相应行业建设项目环境准入条件、环评文件审批原则要求。</w:t>
                  </w:r>
                </w:p>
              </w:tc>
              <w:tc>
                <w:tcPr>
                  <w:tcW w:w="1855" w:type="pct"/>
                  <w:noWrap w:val="0"/>
                  <w:vAlign w:val="center"/>
                </w:tcPr>
                <w:p w14:paraId="05760310">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本项目木楼梯制造项目，不属于所述钢铁、石化、化工、焦化、建材、有色、制浆造纸行业中的高污染项目以及石化、现代煤化工等产业</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不属于危险化学品生产企业</w:t>
                  </w:r>
                  <w:r>
                    <w:rPr>
                      <w:rFonts w:hint="eastAsia" w:cs="Times New Roman"/>
                      <w:color w:val="auto"/>
                      <w:lang w:val="en-US" w:eastAsia="zh-CN"/>
                    </w:rPr>
                    <w:t>；</w:t>
                  </w:r>
                  <w:r>
                    <w:rPr>
                      <w:rFonts w:hint="default" w:ascii="Times New Roman" w:hAnsi="Times New Roman" w:cs="Times New Roman"/>
                      <w:color w:val="auto"/>
                      <w:lang w:val="en-US" w:eastAsia="zh-CN"/>
                    </w:rPr>
                    <w:t>不属于</w:t>
                  </w:r>
                  <w:r>
                    <w:rPr>
                      <w:rFonts w:hint="eastAsia" w:cs="Times New Roman"/>
                      <w:color w:val="auto"/>
                      <w:lang w:val="en-US" w:eastAsia="zh-CN"/>
                    </w:rPr>
                    <w:t>“</w:t>
                  </w:r>
                  <w:r>
                    <w:rPr>
                      <w:rFonts w:hint="default" w:ascii="Times New Roman" w:hAnsi="Times New Roman" w:cs="Times New Roman"/>
                      <w:color w:val="auto"/>
                      <w:lang w:val="en-US" w:eastAsia="zh-CN"/>
                    </w:rPr>
                    <w:t>两高</w:t>
                  </w:r>
                  <w:r>
                    <w:rPr>
                      <w:rFonts w:hint="eastAsia" w:cs="Times New Roman"/>
                      <w:color w:val="auto"/>
                      <w:lang w:val="en-US" w:eastAsia="zh-CN"/>
                    </w:rPr>
                    <w:t>”</w:t>
                  </w:r>
                  <w:r>
                    <w:rPr>
                      <w:rFonts w:hint="default" w:ascii="Times New Roman" w:hAnsi="Times New Roman" w:cs="Times New Roman"/>
                      <w:color w:val="auto"/>
                      <w:lang w:val="en-US" w:eastAsia="zh-CN"/>
                    </w:rPr>
                    <w:t>项目。</w:t>
                  </w:r>
                </w:p>
              </w:tc>
              <w:tc>
                <w:tcPr>
                  <w:tcW w:w="547" w:type="pct"/>
                  <w:noWrap w:val="0"/>
                  <w:vAlign w:val="center"/>
                </w:tcPr>
                <w:p w14:paraId="11EAAB76">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2C18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noWrap w:val="0"/>
                  <w:vAlign w:val="center"/>
                </w:tcPr>
                <w:p w14:paraId="73AE06A1">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p>
              </w:tc>
              <w:tc>
                <w:tcPr>
                  <w:tcW w:w="2089" w:type="pct"/>
                  <w:noWrap w:val="0"/>
                  <w:vAlign w:val="center"/>
                </w:tcPr>
                <w:p w14:paraId="63F721A1">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4.禁止在九大高原湖泊（抚仙湖、星云湖、杞麓湖）流域内新建、改建、扩建污染环境、高耗水、高耗能、破坏生态平衡和自然景观的项目。</w:t>
                  </w:r>
                </w:p>
              </w:tc>
              <w:tc>
                <w:tcPr>
                  <w:tcW w:w="1855" w:type="pct"/>
                  <w:noWrap w:val="0"/>
                  <w:vAlign w:val="center"/>
                </w:tcPr>
                <w:p w14:paraId="5555B888">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经对照《云南省抚仙湖湖滨生态红线与湖泊生态黄线</w:t>
                  </w:r>
                  <w:r>
                    <w:rPr>
                      <w:rFonts w:hint="eastAsia" w:cs="Times New Roman"/>
                      <w:color w:val="auto"/>
                      <w:lang w:val="en-US" w:eastAsia="zh-CN"/>
                    </w:rPr>
                    <w:t>“</w:t>
                  </w:r>
                  <w:r>
                    <w:rPr>
                      <w:rFonts w:hint="default" w:ascii="Times New Roman" w:hAnsi="Times New Roman" w:cs="Times New Roman"/>
                      <w:color w:val="auto"/>
                      <w:lang w:val="en-US" w:eastAsia="zh-CN"/>
                    </w:rPr>
                    <w:t>两线</w:t>
                  </w:r>
                  <w:r>
                    <w:rPr>
                      <w:rFonts w:hint="eastAsia" w:cs="Times New Roman"/>
                      <w:color w:val="auto"/>
                      <w:lang w:val="en-US" w:eastAsia="zh-CN"/>
                    </w:rPr>
                    <w:t>”</w:t>
                  </w:r>
                  <w:r>
                    <w:rPr>
                      <w:rFonts w:hint="default" w:ascii="Times New Roman" w:hAnsi="Times New Roman" w:cs="Times New Roman"/>
                      <w:color w:val="auto"/>
                      <w:lang w:val="en-US" w:eastAsia="zh-CN"/>
                    </w:rPr>
                    <w:t>划定布置图》，本项目属于抚仙湖绿色发展区</w:t>
                  </w:r>
                  <w:r>
                    <w:rPr>
                      <w:rFonts w:hint="eastAsia" w:cs="Times New Roman"/>
                      <w:color w:val="auto"/>
                      <w:lang w:val="en-US" w:eastAsia="zh-CN"/>
                    </w:rPr>
                    <w:t>；</w:t>
                  </w:r>
                  <w:r>
                    <w:rPr>
                      <w:rFonts w:hint="default" w:ascii="Times New Roman" w:hAnsi="Times New Roman" w:cs="Times New Roman"/>
                      <w:color w:val="auto"/>
                      <w:lang w:val="en-US" w:eastAsia="zh-CN"/>
                    </w:rPr>
                    <w:t>本项目不涉及抚仙-星云湖泊省级风景名胜区规划范围内</w:t>
                  </w:r>
                  <w:r>
                    <w:rPr>
                      <w:rFonts w:hint="eastAsia" w:cs="Times New Roman"/>
                      <w:color w:val="auto"/>
                      <w:lang w:val="en-US" w:eastAsia="zh-CN"/>
                    </w:rPr>
                    <w:t>；</w:t>
                  </w:r>
                  <w:r>
                    <w:rPr>
                      <w:rFonts w:hint="default" w:ascii="Times New Roman" w:hAnsi="Times New Roman" w:cs="Times New Roman"/>
                      <w:color w:val="auto"/>
                      <w:lang w:val="en-US" w:eastAsia="zh-CN"/>
                    </w:rPr>
                    <w:t>通过工程分析，项目无废水外排，对周围水环境影响小，不属于高耗水、高耗能行业，不会造成生态平衡和自然景观破坏。</w:t>
                  </w:r>
                </w:p>
              </w:tc>
              <w:tc>
                <w:tcPr>
                  <w:tcW w:w="547" w:type="pct"/>
                  <w:noWrap w:val="0"/>
                  <w:vAlign w:val="center"/>
                </w:tcPr>
                <w:p w14:paraId="03ABD260">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653D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noWrap w:val="0"/>
                  <w:vAlign w:val="center"/>
                </w:tcPr>
                <w:p w14:paraId="2465E3C1">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p>
              </w:tc>
              <w:tc>
                <w:tcPr>
                  <w:tcW w:w="2089" w:type="pct"/>
                  <w:noWrap w:val="0"/>
                  <w:vAlign w:val="center"/>
                </w:tcPr>
                <w:p w14:paraId="526EAEA0">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5.落实云南省碳达峰碳中和相关要求，处理好发展和减排、整体和局部、长远目标和短期目标、政府和市场的关系，坚定不移走生态优先、绿色低碳的高质量发展道路。</w:t>
                  </w:r>
                </w:p>
              </w:tc>
              <w:tc>
                <w:tcPr>
                  <w:tcW w:w="1855" w:type="pct"/>
                  <w:noWrap w:val="0"/>
                  <w:vAlign w:val="center"/>
                </w:tcPr>
                <w:p w14:paraId="07A3827A">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项目生产过程能源仅涉及电能，未使用传统燃料，降低了碳排放。项目的生产过程中，废水和固体废物均得到有效处理和利用，符合云南省推动绿色低碳发展的政策方向。</w:t>
                  </w:r>
                </w:p>
              </w:tc>
              <w:tc>
                <w:tcPr>
                  <w:tcW w:w="547" w:type="pct"/>
                  <w:noWrap w:val="0"/>
                  <w:vAlign w:val="center"/>
                </w:tcPr>
                <w:p w14:paraId="77113C93">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501D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restart"/>
                  <w:noWrap w:val="0"/>
                  <w:vAlign w:val="center"/>
                </w:tcPr>
                <w:p w14:paraId="674E124D">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污染物排放管控</w:t>
                  </w:r>
                </w:p>
              </w:tc>
              <w:tc>
                <w:tcPr>
                  <w:tcW w:w="2089" w:type="pct"/>
                  <w:noWrap w:val="0"/>
                  <w:vAlign w:val="center"/>
                </w:tcPr>
                <w:p w14:paraId="374BD237">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1.严格落实强制性清洁生产审核要求，引导重点行业实施清洁生产改造，到2025年底，重点行业企业基本达到国内清洁生产先进水平。</w:t>
                  </w:r>
                </w:p>
              </w:tc>
              <w:tc>
                <w:tcPr>
                  <w:tcW w:w="1855" w:type="pct"/>
                  <w:noWrap w:val="0"/>
                  <w:vAlign w:val="center"/>
                </w:tcPr>
                <w:p w14:paraId="204FAA4B">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项目生产过程能源仅涉及电能，生产工艺及设备满足清洁生产要求。且项目不属于重点行业企业。</w:t>
                  </w:r>
                </w:p>
              </w:tc>
              <w:tc>
                <w:tcPr>
                  <w:tcW w:w="547" w:type="pct"/>
                  <w:noWrap w:val="0"/>
                  <w:vAlign w:val="center"/>
                </w:tcPr>
                <w:p w14:paraId="2AED1EFE">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符合</w:t>
                  </w:r>
                </w:p>
              </w:tc>
            </w:tr>
            <w:tr w14:paraId="69CFB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noWrap w:val="0"/>
                  <w:vAlign w:val="center"/>
                </w:tcPr>
                <w:p w14:paraId="2F4E644D">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p>
              </w:tc>
              <w:tc>
                <w:tcPr>
                  <w:tcW w:w="2089" w:type="pct"/>
                  <w:noWrap w:val="0"/>
                  <w:vAlign w:val="center"/>
                </w:tcPr>
                <w:p w14:paraId="4F2707C9">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2.加大</w:t>
                  </w:r>
                  <w:r>
                    <w:rPr>
                      <w:rFonts w:hint="eastAsia" w:cs="Times New Roman"/>
                      <w:color w:val="auto"/>
                      <w:lang w:val="en-US" w:eastAsia="zh-CN"/>
                    </w:rPr>
                    <w:t>“</w:t>
                  </w:r>
                  <w:r>
                    <w:rPr>
                      <w:rFonts w:hint="default" w:ascii="Times New Roman" w:hAnsi="Times New Roman" w:cs="Times New Roman"/>
                      <w:color w:val="auto"/>
                      <w:lang w:val="en-US" w:eastAsia="zh-CN"/>
                    </w:rPr>
                    <w:t>三湖</w:t>
                  </w:r>
                  <w:r>
                    <w:rPr>
                      <w:rFonts w:hint="eastAsia" w:cs="Times New Roman"/>
                      <w:color w:val="auto"/>
                      <w:lang w:val="en-US" w:eastAsia="zh-CN"/>
                    </w:rPr>
                    <w:t>”</w:t>
                  </w:r>
                  <w:r>
                    <w:rPr>
                      <w:rFonts w:hint="default" w:ascii="Times New Roman" w:hAnsi="Times New Roman" w:cs="Times New Roman"/>
                      <w:color w:val="auto"/>
                      <w:lang w:val="en-US" w:eastAsia="zh-CN"/>
                    </w:rPr>
                    <w:t>（抚仙湖、星云湖、杞麓湖）及</w:t>
                  </w:r>
                  <w:r>
                    <w:rPr>
                      <w:rFonts w:hint="eastAsia" w:cs="Times New Roman"/>
                      <w:color w:val="auto"/>
                      <w:lang w:val="en-US" w:eastAsia="zh-CN"/>
                    </w:rPr>
                    <w:t>“</w:t>
                  </w:r>
                  <w:r>
                    <w:rPr>
                      <w:rFonts w:hint="default" w:ascii="Times New Roman" w:hAnsi="Times New Roman" w:cs="Times New Roman"/>
                      <w:color w:val="auto"/>
                      <w:lang w:val="en-US" w:eastAsia="zh-CN"/>
                    </w:rPr>
                    <w:t>两江</w:t>
                  </w:r>
                  <w:r>
                    <w:rPr>
                      <w:rFonts w:hint="eastAsia" w:cs="Times New Roman"/>
                      <w:color w:val="auto"/>
                      <w:lang w:val="en-US" w:eastAsia="zh-CN"/>
                    </w:rPr>
                    <w:t>”</w:t>
                  </w:r>
                  <w:r>
                    <w:rPr>
                      <w:rFonts w:hint="default" w:ascii="Times New Roman" w:hAnsi="Times New Roman" w:cs="Times New Roman"/>
                      <w:color w:val="auto"/>
                      <w:lang w:val="en-US" w:eastAsia="zh-CN"/>
                    </w:rPr>
                    <w:t>（南盘江干流、红河水系玉溪段）流域的保护和治理，推进流域环湖截污治污，加强湖泊内源污染风险防范，开展污水处理提质增效、农业面源污染治理、入河排污口整治、开发区污染治理、</w:t>
                  </w:r>
                  <w:r>
                    <w:rPr>
                      <w:rFonts w:hint="eastAsia" w:cs="Times New Roman"/>
                      <w:color w:val="auto"/>
                      <w:lang w:val="en-US" w:eastAsia="zh-CN"/>
                    </w:rPr>
                    <w:t>“</w:t>
                  </w:r>
                  <w:r>
                    <w:rPr>
                      <w:rFonts w:hint="default" w:ascii="Times New Roman" w:hAnsi="Times New Roman" w:cs="Times New Roman"/>
                      <w:color w:val="auto"/>
                      <w:lang w:val="en-US" w:eastAsia="zh-CN"/>
                    </w:rPr>
                    <w:t>三磷</w:t>
                  </w:r>
                  <w:r>
                    <w:rPr>
                      <w:rFonts w:hint="eastAsia" w:cs="Times New Roman"/>
                      <w:color w:val="auto"/>
                      <w:lang w:val="en-US" w:eastAsia="zh-CN"/>
                    </w:rPr>
                    <w:t>”</w:t>
                  </w:r>
                  <w:r>
                    <w:rPr>
                      <w:rFonts w:hint="default" w:ascii="Times New Roman" w:hAnsi="Times New Roman" w:cs="Times New Roman"/>
                      <w:color w:val="auto"/>
                      <w:lang w:val="en-US" w:eastAsia="zh-CN"/>
                    </w:rPr>
                    <w:t>和重金属行业排查等专项行动，建立水环境质量管理长效机制，持续巩固治理成效。持续打好城市黑臭水体治理攻坚战，有效控制入河污染物排放，强化溯源整治，推进城镇污水管网全覆盖。</w:t>
                  </w:r>
                </w:p>
              </w:tc>
              <w:tc>
                <w:tcPr>
                  <w:tcW w:w="1855" w:type="pct"/>
                  <w:noWrap w:val="0"/>
                  <w:vAlign w:val="center"/>
                </w:tcPr>
                <w:p w14:paraId="42D36975">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项目运营期无废水外排，不会对</w:t>
                  </w:r>
                  <w:r>
                    <w:rPr>
                      <w:rFonts w:hint="eastAsia" w:cs="Times New Roman"/>
                      <w:color w:val="auto"/>
                      <w:lang w:val="en-US" w:eastAsia="zh-CN"/>
                    </w:rPr>
                    <w:t>“</w:t>
                  </w:r>
                  <w:r>
                    <w:rPr>
                      <w:rFonts w:hint="default" w:ascii="Times New Roman" w:hAnsi="Times New Roman" w:cs="Times New Roman"/>
                      <w:color w:val="auto"/>
                      <w:lang w:val="en-US" w:eastAsia="zh-CN"/>
                    </w:rPr>
                    <w:t>三湖</w:t>
                  </w:r>
                  <w:r>
                    <w:rPr>
                      <w:rFonts w:hint="eastAsia" w:cs="Times New Roman"/>
                      <w:color w:val="auto"/>
                      <w:lang w:val="en-US" w:eastAsia="zh-CN"/>
                    </w:rPr>
                    <w:t>”</w:t>
                  </w:r>
                  <w:r>
                    <w:rPr>
                      <w:rFonts w:hint="default" w:ascii="Times New Roman" w:hAnsi="Times New Roman" w:cs="Times New Roman"/>
                      <w:color w:val="auto"/>
                      <w:lang w:val="en-US" w:eastAsia="zh-CN"/>
                    </w:rPr>
                    <w:t>及</w:t>
                  </w:r>
                  <w:r>
                    <w:rPr>
                      <w:rFonts w:hint="eastAsia" w:cs="Times New Roman"/>
                      <w:color w:val="auto"/>
                      <w:lang w:val="en-US" w:eastAsia="zh-CN"/>
                    </w:rPr>
                    <w:t>“</w:t>
                  </w:r>
                  <w:r>
                    <w:rPr>
                      <w:rFonts w:hint="default" w:ascii="Times New Roman" w:hAnsi="Times New Roman" w:cs="Times New Roman"/>
                      <w:color w:val="auto"/>
                      <w:lang w:val="en-US" w:eastAsia="zh-CN"/>
                    </w:rPr>
                    <w:t>两江</w:t>
                  </w:r>
                  <w:r>
                    <w:rPr>
                      <w:rFonts w:hint="eastAsia" w:cs="Times New Roman"/>
                      <w:color w:val="auto"/>
                      <w:lang w:val="en-US" w:eastAsia="zh-CN"/>
                    </w:rPr>
                    <w:t>”</w:t>
                  </w:r>
                  <w:r>
                    <w:rPr>
                      <w:rFonts w:hint="default" w:ascii="Times New Roman" w:hAnsi="Times New Roman" w:cs="Times New Roman"/>
                      <w:color w:val="auto"/>
                      <w:lang w:val="en-US" w:eastAsia="zh-CN"/>
                    </w:rPr>
                    <w:t>及周边地表水环境造成影响。</w:t>
                  </w:r>
                </w:p>
              </w:tc>
              <w:tc>
                <w:tcPr>
                  <w:tcW w:w="547" w:type="pct"/>
                  <w:noWrap w:val="0"/>
                  <w:vAlign w:val="center"/>
                </w:tcPr>
                <w:p w14:paraId="5490A3DD">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符合</w:t>
                  </w:r>
                </w:p>
              </w:tc>
            </w:tr>
            <w:tr w14:paraId="3739C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noWrap w:val="0"/>
                  <w:vAlign w:val="center"/>
                </w:tcPr>
                <w:p w14:paraId="193C4F4A">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p>
              </w:tc>
              <w:tc>
                <w:tcPr>
                  <w:tcW w:w="2089" w:type="pct"/>
                  <w:noWrap w:val="0"/>
                  <w:vAlign w:val="center"/>
                </w:tcPr>
                <w:p w14:paraId="6BD4D81A">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3.严格保护城乡饮用水水源地，整治饮用水水源保护区内的污染源，确保饮水安全。</w:t>
                  </w:r>
                </w:p>
              </w:tc>
              <w:tc>
                <w:tcPr>
                  <w:tcW w:w="1855" w:type="pct"/>
                  <w:noWrap w:val="0"/>
                  <w:vAlign w:val="center"/>
                </w:tcPr>
                <w:p w14:paraId="456332B2">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rPr>
                    <w:t>项目不涉及饮用水水源保护区，不会造成饮用水水源地污染，</w:t>
                  </w:r>
                  <w:r>
                    <w:rPr>
                      <w:rFonts w:hint="default" w:ascii="Times New Roman" w:hAnsi="Times New Roman" w:cs="Times New Roman"/>
                      <w:color w:val="auto"/>
                      <w:lang w:val="en-US" w:eastAsia="zh-CN"/>
                    </w:rPr>
                    <w:t>能够</w:t>
                  </w:r>
                  <w:r>
                    <w:rPr>
                      <w:rFonts w:hint="default" w:ascii="Times New Roman" w:hAnsi="Times New Roman" w:cs="Times New Roman"/>
                      <w:color w:val="auto"/>
                      <w:lang w:val="en-US"/>
                    </w:rPr>
                    <w:t>确保饮水安</w:t>
                  </w:r>
                  <w:r>
                    <w:rPr>
                      <w:rFonts w:hint="default" w:ascii="Times New Roman" w:hAnsi="Times New Roman" w:cs="Times New Roman"/>
                      <w:color w:val="auto"/>
                      <w:lang w:val="en-US" w:eastAsia="zh-CN"/>
                    </w:rPr>
                    <w:t>全。</w:t>
                  </w:r>
                </w:p>
              </w:tc>
              <w:tc>
                <w:tcPr>
                  <w:tcW w:w="547" w:type="pct"/>
                  <w:noWrap w:val="0"/>
                  <w:vAlign w:val="center"/>
                </w:tcPr>
                <w:p w14:paraId="0FF02A3D">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符合</w:t>
                  </w:r>
                </w:p>
              </w:tc>
            </w:tr>
            <w:tr w14:paraId="1E72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noWrap w:val="0"/>
                  <w:vAlign w:val="center"/>
                </w:tcPr>
                <w:p w14:paraId="39148F6B">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p>
              </w:tc>
              <w:tc>
                <w:tcPr>
                  <w:tcW w:w="2089" w:type="pct"/>
                  <w:noWrap w:val="0"/>
                  <w:vAlign w:val="center"/>
                </w:tcPr>
                <w:p w14:paraId="165C0267">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开展细颗粒物和臭氧协同控制、挥发性有机物和氮氧化物协同减排。石化、化工、包装印刷、工业涂装等VOCs排放重点源，纳入重点排污单位名录，推进挥发性有机物综合治理，实施原辅材料和产品源头替代工程，排污口安装自动监控设施。推进运输结构调整，开展清洁柴油车（机）、清洁油品、车用尿素等专项行动，开展建筑施工工地扬尘专项治理</w:t>
                  </w:r>
                  <w:r>
                    <w:rPr>
                      <w:rFonts w:hint="eastAsia" w:cs="Times New Roman"/>
                      <w:color w:val="auto"/>
                      <w:lang w:val="en-US" w:eastAsia="zh-CN"/>
                    </w:rPr>
                    <w:t>；</w:t>
                  </w:r>
                  <w:r>
                    <w:rPr>
                      <w:rFonts w:hint="default" w:ascii="Times New Roman" w:hAnsi="Times New Roman" w:cs="Times New Roman"/>
                      <w:color w:val="auto"/>
                      <w:lang w:val="en-US" w:eastAsia="zh-CN"/>
                    </w:rPr>
                    <w:t>加大餐饮油烟污染、恶臭异味治理力度，强化秸秆综合利用和禁烧管控。推动有色金属、钢铁、磷化工、建材等重点行业节能降碳升级改造，淘汰落后工艺技术和生产装置，实施煤电、水泥、焦化企业低排放改造，到2025年，钢铁行业全面完成超低排放改造。</w:t>
                  </w:r>
                </w:p>
              </w:tc>
              <w:tc>
                <w:tcPr>
                  <w:tcW w:w="1855" w:type="pct"/>
                  <w:noWrap w:val="0"/>
                  <w:vAlign w:val="center"/>
                </w:tcPr>
                <w:p w14:paraId="0F9A983F">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项目生产过程中产生的非甲烷总烃及二甲苯经</w:t>
                  </w:r>
                  <w:r>
                    <w:rPr>
                      <w:rFonts w:hint="eastAsia" w:cs="Times New Roman"/>
                      <w:color w:val="auto"/>
                      <w:lang w:val="en-US" w:eastAsia="zh-CN"/>
                    </w:rPr>
                    <w:t>水帘+</w:t>
                  </w:r>
                  <w:r>
                    <w:rPr>
                      <w:rFonts w:hint="default" w:ascii="Times New Roman" w:hAnsi="Times New Roman" w:cs="Times New Roman"/>
                      <w:color w:val="auto"/>
                      <w:lang w:val="en-US" w:eastAsia="zh-CN"/>
                    </w:rPr>
                    <w:t>活性炭吸附后能满足相应排放标准要求。项目无废水外排。固体废物均得到有效</w:t>
                  </w:r>
                  <w:r>
                    <w:rPr>
                      <w:rFonts w:hint="eastAsia" w:cs="Times New Roman"/>
                      <w:color w:val="auto"/>
                      <w:lang w:val="en-US" w:eastAsia="zh-CN"/>
                    </w:rPr>
                    <w:t>处置</w:t>
                  </w:r>
                  <w:r>
                    <w:rPr>
                      <w:rFonts w:hint="default" w:ascii="Times New Roman" w:hAnsi="Times New Roman" w:cs="Times New Roman"/>
                      <w:color w:val="auto"/>
                      <w:lang w:val="en-US" w:eastAsia="zh-CN"/>
                    </w:rPr>
                    <w:t>，减少固体废物的环境影响。</w:t>
                  </w:r>
                </w:p>
              </w:tc>
              <w:tc>
                <w:tcPr>
                  <w:tcW w:w="547" w:type="pct"/>
                  <w:noWrap w:val="0"/>
                  <w:vAlign w:val="center"/>
                </w:tcPr>
                <w:p w14:paraId="3A519472">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符合</w:t>
                  </w:r>
                </w:p>
              </w:tc>
            </w:tr>
            <w:tr w14:paraId="4E44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noWrap w:val="0"/>
                  <w:vAlign w:val="center"/>
                </w:tcPr>
                <w:p w14:paraId="5FD000E1">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p>
              </w:tc>
              <w:tc>
                <w:tcPr>
                  <w:tcW w:w="2089" w:type="pct"/>
                  <w:noWrap w:val="0"/>
                  <w:vAlign w:val="center"/>
                </w:tcPr>
                <w:p w14:paraId="5083D268">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5.加大环境污染物减排力度，到2025年，实现氮氧化物减排1224吨，挥发性有机物减排1393吨，化学需氧量减排2461吨，氨氮减排230吨。</w:t>
                  </w:r>
                </w:p>
              </w:tc>
              <w:tc>
                <w:tcPr>
                  <w:tcW w:w="1855" w:type="pct"/>
                  <w:noWrap w:val="0"/>
                  <w:vAlign w:val="center"/>
                </w:tcPr>
                <w:p w14:paraId="030C331C">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rPr>
                    <w:t>项目</w:t>
                  </w:r>
                  <w:r>
                    <w:rPr>
                      <w:rFonts w:hint="default" w:ascii="Times New Roman" w:hAnsi="Times New Roman" w:cs="Times New Roman"/>
                      <w:color w:val="auto"/>
                      <w:lang w:val="en-US" w:eastAsia="zh-CN"/>
                    </w:rPr>
                    <w:t>生产仅使用电能</w:t>
                  </w:r>
                  <w:r>
                    <w:rPr>
                      <w:rFonts w:hint="default" w:ascii="Times New Roman" w:hAnsi="Times New Roman" w:cs="Times New Roman"/>
                      <w:color w:val="auto"/>
                    </w:rPr>
                    <w:t>，</w:t>
                  </w:r>
                  <w:r>
                    <w:rPr>
                      <w:rFonts w:hint="eastAsia" w:cs="Times New Roman"/>
                      <w:color w:val="auto"/>
                      <w:lang w:val="en-US" w:eastAsia="zh-CN"/>
                    </w:rPr>
                    <w:t>不涉及</w:t>
                  </w:r>
                  <w:r>
                    <w:rPr>
                      <w:rFonts w:hint="default" w:ascii="Times New Roman" w:hAnsi="Times New Roman" w:cs="Times New Roman"/>
                      <w:color w:val="auto"/>
                      <w:lang w:val="en-US" w:eastAsia="zh-CN"/>
                    </w:rPr>
                    <w:t>氮氧化物的排放</w:t>
                  </w:r>
                  <w:r>
                    <w:rPr>
                      <w:rFonts w:hint="eastAsia" w:cs="Times New Roman"/>
                      <w:color w:val="auto"/>
                      <w:lang w:val="en-US" w:eastAsia="zh-CN"/>
                    </w:rPr>
                    <w:t>；</w:t>
                  </w:r>
                  <w:r>
                    <w:rPr>
                      <w:rFonts w:hint="default" w:ascii="Times New Roman" w:hAnsi="Times New Roman" w:cs="Times New Roman"/>
                      <w:color w:val="auto"/>
                      <w:lang w:val="en-US" w:eastAsia="zh-CN"/>
                    </w:rPr>
                    <w:t>项目通过对喷漆废气进行密封收集处理，并确保废气处理设施正常运行，降低项目挥发性有机物排放量</w:t>
                  </w:r>
                  <w:r>
                    <w:rPr>
                      <w:rFonts w:hint="eastAsia" w:cs="Times New Roman"/>
                      <w:color w:val="auto"/>
                      <w:lang w:val="en-US" w:eastAsia="zh-CN"/>
                    </w:rPr>
                    <w:t>；</w:t>
                  </w:r>
                  <w:r>
                    <w:rPr>
                      <w:rFonts w:hint="default" w:ascii="Times New Roman" w:hAnsi="Times New Roman" w:cs="Times New Roman"/>
                      <w:color w:val="auto"/>
                      <w:lang w:val="en-US" w:eastAsia="zh-CN"/>
                    </w:rPr>
                    <w:t>项目废水经处理后已全部回用，项目废水不外排。</w:t>
                  </w:r>
                </w:p>
              </w:tc>
              <w:tc>
                <w:tcPr>
                  <w:tcW w:w="547" w:type="pct"/>
                  <w:noWrap w:val="0"/>
                  <w:vAlign w:val="center"/>
                </w:tcPr>
                <w:p w14:paraId="6D039EF6">
                  <w:pPr>
                    <w:pStyle w:val="14"/>
                    <w:widowControl w:val="0"/>
                    <w:bidi w:val="0"/>
                    <w:rPr>
                      <w:rFonts w:hint="default" w:ascii="Times New Roman" w:hAnsi="Times New Roman" w:cs="Times New Roman"/>
                      <w:color w:val="auto"/>
                    </w:rPr>
                  </w:pPr>
                  <w:r>
                    <w:rPr>
                      <w:rFonts w:hint="default" w:ascii="Times New Roman" w:hAnsi="Times New Roman" w:cs="Times New Roman"/>
                      <w:color w:val="auto"/>
                      <w:lang w:val="en-US" w:eastAsia="zh-CN"/>
                    </w:rPr>
                    <w:t>符合</w:t>
                  </w:r>
                </w:p>
              </w:tc>
            </w:tr>
            <w:tr w14:paraId="372DA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noWrap w:val="0"/>
                  <w:vAlign w:val="center"/>
                </w:tcPr>
                <w:p w14:paraId="1149E0EE">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p>
              </w:tc>
              <w:tc>
                <w:tcPr>
                  <w:tcW w:w="2089" w:type="pct"/>
                  <w:noWrap w:val="0"/>
                  <w:vAlign w:val="center"/>
                </w:tcPr>
                <w:p w14:paraId="487DDC2C">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6.严格管控农用地，不得在特定农产品禁止生产区域种植食用农产品</w:t>
                  </w:r>
                  <w:r>
                    <w:rPr>
                      <w:rFonts w:hint="eastAsia" w:cs="Times New Roman"/>
                      <w:color w:val="auto"/>
                      <w:lang w:val="en-US" w:eastAsia="zh-CN"/>
                    </w:rPr>
                    <w:t>；</w:t>
                  </w:r>
                  <w:r>
                    <w:rPr>
                      <w:rFonts w:hint="default" w:ascii="Times New Roman" w:hAnsi="Times New Roman" w:cs="Times New Roman"/>
                      <w:color w:val="auto"/>
                      <w:lang w:val="en-US" w:eastAsia="zh-CN"/>
                    </w:rPr>
                    <w:t>安全利用农用地，制定受污染耕地安全利用方案，降低农产品超标风险。合理规划污染地块土地用途，从严管控农药、化工、有色金属等行业企业重度污染地块开发利用，对列入建设用地土壤污染风险管控和修复名录的地块不得作为住宅、公共管理与公共服务用地，不得办理土地征收、收回、收购、土地供应以及改变土地用途等手续，应当依法开展土壤污染状况调查、治理与修复，并符合相应规划用地土壤环境质量要求后，方可进入用地程序。</w:t>
                  </w:r>
                </w:p>
              </w:tc>
              <w:tc>
                <w:tcPr>
                  <w:tcW w:w="1855" w:type="pct"/>
                  <w:noWrap w:val="0"/>
                  <w:vAlign w:val="center"/>
                </w:tcPr>
                <w:p w14:paraId="65BAE0CA">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项目不涉及农用地和污染地块，不会导致农产品超标风险，符合土地用途规划和管控要求。</w:t>
                  </w:r>
                </w:p>
              </w:tc>
              <w:tc>
                <w:tcPr>
                  <w:tcW w:w="547" w:type="pct"/>
                  <w:noWrap w:val="0"/>
                  <w:vAlign w:val="center"/>
                </w:tcPr>
                <w:p w14:paraId="61301ED1">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符合</w:t>
                  </w:r>
                </w:p>
              </w:tc>
            </w:tr>
            <w:tr w14:paraId="4AEC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noWrap w:val="0"/>
                  <w:vAlign w:val="center"/>
                </w:tcPr>
                <w:p w14:paraId="349C418C">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p>
              </w:tc>
              <w:tc>
                <w:tcPr>
                  <w:tcW w:w="2089" w:type="pct"/>
                  <w:noWrap w:val="0"/>
                  <w:vAlign w:val="center"/>
                </w:tcPr>
                <w:p w14:paraId="0D06A950">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7.加快</w:t>
                  </w:r>
                  <w:r>
                    <w:rPr>
                      <w:rFonts w:hint="eastAsia" w:cs="Times New Roman"/>
                      <w:color w:val="auto"/>
                      <w:lang w:val="en-US" w:eastAsia="zh-CN"/>
                    </w:rPr>
                    <w:t>“</w:t>
                  </w:r>
                  <w:r>
                    <w:rPr>
                      <w:rFonts w:hint="default" w:ascii="Times New Roman" w:hAnsi="Times New Roman" w:cs="Times New Roman"/>
                      <w:color w:val="auto"/>
                      <w:lang w:val="en-US" w:eastAsia="zh-CN"/>
                    </w:rPr>
                    <w:t>无废城市</w:t>
                  </w:r>
                  <w:r>
                    <w:rPr>
                      <w:rFonts w:hint="eastAsia" w:cs="Times New Roman"/>
                      <w:color w:val="auto"/>
                      <w:lang w:val="en-US" w:eastAsia="zh-CN"/>
                    </w:rPr>
                    <w:t>”</w:t>
                  </w:r>
                  <w:r>
                    <w:rPr>
                      <w:rFonts w:hint="default" w:ascii="Times New Roman" w:hAnsi="Times New Roman" w:cs="Times New Roman"/>
                      <w:color w:val="auto"/>
                      <w:lang w:val="en-US" w:eastAsia="zh-CN"/>
                    </w:rPr>
                    <w:t>建设，产生工业固体废物的单位应当建立健全工业固体废物产生、收集、贮存、运输、利用、处置全过程的污染环境防治责任制度，按照国家有关规定建立工业固体废物管理台账，加强重金属污染物排放管理，落实区域</w:t>
                  </w:r>
                  <w:r>
                    <w:rPr>
                      <w:rFonts w:hint="eastAsia" w:cs="Times New Roman"/>
                      <w:color w:val="auto"/>
                      <w:lang w:val="en-US" w:eastAsia="zh-CN"/>
                    </w:rPr>
                    <w:t>“</w:t>
                  </w:r>
                  <w:r>
                    <w:rPr>
                      <w:rFonts w:hint="default" w:ascii="Times New Roman" w:hAnsi="Times New Roman" w:cs="Times New Roman"/>
                      <w:color w:val="auto"/>
                      <w:lang w:val="en-US" w:eastAsia="zh-CN"/>
                    </w:rPr>
                    <w:t>减量替代</w:t>
                  </w:r>
                  <w:r>
                    <w:rPr>
                      <w:rFonts w:hint="eastAsia" w:cs="Times New Roman"/>
                      <w:color w:val="auto"/>
                      <w:lang w:val="en-US" w:eastAsia="zh-CN"/>
                    </w:rPr>
                    <w:t>”</w:t>
                  </w:r>
                  <w:r>
                    <w:rPr>
                      <w:rFonts w:hint="default" w:ascii="Times New Roman" w:hAnsi="Times New Roman" w:cs="Times New Roman"/>
                      <w:color w:val="auto"/>
                      <w:lang w:val="en-US" w:eastAsia="zh-CN"/>
                    </w:rPr>
                    <w:t>和</w:t>
                  </w:r>
                  <w:r>
                    <w:rPr>
                      <w:rFonts w:hint="eastAsia" w:cs="Times New Roman"/>
                      <w:color w:val="auto"/>
                      <w:lang w:val="en-US" w:eastAsia="zh-CN"/>
                    </w:rPr>
                    <w:t>“</w:t>
                  </w:r>
                  <w:r>
                    <w:rPr>
                      <w:rFonts w:hint="default" w:ascii="Times New Roman" w:hAnsi="Times New Roman" w:cs="Times New Roman"/>
                      <w:color w:val="auto"/>
                      <w:lang w:val="en-US" w:eastAsia="zh-CN"/>
                    </w:rPr>
                    <w:t>等量替代</w:t>
                  </w:r>
                  <w:r>
                    <w:rPr>
                      <w:rFonts w:hint="eastAsia" w:cs="Times New Roman"/>
                      <w:color w:val="auto"/>
                      <w:lang w:val="en-US" w:eastAsia="zh-CN"/>
                    </w:rPr>
                    <w:t>”</w:t>
                  </w:r>
                  <w:r>
                    <w:rPr>
                      <w:rFonts w:hint="default" w:ascii="Times New Roman" w:hAnsi="Times New Roman" w:cs="Times New Roman"/>
                      <w:color w:val="auto"/>
                      <w:lang w:val="en-US" w:eastAsia="zh-CN"/>
                    </w:rPr>
                    <w:t>要求，重金属污染物排放量2025年比2020年削减4%。</w:t>
                  </w:r>
                </w:p>
              </w:tc>
              <w:tc>
                <w:tcPr>
                  <w:tcW w:w="1855" w:type="pct"/>
                  <w:noWrap w:val="0"/>
                  <w:vAlign w:val="center"/>
                </w:tcPr>
                <w:p w14:paraId="52D02BEA">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项目产生的固体废物均通过建立污染环境防治责任制度进行管理，按照国家规定建立工业固体废物管理台账。一般固体废物</w:t>
                  </w:r>
                  <w:r>
                    <w:rPr>
                      <w:rFonts w:hint="default" w:ascii="Times New Roman" w:hAnsi="Times New Roman" w:cs="Times New Roman"/>
                      <w:color w:val="auto"/>
                      <w:lang w:val="en-US" w:eastAsia="zh-CN"/>
                    </w:rPr>
                    <w:t>得到有效回收利用</w:t>
                  </w:r>
                  <w:r>
                    <w:rPr>
                      <w:rFonts w:hint="default" w:ascii="Times New Roman" w:hAnsi="Times New Roman" w:cs="Times New Roman"/>
                      <w:color w:val="auto"/>
                    </w:rPr>
                    <w:t>，</w:t>
                  </w:r>
                  <w:r>
                    <w:rPr>
                      <w:rFonts w:hint="default" w:ascii="Times New Roman" w:hAnsi="Times New Roman" w:cs="Times New Roman"/>
                      <w:color w:val="auto"/>
                      <w:lang w:val="en-US" w:eastAsia="zh-CN"/>
                    </w:rPr>
                    <w:t>危险废物委托有资质的单位清运处置。</w:t>
                  </w:r>
                  <w:r>
                    <w:rPr>
                      <w:rFonts w:hint="default" w:ascii="Times New Roman" w:hAnsi="Times New Roman" w:cs="Times New Roman"/>
                      <w:color w:val="auto"/>
                    </w:rPr>
                    <w:t>实现固体废物的资源化利用，符合</w:t>
                  </w:r>
                  <w:r>
                    <w:rPr>
                      <w:rFonts w:hint="eastAsia" w:cs="Times New Roman"/>
                      <w:color w:val="auto"/>
                      <w:lang w:eastAsia="zh-CN"/>
                    </w:rPr>
                    <w:t>“</w:t>
                  </w:r>
                  <w:r>
                    <w:rPr>
                      <w:rFonts w:hint="default" w:ascii="Times New Roman" w:hAnsi="Times New Roman" w:cs="Times New Roman"/>
                      <w:color w:val="auto"/>
                    </w:rPr>
                    <w:t>无废城市</w:t>
                  </w:r>
                  <w:r>
                    <w:rPr>
                      <w:rFonts w:hint="eastAsia" w:cs="Times New Roman"/>
                      <w:color w:val="auto"/>
                      <w:lang w:eastAsia="zh-CN"/>
                    </w:rPr>
                    <w:t>”</w:t>
                  </w:r>
                  <w:r>
                    <w:rPr>
                      <w:rFonts w:hint="default" w:ascii="Times New Roman" w:hAnsi="Times New Roman" w:cs="Times New Roman"/>
                      <w:color w:val="auto"/>
                    </w:rPr>
                    <w:t>建设目标。</w:t>
                  </w:r>
                </w:p>
              </w:tc>
              <w:tc>
                <w:tcPr>
                  <w:tcW w:w="547" w:type="pct"/>
                  <w:noWrap w:val="0"/>
                  <w:vAlign w:val="center"/>
                </w:tcPr>
                <w:p w14:paraId="250BB6BF">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1FAC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noWrap w:val="0"/>
                  <w:vAlign w:val="center"/>
                </w:tcPr>
                <w:p w14:paraId="6E102A3A">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p>
              </w:tc>
              <w:tc>
                <w:tcPr>
                  <w:tcW w:w="2089" w:type="pct"/>
                  <w:noWrap w:val="0"/>
                  <w:vAlign w:val="center"/>
                </w:tcPr>
                <w:p w14:paraId="3C882E65">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8.到2025年，中心城区细颗粒物（PM</w:t>
                  </w:r>
                  <w:r>
                    <w:rPr>
                      <w:rFonts w:hint="default" w:ascii="Times New Roman" w:hAnsi="Times New Roman" w:cs="Times New Roman"/>
                      <w:color w:val="auto"/>
                      <w:vertAlign w:val="subscript"/>
                      <w:lang w:val="en-US" w:eastAsia="zh-CN"/>
                    </w:rPr>
                    <w:t>2.5</w:t>
                  </w:r>
                  <w:r>
                    <w:rPr>
                      <w:rFonts w:hint="default" w:ascii="Times New Roman" w:hAnsi="Times New Roman" w:cs="Times New Roman"/>
                      <w:color w:val="auto"/>
                      <w:lang w:val="en-US" w:eastAsia="zh-CN"/>
                    </w:rPr>
                    <w:t>）平均浓度控制在21微克/立方米以内，城市空气质量优良天数比率达到98.5%以上，坚决防范重度及以上污染天气发生，全市地表水国控断面优良水体比例达80%，消除城市黑臭水体，消除劣V类水体。</w:t>
                  </w:r>
                </w:p>
              </w:tc>
              <w:tc>
                <w:tcPr>
                  <w:tcW w:w="1855" w:type="pct"/>
                  <w:noWrap w:val="0"/>
                  <w:vAlign w:val="center"/>
                </w:tcPr>
                <w:p w14:paraId="36036D4E">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项目在施工和运营期间采取了严格的环境保护措施，包括废气治理、</w:t>
                  </w:r>
                  <w:r>
                    <w:rPr>
                      <w:rFonts w:hint="default" w:ascii="Times New Roman" w:hAnsi="Times New Roman" w:cs="Times New Roman"/>
                      <w:color w:val="auto"/>
                      <w:lang w:val="en-US" w:eastAsia="zh-CN"/>
                    </w:rPr>
                    <w:t>生活</w:t>
                  </w:r>
                  <w:r>
                    <w:rPr>
                      <w:rFonts w:hint="default" w:ascii="Times New Roman" w:hAnsi="Times New Roman" w:cs="Times New Roman"/>
                      <w:color w:val="auto"/>
                    </w:rPr>
                    <w:t>废水</w:t>
                  </w:r>
                  <w:r>
                    <w:rPr>
                      <w:rFonts w:hint="default" w:ascii="Times New Roman" w:hAnsi="Times New Roman" w:cs="Times New Roman"/>
                      <w:color w:val="auto"/>
                      <w:lang w:val="en-US" w:eastAsia="zh-CN"/>
                    </w:rPr>
                    <w:t>回用</w:t>
                  </w:r>
                  <w:r>
                    <w:rPr>
                      <w:rFonts w:hint="default" w:ascii="Times New Roman" w:hAnsi="Times New Roman" w:cs="Times New Roman"/>
                      <w:color w:val="auto"/>
                    </w:rPr>
                    <w:t>、固体废物回收利用等，有效控制了污染物的排放。</w:t>
                  </w:r>
                  <w:r>
                    <w:rPr>
                      <w:rFonts w:hint="default" w:ascii="Times New Roman" w:hAnsi="Times New Roman" w:cs="Times New Roman"/>
                      <w:color w:val="auto"/>
                      <w:lang w:val="en-US" w:eastAsia="zh-CN"/>
                    </w:rPr>
                    <w:t>项目无废水外排。</w:t>
                  </w:r>
                </w:p>
              </w:tc>
              <w:tc>
                <w:tcPr>
                  <w:tcW w:w="547" w:type="pct"/>
                  <w:noWrap w:val="0"/>
                  <w:vAlign w:val="center"/>
                </w:tcPr>
                <w:p w14:paraId="0A78EA6D">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563A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restart"/>
                  <w:noWrap w:val="0"/>
                  <w:vAlign w:val="center"/>
                </w:tcPr>
                <w:p w14:paraId="1CE0CBB2">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环境风险防控</w:t>
                  </w:r>
                </w:p>
              </w:tc>
              <w:tc>
                <w:tcPr>
                  <w:tcW w:w="2089" w:type="pct"/>
                  <w:noWrap w:val="0"/>
                  <w:vAlign w:val="center"/>
                </w:tcPr>
                <w:p w14:paraId="4E3647EB">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1.强化与其他滇中城市的大气、水污染防治联防联控协作机制，加强区域内重污染天气和跨界水体风险应急联动。</w:t>
                  </w:r>
                </w:p>
              </w:tc>
              <w:tc>
                <w:tcPr>
                  <w:tcW w:w="1855" w:type="pct"/>
                  <w:noWrap w:val="0"/>
                  <w:vAlign w:val="center"/>
                </w:tcPr>
                <w:p w14:paraId="0A4D10C5">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rPr>
                  </w:pPr>
                  <w:r>
                    <w:rPr>
                      <w:rFonts w:hint="default" w:ascii="Times New Roman" w:hAnsi="Times New Roman" w:cs="Times New Roman"/>
                      <w:color w:val="auto"/>
                      <w:lang w:val="en-US" w:eastAsia="zh-CN"/>
                    </w:rPr>
                    <w:t>项目建成后，企业将积极配合环保主管部门与其他滇中城市的大气污染防治联防联控协作，加强区域内重污染天气和跨界水体风险应急联动。</w:t>
                  </w:r>
                </w:p>
              </w:tc>
              <w:tc>
                <w:tcPr>
                  <w:tcW w:w="547" w:type="pct"/>
                  <w:noWrap w:val="0"/>
                  <w:vAlign w:val="center"/>
                </w:tcPr>
                <w:p w14:paraId="5C12177B">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符合</w:t>
                  </w:r>
                </w:p>
              </w:tc>
            </w:tr>
            <w:tr w14:paraId="045D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noWrap w:val="0"/>
                  <w:vAlign w:val="center"/>
                </w:tcPr>
                <w:p w14:paraId="44A0A309">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p>
              </w:tc>
              <w:tc>
                <w:tcPr>
                  <w:tcW w:w="2089" w:type="pct"/>
                  <w:noWrap w:val="0"/>
                  <w:vAlign w:val="center"/>
                </w:tcPr>
                <w:p w14:paraId="7CA246A8">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开展涉危险废物涉重金属企业、化工园区等重点领域环境风险调查评估，加强危险化学品运输全链条安全监管。完善环境应急管理体系，提升市县两级环境应急响应能力，推进应急物资库建设。开展涉铊企业排查整治行动。建立</w:t>
                  </w:r>
                  <w:r>
                    <w:rPr>
                      <w:rFonts w:hint="eastAsia" w:cs="Times New Roman"/>
                      <w:color w:val="auto"/>
                      <w:lang w:val="en-US" w:eastAsia="zh-CN"/>
                    </w:rPr>
                    <w:t>“</w:t>
                  </w:r>
                  <w:r>
                    <w:rPr>
                      <w:rFonts w:hint="default" w:ascii="Times New Roman" w:hAnsi="Times New Roman" w:cs="Times New Roman"/>
                      <w:color w:val="auto"/>
                      <w:lang w:val="en-US" w:eastAsia="zh-CN"/>
                    </w:rPr>
                    <w:t>平战结合</w:t>
                  </w:r>
                  <w:r>
                    <w:rPr>
                      <w:rFonts w:hint="eastAsia" w:cs="Times New Roman"/>
                      <w:color w:val="auto"/>
                      <w:lang w:val="en-US" w:eastAsia="zh-CN"/>
                    </w:rPr>
                    <w:t>”</w:t>
                  </w:r>
                  <w:r>
                    <w:rPr>
                      <w:rFonts w:hint="default" w:ascii="Times New Roman" w:hAnsi="Times New Roman" w:cs="Times New Roman"/>
                      <w:color w:val="auto"/>
                      <w:lang w:val="en-US" w:eastAsia="zh-CN"/>
                    </w:rPr>
                    <w:t>医疗废物应急处置体系。</w:t>
                  </w:r>
                </w:p>
              </w:tc>
              <w:tc>
                <w:tcPr>
                  <w:tcW w:w="1855" w:type="pct"/>
                  <w:noWrap w:val="0"/>
                  <w:vAlign w:val="center"/>
                </w:tcPr>
                <w:p w14:paraId="318D49A4">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本项目不涉及。</w:t>
                  </w:r>
                </w:p>
              </w:tc>
              <w:tc>
                <w:tcPr>
                  <w:tcW w:w="547" w:type="pct"/>
                  <w:noWrap w:val="0"/>
                  <w:vAlign w:val="center"/>
                </w:tcPr>
                <w:p w14:paraId="1913D97D">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14:paraId="0379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restart"/>
                  <w:noWrap w:val="0"/>
                  <w:vAlign w:val="center"/>
                </w:tcPr>
                <w:p w14:paraId="496FB21A">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资源开发利用效率</w:t>
                  </w:r>
                </w:p>
              </w:tc>
              <w:tc>
                <w:tcPr>
                  <w:tcW w:w="2089" w:type="pct"/>
                  <w:noWrap w:val="0"/>
                  <w:vAlign w:val="center"/>
                </w:tcPr>
                <w:p w14:paraId="058A3875">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1.降低水、土地、矿产资源消耗强度，强化约束性指标管理。</w:t>
                  </w:r>
                </w:p>
              </w:tc>
              <w:tc>
                <w:tcPr>
                  <w:tcW w:w="1855" w:type="pct"/>
                  <w:noWrap w:val="0"/>
                  <w:vAlign w:val="center"/>
                </w:tcPr>
                <w:p w14:paraId="408D3871">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本项目不涉及。</w:t>
                  </w:r>
                </w:p>
              </w:tc>
              <w:tc>
                <w:tcPr>
                  <w:tcW w:w="547" w:type="pct"/>
                  <w:noWrap w:val="0"/>
                  <w:vAlign w:val="center"/>
                </w:tcPr>
                <w:p w14:paraId="3205F10F">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w:t>
                  </w:r>
                </w:p>
              </w:tc>
            </w:tr>
            <w:tr w14:paraId="19BC6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noWrap w:val="0"/>
                  <w:vAlign w:val="center"/>
                </w:tcPr>
                <w:p w14:paraId="00480E84">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p>
              </w:tc>
              <w:tc>
                <w:tcPr>
                  <w:tcW w:w="2089" w:type="pct"/>
                  <w:noWrap w:val="0"/>
                  <w:vAlign w:val="center"/>
                </w:tcPr>
                <w:p w14:paraId="48871994">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2.实行最严格的水资源管理制度，严格用水总量、强度指标管理，严格取水管控，建立重点监控取水单位名录，强化重点监控取水单位管理。全市年用水总量、万元工业增加值用水量降幅等指标达到省考核要求。</w:t>
                  </w:r>
                </w:p>
              </w:tc>
              <w:tc>
                <w:tcPr>
                  <w:tcW w:w="1855" w:type="pct"/>
                  <w:noWrap w:val="0"/>
                  <w:vAlign w:val="center"/>
                </w:tcPr>
                <w:p w14:paraId="4AA4B764">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本项目不属于重点监控取水单位，用水量不触及资源利用上线，符合资源利用上线要求</w:t>
                  </w:r>
                  <w:r>
                    <w:rPr>
                      <w:rFonts w:hint="eastAsia" w:cs="Times New Roman"/>
                      <w:color w:val="auto"/>
                      <w:lang w:val="en-US" w:eastAsia="zh-CN"/>
                    </w:rPr>
                    <w:t>；</w:t>
                  </w:r>
                  <w:r>
                    <w:rPr>
                      <w:rFonts w:hint="default" w:ascii="Times New Roman" w:hAnsi="Times New Roman" w:cs="Times New Roman"/>
                      <w:color w:val="auto"/>
                      <w:lang w:val="en-US" w:eastAsia="zh-CN"/>
                    </w:rPr>
                    <w:t>项目生产过程不使用水，符合水资源管理制度。</w:t>
                  </w:r>
                </w:p>
              </w:tc>
              <w:tc>
                <w:tcPr>
                  <w:tcW w:w="547" w:type="pct"/>
                  <w:noWrap w:val="0"/>
                  <w:vAlign w:val="center"/>
                </w:tcPr>
                <w:p w14:paraId="1DA0072C">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符合</w:t>
                  </w:r>
                </w:p>
              </w:tc>
            </w:tr>
            <w:tr w14:paraId="418DE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noWrap w:val="0"/>
                  <w:vAlign w:val="center"/>
                </w:tcPr>
                <w:p w14:paraId="749B2E0F">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p>
              </w:tc>
              <w:tc>
                <w:tcPr>
                  <w:tcW w:w="2089" w:type="pct"/>
                  <w:noWrap w:val="0"/>
                  <w:vAlign w:val="center"/>
                </w:tcPr>
                <w:p w14:paraId="450F9DEF">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3.坚持最严耕地保护制度，守住耕地保护红线。坚持节约用地，严格执行耕地占补平衡等制度，提高土地投资强度和单位面积产出水平。</w:t>
                  </w:r>
                </w:p>
              </w:tc>
              <w:tc>
                <w:tcPr>
                  <w:tcW w:w="1855" w:type="pct"/>
                  <w:noWrap w:val="0"/>
                  <w:vAlign w:val="center"/>
                </w:tcPr>
                <w:p w14:paraId="2D728A97">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w:t>
                  </w:r>
                  <w:r>
                    <w:rPr>
                      <w:rFonts w:hint="eastAsia" w:cs="Times New Roman"/>
                      <w:color w:val="auto"/>
                      <w:lang w:val="en-US" w:eastAsia="zh-CN"/>
                    </w:rPr>
                    <w:t>“</w:t>
                  </w:r>
                  <w:r>
                    <w:rPr>
                      <w:rFonts w:hint="default" w:ascii="Times New Roman" w:hAnsi="Times New Roman" w:cs="Times New Roman"/>
                      <w:color w:val="auto"/>
                      <w:lang w:val="en-US" w:eastAsia="zh-CN"/>
                    </w:rPr>
                    <w:t>三区三线</w:t>
                  </w:r>
                  <w:r>
                    <w:rPr>
                      <w:rFonts w:hint="eastAsia" w:cs="Times New Roman"/>
                      <w:color w:val="auto"/>
                      <w:lang w:val="en-US" w:eastAsia="zh-CN"/>
                    </w:rPr>
                    <w:t>”</w:t>
                  </w:r>
                  <w:r>
                    <w:rPr>
                      <w:rFonts w:hint="default" w:ascii="Times New Roman" w:hAnsi="Times New Roman" w:cs="Times New Roman"/>
                      <w:color w:val="auto"/>
                      <w:lang w:val="en-US" w:eastAsia="zh-CN"/>
                    </w:rPr>
                    <w:t>查询意见，项目范围不占用国土空间规划划定的永久基本农田。</w:t>
                  </w:r>
                </w:p>
              </w:tc>
              <w:tc>
                <w:tcPr>
                  <w:tcW w:w="547" w:type="pct"/>
                  <w:noWrap w:val="0"/>
                  <w:vAlign w:val="center"/>
                </w:tcPr>
                <w:p w14:paraId="195CFC9A">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符合</w:t>
                  </w:r>
                </w:p>
              </w:tc>
            </w:tr>
            <w:tr w14:paraId="2E62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noWrap w:val="0"/>
                  <w:vAlign w:val="center"/>
                </w:tcPr>
                <w:p w14:paraId="3ACA23BF">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p>
              </w:tc>
              <w:tc>
                <w:tcPr>
                  <w:tcW w:w="2089" w:type="pct"/>
                  <w:noWrap w:val="0"/>
                  <w:vAlign w:val="center"/>
                </w:tcPr>
                <w:p w14:paraId="73062FFF">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4.全市单位GDP二氧化碳排放累计下降率完成云南省下达的指标</w:t>
                  </w:r>
                  <w:r>
                    <w:rPr>
                      <w:rFonts w:hint="eastAsia" w:cs="Times New Roman"/>
                      <w:color w:val="auto"/>
                      <w:lang w:val="en-US" w:eastAsia="zh-CN"/>
                    </w:rPr>
                    <w:t>；</w:t>
                  </w:r>
                  <w:r>
                    <w:rPr>
                      <w:rFonts w:hint="default" w:ascii="Times New Roman" w:hAnsi="Times New Roman" w:cs="Times New Roman"/>
                      <w:color w:val="auto"/>
                      <w:lang w:val="en-US" w:eastAsia="zh-CN"/>
                    </w:rPr>
                    <w:t>单位GDP能耗持续下降，到2025年，全市单位GDP能耗累计下降率14%。</w:t>
                  </w:r>
                </w:p>
              </w:tc>
              <w:tc>
                <w:tcPr>
                  <w:tcW w:w="1855" w:type="pct"/>
                  <w:noWrap w:val="0"/>
                  <w:vAlign w:val="center"/>
                </w:tcPr>
                <w:p w14:paraId="6CD0D57C">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本项目不涉及。</w:t>
                  </w:r>
                </w:p>
              </w:tc>
              <w:tc>
                <w:tcPr>
                  <w:tcW w:w="547" w:type="pct"/>
                  <w:noWrap w:val="0"/>
                  <w:vAlign w:val="center"/>
                </w:tcPr>
                <w:p w14:paraId="5F9BDFA8">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w:t>
                  </w:r>
                </w:p>
              </w:tc>
            </w:tr>
            <w:tr w14:paraId="5405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noWrap w:val="0"/>
                  <w:vAlign w:val="center"/>
                </w:tcPr>
                <w:p w14:paraId="40126991">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p>
              </w:tc>
              <w:tc>
                <w:tcPr>
                  <w:tcW w:w="2089" w:type="pct"/>
                  <w:noWrap w:val="0"/>
                  <w:vAlign w:val="center"/>
                </w:tcPr>
                <w:p w14:paraId="4160AC08">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5.高污染燃料禁燃区按照《高污染燃料目录》及当地有关禁燃区管理规定执行。</w:t>
                  </w:r>
                </w:p>
              </w:tc>
              <w:tc>
                <w:tcPr>
                  <w:tcW w:w="1855" w:type="pct"/>
                  <w:noWrap w:val="0"/>
                  <w:vAlign w:val="center"/>
                </w:tcPr>
                <w:p w14:paraId="5C70198F">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本项目不涉及。</w:t>
                  </w:r>
                </w:p>
              </w:tc>
              <w:tc>
                <w:tcPr>
                  <w:tcW w:w="547" w:type="pct"/>
                  <w:noWrap w:val="0"/>
                  <w:vAlign w:val="center"/>
                </w:tcPr>
                <w:p w14:paraId="2C650F8E">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w:t>
                  </w:r>
                </w:p>
              </w:tc>
            </w:tr>
            <w:tr w14:paraId="790B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noWrap w:val="0"/>
                  <w:vAlign w:val="center"/>
                </w:tcPr>
                <w:p w14:paraId="2EEEF699">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p>
              </w:tc>
              <w:tc>
                <w:tcPr>
                  <w:tcW w:w="2089" w:type="pct"/>
                  <w:noWrap w:val="0"/>
                  <w:vAlign w:val="center"/>
                </w:tcPr>
                <w:p w14:paraId="503FF641">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6.实施高效节水灌溉工程，大力推广高效节水灌溉措施，到2025年，农田灌溉水有效利用系数达到0.55。</w:t>
                  </w:r>
                </w:p>
              </w:tc>
              <w:tc>
                <w:tcPr>
                  <w:tcW w:w="1855" w:type="pct"/>
                  <w:noWrap w:val="0"/>
                  <w:vAlign w:val="center"/>
                </w:tcPr>
                <w:p w14:paraId="3486A586">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本项目不涉及。</w:t>
                  </w:r>
                </w:p>
              </w:tc>
              <w:tc>
                <w:tcPr>
                  <w:tcW w:w="547" w:type="pct"/>
                  <w:noWrap w:val="0"/>
                  <w:vAlign w:val="center"/>
                </w:tcPr>
                <w:p w14:paraId="1E7BB3BE">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14:paraId="5758F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noWrap w:val="0"/>
                  <w:vAlign w:val="center"/>
                </w:tcPr>
                <w:p w14:paraId="51DEAC1B">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b/>
                      <w:bCs/>
                      <w:color w:val="auto"/>
                      <w:lang w:val="en-US" w:eastAsia="zh-CN"/>
                    </w:rPr>
                    <w:t>澄江市乡镇生活污染重点管控单元</w:t>
                  </w:r>
                </w:p>
              </w:tc>
            </w:tr>
            <w:tr w14:paraId="3C4C2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noWrap w:val="0"/>
                  <w:vAlign w:val="center"/>
                </w:tcPr>
                <w:p w14:paraId="2AD1F89D">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空间布局约束</w:t>
                  </w:r>
                </w:p>
              </w:tc>
              <w:tc>
                <w:tcPr>
                  <w:tcW w:w="2089" w:type="pct"/>
                  <w:noWrap w:val="0"/>
                  <w:vAlign w:val="center"/>
                </w:tcPr>
                <w:p w14:paraId="42EA9370">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优化产业空间布局，对不符合准入要求的既有项目，依法依规实施整改、退出等分类治理方案，促进企业向园区集中，产业向园区集聚，资源集约利用。</w:t>
                  </w:r>
                </w:p>
              </w:tc>
              <w:tc>
                <w:tcPr>
                  <w:tcW w:w="1855" w:type="pct"/>
                  <w:noWrap w:val="0"/>
                  <w:vAlign w:val="center"/>
                </w:tcPr>
                <w:p w14:paraId="1B5F66AC">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所在占地范围内原为云南澄江县德安磷化工有限责任公司厂房及场地，周边企业集中于该区域，项目租用闲置厂房，未新增用地范围，有利于闲置土地资源再利用。且根据分析，项目符合国家产业政府，符合玉溪市</w:t>
                  </w:r>
                  <w:r>
                    <w:rPr>
                      <w:rFonts w:hint="eastAsia" w:cs="Times New Roman"/>
                      <w:color w:val="auto"/>
                      <w:lang w:val="en-US" w:eastAsia="zh-CN"/>
                    </w:rPr>
                    <w:t>“</w:t>
                  </w:r>
                  <w:r>
                    <w:rPr>
                      <w:rFonts w:hint="default" w:ascii="Times New Roman" w:hAnsi="Times New Roman" w:cs="Times New Roman"/>
                      <w:color w:val="auto"/>
                      <w:lang w:val="en-US" w:eastAsia="zh-CN"/>
                    </w:rPr>
                    <w:t>三线一单</w:t>
                  </w:r>
                  <w:r>
                    <w:rPr>
                      <w:rFonts w:hint="eastAsia" w:cs="Times New Roman"/>
                      <w:color w:val="auto"/>
                      <w:lang w:val="en-US" w:eastAsia="zh-CN"/>
                    </w:rPr>
                    <w:t>”</w:t>
                  </w:r>
                  <w:r>
                    <w:rPr>
                      <w:rFonts w:hint="default" w:ascii="Times New Roman" w:hAnsi="Times New Roman" w:cs="Times New Roman"/>
                      <w:color w:val="auto"/>
                      <w:lang w:val="en-US" w:eastAsia="zh-CN"/>
                    </w:rPr>
                    <w:t>总体管控要求，具备准入条件。</w:t>
                  </w:r>
                </w:p>
              </w:tc>
              <w:tc>
                <w:tcPr>
                  <w:tcW w:w="547" w:type="pct"/>
                  <w:noWrap w:val="0"/>
                  <w:vAlign w:val="center"/>
                </w:tcPr>
                <w:p w14:paraId="0C4B0293">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4E75B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noWrap w:val="0"/>
                  <w:vAlign w:val="center"/>
                </w:tcPr>
                <w:p w14:paraId="3FE35FE1">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污染物排放管控</w:t>
                  </w:r>
                </w:p>
              </w:tc>
              <w:tc>
                <w:tcPr>
                  <w:tcW w:w="2089" w:type="pct"/>
                  <w:noWrap w:val="0"/>
                  <w:vAlign w:val="center"/>
                </w:tcPr>
                <w:p w14:paraId="4B25890D">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向城镇污水集中处理设施排放水污染物，应当符合国家或者地方规定的水污染物排放标准。2.加强城镇生活污水收集处理设施建设和提标改造，城镇驻地逐步实现雨污分流。3.大力推进生活垃圾分类回收利用，建立分类投放、收集、运输、处理的生活垃圾收运处理系统。</w:t>
                  </w:r>
                </w:p>
              </w:tc>
              <w:tc>
                <w:tcPr>
                  <w:tcW w:w="1855" w:type="pct"/>
                  <w:noWrap w:val="0"/>
                  <w:vAlign w:val="center"/>
                </w:tcPr>
                <w:p w14:paraId="00E1DFBD">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1.项目运营期无废水排放，未对城镇污水处理厂增加负荷。2.项目实行</w:t>
                  </w:r>
                  <w:r>
                    <w:rPr>
                      <w:rFonts w:hint="eastAsia" w:cs="Times New Roman"/>
                      <w:color w:val="auto"/>
                      <w:lang w:val="en-US" w:eastAsia="zh-CN"/>
                    </w:rPr>
                    <w:t>“</w:t>
                  </w:r>
                  <w:r>
                    <w:rPr>
                      <w:rFonts w:hint="default" w:ascii="Times New Roman" w:hAnsi="Times New Roman" w:cs="Times New Roman"/>
                      <w:color w:val="auto"/>
                      <w:lang w:val="en-US" w:eastAsia="zh-CN"/>
                    </w:rPr>
                    <w:t>雨污分流</w:t>
                  </w:r>
                  <w:r>
                    <w:rPr>
                      <w:rFonts w:hint="eastAsia" w:cs="Times New Roman"/>
                      <w:color w:val="auto"/>
                      <w:lang w:val="en-US" w:eastAsia="zh-CN"/>
                    </w:rPr>
                    <w:t>”</w:t>
                  </w:r>
                  <w:r>
                    <w:rPr>
                      <w:rFonts w:hint="default" w:ascii="Times New Roman" w:hAnsi="Times New Roman" w:cs="Times New Roman"/>
                      <w:color w:val="auto"/>
                      <w:lang w:val="en-US" w:eastAsia="zh-CN"/>
                    </w:rPr>
                    <w:t>排水系统，运营期无废水排放。3.项目区生活垃圾分类收集，并委托环卫部门转运，区域属于右所镇右所社区，环卫收集、运输系统完善。</w:t>
                  </w:r>
                </w:p>
              </w:tc>
              <w:tc>
                <w:tcPr>
                  <w:tcW w:w="547" w:type="pct"/>
                  <w:noWrap w:val="0"/>
                  <w:vAlign w:val="center"/>
                </w:tcPr>
                <w:p w14:paraId="1B8EDF0A">
                  <w:pPr>
                    <w:pStyle w:val="14"/>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bl>
          <w:p w14:paraId="64BDF524">
            <w:pPr>
              <w:bidi w:val="0"/>
              <w:rPr>
                <w:rFonts w:hint="default" w:ascii="Times New Roman" w:hAnsi="Times New Roman" w:cs="Times New Roman"/>
                <w:color w:val="auto"/>
              </w:rPr>
            </w:pPr>
            <w:r>
              <w:rPr>
                <w:rFonts w:hint="default" w:ascii="Times New Roman" w:hAnsi="Times New Roman" w:cs="Times New Roman"/>
                <w:color w:val="auto"/>
                <w:lang w:val="en-US" w:eastAsia="zh-CN"/>
              </w:rPr>
              <w:t>综上所述，项目符合《玉溪市人民政府关于印发玉溪市</w:t>
            </w:r>
            <w:r>
              <w:rPr>
                <w:rFonts w:hint="eastAsia" w:cs="Times New Roman"/>
                <w:color w:val="auto"/>
                <w:lang w:val="en-US" w:eastAsia="zh-CN"/>
              </w:rPr>
              <w:t>“</w:t>
            </w:r>
            <w:r>
              <w:rPr>
                <w:rFonts w:hint="default" w:ascii="Times New Roman" w:hAnsi="Times New Roman" w:cs="Times New Roman"/>
                <w:color w:val="auto"/>
                <w:lang w:val="en-US" w:eastAsia="zh-CN"/>
              </w:rPr>
              <w:t>三线一单</w:t>
            </w:r>
            <w:r>
              <w:rPr>
                <w:rFonts w:hint="eastAsia" w:cs="Times New Roman"/>
                <w:color w:val="auto"/>
                <w:lang w:val="en-US" w:eastAsia="zh-CN"/>
              </w:rPr>
              <w:t>”</w:t>
            </w:r>
            <w:r>
              <w:rPr>
                <w:rFonts w:hint="default" w:ascii="Times New Roman" w:hAnsi="Times New Roman" w:cs="Times New Roman"/>
                <w:color w:val="auto"/>
                <w:lang w:val="en-US" w:eastAsia="zh-CN"/>
              </w:rPr>
              <w:t>生态环境分区管控实施意见的通知》（玉政发〔2021〕15号）及《玉溪市生态环境局关于印发玉溪市生态环境分区管控动态更新调整方案（2023）年的通知》（玉市环〔2024〕40号）中的要求。</w:t>
            </w:r>
          </w:p>
          <w:p w14:paraId="466DAF92">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2、产业政策相符性分析</w:t>
            </w:r>
          </w:p>
          <w:p w14:paraId="492AABE6">
            <w:pPr>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本项目属于C2033木楼梯制造类项目，</w:t>
            </w:r>
            <w:r>
              <w:rPr>
                <w:rFonts w:hint="default" w:ascii="Times New Roman" w:hAnsi="Times New Roman" w:cs="Times New Roman"/>
                <w:color w:val="auto"/>
              </w:rPr>
              <w:t>根据与《产业结构调整指导目录</w:t>
            </w:r>
            <w:r>
              <w:rPr>
                <w:rFonts w:hint="default" w:ascii="Times New Roman" w:hAnsi="Times New Roman" w:cs="Times New Roman"/>
                <w:color w:val="auto"/>
                <w:lang w:eastAsia="zh-CN"/>
              </w:rPr>
              <w:t>（</w:t>
            </w:r>
            <w:r>
              <w:rPr>
                <w:rFonts w:hint="default" w:ascii="Times New Roman" w:hAnsi="Times New Roman" w:cs="Times New Roman"/>
                <w:color w:val="auto"/>
              </w:rPr>
              <w:t>2024年本）》分析，本项目未在鼓励类、淘汰类或限制类目录内，项目已获得澄江市发展和改革局出具的云南省固定资产投资项目备案证，项目代码2408-530422-04-01-641388，视为允许类，符合国家及地方的产业政策。</w:t>
            </w:r>
          </w:p>
          <w:p w14:paraId="589FE025">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3、项目与现行政策、法规相符性分析</w:t>
            </w:r>
          </w:p>
          <w:p w14:paraId="0CC651ED">
            <w:pPr>
              <w:bidi w:val="0"/>
              <w:rPr>
                <w:rFonts w:hint="default" w:ascii="Times New Roman" w:hAnsi="Times New Roman" w:cs="Times New Roman"/>
                <w:color w:val="auto"/>
              </w:rPr>
            </w:pPr>
            <w:r>
              <w:rPr>
                <w:rFonts w:hint="default" w:ascii="Times New Roman" w:hAnsi="Times New Roman" w:cs="Times New Roman"/>
                <w:b/>
                <w:bCs/>
                <w:color w:val="auto"/>
                <w:lang w:val="en-US" w:eastAsia="zh-CN"/>
              </w:rPr>
              <w:t>①</w:t>
            </w:r>
            <w:r>
              <w:rPr>
                <w:rFonts w:hint="default" w:ascii="Times New Roman" w:hAnsi="Times New Roman" w:cs="Times New Roman"/>
                <w:b/>
                <w:bCs/>
                <w:color w:val="auto"/>
              </w:rPr>
              <w:t>项目与《中华人民共和国大气污染防治法》符合性分析</w:t>
            </w:r>
          </w:p>
          <w:p w14:paraId="03B21051">
            <w:pPr>
              <w:bidi w:val="0"/>
              <w:rPr>
                <w:rFonts w:hint="default" w:eastAsia="宋体"/>
                <w:color w:val="auto"/>
                <w:lang w:val="en-US" w:eastAsia="zh-CN"/>
              </w:rPr>
            </w:pPr>
            <w:r>
              <w:rPr>
                <w:rFonts w:hint="default"/>
                <w:color w:val="auto"/>
              </w:rPr>
              <w:t>《中华人民共和国大气污染防治法》由中华人民共和国第十二届全国人民代表大会常务委员会第十六次会议于2015年8月29日修订通过，《中华人民共和国大气污染防治法》修订后，自2016年1月1日起施行</w:t>
            </w:r>
            <w:r>
              <w:rPr>
                <w:rFonts w:hint="eastAsia"/>
                <w:color w:val="auto"/>
                <w:lang w:eastAsia="zh-CN"/>
              </w:rPr>
              <w:t>。</w:t>
            </w:r>
            <w:r>
              <w:rPr>
                <w:rFonts w:hint="eastAsia"/>
                <w:color w:val="auto"/>
                <w:lang w:val="en-US" w:eastAsia="zh-CN"/>
              </w:rPr>
              <w:t>项目与《中华人民共和国大气污染防治法》符合性分析如下：</w:t>
            </w:r>
          </w:p>
          <w:p w14:paraId="5443A6CA">
            <w:pPr>
              <w:bidi w:val="0"/>
              <w:jc w:val="center"/>
              <w:rPr>
                <w:rFonts w:hint="default" w:ascii="Times New Roman" w:hAnsi="Times New Roman" w:cs="Times New Roman"/>
                <w:b/>
                <w:bCs/>
                <w:color w:val="auto"/>
              </w:rPr>
            </w:pPr>
            <w:r>
              <w:rPr>
                <w:rFonts w:hint="default" w:ascii="Times New Roman" w:hAnsi="Times New Roman" w:cs="Times New Roman"/>
                <w:b/>
                <w:bCs/>
                <w:color w:val="auto"/>
              </w:rPr>
              <w:t>表1-</w:t>
            </w:r>
            <w:r>
              <w:rPr>
                <w:rFonts w:hint="default" w:ascii="Times New Roman" w:hAnsi="Times New Roman" w:cs="Times New Roman"/>
                <w:b/>
                <w:bCs/>
                <w:color w:val="auto"/>
                <w:lang w:val="en-US" w:eastAsia="zh-CN"/>
              </w:rPr>
              <w:t xml:space="preserve">3 </w:t>
            </w:r>
            <w:r>
              <w:rPr>
                <w:rFonts w:hint="default" w:ascii="Times New Roman" w:hAnsi="Times New Roman" w:cs="Times New Roman"/>
                <w:b/>
                <w:bCs/>
                <w:color w:val="auto"/>
              </w:rPr>
              <w:t xml:space="preserve"> 与《中华人民共和国大气污染防治法》符合性分析</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9"/>
              <w:gridCol w:w="2410"/>
              <w:gridCol w:w="688"/>
            </w:tblGrid>
            <w:tr w14:paraId="5F5A3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19" w:type="dxa"/>
                  <w:noWrap w:val="0"/>
                  <w:vAlign w:val="center"/>
                </w:tcPr>
                <w:p w14:paraId="599E7796">
                  <w:pPr>
                    <w:pStyle w:val="14"/>
                    <w:bidi w:val="0"/>
                    <w:rPr>
                      <w:rFonts w:hint="default" w:ascii="Times New Roman" w:hAnsi="Times New Roman" w:cs="Times New Roman"/>
                      <w:b/>
                      <w:bCs/>
                      <w:color w:val="auto"/>
                    </w:rPr>
                  </w:pPr>
                  <w:r>
                    <w:rPr>
                      <w:rFonts w:hint="default" w:ascii="Times New Roman" w:hAnsi="Times New Roman" w:cs="Times New Roman"/>
                      <w:b/>
                      <w:bCs/>
                      <w:color w:val="auto"/>
                    </w:rPr>
                    <w:t>大气污染防治法相关内容</w:t>
                  </w:r>
                </w:p>
              </w:tc>
              <w:tc>
                <w:tcPr>
                  <w:tcW w:w="2410" w:type="dxa"/>
                  <w:noWrap w:val="0"/>
                  <w:vAlign w:val="center"/>
                </w:tcPr>
                <w:p w14:paraId="7054462E">
                  <w:pPr>
                    <w:pStyle w:val="14"/>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符合性分析</w:t>
                  </w:r>
                </w:p>
              </w:tc>
              <w:tc>
                <w:tcPr>
                  <w:tcW w:w="688" w:type="dxa"/>
                  <w:noWrap w:val="0"/>
                  <w:vAlign w:val="center"/>
                </w:tcPr>
                <w:p w14:paraId="375A7891">
                  <w:pPr>
                    <w:pStyle w:val="14"/>
                    <w:bidi w:val="0"/>
                    <w:rPr>
                      <w:rFonts w:hint="default" w:ascii="Times New Roman" w:hAnsi="Times New Roman" w:cs="Times New Roman"/>
                      <w:b/>
                      <w:bCs/>
                      <w:color w:val="auto"/>
                    </w:rPr>
                  </w:pPr>
                  <w:r>
                    <w:rPr>
                      <w:rFonts w:hint="default" w:ascii="Times New Roman" w:hAnsi="Times New Roman" w:cs="Times New Roman"/>
                      <w:b/>
                      <w:bCs/>
                      <w:color w:val="auto"/>
                    </w:rPr>
                    <w:t>符合性</w:t>
                  </w:r>
                </w:p>
              </w:tc>
            </w:tr>
            <w:tr w14:paraId="7916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19" w:type="dxa"/>
                  <w:noWrap w:val="0"/>
                  <w:vAlign w:val="center"/>
                </w:tcPr>
                <w:p w14:paraId="686CC424">
                  <w:pPr>
                    <w:pStyle w:val="14"/>
                    <w:bidi w:val="0"/>
                    <w:rPr>
                      <w:rFonts w:hint="default" w:ascii="Times New Roman" w:hAnsi="Times New Roman" w:cs="Times New Roman"/>
                      <w:color w:val="auto"/>
                    </w:rPr>
                  </w:pPr>
                  <w:r>
                    <w:rPr>
                      <w:rFonts w:hint="default" w:ascii="Times New Roman" w:hAnsi="Times New Roman" w:cs="Times New Roman"/>
                      <w:color w:val="auto"/>
                    </w:rPr>
                    <w:t>第十八条</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企业事业单位和其他生产经营者建设对大气环境有影响的项目，应当依法进行环境影响评价、公开环境影响评价文件</w:t>
                  </w:r>
                  <w:r>
                    <w:rPr>
                      <w:rFonts w:hint="eastAsia" w:cs="Times New Roman"/>
                      <w:color w:val="auto"/>
                      <w:lang w:eastAsia="zh-CN"/>
                    </w:rPr>
                    <w:t>；</w:t>
                  </w:r>
                  <w:r>
                    <w:rPr>
                      <w:rFonts w:hint="default" w:ascii="Times New Roman" w:hAnsi="Times New Roman" w:cs="Times New Roman"/>
                      <w:color w:val="auto"/>
                    </w:rPr>
                    <w:t>向大气排放污染物的，应当符合大气污染物排放标准，遵守重点大气污染物排放总量控制要求。</w:t>
                  </w:r>
                </w:p>
              </w:tc>
              <w:tc>
                <w:tcPr>
                  <w:tcW w:w="2410" w:type="dxa"/>
                  <w:noWrap w:val="0"/>
                  <w:vAlign w:val="center"/>
                </w:tcPr>
                <w:p w14:paraId="36145A69">
                  <w:pPr>
                    <w:pStyle w:val="14"/>
                    <w:bidi w:val="0"/>
                    <w:rPr>
                      <w:rFonts w:hint="default" w:ascii="Times New Roman" w:hAnsi="Times New Roman" w:cs="Times New Roman"/>
                      <w:color w:val="auto"/>
                    </w:rPr>
                  </w:pPr>
                  <w:r>
                    <w:rPr>
                      <w:rFonts w:hint="default" w:ascii="Times New Roman" w:hAnsi="Times New Roman" w:cs="Times New Roman"/>
                      <w:color w:val="auto"/>
                    </w:rPr>
                    <w:t>本项目正在办理环评手续</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取得环评批复后，将及时公开</w:t>
                  </w:r>
                  <w:r>
                    <w:rPr>
                      <w:rFonts w:hint="default" w:ascii="Times New Roman" w:hAnsi="Times New Roman" w:cs="Times New Roman"/>
                      <w:color w:val="auto"/>
                    </w:rPr>
                    <w:t>环境影响评价文件</w:t>
                  </w:r>
                  <w:r>
                    <w:rPr>
                      <w:rFonts w:hint="eastAsia" w:cs="Times New Roman"/>
                      <w:color w:val="auto"/>
                      <w:lang w:eastAsia="zh-CN"/>
                    </w:rPr>
                    <w:t>；</w:t>
                  </w:r>
                  <w:r>
                    <w:rPr>
                      <w:rFonts w:hint="default" w:ascii="Times New Roman" w:hAnsi="Times New Roman" w:cs="Times New Roman"/>
                      <w:color w:val="auto"/>
                      <w:lang w:val="en-US" w:eastAsia="zh-CN"/>
                    </w:rPr>
                    <w:t>建设及运营过程中在采取相应环保措施后，项目各大气污染物均能达标排放，运营期将严格遵守环评批复中规定的</w:t>
                  </w:r>
                  <w:r>
                    <w:rPr>
                      <w:rFonts w:hint="default" w:ascii="Times New Roman" w:hAnsi="Times New Roman" w:cs="Times New Roman"/>
                      <w:color w:val="auto"/>
                    </w:rPr>
                    <w:t>大气污染物排放总量控制要求</w:t>
                  </w:r>
                  <w:r>
                    <w:rPr>
                      <w:rFonts w:hint="default" w:ascii="Times New Roman" w:hAnsi="Times New Roman" w:cs="Times New Roman"/>
                      <w:color w:val="auto"/>
                      <w:lang w:val="en-US" w:eastAsia="zh-CN"/>
                    </w:rPr>
                    <w:t>。</w:t>
                  </w:r>
                </w:p>
              </w:tc>
              <w:tc>
                <w:tcPr>
                  <w:tcW w:w="688" w:type="dxa"/>
                  <w:noWrap w:val="0"/>
                  <w:vAlign w:val="center"/>
                </w:tcPr>
                <w:p w14:paraId="65C2D4D2">
                  <w:pPr>
                    <w:pStyle w:val="14"/>
                    <w:bidi w:val="0"/>
                    <w:rPr>
                      <w:rFonts w:hint="default" w:ascii="Times New Roman" w:hAnsi="Times New Roman" w:cs="Times New Roman"/>
                      <w:color w:val="auto"/>
                    </w:rPr>
                  </w:pPr>
                  <w:r>
                    <w:rPr>
                      <w:rFonts w:hint="default" w:ascii="Times New Roman" w:hAnsi="Times New Roman" w:cs="Times New Roman"/>
                      <w:color w:val="auto"/>
                    </w:rPr>
                    <w:t>符合</w:t>
                  </w:r>
                </w:p>
              </w:tc>
            </w:tr>
            <w:tr w14:paraId="187A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19" w:type="dxa"/>
                  <w:noWrap w:val="0"/>
                  <w:vAlign w:val="center"/>
                </w:tcPr>
                <w:p w14:paraId="378C4385">
                  <w:pPr>
                    <w:pStyle w:val="14"/>
                    <w:bidi w:val="0"/>
                    <w:rPr>
                      <w:rFonts w:hint="default" w:ascii="Times New Roman" w:hAnsi="Times New Roman" w:cs="Times New Roman"/>
                      <w:color w:val="auto"/>
                    </w:rPr>
                  </w:pPr>
                  <w:r>
                    <w:rPr>
                      <w:rFonts w:hint="default" w:ascii="Times New Roman" w:hAnsi="Times New Roman" w:cs="Times New Roman"/>
                      <w:color w:val="auto"/>
                    </w:rPr>
                    <w:t>第十九条</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排放工业废气或者本法第七十八条规定名录中所列有毒有害大气污染物的企业事业单位、集中供热设施的燃煤热源生产运营单位以及其他依法实行排污许可管理的单位，应当取得排污许可证。排污许可的具体办法和实施步骤由国务院规定。</w:t>
                  </w:r>
                </w:p>
              </w:tc>
              <w:tc>
                <w:tcPr>
                  <w:tcW w:w="2410" w:type="dxa"/>
                  <w:noWrap w:val="0"/>
                  <w:vAlign w:val="center"/>
                </w:tcPr>
                <w:p w14:paraId="7C6F01A8">
                  <w:pPr>
                    <w:pStyle w:val="14"/>
                    <w:bidi w:val="0"/>
                    <w:rPr>
                      <w:rFonts w:hint="default" w:ascii="Times New Roman" w:hAnsi="Times New Roman" w:cs="Times New Roman"/>
                      <w:color w:val="auto"/>
                    </w:rPr>
                  </w:pPr>
                  <w:r>
                    <w:rPr>
                      <w:rFonts w:hint="default" w:ascii="Times New Roman" w:hAnsi="Times New Roman" w:cs="Times New Roman"/>
                      <w:color w:val="auto"/>
                    </w:rPr>
                    <w:t>本项目发生实际排污行为之前将按照《排污许可管理条例》的相关要求，及时办理固定污染源排污登记手续。</w:t>
                  </w:r>
                </w:p>
              </w:tc>
              <w:tc>
                <w:tcPr>
                  <w:tcW w:w="688" w:type="dxa"/>
                  <w:noWrap w:val="0"/>
                  <w:vAlign w:val="center"/>
                </w:tcPr>
                <w:p w14:paraId="5102C7E6">
                  <w:pPr>
                    <w:pStyle w:val="14"/>
                    <w:bidi w:val="0"/>
                    <w:rPr>
                      <w:rFonts w:hint="default" w:ascii="Times New Roman" w:hAnsi="Times New Roman" w:cs="Times New Roman"/>
                      <w:color w:val="auto"/>
                    </w:rPr>
                  </w:pPr>
                  <w:r>
                    <w:rPr>
                      <w:rFonts w:hint="default" w:ascii="Times New Roman" w:hAnsi="Times New Roman" w:cs="Times New Roman"/>
                      <w:color w:val="auto"/>
                    </w:rPr>
                    <w:t>符合</w:t>
                  </w:r>
                </w:p>
              </w:tc>
            </w:tr>
            <w:tr w14:paraId="609D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19" w:type="dxa"/>
                  <w:noWrap w:val="0"/>
                  <w:vAlign w:val="center"/>
                </w:tcPr>
                <w:p w14:paraId="310B7870">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第二十四条 企业事业单位和其他生产经营者应当按照国家有关规定和监测规范，对其排放的工业废气和本法第七十八条规定名录中所列有毒有害大气污染物进行监测，并保存原始监测记录。其中，重点排污单位应当安装、使用大气污染物排放自动监测设备，与环境保护主管部门的监控设备联网，保证监测设备正常运行并依法公开排放信息。监测的具体办法和重点排污单位的条件由国务院环境保护主管部门规定。</w:t>
                  </w:r>
                </w:p>
              </w:tc>
              <w:tc>
                <w:tcPr>
                  <w:tcW w:w="2410" w:type="dxa"/>
                  <w:noWrap w:val="0"/>
                  <w:vAlign w:val="center"/>
                </w:tcPr>
                <w:p w14:paraId="43D6459D">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项目将按照规定进行自行监测，并保存原始监测记录。项目不属于重点排污单位，但将依法公开排放信息，并按照《排污单位自行监测技术指南 总则》（HJ 819-2017）、《排污许可证申请与核发技术规范--家具制造工业》（HJ1027-2019）中相关要求进行自行监测。</w:t>
                  </w:r>
                </w:p>
              </w:tc>
              <w:tc>
                <w:tcPr>
                  <w:tcW w:w="688" w:type="dxa"/>
                  <w:noWrap w:val="0"/>
                  <w:vAlign w:val="center"/>
                </w:tcPr>
                <w:p w14:paraId="782D753B">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5BC11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19" w:type="dxa"/>
                  <w:noWrap w:val="0"/>
                  <w:vAlign w:val="center"/>
                </w:tcPr>
                <w:p w14:paraId="058AB12D">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第二十七条 国家对严重污染大气环境的工艺、设备和产品实行淘汰制度。</w:t>
                  </w:r>
                </w:p>
                <w:p w14:paraId="55C98188">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国务院经济综合主管部门会同国务院有关部门确定严重污染大气环境的工艺、设备和产品淘汰期限，并纳入国家综合性产业政策目录。</w:t>
                  </w:r>
                </w:p>
                <w:p w14:paraId="20245E2C">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生产者、进口者、销售者或者使用者应当在规定期限内停止生产、进口、销售或者使用列入前款规定目录中的设备和产品。工艺的采用者应当在规定期限内停止采用列入前款规定目录中的工艺。</w:t>
                  </w:r>
                </w:p>
                <w:p w14:paraId="1444E258">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被淘汰的设备和产品，不得转让给他人使用。</w:t>
                  </w:r>
                </w:p>
              </w:tc>
              <w:tc>
                <w:tcPr>
                  <w:tcW w:w="2410" w:type="dxa"/>
                  <w:noWrap w:val="0"/>
                  <w:vAlign w:val="center"/>
                </w:tcPr>
                <w:p w14:paraId="6474F101">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根据与《产业结构调整指导目录（2024年本）》分析，本项目未在鼓励类、淘汰类或限制类目录内，项目已获得澄江市发展和改革局出具的云南省固定资产投资项目备案证，项目代码2408-530422-04-01-641388，视为允许类，符合国家及地方的产业政策。</w:t>
                  </w:r>
                </w:p>
              </w:tc>
              <w:tc>
                <w:tcPr>
                  <w:tcW w:w="688" w:type="dxa"/>
                  <w:noWrap w:val="0"/>
                  <w:vAlign w:val="center"/>
                </w:tcPr>
                <w:p w14:paraId="1ECB388E">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447B9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19" w:type="dxa"/>
                  <w:noWrap w:val="0"/>
                  <w:vAlign w:val="center"/>
                </w:tcPr>
                <w:p w14:paraId="50FA8157">
                  <w:pPr>
                    <w:pStyle w:val="14"/>
                    <w:bidi w:val="0"/>
                    <w:rPr>
                      <w:rFonts w:hint="default" w:ascii="Times New Roman" w:hAnsi="Times New Roman" w:cs="Times New Roman"/>
                      <w:color w:val="auto"/>
                    </w:rPr>
                  </w:pPr>
                  <w:r>
                    <w:rPr>
                      <w:rFonts w:hint="default" w:ascii="Times New Roman" w:hAnsi="Times New Roman" w:cs="Times New Roman"/>
                      <w:color w:val="auto"/>
                    </w:rPr>
                    <w:t>第四十八条</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钢铁、建材、有色金属、石油、化工、制药、矿产开采等企业，应当加强精细化管理，采取集中收集处理等措施，严格控制粉尘和气态污染物的排放。</w:t>
                  </w:r>
                </w:p>
                <w:p w14:paraId="79624462">
                  <w:pPr>
                    <w:pStyle w:val="14"/>
                    <w:bidi w:val="0"/>
                    <w:rPr>
                      <w:rFonts w:hint="default" w:ascii="Times New Roman" w:hAnsi="Times New Roman" w:cs="Times New Roman"/>
                      <w:color w:val="auto"/>
                    </w:rPr>
                  </w:pPr>
                  <w:r>
                    <w:rPr>
                      <w:rFonts w:hint="default" w:ascii="Times New Roman" w:hAnsi="Times New Roman" w:cs="Times New Roman"/>
                      <w:color w:val="auto"/>
                    </w:rPr>
                    <w:t>工业生产企业应当采取密闭、围挡、遮盖、清扫、洒水等措施，减少内部物料的堆存、传输、装卸等环节产生的粉尘和气态污染物的排放。</w:t>
                  </w:r>
                </w:p>
              </w:tc>
              <w:tc>
                <w:tcPr>
                  <w:tcW w:w="2410" w:type="dxa"/>
                  <w:noWrap w:val="0"/>
                  <w:vAlign w:val="center"/>
                </w:tcPr>
                <w:p w14:paraId="4DE8165D">
                  <w:pPr>
                    <w:pStyle w:val="14"/>
                    <w:bidi w:val="0"/>
                    <w:rPr>
                      <w:rFonts w:hint="default" w:ascii="Times New Roman" w:hAnsi="Times New Roman" w:cs="Times New Roman"/>
                      <w:color w:val="auto"/>
                    </w:rPr>
                  </w:pPr>
                  <w:r>
                    <w:rPr>
                      <w:rFonts w:hint="default" w:ascii="Times New Roman" w:hAnsi="Times New Roman" w:cs="Times New Roman"/>
                      <w:color w:val="auto"/>
                    </w:rPr>
                    <w:t>项目在生产过程中采取了相应的污染防治措施，包括密闭</w:t>
                  </w:r>
                  <w:r>
                    <w:rPr>
                      <w:rFonts w:hint="default" w:ascii="Times New Roman" w:hAnsi="Times New Roman" w:cs="Times New Roman"/>
                      <w:color w:val="auto"/>
                      <w:lang w:val="en-US" w:eastAsia="zh-CN"/>
                    </w:rPr>
                    <w:t>喷漆房</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设置</w:t>
                  </w:r>
                  <w:r>
                    <w:rPr>
                      <w:rFonts w:hint="eastAsia" w:cs="Times New Roman"/>
                      <w:color w:val="auto"/>
                      <w:lang w:val="en-US" w:eastAsia="zh-CN"/>
                    </w:rPr>
                    <w:t>水帘+活性炭吸附系统</w:t>
                  </w:r>
                  <w:r>
                    <w:rPr>
                      <w:rFonts w:hint="default" w:ascii="Times New Roman" w:hAnsi="Times New Roman" w:cs="Times New Roman"/>
                      <w:color w:val="auto"/>
                      <w:lang w:val="en-US" w:eastAsia="zh-CN"/>
                    </w:rPr>
                    <w:t>。</w:t>
                  </w:r>
                  <w:r>
                    <w:rPr>
                      <w:rFonts w:hint="default" w:ascii="Times New Roman" w:hAnsi="Times New Roman" w:cs="Times New Roman"/>
                      <w:color w:val="auto"/>
                    </w:rPr>
                    <w:t>厂房阻隔、</w:t>
                  </w:r>
                  <w:r>
                    <w:rPr>
                      <w:rFonts w:hint="default" w:ascii="Times New Roman" w:hAnsi="Times New Roman" w:cs="Times New Roman"/>
                      <w:color w:val="auto"/>
                      <w:lang w:val="en-US" w:eastAsia="zh-CN"/>
                    </w:rPr>
                    <w:t>洒水</w:t>
                  </w:r>
                  <w:r>
                    <w:rPr>
                      <w:rFonts w:hint="default" w:ascii="Times New Roman" w:hAnsi="Times New Roman" w:cs="Times New Roman"/>
                      <w:color w:val="auto"/>
                    </w:rPr>
                    <w:t>降尘等，以减少</w:t>
                  </w:r>
                  <w:r>
                    <w:rPr>
                      <w:rFonts w:hint="default" w:ascii="Times New Roman" w:hAnsi="Times New Roman" w:cs="Times New Roman"/>
                      <w:color w:val="auto"/>
                      <w:lang w:val="en-US" w:eastAsia="zh-CN"/>
                    </w:rPr>
                    <w:t>颗粒物</w:t>
                  </w:r>
                  <w:r>
                    <w:rPr>
                      <w:rFonts w:hint="default" w:ascii="Times New Roman" w:hAnsi="Times New Roman" w:cs="Times New Roman"/>
                      <w:color w:val="auto"/>
                    </w:rPr>
                    <w:t>和气态污染物的排放。</w:t>
                  </w:r>
                </w:p>
              </w:tc>
              <w:tc>
                <w:tcPr>
                  <w:tcW w:w="688" w:type="dxa"/>
                  <w:noWrap w:val="0"/>
                  <w:vAlign w:val="center"/>
                </w:tcPr>
                <w:p w14:paraId="5BDA014F">
                  <w:pPr>
                    <w:pStyle w:val="14"/>
                    <w:bidi w:val="0"/>
                    <w:rPr>
                      <w:rFonts w:hint="default" w:ascii="Times New Roman" w:hAnsi="Times New Roman" w:cs="Times New Roman"/>
                      <w:color w:val="auto"/>
                    </w:rPr>
                  </w:pPr>
                  <w:r>
                    <w:rPr>
                      <w:rFonts w:hint="default" w:ascii="Times New Roman" w:hAnsi="Times New Roman" w:cs="Times New Roman"/>
                      <w:color w:val="auto"/>
                    </w:rPr>
                    <w:t>符合</w:t>
                  </w:r>
                </w:p>
              </w:tc>
            </w:tr>
          </w:tbl>
          <w:p w14:paraId="60F56ED6">
            <w:pPr>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②</w:t>
            </w:r>
            <w:r>
              <w:rPr>
                <w:rFonts w:hint="eastAsia" w:cs="Times New Roman"/>
                <w:b/>
                <w:bCs/>
                <w:color w:val="auto"/>
                <w:lang w:val="en-US" w:eastAsia="zh-CN"/>
              </w:rPr>
              <w:t>项</w:t>
            </w:r>
            <w:r>
              <w:rPr>
                <w:rFonts w:hint="default" w:ascii="Times New Roman" w:hAnsi="Times New Roman" w:cs="Times New Roman"/>
                <w:b/>
                <w:bCs/>
                <w:color w:val="auto"/>
              </w:rPr>
              <w:t>目与《</w:t>
            </w:r>
            <w:r>
              <w:rPr>
                <w:rFonts w:hint="default" w:ascii="Times New Roman" w:hAnsi="Times New Roman" w:cs="Times New Roman"/>
                <w:b/>
                <w:bCs/>
                <w:color w:val="auto"/>
                <w:lang w:eastAsia="zh-CN"/>
              </w:rPr>
              <w:t>云南省大气污染防治条例</w:t>
            </w:r>
            <w:r>
              <w:rPr>
                <w:rFonts w:hint="default" w:ascii="Times New Roman" w:hAnsi="Times New Roman" w:cs="Times New Roman"/>
                <w:b/>
                <w:bCs/>
                <w:color w:val="auto"/>
              </w:rPr>
              <w:t>》符合性分析</w:t>
            </w:r>
          </w:p>
          <w:p w14:paraId="74D9E655">
            <w:pPr>
              <w:bidi w:val="0"/>
              <w:rPr>
                <w:rFonts w:hint="default" w:eastAsia="宋体"/>
                <w:color w:val="auto"/>
                <w:lang w:val="en-US" w:eastAsia="zh-CN"/>
              </w:rPr>
            </w:pPr>
            <w:r>
              <w:rPr>
                <w:rFonts w:hint="default"/>
                <w:color w:val="auto"/>
              </w:rPr>
              <w:t>《云南省大气污染防治条例》由云南省第十三届人民代表大会常务委员会第七次会议于2018年11月29日审议通过，自2019年1月1日起施行</w:t>
            </w:r>
            <w:r>
              <w:rPr>
                <w:rFonts w:hint="eastAsia"/>
                <w:color w:val="auto"/>
                <w:lang w:eastAsia="zh-CN"/>
              </w:rPr>
              <w:t>。</w:t>
            </w:r>
            <w:r>
              <w:rPr>
                <w:rFonts w:hint="eastAsia"/>
                <w:color w:val="auto"/>
                <w:lang w:val="en-US" w:eastAsia="zh-CN"/>
              </w:rPr>
              <w:t>项目与《云南省大气污染防治条例》相符性分析如下：</w:t>
            </w:r>
          </w:p>
          <w:p w14:paraId="6CBEC708">
            <w:pPr>
              <w:bidi w:val="0"/>
              <w:ind w:left="0" w:leftChars="0" w:firstLine="0" w:firstLineChars="0"/>
              <w:jc w:val="center"/>
              <w:rPr>
                <w:rFonts w:hint="default" w:ascii="Times New Roman" w:hAnsi="Times New Roman" w:cs="Times New Roman"/>
                <w:color w:val="auto"/>
              </w:rPr>
            </w:pPr>
            <w:r>
              <w:rPr>
                <w:rFonts w:hint="default" w:ascii="Times New Roman" w:hAnsi="Times New Roman" w:cs="Times New Roman"/>
                <w:b/>
                <w:bCs/>
                <w:color w:val="auto"/>
              </w:rPr>
              <w:t>表1</w:t>
            </w:r>
            <w:r>
              <w:rPr>
                <w:rFonts w:hint="default" w:ascii="Times New Roman" w:hAnsi="Times New Roman" w:cs="Times New Roman"/>
                <w:b/>
                <w:bCs/>
                <w:color w:val="auto"/>
                <w:lang w:val="en-US" w:eastAsia="zh-CN"/>
              </w:rPr>
              <w:t>-</w:t>
            </w:r>
            <w:r>
              <w:rPr>
                <w:rFonts w:hint="eastAsia" w:cs="Times New Roman"/>
                <w:b/>
                <w:bCs/>
                <w:color w:val="auto"/>
                <w:lang w:val="en-US" w:eastAsia="zh-CN"/>
              </w:rPr>
              <w:t>4</w:t>
            </w:r>
            <w:r>
              <w:rPr>
                <w:rFonts w:hint="default" w:ascii="Times New Roman" w:hAnsi="Times New Roman" w:cs="Times New Roman"/>
                <w:b/>
                <w:bCs/>
                <w:color w:val="auto"/>
              </w:rPr>
              <w:t xml:space="preserve">  项目与《</w:t>
            </w:r>
            <w:r>
              <w:rPr>
                <w:rFonts w:hint="default" w:ascii="Times New Roman" w:hAnsi="Times New Roman" w:cs="Times New Roman"/>
                <w:b/>
                <w:bCs/>
                <w:color w:val="auto"/>
                <w:lang w:eastAsia="zh-CN"/>
              </w:rPr>
              <w:t>云南省大气污染防治条例</w:t>
            </w:r>
            <w:r>
              <w:rPr>
                <w:rFonts w:hint="default" w:ascii="Times New Roman" w:hAnsi="Times New Roman" w:cs="Times New Roman"/>
                <w:b/>
                <w:bCs/>
                <w:color w:val="auto"/>
              </w:rPr>
              <w:t>》符合性分析</w:t>
            </w:r>
          </w:p>
          <w:tbl>
            <w:tblPr>
              <w:tblStyle w:val="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2550"/>
              <w:gridCol w:w="2187"/>
              <w:gridCol w:w="765"/>
            </w:tblGrid>
            <w:tr w14:paraId="275A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9" w:hRule="atLeast"/>
                <w:jc w:val="center"/>
              </w:trPr>
              <w:tc>
                <w:tcPr>
                  <w:tcW w:w="840" w:type="pct"/>
                  <w:noWrap w:val="0"/>
                  <w:vAlign w:val="center"/>
                </w:tcPr>
                <w:p w14:paraId="4F68FE2E">
                  <w:pPr>
                    <w:pStyle w:val="14"/>
                    <w:bidi w:val="0"/>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1928" w:type="pct"/>
                  <w:noWrap w:val="0"/>
                  <w:vAlign w:val="center"/>
                </w:tcPr>
                <w:p w14:paraId="74E16C01">
                  <w:pPr>
                    <w:pStyle w:val="14"/>
                    <w:bidi w:val="0"/>
                    <w:rPr>
                      <w:rFonts w:hint="default" w:ascii="Times New Roman" w:hAnsi="Times New Roman" w:cs="Times New Roman"/>
                      <w:b/>
                      <w:bCs/>
                      <w:color w:val="auto"/>
                    </w:rPr>
                  </w:pPr>
                  <w:r>
                    <w:rPr>
                      <w:rFonts w:hint="default" w:ascii="Times New Roman" w:hAnsi="Times New Roman" w:cs="Times New Roman"/>
                      <w:b/>
                      <w:bCs/>
                      <w:color w:val="auto"/>
                    </w:rPr>
                    <w:t>文件内容</w:t>
                  </w:r>
                </w:p>
              </w:tc>
              <w:tc>
                <w:tcPr>
                  <w:tcW w:w="1653" w:type="pct"/>
                  <w:noWrap w:val="0"/>
                  <w:vAlign w:val="center"/>
                </w:tcPr>
                <w:p w14:paraId="677C565A">
                  <w:pPr>
                    <w:pStyle w:val="14"/>
                    <w:bidi w:val="0"/>
                    <w:rPr>
                      <w:rFonts w:hint="default" w:ascii="Times New Roman" w:hAnsi="Times New Roman" w:cs="Times New Roman"/>
                      <w:b/>
                      <w:bCs/>
                      <w:color w:val="auto"/>
                    </w:rPr>
                  </w:pPr>
                  <w:r>
                    <w:rPr>
                      <w:rFonts w:hint="default" w:ascii="Times New Roman" w:hAnsi="Times New Roman" w:cs="Times New Roman"/>
                      <w:b/>
                      <w:bCs/>
                      <w:color w:val="auto"/>
                    </w:rPr>
                    <w:t>相符性分析</w:t>
                  </w:r>
                </w:p>
              </w:tc>
              <w:tc>
                <w:tcPr>
                  <w:tcW w:w="578" w:type="pct"/>
                  <w:noWrap w:val="0"/>
                  <w:vAlign w:val="center"/>
                </w:tcPr>
                <w:p w14:paraId="4ECD8D3B">
                  <w:pPr>
                    <w:pStyle w:val="14"/>
                    <w:bidi w:val="0"/>
                    <w:rPr>
                      <w:rFonts w:hint="default" w:ascii="Times New Roman" w:hAnsi="Times New Roman" w:cs="Times New Roman"/>
                      <w:b/>
                      <w:bCs/>
                      <w:color w:val="auto"/>
                    </w:rPr>
                  </w:pPr>
                  <w:r>
                    <w:rPr>
                      <w:rFonts w:hint="default" w:ascii="Times New Roman" w:hAnsi="Times New Roman" w:cs="Times New Roman"/>
                      <w:b/>
                      <w:bCs/>
                      <w:color w:val="auto"/>
                    </w:rPr>
                    <w:t>符合性</w:t>
                  </w:r>
                </w:p>
              </w:tc>
            </w:tr>
            <w:tr w14:paraId="5EDF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40" w:type="pct"/>
                  <w:noWrap w:val="0"/>
                  <w:vAlign w:val="center"/>
                </w:tcPr>
                <w:p w14:paraId="6D786DF3">
                  <w:pPr>
                    <w:pStyle w:val="14"/>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第八条</w:t>
                  </w:r>
                </w:p>
              </w:tc>
              <w:tc>
                <w:tcPr>
                  <w:tcW w:w="1928" w:type="pct"/>
                  <w:noWrap w:val="0"/>
                  <w:vAlign w:val="center"/>
                </w:tcPr>
                <w:p w14:paraId="3FCE068E">
                  <w:pPr>
                    <w:pStyle w:val="14"/>
                    <w:bidi w:val="0"/>
                    <w:rPr>
                      <w:rFonts w:hint="default" w:ascii="Times New Roman" w:hAnsi="Times New Roman" w:cs="Times New Roman"/>
                      <w:color w:val="auto"/>
                    </w:rPr>
                  </w:pPr>
                  <w:r>
                    <w:rPr>
                      <w:rFonts w:hint="default" w:ascii="Times New Roman" w:hAnsi="Times New Roman" w:cs="Times New Roman"/>
                      <w:color w:val="auto"/>
                    </w:rPr>
                    <w:t>企业事业单位和其他生产经营者应当采取有效措施，防止、减少大气污染，对所造成的损害依法承担责任。</w:t>
                  </w:r>
                </w:p>
              </w:tc>
              <w:tc>
                <w:tcPr>
                  <w:tcW w:w="1653" w:type="pct"/>
                  <w:noWrap w:val="0"/>
                  <w:vAlign w:val="center"/>
                </w:tcPr>
                <w:p w14:paraId="39985932">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项目在生产过程中采取了相应的污染防治措施，包括密闭</w:t>
                  </w:r>
                  <w:r>
                    <w:rPr>
                      <w:rFonts w:hint="default" w:ascii="Times New Roman" w:hAnsi="Times New Roman" w:cs="Times New Roman"/>
                      <w:color w:val="auto"/>
                      <w:lang w:val="en-US" w:eastAsia="zh-CN"/>
                    </w:rPr>
                    <w:t>喷漆房</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设置</w:t>
                  </w:r>
                  <w:r>
                    <w:rPr>
                      <w:rFonts w:hint="eastAsia" w:cs="Times New Roman"/>
                      <w:color w:val="auto"/>
                      <w:lang w:val="en-US" w:eastAsia="zh-CN"/>
                    </w:rPr>
                    <w:t>水帘+活性炭吸附系统</w:t>
                  </w:r>
                  <w:r>
                    <w:rPr>
                      <w:rFonts w:hint="default" w:ascii="Times New Roman" w:hAnsi="Times New Roman" w:cs="Times New Roman"/>
                      <w:color w:val="auto"/>
                      <w:lang w:val="en-US" w:eastAsia="zh-CN"/>
                    </w:rPr>
                    <w:t>，废气可达标排放</w:t>
                  </w:r>
                  <w:r>
                    <w:rPr>
                      <w:rFonts w:hint="default" w:ascii="Times New Roman" w:hAnsi="Times New Roman" w:cs="Times New Roman"/>
                      <w:color w:val="auto"/>
                    </w:rPr>
                    <w:t>。</w:t>
                  </w:r>
                </w:p>
              </w:tc>
              <w:tc>
                <w:tcPr>
                  <w:tcW w:w="578" w:type="pct"/>
                  <w:noWrap w:val="0"/>
                  <w:vAlign w:val="center"/>
                </w:tcPr>
                <w:p w14:paraId="19F70847">
                  <w:pPr>
                    <w:pStyle w:val="14"/>
                    <w:bidi w:val="0"/>
                    <w:rPr>
                      <w:rFonts w:hint="default" w:ascii="Times New Roman" w:hAnsi="Times New Roman" w:cs="Times New Roman"/>
                      <w:color w:val="auto"/>
                    </w:rPr>
                  </w:pPr>
                  <w:r>
                    <w:rPr>
                      <w:rFonts w:hint="default" w:ascii="Times New Roman" w:hAnsi="Times New Roman" w:cs="Times New Roman"/>
                      <w:color w:val="auto"/>
                    </w:rPr>
                    <w:t>符合</w:t>
                  </w:r>
                </w:p>
              </w:tc>
            </w:tr>
            <w:tr w14:paraId="5045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0" w:type="pct"/>
                  <w:noWrap w:val="0"/>
                  <w:vAlign w:val="center"/>
                </w:tcPr>
                <w:p w14:paraId="1199666C">
                  <w:pPr>
                    <w:pStyle w:val="14"/>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第二十八条</w:t>
                  </w:r>
                </w:p>
              </w:tc>
              <w:tc>
                <w:tcPr>
                  <w:tcW w:w="1928" w:type="pct"/>
                  <w:noWrap w:val="0"/>
                  <w:vAlign w:val="center"/>
                </w:tcPr>
                <w:p w14:paraId="19BC0C3C">
                  <w:pPr>
                    <w:pStyle w:val="14"/>
                    <w:bidi w:val="0"/>
                    <w:rPr>
                      <w:rFonts w:hint="default" w:ascii="Times New Roman" w:hAnsi="Times New Roman" w:cs="Times New Roman"/>
                      <w:color w:val="auto"/>
                    </w:rPr>
                  </w:pPr>
                  <w:r>
                    <w:rPr>
                      <w:rFonts w:hint="default" w:ascii="Times New Roman" w:hAnsi="Times New Roman" w:cs="Times New Roman"/>
                      <w:color w:val="auto"/>
                    </w:rPr>
                    <w:t>从事房屋建筑、市政基础设施建设、水利工程施工、道路建设工程施工、建</w:t>
                  </w:r>
                  <w:r>
                    <w:rPr>
                      <w:rFonts w:hint="default" w:ascii="Times New Roman" w:hAnsi="Times New Roman" w:cs="Times New Roman"/>
                      <w:color w:val="auto"/>
                      <w:lang w:eastAsia="zh-CN"/>
                    </w:rPr>
                    <w:t>（</w:t>
                  </w:r>
                  <w:r>
                    <w:rPr>
                      <w:rFonts w:hint="default" w:ascii="Times New Roman" w:hAnsi="Times New Roman" w:cs="Times New Roman"/>
                      <w:color w:val="auto"/>
                    </w:rPr>
                    <w:t>构）筑物拆除、园林绿化、物料运输和堆放等可能产生扬尘污染活动的，施工单位应当采取防尘抑尘措施，防止产生扬尘污染，建设单位应当对施工单位进行监管。</w:t>
                  </w:r>
                </w:p>
              </w:tc>
              <w:tc>
                <w:tcPr>
                  <w:tcW w:w="1653" w:type="pct"/>
                  <w:noWrap w:val="0"/>
                  <w:vAlign w:val="center"/>
                </w:tcPr>
                <w:p w14:paraId="36FFBB87">
                  <w:pPr>
                    <w:pStyle w:val="14"/>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项目在施工期间采取了洒水降尘等措施降低扬尘影响，在运营期通过道路硬化、洒水降尘等措施减少扬尘污染。</w:t>
                  </w:r>
                </w:p>
              </w:tc>
              <w:tc>
                <w:tcPr>
                  <w:tcW w:w="578" w:type="pct"/>
                  <w:noWrap w:val="0"/>
                  <w:vAlign w:val="center"/>
                </w:tcPr>
                <w:p w14:paraId="46373275">
                  <w:pPr>
                    <w:pStyle w:val="14"/>
                    <w:bidi w:val="0"/>
                    <w:rPr>
                      <w:rFonts w:hint="default" w:ascii="Times New Roman" w:hAnsi="Times New Roman" w:cs="Times New Roman"/>
                      <w:color w:val="auto"/>
                    </w:rPr>
                  </w:pPr>
                  <w:r>
                    <w:rPr>
                      <w:rFonts w:hint="default" w:ascii="Times New Roman" w:hAnsi="Times New Roman" w:cs="Times New Roman"/>
                      <w:color w:val="auto"/>
                    </w:rPr>
                    <w:t>符合</w:t>
                  </w:r>
                </w:p>
              </w:tc>
            </w:tr>
          </w:tbl>
          <w:p w14:paraId="5FD60104">
            <w:pPr>
              <w:bidi w:val="0"/>
              <w:rPr>
                <w:rFonts w:hint="default" w:ascii="Times New Roman" w:hAnsi="Times New Roman" w:cs="Times New Roman"/>
                <w:b/>
                <w:bCs/>
                <w:color w:val="auto"/>
                <w:lang w:val="en-US" w:eastAsia="zh-CN"/>
              </w:rPr>
            </w:pPr>
            <w:r>
              <w:rPr>
                <w:rFonts w:hint="eastAsia" w:cs="Times New Roman"/>
                <w:b/>
                <w:bCs/>
                <w:color w:val="auto"/>
                <w:lang w:val="en-US" w:eastAsia="zh-CN"/>
              </w:rPr>
              <w:t>③</w:t>
            </w:r>
            <w:r>
              <w:rPr>
                <w:rFonts w:hint="default" w:ascii="Times New Roman" w:hAnsi="Times New Roman" w:cs="Times New Roman"/>
                <w:b/>
                <w:bCs/>
                <w:color w:val="auto"/>
                <w:lang w:val="en-US" w:eastAsia="zh-CN"/>
              </w:rPr>
              <w:t>项目与《云南省抚仙湖保护条例（2024年1月1日施行）》符合性分析</w:t>
            </w:r>
          </w:p>
          <w:p w14:paraId="4715DA4C">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《云南省抚仙湖保护条例》已由云南省第十四届人民代表大会常务委员会第六次会议于2023年11月30日审议通过，自2024年1月1日起施行。</w:t>
            </w:r>
          </w:p>
          <w:p w14:paraId="1DFC3622">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第六条 玉溪市人民政府应当按照划定的湖滨生态红线和湖泊生态黄线，确定生态保护核心区、生态保护缓冲区和绿色发展区。生态保护核心区是指湖滨生态红线以内的水域和陆域（含孤山岛）。生态保护缓冲区是指湖滨生态红线与湖泊生态黄线之间的区域。绿色发展区是指湖泊生态黄线与湖泊流域分水线之间的区域。</w:t>
            </w:r>
          </w:p>
          <w:p w14:paraId="562C3AAC">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根据与抚仙湖</w:t>
            </w:r>
            <w:r>
              <w:rPr>
                <w:rFonts w:hint="eastAsia" w:cs="Times New Roman"/>
                <w:b w:val="0"/>
                <w:bCs w:val="0"/>
                <w:color w:val="auto"/>
                <w:lang w:val="en-US" w:eastAsia="zh-CN"/>
              </w:rPr>
              <w:t>“</w:t>
            </w:r>
            <w:r>
              <w:rPr>
                <w:rFonts w:hint="default" w:ascii="Times New Roman" w:hAnsi="Times New Roman" w:cs="Times New Roman"/>
                <w:b w:val="0"/>
                <w:bCs w:val="0"/>
                <w:color w:val="auto"/>
                <w:lang w:val="en-US" w:eastAsia="zh-CN"/>
              </w:rPr>
              <w:t>两线三区</w:t>
            </w:r>
            <w:r>
              <w:rPr>
                <w:rFonts w:hint="eastAsia" w:cs="Times New Roman"/>
                <w:b w:val="0"/>
                <w:bCs w:val="0"/>
                <w:color w:val="auto"/>
                <w:lang w:val="en-US" w:eastAsia="zh-CN"/>
              </w:rPr>
              <w:t>”</w:t>
            </w:r>
            <w:r>
              <w:rPr>
                <w:rFonts w:hint="default" w:ascii="Times New Roman" w:hAnsi="Times New Roman" w:cs="Times New Roman"/>
                <w:b w:val="0"/>
                <w:bCs w:val="0"/>
                <w:color w:val="auto"/>
                <w:lang w:val="en-US" w:eastAsia="zh-CN"/>
              </w:rPr>
              <w:t>查询叠图对比，项目位于</w:t>
            </w:r>
            <w:r>
              <w:rPr>
                <w:rFonts w:hint="default" w:ascii="Times New Roman" w:hAnsi="Times New Roman" w:cs="Times New Roman"/>
                <w:color w:val="auto"/>
                <w:lang w:val="en-US" w:eastAsia="zh-CN"/>
              </w:rPr>
              <w:t>绿色发展区。项目与</w:t>
            </w:r>
            <w:r>
              <w:rPr>
                <w:rFonts w:hint="default" w:ascii="Times New Roman" w:hAnsi="Times New Roman" w:cs="Times New Roman"/>
                <w:b w:val="0"/>
                <w:bCs w:val="0"/>
                <w:color w:val="auto"/>
                <w:lang w:val="en-US" w:eastAsia="zh-CN"/>
              </w:rPr>
              <w:t>《云南省抚仙湖保护条例》中所规定的情况对比分析如下：</w:t>
            </w:r>
          </w:p>
          <w:p w14:paraId="1491F910">
            <w:pPr>
              <w:bidi w:val="0"/>
              <w:ind w:left="0" w:leftChars="0" w:firstLine="0" w:firstLineChars="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表1-</w:t>
            </w:r>
            <w:r>
              <w:rPr>
                <w:rFonts w:hint="eastAsia" w:cs="Times New Roman"/>
                <w:b/>
                <w:bCs/>
                <w:color w:val="auto"/>
                <w:lang w:val="en-US" w:eastAsia="zh-CN"/>
              </w:rPr>
              <w:t>5</w:t>
            </w:r>
            <w:r>
              <w:rPr>
                <w:rFonts w:hint="default" w:ascii="Times New Roman" w:hAnsi="Times New Roman" w:cs="Times New Roman"/>
                <w:b/>
                <w:bCs/>
                <w:color w:val="auto"/>
                <w:lang w:val="en-US" w:eastAsia="zh-CN"/>
              </w:rPr>
              <w:t xml:space="preserve">  项目与《云南省抚仙湖保护条例》符合性分析</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395"/>
              <w:gridCol w:w="2844"/>
              <w:gridCol w:w="698"/>
            </w:tblGrid>
            <w:tr w14:paraId="7142A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vAlign w:val="center"/>
                </w:tcPr>
                <w:p w14:paraId="5D4B8EBC">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保护分区</w:t>
                  </w:r>
                </w:p>
              </w:tc>
              <w:tc>
                <w:tcPr>
                  <w:tcW w:w="2395" w:type="dxa"/>
                  <w:vAlign w:val="center"/>
                </w:tcPr>
                <w:p w14:paraId="11145425">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禁止行为</w:t>
                  </w:r>
                </w:p>
              </w:tc>
              <w:tc>
                <w:tcPr>
                  <w:tcW w:w="2844" w:type="dxa"/>
                  <w:vAlign w:val="center"/>
                </w:tcPr>
                <w:p w14:paraId="0F6FE724">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符合性分析</w:t>
                  </w:r>
                </w:p>
              </w:tc>
              <w:tc>
                <w:tcPr>
                  <w:tcW w:w="698" w:type="dxa"/>
                  <w:vAlign w:val="center"/>
                </w:tcPr>
                <w:p w14:paraId="351CAB36">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符合性</w:t>
                  </w:r>
                </w:p>
              </w:tc>
            </w:tr>
            <w:tr w14:paraId="39400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vMerge w:val="restart"/>
                  <w:vAlign w:val="center"/>
                </w:tcPr>
                <w:p w14:paraId="66FBC8A8">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绿色发展区</w:t>
                  </w:r>
                </w:p>
              </w:tc>
              <w:tc>
                <w:tcPr>
                  <w:tcW w:w="2395" w:type="dxa"/>
                  <w:vAlign w:val="center"/>
                </w:tcPr>
                <w:p w14:paraId="14B02713">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rPr>
                    <w:t>一）新建、改建、扩建污染环境、高耗水、高耗能、破坏生态平衡和自然景观的项目</w:t>
                  </w:r>
                  <w:r>
                    <w:rPr>
                      <w:rFonts w:hint="eastAsia" w:cs="Times New Roman"/>
                      <w:color w:val="auto"/>
                      <w:lang w:eastAsia="zh-CN"/>
                    </w:rPr>
                    <w:t>；</w:t>
                  </w:r>
                </w:p>
              </w:tc>
              <w:tc>
                <w:tcPr>
                  <w:tcW w:w="2844" w:type="dxa"/>
                  <w:vAlign w:val="center"/>
                </w:tcPr>
                <w:p w14:paraId="257250D0">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通过工程分析，项目环境影响小，不属于高耗水、高耗能行业。项目在租用原有场地，不会造成生态平衡和自然景观破坏。</w:t>
                  </w:r>
                </w:p>
              </w:tc>
              <w:tc>
                <w:tcPr>
                  <w:tcW w:w="698" w:type="dxa"/>
                  <w:vAlign w:val="center"/>
                </w:tcPr>
                <w:p w14:paraId="342A0B56">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2614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vMerge w:val="continue"/>
                  <w:vAlign w:val="center"/>
                </w:tcPr>
                <w:p w14:paraId="2C01F0CA">
                  <w:pPr>
                    <w:pStyle w:val="14"/>
                    <w:widowControl w:val="0"/>
                    <w:bidi w:val="0"/>
                    <w:rPr>
                      <w:rFonts w:hint="default" w:ascii="Times New Roman" w:hAnsi="Times New Roman" w:cs="Times New Roman"/>
                      <w:color w:val="auto"/>
                      <w:lang w:val="en-US" w:eastAsia="zh-CN"/>
                    </w:rPr>
                  </w:pPr>
                </w:p>
              </w:tc>
              <w:tc>
                <w:tcPr>
                  <w:tcW w:w="2395" w:type="dxa"/>
                  <w:vAlign w:val="center"/>
                </w:tcPr>
                <w:p w14:paraId="403F5C7D">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（二）无排污许可证或者违反排污许可证的规定直接或者间接向水体排放废水、污水</w:t>
                  </w:r>
                  <w:r>
                    <w:rPr>
                      <w:rFonts w:hint="eastAsia" w:cs="Times New Roman"/>
                      <w:color w:val="auto"/>
                      <w:lang w:val="en-US" w:eastAsia="zh-CN"/>
                    </w:rPr>
                    <w:t>；</w:t>
                  </w:r>
                </w:p>
              </w:tc>
              <w:tc>
                <w:tcPr>
                  <w:tcW w:w="2844" w:type="dxa"/>
                  <w:vAlign w:val="center"/>
                </w:tcPr>
                <w:p w14:paraId="581EEA99">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本项目采用雨污分流系统，雨水通过厂内雨水沟收集后排入周边雨水沟渠</w:t>
                  </w:r>
                  <w:r>
                    <w:rPr>
                      <w:rFonts w:hint="eastAsia" w:cs="Times New Roman"/>
                      <w:color w:val="auto"/>
                      <w:lang w:val="en-US" w:eastAsia="zh-CN"/>
                    </w:rPr>
                    <w:t>；</w:t>
                  </w:r>
                  <w:r>
                    <w:rPr>
                      <w:rFonts w:hint="eastAsia"/>
                      <w:color w:val="auto"/>
                      <w:lang w:val="en-US" w:eastAsia="zh-CN"/>
                    </w:rPr>
                    <w:t>本项目生产过程中仅产生少量员工洗手废水及水帘处理系统更换废液，其中，洗手废水经沉淀后回用于厂区道路洒水降尘，水帘废液作为危险废物暂存于危废间，委托有资质的单位清运处理。项目无废水外排</w:t>
                  </w:r>
                  <w:r>
                    <w:rPr>
                      <w:rFonts w:hint="default" w:ascii="Times New Roman" w:hAnsi="Times New Roman" w:cs="Times New Roman"/>
                      <w:color w:val="auto"/>
                      <w:lang w:val="en-US" w:eastAsia="zh-CN"/>
                    </w:rPr>
                    <w:t>。</w:t>
                  </w:r>
                </w:p>
              </w:tc>
              <w:tc>
                <w:tcPr>
                  <w:tcW w:w="698" w:type="dxa"/>
                  <w:vAlign w:val="center"/>
                </w:tcPr>
                <w:p w14:paraId="1D951DB2">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351C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vMerge w:val="continue"/>
                  <w:vAlign w:val="center"/>
                </w:tcPr>
                <w:p w14:paraId="1752A03D">
                  <w:pPr>
                    <w:pStyle w:val="14"/>
                    <w:widowControl w:val="0"/>
                    <w:bidi w:val="0"/>
                    <w:rPr>
                      <w:rFonts w:hint="default" w:ascii="Times New Roman" w:hAnsi="Times New Roman" w:cs="Times New Roman"/>
                      <w:color w:val="auto"/>
                      <w:lang w:val="en-US" w:eastAsia="zh-CN"/>
                    </w:rPr>
                  </w:pPr>
                </w:p>
              </w:tc>
              <w:tc>
                <w:tcPr>
                  <w:tcW w:w="2395" w:type="dxa"/>
                  <w:vAlign w:val="center"/>
                </w:tcPr>
                <w:p w14:paraId="68717668">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（三）直接或者间接向水体排放、倾倒工业废渣、城镇生活垃圾和其他废弃物，或者将含有可溶性剧毒废渣直接埋入地下</w:t>
                  </w:r>
                  <w:r>
                    <w:rPr>
                      <w:rFonts w:hint="eastAsia" w:cs="Times New Roman"/>
                      <w:color w:val="auto"/>
                      <w:lang w:val="en-US" w:eastAsia="zh-CN"/>
                    </w:rPr>
                    <w:t>；</w:t>
                  </w:r>
                </w:p>
              </w:tc>
              <w:tc>
                <w:tcPr>
                  <w:tcW w:w="2844" w:type="dxa"/>
                  <w:vAlign w:val="center"/>
                </w:tcPr>
                <w:p w14:paraId="37AF995D">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根据分析，项目</w:t>
                  </w:r>
                  <w:r>
                    <w:rPr>
                      <w:rFonts w:hint="default" w:ascii="Times New Roman" w:hAnsi="Times New Roman" w:cs="Times New Roman"/>
                      <w:color w:val="auto"/>
                    </w:rPr>
                    <w:t>一般固体废物</w:t>
                  </w:r>
                  <w:r>
                    <w:rPr>
                      <w:rFonts w:hint="default" w:ascii="Times New Roman" w:hAnsi="Times New Roman" w:cs="Times New Roman"/>
                      <w:color w:val="auto"/>
                      <w:lang w:val="en-US" w:eastAsia="zh-CN"/>
                    </w:rPr>
                    <w:t>得到有效回收利用</w:t>
                  </w:r>
                  <w:r>
                    <w:rPr>
                      <w:rFonts w:hint="default" w:ascii="Times New Roman" w:hAnsi="Times New Roman" w:cs="Times New Roman"/>
                      <w:color w:val="auto"/>
                    </w:rPr>
                    <w:t>，</w:t>
                  </w:r>
                  <w:r>
                    <w:rPr>
                      <w:rFonts w:hint="default" w:ascii="Times New Roman" w:hAnsi="Times New Roman" w:cs="Times New Roman"/>
                      <w:color w:val="auto"/>
                      <w:lang w:val="en-US" w:eastAsia="zh-CN"/>
                    </w:rPr>
                    <w:t>危险废物委托有资质的单位清运处置，项目固废废物处置率100%。</w:t>
                  </w:r>
                </w:p>
              </w:tc>
              <w:tc>
                <w:tcPr>
                  <w:tcW w:w="698" w:type="dxa"/>
                  <w:vAlign w:val="center"/>
                </w:tcPr>
                <w:p w14:paraId="5CAC6261">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5A20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vMerge w:val="continue"/>
                  <w:vAlign w:val="center"/>
                </w:tcPr>
                <w:p w14:paraId="3847B282">
                  <w:pPr>
                    <w:pStyle w:val="14"/>
                    <w:widowControl w:val="0"/>
                    <w:bidi w:val="0"/>
                    <w:rPr>
                      <w:rFonts w:hint="default" w:ascii="Times New Roman" w:hAnsi="Times New Roman" w:cs="Times New Roman"/>
                      <w:color w:val="auto"/>
                      <w:lang w:val="en-US" w:eastAsia="zh-CN"/>
                    </w:rPr>
                  </w:pPr>
                </w:p>
              </w:tc>
              <w:tc>
                <w:tcPr>
                  <w:tcW w:w="2395" w:type="dxa"/>
                  <w:vAlign w:val="center"/>
                </w:tcPr>
                <w:p w14:paraId="30318CC7">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（四）损毁或者擅自移动明确抚仙湖保护范围的有关界桩、标识或者抚仙湖保护其他相关标识标牌、环卫设施</w:t>
                  </w:r>
                  <w:r>
                    <w:rPr>
                      <w:rFonts w:hint="eastAsia" w:cs="Times New Roman"/>
                      <w:color w:val="auto"/>
                      <w:lang w:val="en-US" w:eastAsia="zh-CN"/>
                    </w:rPr>
                    <w:t>；</w:t>
                  </w:r>
                </w:p>
              </w:tc>
              <w:tc>
                <w:tcPr>
                  <w:tcW w:w="2844" w:type="dxa"/>
                  <w:vAlign w:val="center"/>
                </w:tcPr>
                <w:p w14:paraId="2FF5F174">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项目不涉及。</w:t>
                  </w:r>
                </w:p>
              </w:tc>
              <w:tc>
                <w:tcPr>
                  <w:tcW w:w="698" w:type="dxa"/>
                  <w:vAlign w:val="center"/>
                </w:tcPr>
                <w:p w14:paraId="7E205D16">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2C7E5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vMerge w:val="continue"/>
                  <w:vAlign w:val="center"/>
                </w:tcPr>
                <w:p w14:paraId="0491CD78">
                  <w:pPr>
                    <w:pStyle w:val="14"/>
                    <w:widowControl w:val="0"/>
                    <w:bidi w:val="0"/>
                    <w:rPr>
                      <w:rFonts w:hint="default" w:ascii="Times New Roman" w:hAnsi="Times New Roman" w:cs="Times New Roman"/>
                      <w:color w:val="auto"/>
                      <w:lang w:val="en-US" w:eastAsia="zh-CN"/>
                    </w:rPr>
                  </w:pPr>
                </w:p>
              </w:tc>
              <w:tc>
                <w:tcPr>
                  <w:tcW w:w="2395" w:type="dxa"/>
                  <w:vAlign w:val="center"/>
                </w:tcPr>
                <w:p w14:paraId="0512FF27">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（五）生产、销售、使用杀鼠剂以外的限制使用类农药和含磷洗涤用品</w:t>
                  </w:r>
                  <w:r>
                    <w:rPr>
                      <w:rFonts w:hint="eastAsia" w:cs="Times New Roman"/>
                      <w:color w:val="auto"/>
                      <w:lang w:val="en-US" w:eastAsia="zh-CN"/>
                    </w:rPr>
                    <w:t>；</w:t>
                  </w:r>
                </w:p>
              </w:tc>
              <w:tc>
                <w:tcPr>
                  <w:tcW w:w="2844" w:type="dxa"/>
                  <w:vAlign w:val="center"/>
                </w:tcPr>
                <w:p w14:paraId="3399572D">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项目不涉及。</w:t>
                  </w:r>
                </w:p>
              </w:tc>
              <w:tc>
                <w:tcPr>
                  <w:tcW w:w="698" w:type="dxa"/>
                  <w:vAlign w:val="center"/>
                </w:tcPr>
                <w:p w14:paraId="35EBC5F9">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04325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680" w:type="dxa"/>
                  <w:vMerge w:val="continue"/>
                  <w:vAlign w:val="center"/>
                </w:tcPr>
                <w:p w14:paraId="68D12659">
                  <w:pPr>
                    <w:pStyle w:val="14"/>
                    <w:widowControl w:val="0"/>
                    <w:bidi w:val="0"/>
                    <w:rPr>
                      <w:rFonts w:hint="default" w:ascii="Times New Roman" w:hAnsi="Times New Roman" w:cs="Times New Roman"/>
                      <w:color w:val="auto"/>
                      <w:lang w:val="en-US" w:eastAsia="zh-CN"/>
                    </w:rPr>
                  </w:pPr>
                </w:p>
              </w:tc>
              <w:tc>
                <w:tcPr>
                  <w:tcW w:w="2395" w:type="dxa"/>
                  <w:vAlign w:val="center"/>
                </w:tcPr>
                <w:p w14:paraId="00CEB5DF">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（六）损坏景物、破坏自然景观和园林植被、古树名木</w:t>
                  </w:r>
                  <w:r>
                    <w:rPr>
                      <w:rFonts w:hint="eastAsia" w:cs="Times New Roman"/>
                      <w:color w:val="auto"/>
                      <w:lang w:val="en-US" w:eastAsia="zh-CN"/>
                    </w:rPr>
                    <w:t>；</w:t>
                  </w:r>
                </w:p>
              </w:tc>
              <w:tc>
                <w:tcPr>
                  <w:tcW w:w="2844" w:type="dxa"/>
                  <w:vAlign w:val="center"/>
                </w:tcPr>
                <w:p w14:paraId="6CB07755">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项目不涉及。</w:t>
                  </w:r>
                </w:p>
              </w:tc>
              <w:tc>
                <w:tcPr>
                  <w:tcW w:w="698" w:type="dxa"/>
                  <w:vAlign w:val="center"/>
                </w:tcPr>
                <w:p w14:paraId="7F24894F">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符合</w:t>
                  </w:r>
                </w:p>
              </w:tc>
            </w:tr>
            <w:tr w14:paraId="318D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jc w:val="center"/>
              </w:trPr>
              <w:tc>
                <w:tcPr>
                  <w:tcW w:w="680" w:type="dxa"/>
                  <w:vMerge w:val="continue"/>
                  <w:vAlign w:val="center"/>
                </w:tcPr>
                <w:p w14:paraId="5FC06262">
                  <w:pPr>
                    <w:pStyle w:val="14"/>
                    <w:widowControl w:val="0"/>
                    <w:bidi w:val="0"/>
                    <w:rPr>
                      <w:rFonts w:hint="default" w:ascii="Times New Roman" w:hAnsi="Times New Roman" w:cs="Times New Roman"/>
                      <w:color w:val="auto"/>
                      <w:lang w:val="en-US" w:eastAsia="zh-CN"/>
                    </w:rPr>
                  </w:pPr>
                </w:p>
              </w:tc>
              <w:tc>
                <w:tcPr>
                  <w:tcW w:w="2395" w:type="dxa"/>
                  <w:vAlign w:val="center"/>
                </w:tcPr>
                <w:p w14:paraId="02114DFF">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（七）生产、销售、使用国家明令禁止或者明令淘汰的一次性发泡塑料餐具、塑料袋等塑料制品</w:t>
                  </w:r>
                  <w:r>
                    <w:rPr>
                      <w:rFonts w:hint="eastAsia" w:cs="Times New Roman"/>
                      <w:color w:val="auto"/>
                      <w:lang w:val="en-US" w:eastAsia="zh-CN"/>
                    </w:rPr>
                    <w:t>；</w:t>
                  </w:r>
                </w:p>
              </w:tc>
              <w:tc>
                <w:tcPr>
                  <w:tcW w:w="2844" w:type="dxa"/>
                  <w:vAlign w:val="center"/>
                </w:tcPr>
                <w:p w14:paraId="2D04D895">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项目不涉及。</w:t>
                  </w:r>
                </w:p>
              </w:tc>
              <w:tc>
                <w:tcPr>
                  <w:tcW w:w="698" w:type="dxa"/>
                  <w:vAlign w:val="center"/>
                </w:tcPr>
                <w:p w14:paraId="6845CD84">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符合</w:t>
                  </w:r>
                </w:p>
              </w:tc>
            </w:tr>
            <w:tr w14:paraId="00E75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80" w:type="dxa"/>
                  <w:vMerge w:val="continue"/>
                  <w:vAlign w:val="center"/>
                </w:tcPr>
                <w:p w14:paraId="0398FE58">
                  <w:pPr>
                    <w:pStyle w:val="14"/>
                    <w:widowControl w:val="0"/>
                    <w:bidi w:val="0"/>
                    <w:rPr>
                      <w:rFonts w:hint="default" w:ascii="Times New Roman" w:hAnsi="Times New Roman" w:cs="Times New Roman"/>
                      <w:color w:val="auto"/>
                      <w:lang w:val="en-US" w:eastAsia="zh-CN"/>
                    </w:rPr>
                  </w:pPr>
                </w:p>
              </w:tc>
              <w:tc>
                <w:tcPr>
                  <w:tcW w:w="2395" w:type="dxa"/>
                  <w:vAlign w:val="center"/>
                </w:tcPr>
                <w:p w14:paraId="487A10E0">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（八）擅自取水或者违反取水许可规定取水</w:t>
                  </w:r>
                  <w:r>
                    <w:rPr>
                      <w:rFonts w:hint="eastAsia" w:cs="Times New Roman"/>
                      <w:color w:val="auto"/>
                      <w:lang w:val="en-US" w:eastAsia="zh-CN"/>
                    </w:rPr>
                    <w:t>；</w:t>
                  </w:r>
                </w:p>
              </w:tc>
              <w:tc>
                <w:tcPr>
                  <w:tcW w:w="2844" w:type="dxa"/>
                  <w:vAlign w:val="center"/>
                </w:tcPr>
                <w:p w14:paraId="2FFF9EEF">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项目不涉及。</w:t>
                  </w:r>
                </w:p>
              </w:tc>
              <w:tc>
                <w:tcPr>
                  <w:tcW w:w="698" w:type="dxa"/>
                  <w:vAlign w:val="center"/>
                </w:tcPr>
                <w:p w14:paraId="34F7E496">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符合</w:t>
                  </w:r>
                </w:p>
              </w:tc>
            </w:tr>
            <w:tr w14:paraId="60A5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vMerge w:val="continue"/>
                  <w:vAlign w:val="center"/>
                </w:tcPr>
                <w:p w14:paraId="1C0F15FE">
                  <w:pPr>
                    <w:pStyle w:val="14"/>
                    <w:widowControl w:val="0"/>
                    <w:bidi w:val="0"/>
                    <w:rPr>
                      <w:rFonts w:hint="default" w:ascii="Times New Roman" w:hAnsi="Times New Roman" w:cs="Times New Roman"/>
                      <w:color w:val="auto"/>
                      <w:lang w:val="en-US" w:eastAsia="zh-CN"/>
                    </w:rPr>
                  </w:pPr>
                </w:p>
              </w:tc>
              <w:tc>
                <w:tcPr>
                  <w:tcW w:w="2395" w:type="dxa"/>
                  <w:vAlign w:val="center"/>
                </w:tcPr>
                <w:p w14:paraId="731DCBBF">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（九）毁林、毁草</w:t>
                  </w:r>
                  <w:r>
                    <w:rPr>
                      <w:rFonts w:hint="eastAsia" w:cs="Times New Roman"/>
                      <w:color w:val="auto"/>
                      <w:lang w:val="en-US" w:eastAsia="zh-CN"/>
                    </w:rPr>
                    <w:t>；</w:t>
                  </w:r>
                </w:p>
              </w:tc>
              <w:tc>
                <w:tcPr>
                  <w:tcW w:w="2844" w:type="dxa"/>
                  <w:vAlign w:val="center"/>
                </w:tcPr>
                <w:p w14:paraId="329436BA">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项目不涉及。</w:t>
                  </w:r>
                </w:p>
              </w:tc>
              <w:tc>
                <w:tcPr>
                  <w:tcW w:w="698" w:type="dxa"/>
                  <w:vAlign w:val="center"/>
                </w:tcPr>
                <w:p w14:paraId="79FD0847">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符合</w:t>
                  </w:r>
                </w:p>
              </w:tc>
            </w:tr>
            <w:tr w14:paraId="5A22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vMerge w:val="continue"/>
                  <w:vAlign w:val="center"/>
                </w:tcPr>
                <w:p w14:paraId="53A8F692">
                  <w:pPr>
                    <w:pStyle w:val="14"/>
                    <w:widowControl w:val="0"/>
                    <w:bidi w:val="0"/>
                    <w:rPr>
                      <w:rFonts w:hint="default" w:ascii="Times New Roman" w:hAnsi="Times New Roman" w:cs="Times New Roman"/>
                      <w:color w:val="auto"/>
                      <w:lang w:val="en-US" w:eastAsia="zh-CN"/>
                    </w:rPr>
                  </w:pPr>
                </w:p>
              </w:tc>
              <w:tc>
                <w:tcPr>
                  <w:tcW w:w="2395" w:type="dxa"/>
                  <w:vAlign w:val="center"/>
                </w:tcPr>
                <w:p w14:paraId="68367B95">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（十）畜禽规模养殖</w:t>
                  </w:r>
                  <w:r>
                    <w:rPr>
                      <w:rFonts w:hint="eastAsia" w:cs="Times New Roman"/>
                      <w:color w:val="auto"/>
                      <w:lang w:val="en-US" w:eastAsia="zh-CN"/>
                    </w:rPr>
                    <w:t>；</w:t>
                  </w:r>
                </w:p>
              </w:tc>
              <w:tc>
                <w:tcPr>
                  <w:tcW w:w="2844" w:type="dxa"/>
                  <w:vAlign w:val="center"/>
                </w:tcPr>
                <w:p w14:paraId="40F8950E">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项目不涉及。</w:t>
                  </w:r>
                </w:p>
              </w:tc>
              <w:tc>
                <w:tcPr>
                  <w:tcW w:w="698" w:type="dxa"/>
                  <w:vAlign w:val="center"/>
                </w:tcPr>
                <w:p w14:paraId="783F58F9">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符合</w:t>
                  </w:r>
                </w:p>
              </w:tc>
            </w:tr>
            <w:tr w14:paraId="6B6A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vMerge w:val="continue"/>
                  <w:vAlign w:val="center"/>
                </w:tcPr>
                <w:p w14:paraId="74F76EAC">
                  <w:pPr>
                    <w:pStyle w:val="14"/>
                    <w:widowControl w:val="0"/>
                    <w:bidi w:val="0"/>
                    <w:rPr>
                      <w:rFonts w:hint="default" w:ascii="Times New Roman" w:hAnsi="Times New Roman" w:cs="Times New Roman"/>
                      <w:color w:val="auto"/>
                      <w:lang w:val="en-US" w:eastAsia="zh-CN"/>
                    </w:rPr>
                  </w:pPr>
                </w:p>
              </w:tc>
              <w:tc>
                <w:tcPr>
                  <w:tcW w:w="2395" w:type="dxa"/>
                  <w:vAlign w:val="center"/>
                </w:tcPr>
                <w:p w14:paraId="1624150C">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（十一）新增生猪定点屠宰厂（场）</w:t>
                  </w:r>
                  <w:r>
                    <w:rPr>
                      <w:rFonts w:hint="eastAsia" w:cs="Times New Roman"/>
                      <w:color w:val="auto"/>
                      <w:lang w:val="en-US" w:eastAsia="zh-CN"/>
                    </w:rPr>
                    <w:t>；</w:t>
                  </w:r>
                </w:p>
              </w:tc>
              <w:tc>
                <w:tcPr>
                  <w:tcW w:w="2844" w:type="dxa"/>
                  <w:vAlign w:val="center"/>
                </w:tcPr>
                <w:p w14:paraId="376282E7">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项目不涉及。</w:t>
                  </w:r>
                </w:p>
              </w:tc>
              <w:tc>
                <w:tcPr>
                  <w:tcW w:w="698" w:type="dxa"/>
                  <w:vAlign w:val="center"/>
                </w:tcPr>
                <w:p w14:paraId="4B7A3CEB">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符合</w:t>
                  </w:r>
                </w:p>
              </w:tc>
            </w:tr>
            <w:tr w14:paraId="2B4E1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vMerge w:val="continue"/>
                  <w:vAlign w:val="center"/>
                </w:tcPr>
                <w:p w14:paraId="20CCEBB2">
                  <w:pPr>
                    <w:pStyle w:val="14"/>
                    <w:widowControl w:val="0"/>
                    <w:bidi w:val="0"/>
                    <w:rPr>
                      <w:rFonts w:hint="default" w:ascii="Times New Roman" w:hAnsi="Times New Roman" w:cs="Times New Roman"/>
                      <w:color w:val="auto"/>
                      <w:lang w:val="en-US" w:eastAsia="zh-CN"/>
                    </w:rPr>
                  </w:pPr>
                </w:p>
              </w:tc>
              <w:tc>
                <w:tcPr>
                  <w:tcW w:w="2395" w:type="dxa"/>
                  <w:vAlign w:val="center"/>
                </w:tcPr>
                <w:p w14:paraId="77D4DC5F">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（十二）擅自释放或者丢弃外来物种</w:t>
                  </w:r>
                  <w:r>
                    <w:rPr>
                      <w:rFonts w:hint="eastAsia" w:cs="Times New Roman"/>
                      <w:color w:val="auto"/>
                      <w:lang w:val="en-US" w:eastAsia="zh-CN"/>
                    </w:rPr>
                    <w:t>；</w:t>
                  </w:r>
                </w:p>
              </w:tc>
              <w:tc>
                <w:tcPr>
                  <w:tcW w:w="2844" w:type="dxa"/>
                  <w:vAlign w:val="center"/>
                </w:tcPr>
                <w:p w14:paraId="7B22800E">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项目不涉及。</w:t>
                  </w:r>
                </w:p>
              </w:tc>
              <w:tc>
                <w:tcPr>
                  <w:tcW w:w="698" w:type="dxa"/>
                  <w:vAlign w:val="center"/>
                </w:tcPr>
                <w:p w14:paraId="14D0F489">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符合</w:t>
                  </w:r>
                </w:p>
              </w:tc>
            </w:tr>
            <w:tr w14:paraId="66A9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vMerge w:val="continue"/>
                  <w:vAlign w:val="center"/>
                </w:tcPr>
                <w:p w14:paraId="043EAB79">
                  <w:pPr>
                    <w:pStyle w:val="14"/>
                    <w:widowControl w:val="0"/>
                    <w:bidi w:val="0"/>
                    <w:rPr>
                      <w:rFonts w:hint="default" w:ascii="Times New Roman" w:hAnsi="Times New Roman" w:cs="Times New Roman"/>
                      <w:color w:val="auto"/>
                      <w:lang w:val="en-US" w:eastAsia="zh-CN"/>
                    </w:rPr>
                  </w:pPr>
                </w:p>
              </w:tc>
              <w:tc>
                <w:tcPr>
                  <w:tcW w:w="2395" w:type="dxa"/>
                  <w:vAlign w:val="center"/>
                </w:tcPr>
                <w:p w14:paraId="16490CC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（十三）违法猎捕、杀害、买卖野生动物</w:t>
                  </w:r>
                  <w:r>
                    <w:rPr>
                      <w:rFonts w:hint="eastAsia" w:cs="Times New Roman"/>
                      <w:color w:val="auto"/>
                      <w:lang w:val="en-US" w:eastAsia="zh-CN"/>
                    </w:rPr>
                    <w:t>；</w:t>
                  </w:r>
                </w:p>
              </w:tc>
              <w:tc>
                <w:tcPr>
                  <w:tcW w:w="2844" w:type="dxa"/>
                  <w:vAlign w:val="center"/>
                </w:tcPr>
                <w:p w14:paraId="1EE13A29">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项目不涉及。</w:t>
                  </w:r>
                </w:p>
              </w:tc>
              <w:tc>
                <w:tcPr>
                  <w:tcW w:w="698" w:type="dxa"/>
                  <w:vAlign w:val="center"/>
                </w:tcPr>
                <w:p w14:paraId="04DE6709">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符合</w:t>
                  </w:r>
                </w:p>
              </w:tc>
            </w:tr>
            <w:tr w14:paraId="6BFC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vMerge w:val="continue"/>
                  <w:vAlign w:val="center"/>
                </w:tcPr>
                <w:p w14:paraId="2A208EB4">
                  <w:pPr>
                    <w:pStyle w:val="14"/>
                    <w:widowControl w:val="0"/>
                    <w:bidi w:val="0"/>
                    <w:rPr>
                      <w:rFonts w:hint="default" w:ascii="Times New Roman" w:hAnsi="Times New Roman" w:cs="Times New Roman"/>
                      <w:color w:val="auto"/>
                      <w:lang w:val="en-US" w:eastAsia="zh-CN"/>
                    </w:rPr>
                  </w:pPr>
                </w:p>
              </w:tc>
              <w:tc>
                <w:tcPr>
                  <w:tcW w:w="2395" w:type="dxa"/>
                  <w:vAlign w:val="center"/>
                </w:tcPr>
                <w:p w14:paraId="31AB2DD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（十四）法律、法规禁止的其他行为</w:t>
                  </w:r>
                  <w:r>
                    <w:rPr>
                      <w:rFonts w:hint="eastAsia" w:cs="Times New Roman"/>
                      <w:color w:val="auto"/>
                      <w:lang w:val="en-US" w:eastAsia="zh-CN"/>
                    </w:rPr>
                    <w:t>；</w:t>
                  </w:r>
                </w:p>
              </w:tc>
              <w:tc>
                <w:tcPr>
                  <w:tcW w:w="2844" w:type="dxa"/>
                  <w:vAlign w:val="center"/>
                </w:tcPr>
                <w:p w14:paraId="08DA8F4D">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项目不涉及。</w:t>
                  </w:r>
                </w:p>
              </w:tc>
              <w:tc>
                <w:tcPr>
                  <w:tcW w:w="698" w:type="dxa"/>
                  <w:vAlign w:val="center"/>
                </w:tcPr>
                <w:p w14:paraId="301BC5D8">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符合</w:t>
                  </w:r>
                </w:p>
              </w:tc>
            </w:tr>
          </w:tbl>
          <w:p w14:paraId="7305377F">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综上，项目符合《云南省抚仙湖保护条例》相关要求。</w:t>
            </w:r>
          </w:p>
          <w:p w14:paraId="4EC2E41B">
            <w:pPr>
              <w:bidi w:val="0"/>
              <w:rPr>
                <w:rFonts w:hint="default" w:ascii="Times New Roman" w:hAnsi="Times New Roman" w:cs="Times New Roman"/>
                <w:b/>
                <w:bCs/>
                <w:color w:val="auto"/>
                <w:lang w:val="en-US" w:eastAsia="zh-CN"/>
              </w:rPr>
            </w:pPr>
            <w:r>
              <w:rPr>
                <w:rFonts w:hint="eastAsia" w:cs="Times New Roman"/>
                <w:b/>
                <w:bCs/>
                <w:color w:val="auto"/>
                <w:lang w:val="en-US" w:eastAsia="zh-CN"/>
              </w:rPr>
              <w:t>④</w:t>
            </w:r>
            <w:r>
              <w:rPr>
                <w:rFonts w:hint="default" w:ascii="Times New Roman" w:hAnsi="Times New Roman" w:cs="Times New Roman"/>
                <w:b/>
                <w:bCs/>
                <w:color w:val="auto"/>
                <w:lang w:val="en-US" w:eastAsia="zh-CN"/>
              </w:rPr>
              <w:t>项目与《云南澄江动物群古生物国家地质公园总体规划（2016-2025）》《云南省澄江动物化石群保护规定》《云南省澄江化石地世界自然遗产保护条例》相关符合性分析</w:t>
            </w:r>
          </w:p>
          <w:p w14:paraId="4AF60CC6">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A.《云南澄江动物群古生物国家地质公园总体规划（2016-2025）》内容</w:t>
            </w:r>
          </w:p>
          <w:p w14:paraId="75C2F2E7">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1997年5月，云南省澄江动物化石群省级自然保护区批准成立，同时成立了云南省澄江动物化石群省级自然保护区管理委员会，并通过了《云南省澄江动物化石群保护规定》：2001年3月，国土资源部批准建立云南澄江动物群古生物国家地质公园（以下简称</w:t>
            </w:r>
            <w:r>
              <w:rPr>
                <w:rFonts w:hint="eastAsia" w:cs="Times New Roman"/>
                <w:color w:val="auto"/>
                <w:lang w:val="en-US" w:eastAsia="zh-CN"/>
              </w:rPr>
              <w:t>“</w:t>
            </w:r>
            <w:r>
              <w:rPr>
                <w:rFonts w:hint="default" w:ascii="Times New Roman" w:hAnsi="Times New Roman" w:cs="Times New Roman"/>
                <w:color w:val="auto"/>
                <w:lang w:val="en-US" w:eastAsia="zh-CN"/>
              </w:rPr>
              <w:t>地质公园</w:t>
            </w:r>
            <w:r>
              <w:rPr>
                <w:rFonts w:hint="eastAsia" w:cs="Times New Roman"/>
                <w:color w:val="auto"/>
                <w:lang w:val="en-US" w:eastAsia="zh-CN"/>
              </w:rPr>
              <w:t>”</w:t>
            </w:r>
            <w:r>
              <w:rPr>
                <w:rFonts w:hint="default" w:ascii="Times New Roman" w:hAnsi="Times New Roman" w:cs="Times New Roman"/>
                <w:color w:val="auto"/>
                <w:lang w:val="en-US" w:eastAsia="zh-CN"/>
              </w:rPr>
              <w:t>），面积18.0km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，成为国家首批国家级地质公园（国土资发</w:t>
            </w:r>
            <w:r>
              <w:rPr>
                <w:rFonts w:hint="eastAsia" w:cs="Times New Roman"/>
                <w:color w:val="auto"/>
                <w:lang w:val="en-US" w:eastAsia="zh-CN"/>
              </w:rPr>
              <w:t>〔2001〕65号</w:t>
            </w:r>
            <w:r>
              <w:rPr>
                <w:rFonts w:hint="default" w:ascii="Times New Roman" w:hAnsi="Times New Roman" w:cs="Times New Roman"/>
                <w:color w:val="auto"/>
                <w:lang w:val="en-US" w:eastAsia="zh-CN"/>
              </w:rPr>
              <w:t>）。2012年7月1日，澄江化石地入选联合国教科文组织《世界遗产名录》，成为我国第43个、云南第4个世界自然遗产。2013年6月，云南省澄江动物化石群省级自然保护区管理委员会更名为澄江化石地世界自然遗产管理委员会，负责云南澄江动物群古生物国家地质公园、澄江化石地世界自然遗产、澄江动物化石群保护地国家自然遗产、澄江动物化石群云南省级自然保护区四个保护命名地的统一管理。2014年7月澄江化石地世界自然遗产管理委员会委托云南省地质环境监测院编制《云南澄江动物群古生物国家地质公园总体规划（2016-2025）》。</w:t>
            </w:r>
          </w:p>
          <w:p w14:paraId="6069D6D9">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根据《云南澄江动物群古生物国家地质公园规划（2016-2025）》，地质公园范围以帽天山为核心、向南向北各延伸的含动物化石群底层分布区为主体、周边需要保护的地质环境和生态景观为依托，面积为18km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依据国际惯例，应向地下延伸50m。具体界线为：西界：北起（江）-阳（宗海）公路与九（村镇）-帽（天山）公路交会处，向南沿澄（江）-阳（宗海）公路至路溪村西-大坡头河-盘山-洪家冲村水渠上方。北界：澄（江）-阳（宗海）公路与九（村镇）-帽（天山）公路交会处，为东西界的交点。东界：北起澄（江）-阳（宗海）公路与九（村镇）-帽（天山）公路交会处，向南沿九（村镇）-帽（天山）公路至东溪哨-马桑塘-新村，经新村后沿代（村）-帽（天山）公路-代村水库河谷-洪家冲村水渠上方。南界：以洪家冲村上方沟渠为界。</w:t>
            </w:r>
          </w:p>
          <w:p w14:paraId="7DD89122">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按照公园内地质遗迹的科学价值、珍稀程度，以及地质遗迹的聚集分布特性，将公园的地质遗迹保护区划分为</w:t>
            </w:r>
            <w:r>
              <w:rPr>
                <w:rFonts w:hint="eastAsia" w:cs="Times New Roman"/>
                <w:color w:val="auto"/>
                <w:lang w:val="en-US" w:eastAsia="zh-CN"/>
              </w:rPr>
              <w:t>“</w:t>
            </w:r>
            <w:r>
              <w:rPr>
                <w:rFonts w:hint="default" w:ascii="Times New Roman" w:hAnsi="Times New Roman" w:cs="Times New Roman"/>
                <w:color w:val="auto"/>
                <w:lang w:val="en-US" w:eastAsia="zh-CN"/>
              </w:rPr>
              <w:t>首发地</w:t>
            </w:r>
            <w:r>
              <w:rPr>
                <w:rFonts w:hint="eastAsia" w:cs="Times New Roman"/>
                <w:color w:val="auto"/>
                <w:lang w:val="en-US" w:eastAsia="zh-CN"/>
              </w:rPr>
              <w:t>”</w:t>
            </w:r>
            <w:r>
              <w:rPr>
                <w:rFonts w:hint="default" w:ascii="Times New Roman" w:hAnsi="Times New Roman" w:cs="Times New Roman"/>
                <w:color w:val="auto"/>
                <w:lang w:val="en-US" w:eastAsia="zh-CN"/>
              </w:rPr>
              <w:t>特级保护区、</w:t>
            </w:r>
            <w:r>
              <w:rPr>
                <w:rFonts w:hint="eastAsia" w:cs="Times New Roman"/>
                <w:color w:val="auto"/>
                <w:lang w:val="en-US" w:eastAsia="zh-CN"/>
              </w:rPr>
              <w:t>“</w:t>
            </w:r>
            <w:r>
              <w:rPr>
                <w:rFonts w:hint="default" w:ascii="Times New Roman" w:hAnsi="Times New Roman" w:cs="Times New Roman"/>
                <w:color w:val="auto"/>
                <w:lang w:val="en-US" w:eastAsia="zh-CN"/>
              </w:rPr>
              <w:t>帽天山</w:t>
            </w:r>
            <w:r>
              <w:rPr>
                <w:rFonts w:hint="eastAsia" w:cs="Times New Roman"/>
                <w:color w:val="auto"/>
                <w:lang w:val="en-US" w:eastAsia="zh-CN"/>
              </w:rPr>
              <w:t>”</w:t>
            </w:r>
            <w:r>
              <w:rPr>
                <w:rFonts w:hint="default" w:ascii="Times New Roman" w:hAnsi="Times New Roman" w:cs="Times New Roman"/>
                <w:color w:val="auto"/>
                <w:lang w:val="en-US" w:eastAsia="zh-CN"/>
              </w:rPr>
              <w:t>一级保护区、</w:t>
            </w:r>
            <w:r>
              <w:rPr>
                <w:rFonts w:hint="eastAsia" w:cs="Times New Roman"/>
                <w:color w:val="auto"/>
                <w:lang w:val="en-US" w:eastAsia="zh-CN"/>
              </w:rPr>
              <w:t>“</w:t>
            </w:r>
            <w:r>
              <w:rPr>
                <w:rFonts w:hint="default" w:ascii="Times New Roman" w:hAnsi="Times New Roman" w:cs="Times New Roman"/>
                <w:color w:val="auto"/>
                <w:lang w:val="en-US" w:eastAsia="zh-CN"/>
              </w:rPr>
              <w:t>小澜田-马鞍山</w:t>
            </w:r>
            <w:r>
              <w:rPr>
                <w:rFonts w:hint="eastAsia" w:cs="Times New Roman"/>
                <w:color w:val="auto"/>
                <w:lang w:val="en-US" w:eastAsia="zh-CN"/>
              </w:rPr>
              <w:t>”</w:t>
            </w:r>
            <w:r>
              <w:rPr>
                <w:rFonts w:hint="default" w:ascii="Times New Roman" w:hAnsi="Times New Roman" w:cs="Times New Roman"/>
                <w:color w:val="auto"/>
                <w:lang w:val="en-US" w:eastAsia="zh-CN"/>
              </w:rPr>
              <w:t>一级保护区、</w:t>
            </w:r>
            <w:r>
              <w:rPr>
                <w:rFonts w:hint="eastAsia" w:cs="Times New Roman"/>
                <w:color w:val="auto"/>
                <w:lang w:val="en-US" w:eastAsia="zh-CN"/>
              </w:rPr>
              <w:t>“</w:t>
            </w:r>
            <w:r>
              <w:rPr>
                <w:rFonts w:hint="default" w:ascii="Times New Roman" w:hAnsi="Times New Roman" w:cs="Times New Roman"/>
                <w:color w:val="auto"/>
                <w:lang w:val="en-US" w:eastAsia="zh-CN"/>
              </w:rPr>
              <w:t>小澜田-啰哩山-大坡头</w:t>
            </w:r>
            <w:r>
              <w:rPr>
                <w:rFonts w:hint="eastAsia" w:cs="Times New Roman"/>
                <w:color w:val="auto"/>
                <w:lang w:val="en-US" w:eastAsia="zh-CN"/>
              </w:rPr>
              <w:t>”</w:t>
            </w:r>
            <w:r>
              <w:rPr>
                <w:rFonts w:hint="default" w:ascii="Times New Roman" w:hAnsi="Times New Roman" w:cs="Times New Roman"/>
                <w:color w:val="auto"/>
                <w:lang w:val="en-US" w:eastAsia="zh-CN"/>
              </w:rPr>
              <w:t>二级保护区和</w:t>
            </w:r>
            <w:r>
              <w:rPr>
                <w:rFonts w:hint="eastAsia" w:cs="Times New Roman"/>
                <w:color w:val="auto"/>
                <w:lang w:val="en-US" w:eastAsia="zh-CN"/>
              </w:rPr>
              <w:t>“</w:t>
            </w:r>
            <w:r>
              <w:rPr>
                <w:rFonts w:hint="default" w:ascii="Times New Roman" w:hAnsi="Times New Roman" w:cs="Times New Roman"/>
                <w:color w:val="auto"/>
                <w:lang w:val="en-US" w:eastAsia="zh-CN"/>
              </w:rPr>
              <w:t>小澜田-啰哩山-小团坡</w:t>
            </w:r>
            <w:r>
              <w:rPr>
                <w:rFonts w:hint="eastAsia" w:cs="Times New Roman"/>
                <w:color w:val="auto"/>
                <w:lang w:val="en-US" w:eastAsia="zh-CN"/>
              </w:rPr>
              <w:t>”</w:t>
            </w:r>
            <w:r>
              <w:rPr>
                <w:rFonts w:hint="default" w:ascii="Times New Roman" w:hAnsi="Times New Roman" w:cs="Times New Roman"/>
                <w:color w:val="auto"/>
                <w:lang w:val="en-US" w:eastAsia="zh-CN"/>
              </w:rPr>
              <w:t>三级保护区，保护区面积7.79km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。其中，特级保护区面积0.04km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w:t>
            </w:r>
            <w:r>
              <w:rPr>
                <w:rFonts w:hint="eastAsia" w:cs="Times New Roman"/>
                <w:color w:val="auto"/>
                <w:lang w:val="en-US" w:eastAsia="zh-CN"/>
              </w:rPr>
              <w:t>“</w:t>
            </w:r>
            <w:r>
              <w:rPr>
                <w:rFonts w:hint="default" w:ascii="Times New Roman" w:hAnsi="Times New Roman" w:cs="Times New Roman"/>
                <w:color w:val="auto"/>
                <w:lang w:val="en-US" w:eastAsia="zh-CN"/>
              </w:rPr>
              <w:t>帽天山</w:t>
            </w:r>
            <w:r>
              <w:rPr>
                <w:rFonts w:hint="eastAsia" w:cs="Times New Roman"/>
                <w:color w:val="auto"/>
                <w:lang w:val="en-US" w:eastAsia="zh-CN"/>
              </w:rPr>
              <w:t>”</w:t>
            </w:r>
            <w:r>
              <w:rPr>
                <w:rFonts w:hint="default" w:ascii="Times New Roman" w:hAnsi="Times New Roman" w:cs="Times New Roman"/>
                <w:color w:val="auto"/>
                <w:lang w:val="en-US" w:eastAsia="zh-CN"/>
              </w:rPr>
              <w:t>级保护区面积0.38km</w:t>
            </w:r>
            <w:r>
              <w:rPr>
                <w:rFonts w:hint="default" w:ascii="Times New Roman" w:hAnsi="Times New Roman" w:cs="Times New Roman"/>
                <w:color w:val="auto"/>
                <w:vertAlign w:val="superscript"/>
                <w:lang w:val="en-US" w:eastAsia="zh-CN"/>
              </w:rPr>
              <w:t>2</w:t>
            </w:r>
            <w:r>
              <w:rPr>
                <w:rFonts w:hint="eastAsia" w:cs="Times New Roman"/>
                <w:color w:val="auto"/>
                <w:lang w:val="en-US" w:eastAsia="zh-CN"/>
              </w:rPr>
              <w:t>；“</w:t>
            </w:r>
            <w:r>
              <w:rPr>
                <w:rFonts w:hint="default" w:ascii="Times New Roman" w:hAnsi="Times New Roman" w:cs="Times New Roman"/>
                <w:color w:val="auto"/>
                <w:lang w:val="en-US" w:eastAsia="zh-CN"/>
              </w:rPr>
              <w:t>小澜田-马鞍山</w:t>
            </w:r>
            <w:r>
              <w:rPr>
                <w:rFonts w:hint="eastAsia" w:cs="Times New Roman"/>
                <w:color w:val="auto"/>
                <w:lang w:val="en-US" w:eastAsia="zh-CN"/>
              </w:rPr>
              <w:t>”</w:t>
            </w:r>
            <w:r>
              <w:rPr>
                <w:rFonts w:hint="default" w:ascii="Times New Roman" w:hAnsi="Times New Roman" w:cs="Times New Roman"/>
                <w:color w:val="auto"/>
                <w:lang w:val="en-US" w:eastAsia="zh-CN"/>
              </w:rPr>
              <w:t>一级保护区面积0.37km</w:t>
            </w:r>
            <w:r>
              <w:rPr>
                <w:rFonts w:hint="default" w:ascii="Times New Roman" w:hAnsi="Times New Roman" w:cs="Times New Roman"/>
                <w:color w:val="auto"/>
                <w:vertAlign w:val="superscript"/>
                <w:lang w:val="en-US" w:eastAsia="zh-CN"/>
              </w:rPr>
              <w:t>2</w:t>
            </w:r>
            <w:r>
              <w:rPr>
                <w:rFonts w:hint="eastAsia" w:cs="Times New Roman"/>
                <w:color w:val="auto"/>
                <w:lang w:val="en-US" w:eastAsia="zh-CN"/>
              </w:rPr>
              <w:t>；</w:t>
            </w:r>
            <w:r>
              <w:rPr>
                <w:rFonts w:hint="default" w:ascii="Times New Roman" w:hAnsi="Times New Roman" w:cs="Times New Roman"/>
                <w:color w:val="auto"/>
                <w:lang w:val="en-US" w:eastAsia="zh-CN"/>
              </w:rPr>
              <w:t>二级保护区面积5.06km</w:t>
            </w:r>
            <w:r>
              <w:rPr>
                <w:rFonts w:hint="default" w:ascii="Times New Roman" w:hAnsi="Times New Roman" w:cs="Times New Roman"/>
                <w:color w:val="auto"/>
                <w:vertAlign w:val="superscript"/>
                <w:lang w:val="en-US" w:eastAsia="zh-CN"/>
              </w:rPr>
              <w:t>2</w:t>
            </w:r>
            <w:r>
              <w:rPr>
                <w:rFonts w:hint="eastAsia" w:cs="Times New Roman"/>
                <w:color w:val="auto"/>
                <w:lang w:val="en-US" w:eastAsia="zh-CN"/>
              </w:rPr>
              <w:t>；</w:t>
            </w:r>
            <w:r>
              <w:rPr>
                <w:rFonts w:hint="default" w:ascii="Times New Roman" w:hAnsi="Times New Roman" w:cs="Times New Roman"/>
                <w:color w:val="auto"/>
                <w:lang w:val="en-US" w:eastAsia="zh-CN"/>
              </w:rPr>
              <w:t>三级保护区面积1.94km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w:t>
            </w:r>
          </w:p>
          <w:p w14:paraId="380F1E61">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B.《云南省澄江动物化石群保护规定》</w:t>
            </w:r>
          </w:p>
          <w:p w14:paraId="48082282">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《云南省澄江动物化石群保护规定》（云南省人民政府令第51号，1997年12月25日施行）规定：</w:t>
            </w:r>
          </w:p>
          <w:p w14:paraId="4AF64B06">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第四条 建立澄江动物化石群省级自然保护区，实行特殊保护和管理。</w:t>
            </w:r>
          </w:p>
          <w:p w14:paraId="501B634E">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第九条 非经批准不得进入保护区内的核心区。经省地质矿产行政主管部门批准，可以从事非破坏性的科学研究和国际科技合作与交流或者组织参观活动</w:t>
            </w:r>
            <w:r>
              <w:rPr>
                <w:rFonts w:hint="eastAsia" w:cs="Times New Roman"/>
                <w:b w:val="0"/>
                <w:bCs w:val="0"/>
                <w:color w:val="auto"/>
                <w:lang w:val="en-US" w:eastAsia="zh-CN"/>
              </w:rPr>
              <w:t>；</w:t>
            </w:r>
            <w:r>
              <w:rPr>
                <w:rFonts w:hint="default" w:ascii="Times New Roman" w:hAnsi="Times New Roman" w:cs="Times New Roman"/>
                <w:b w:val="0"/>
                <w:bCs w:val="0"/>
                <w:color w:val="auto"/>
                <w:lang w:val="en-US" w:eastAsia="zh-CN"/>
              </w:rPr>
              <w:t>但是，从事科学研究和国际科技合作与交流的，必须经省科学技术行政主管部门审查并签署意见后，方可批准。</w:t>
            </w:r>
          </w:p>
          <w:p w14:paraId="3BE7A0A1">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在保护区内的缓冲区，不得开展旅游和生产经营活动。经保护区管理机构批准，可以从事科学研究、教学实习、标本采集和参观活动。</w:t>
            </w:r>
          </w:p>
          <w:p w14:paraId="0575CAB9">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在保护区内的实验区，经保护区管理机构批准，可以开展参观、旅游活动。</w:t>
            </w:r>
          </w:p>
          <w:p w14:paraId="3B867D51">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第十五条 禁止在保护区的核心区和缓冲区内建设任何生产设施。在保护区的实验区内，不得建设污染环境、破坏地质遗迹的生产设施：建设其他项目，其污染物排放不得超过国家和省规定的污染物排放标准。</w:t>
            </w:r>
          </w:p>
          <w:p w14:paraId="552FA71D">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C.《云南省澄江化石地世界自然遗产保护条例》</w:t>
            </w:r>
          </w:p>
          <w:p w14:paraId="6DD5C567">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《云南省澄江化石地世界自然遗产保护条例》2017年5月26日云南省第十二届人大常委会第三十四次会议审议通过，2017年7月1日正式实施。</w:t>
            </w:r>
          </w:p>
          <w:p w14:paraId="6BA56421">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第三条 澄江化石地的保护范围划分为两级保护区：</w:t>
            </w:r>
          </w:p>
          <w:p w14:paraId="61133E93">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（一）一级保护区为联合国世界遗产委员会列入《世界遗产名录》的遗产地，面积为5.12平方公里：</w:t>
            </w:r>
          </w:p>
          <w:p w14:paraId="30EF3CE3">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（二）二级保护区为遗产地以外的缓冲区，面积为2.2平方公里。</w:t>
            </w:r>
          </w:p>
          <w:p w14:paraId="4FBB1072">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第十八条 一级保护区内禁止下列行为：</w:t>
            </w:r>
          </w:p>
          <w:p w14:paraId="1D0865CE">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（一）建设与保护、展示澄江化石无关的建筑物、构筑物及其他设施：</w:t>
            </w:r>
          </w:p>
          <w:p w14:paraId="3CDC2204">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（二）损毁地层、地质剖面和构造</w:t>
            </w:r>
            <w:r>
              <w:rPr>
                <w:rFonts w:hint="eastAsia" w:cs="Times New Roman"/>
                <w:b w:val="0"/>
                <w:bCs w:val="0"/>
                <w:color w:val="auto"/>
                <w:lang w:val="en-US" w:eastAsia="zh-CN"/>
              </w:rPr>
              <w:t>；</w:t>
            </w:r>
          </w:p>
          <w:p w14:paraId="24C6CDB4">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（三）二级保护区禁止的行为。</w:t>
            </w:r>
          </w:p>
          <w:p w14:paraId="070D6F4D">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第十九条 二级保护区内禁止下列行为：</w:t>
            </w:r>
          </w:p>
          <w:p w14:paraId="6D5D8570">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（一）新建宾馆、培训中心、疗养院等建筑物：</w:t>
            </w:r>
          </w:p>
          <w:p w14:paraId="2B828543">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（二）勘查、开发矿产资源</w:t>
            </w:r>
            <w:r>
              <w:rPr>
                <w:rFonts w:hint="eastAsia" w:cs="Times New Roman"/>
                <w:b w:val="0"/>
                <w:bCs w:val="0"/>
                <w:color w:val="auto"/>
                <w:lang w:val="en-US" w:eastAsia="zh-CN"/>
              </w:rPr>
              <w:t>；</w:t>
            </w:r>
          </w:p>
          <w:p w14:paraId="1F259833">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（三）擅自发掘澄江化石：</w:t>
            </w:r>
          </w:p>
          <w:p w14:paraId="40887B32">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（四）挖沙、采石、取土、深掘土地等损害化石保护的活动：</w:t>
            </w:r>
          </w:p>
          <w:p w14:paraId="6A38581B">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（五）新开垦土地、填埋自然沟谷。</w:t>
            </w:r>
          </w:p>
          <w:p w14:paraId="4358CD6E">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D.符合性分析</w:t>
            </w:r>
          </w:p>
          <w:p w14:paraId="48B56D05">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通过叠图分析以及根据</w:t>
            </w:r>
            <w:r>
              <w:rPr>
                <w:rFonts w:hint="eastAsia" w:cs="Times New Roman"/>
                <w:color w:val="auto"/>
                <w:lang w:val="en-US" w:eastAsia="zh-CN"/>
              </w:rPr>
              <w:t>“</w:t>
            </w:r>
            <w:r>
              <w:rPr>
                <w:rFonts w:hint="default" w:ascii="Times New Roman" w:hAnsi="Times New Roman" w:cs="Times New Roman"/>
                <w:color w:val="auto"/>
                <w:lang w:val="en-US" w:eastAsia="zh-CN"/>
              </w:rPr>
              <w:t>玉溪市生态环境局澄江分局关于澄江吉步轻奢环保家具城厂房标准化建设项目</w:t>
            </w:r>
            <w:r>
              <w:rPr>
                <w:rFonts w:hint="eastAsia" w:cs="Times New Roman"/>
                <w:color w:val="auto"/>
                <w:lang w:val="en-US" w:eastAsia="zh-CN"/>
              </w:rPr>
              <w:t>“</w:t>
            </w:r>
            <w:r>
              <w:rPr>
                <w:rFonts w:hint="default" w:ascii="Times New Roman" w:hAnsi="Times New Roman" w:cs="Times New Roman"/>
                <w:color w:val="auto"/>
                <w:lang w:val="en-US" w:eastAsia="zh-CN"/>
              </w:rPr>
              <w:t>三线一单</w:t>
            </w:r>
            <w:r>
              <w:rPr>
                <w:rFonts w:hint="eastAsia" w:cs="Times New Roman"/>
                <w:color w:val="auto"/>
                <w:lang w:val="en-US" w:eastAsia="zh-CN"/>
              </w:rPr>
              <w:t>”</w:t>
            </w:r>
            <w:r>
              <w:rPr>
                <w:rFonts w:hint="default" w:ascii="Times New Roman" w:hAnsi="Times New Roman" w:cs="Times New Roman"/>
                <w:color w:val="auto"/>
                <w:lang w:val="en-US" w:eastAsia="zh-CN"/>
              </w:rPr>
              <w:t>占用情况查询的回复</w:t>
            </w:r>
            <w:r>
              <w:rPr>
                <w:rFonts w:hint="eastAsia" w:cs="Times New Roman"/>
                <w:color w:val="auto"/>
                <w:lang w:val="en-US" w:eastAsia="zh-CN"/>
              </w:rPr>
              <w:t>”</w:t>
            </w:r>
            <w:r>
              <w:rPr>
                <w:rFonts w:hint="default" w:ascii="Times New Roman" w:hAnsi="Times New Roman" w:cs="Times New Roman"/>
                <w:color w:val="auto"/>
                <w:lang w:val="en-US" w:eastAsia="zh-CN"/>
              </w:rPr>
              <w:t>，项目中心与云南澄江动物化石群国家地质公园的最近距离为217.11m</w:t>
            </w:r>
            <w:r>
              <w:rPr>
                <w:rFonts w:hint="eastAsia" w:cs="Times New Roman"/>
                <w:color w:val="auto"/>
                <w:lang w:val="en-US" w:eastAsia="zh-CN"/>
              </w:rPr>
              <w:t>；</w:t>
            </w:r>
            <w:r>
              <w:rPr>
                <w:rFonts w:hint="default" w:ascii="Times New Roman" w:hAnsi="Times New Roman" w:cs="Times New Roman"/>
                <w:color w:val="auto"/>
                <w:lang w:val="en-US" w:eastAsia="zh-CN"/>
              </w:rPr>
              <w:t>与澄江动物化石群省级自然保护区的最近距离为929.63m</w:t>
            </w:r>
            <w:r>
              <w:rPr>
                <w:rFonts w:hint="eastAsia" w:cs="Times New Roman"/>
                <w:color w:val="auto"/>
                <w:lang w:val="en-US" w:eastAsia="zh-CN"/>
              </w:rPr>
              <w:t>（项目与地质公园及自然保护区位置示意图详见附图8）</w:t>
            </w:r>
            <w:r>
              <w:rPr>
                <w:rFonts w:hint="default" w:ascii="Times New Roman" w:hAnsi="Times New Roman" w:cs="Times New Roman"/>
                <w:color w:val="auto"/>
                <w:lang w:val="en-US" w:eastAsia="zh-CN"/>
              </w:rPr>
              <w:t>。项目中心与最远厂界距离约80m，因此，本项目占地范围位于云南澄江动物群古生物国家地质公园规划范围以及澄江动物化石群省级自然保护区范围以外。</w:t>
            </w:r>
          </w:p>
          <w:p w14:paraId="42AB3A4A">
            <w:pPr>
              <w:bidi w:val="0"/>
              <w:rPr>
                <w:rFonts w:hint="default" w:ascii="Times New Roman" w:hAnsi="Times New Roman" w:cs="Times New Roman"/>
                <w:b/>
                <w:bCs/>
                <w:color w:val="auto"/>
              </w:rPr>
            </w:pPr>
            <w:r>
              <w:rPr>
                <w:rFonts w:hint="eastAsia" w:cs="Times New Roman"/>
                <w:b/>
                <w:bCs/>
                <w:color w:val="auto"/>
                <w:lang w:val="en-US" w:eastAsia="zh-CN"/>
              </w:rPr>
              <w:t>⑤</w:t>
            </w:r>
            <w:r>
              <w:rPr>
                <w:rFonts w:hint="default" w:ascii="Times New Roman" w:hAnsi="Times New Roman" w:cs="Times New Roman"/>
                <w:b/>
                <w:bCs/>
                <w:color w:val="auto"/>
              </w:rPr>
              <w:t>与《</w:t>
            </w:r>
            <w:r>
              <w:rPr>
                <w:rFonts w:hint="default" w:ascii="Times New Roman" w:hAnsi="Times New Roman" w:cs="Times New Roman"/>
                <w:b/>
                <w:bCs/>
                <w:color w:val="auto"/>
                <w:lang w:eastAsia="zh-CN"/>
              </w:rPr>
              <w:t>重点行业挥发性</w:t>
            </w:r>
            <w:r>
              <w:rPr>
                <w:rFonts w:hint="default" w:ascii="Times New Roman" w:hAnsi="Times New Roman" w:cs="Times New Roman"/>
                <w:b/>
                <w:bCs/>
                <w:color w:val="auto"/>
              </w:rPr>
              <w:t>有机物</w:t>
            </w:r>
            <w:r>
              <w:rPr>
                <w:rFonts w:hint="default" w:ascii="Times New Roman" w:hAnsi="Times New Roman" w:cs="Times New Roman"/>
                <w:b/>
                <w:bCs/>
                <w:color w:val="auto"/>
                <w:lang w:eastAsia="zh-CN"/>
              </w:rPr>
              <w:t>综合治理</w:t>
            </w:r>
            <w:r>
              <w:rPr>
                <w:rFonts w:hint="default" w:ascii="Times New Roman" w:hAnsi="Times New Roman" w:cs="Times New Roman"/>
                <w:b/>
                <w:bCs/>
                <w:color w:val="auto"/>
              </w:rPr>
              <w:t>方案</w:t>
            </w:r>
            <w:r>
              <w:rPr>
                <w:rFonts w:hint="eastAsia" w:cs="Times New Roman"/>
                <w:b/>
                <w:bCs/>
                <w:color w:val="auto"/>
                <w:lang w:eastAsia="zh-CN"/>
              </w:rPr>
              <w:t>》《云南省重点行业挥发性有机物综合治理方案》</w:t>
            </w:r>
            <w:r>
              <w:rPr>
                <w:rFonts w:hint="eastAsia" w:cs="Times New Roman"/>
                <w:b/>
                <w:bCs/>
                <w:color w:val="auto"/>
                <w:lang w:val="en-US" w:eastAsia="zh-CN"/>
              </w:rPr>
              <w:t>相关</w:t>
            </w:r>
            <w:r>
              <w:rPr>
                <w:rFonts w:hint="default" w:ascii="Times New Roman" w:hAnsi="Times New Roman" w:cs="Times New Roman"/>
                <w:b/>
                <w:bCs/>
                <w:color w:val="auto"/>
              </w:rPr>
              <w:t>符合性分析</w:t>
            </w:r>
          </w:p>
          <w:p w14:paraId="1870E534">
            <w:pPr>
              <w:bidi w:val="0"/>
              <w:rPr>
                <w:rFonts w:hint="eastAsia" w:cs="Times New Roman"/>
                <w:color w:val="auto"/>
                <w:lang w:val="en-US" w:eastAsia="zh-CN"/>
              </w:rPr>
            </w:pPr>
            <w:r>
              <w:rPr>
                <w:rFonts w:hint="eastAsia" w:cs="Times New Roman"/>
                <w:color w:val="auto"/>
                <w:lang w:val="en-US" w:eastAsia="zh-CN"/>
              </w:rPr>
              <w:t>2019年6月26日，生态环境部发布了“关于印发《重点行业挥发性有机物综合治理方案》的通知（环大气〔2019〕53号）”，</w:t>
            </w:r>
          </w:p>
          <w:p w14:paraId="3CD1512C">
            <w:pPr>
              <w:bidi w:val="0"/>
              <w:rPr>
                <w:rFonts w:hint="eastAsia" w:cs="Times New Roman"/>
                <w:color w:val="auto"/>
                <w:lang w:val="en-US" w:eastAsia="zh-CN"/>
              </w:rPr>
            </w:pPr>
            <w:r>
              <w:rPr>
                <w:rFonts w:hint="eastAsia" w:cs="Times New Roman"/>
                <w:color w:val="auto"/>
                <w:lang w:val="en-US" w:eastAsia="zh-CN"/>
              </w:rPr>
              <w:t>2019年9月4日，云南省生态环境厅为了贯彻落实省人民政府印发《云南省打赢蓝天保卫战三年行动实施方案》（云政发〔2018〕44号）及生态环境部印发《重点行业挥发性有机物综合治理方案》（环大气〔2019〕53号）要求，加强对各州、市工作指导，提高挥发性有机物（VOCs）治理的科学性、针对性和有效性，协同控制温室气体排放，制定《云南省重点行业挥发性有机物综合治理方案》。</w:t>
            </w:r>
          </w:p>
          <w:p w14:paraId="7545DAF8">
            <w:pPr>
              <w:bidi w:val="0"/>
              <w:rPr>
                <w:rFonts w:hint="default" w:ascii="Times New Roman" w:hAnsi="Times New Roman" w:cs="Times New Roman"/>
                <w:color w:val="auto"/>
              </w:rPr>
            </w:pPr>
            <w:r>
              <w:rPr>
                <w:rFonts w:hint="default" w:ascii="Times New Roman" w:hAnsi="Times New Roman" w:cs="Times New Roman"/>
                <w:color w:val="auto"/>
              </w:rPr>
              <w:t>项目与《重点行业挥发性有机物综合治理方案</w:t>
            </w:r>
            <w:r>
              <w:rPr>
                <w:rFonts w:hint="eastAsia" w:cs="Times New Roman"/>
                <w:color w:val="auto"/>
                <w:lang w:eastAsia="zh-CN"/>
              </w:rPr>
              <w:t>》《</w:t>
            </w:r>
            <w:r>
              <w:rPr>
                <w:rFonts w:hint="default" w:ascii="Times New Roman" w:hAnsi="Times New Roman" w:cs="Times New Roman"/>
                <w:color w:val="auto"/>
              </w:rPr>
              <w:t>云南省重点行业挥发性有机物综合治理方案》相</w:t>
            </w:r>
            <w:r>
              <w:rPr>
                <w:rFonts w:hint="eastAsia" w:cs="Times New Roman"/>
                <w:color w:val="auto"/>
                <w:lang w:val="en-US" w:eastAsia="zh-CN"/>
              </w:rPr>
              <w:t>关</w:t>
            </w:r>
            <w:r>
              <w:rPr>
                <w:rFonts w:hint="default" w:ascii="Times New Roman" w:hAnsi="Times New Roman" w:cs="Times New Roman"/>
                <w:color w:val="auto"/>
              </w:rPr>
              <w:t>符</w:t>
            </w:r>
            <w:r>
              <w:rPr>
                <w:rFonts w:hint="eastAsia" w:cs="Times New Roman"/>
                <w:color w:val="auto"/>
                <w:lang w:val="en-US" w:eastAsia="zh-CN"/>
              </w:rPr>
              <w:t>合</w:t>
            </w:r>
            <w:r>
              <w:rPr>
                <w:rFonts w:hint="default" w:ascii="Times New Roman" w:hAnsi="Times New Roman" w:cs="Times New Roman"/>
                <w:color w:val="auto"/>
              </w:rPr>
              <w:t>性分析见表</w:t>
            </w:r>
            <w:r>
              <w:rPr>
                <w:rFonts w:hint="default" w:ascii="Times New Roman" w:hAnsi="Times New Roman" w:cs="Times New Roman"/>
                <w:color w:val="auto"/>
                <w:lang w:val="en-US" w:eastAsia="zh-CN"/>
              </w:rPr>
              <w:t>1-</w:t>
            </w:r>
            <w:r>
              <w:rPr>
                <w:rFonts w:hint="eastAsia" w:cs="Times New Roman"/>
                <w:color w:val="auto"/>
                <w:lang w:val="en-US" w:eastAsia="zh-CN"/>
              </w:rPr>
              <w:t>6</w:t>
            </w:r>
            <w:r>
              <w:rPr>
                <w:rFonts w:hint="default" w:ascii="Times New Roman" w:hAnsi="Times New Roman" w:cs="Times New Roman"/>
                <w:color w:val="auto"/>
              </w:rPr>
              <w:t>。</w:t>
            </w:r>
          </w:p>
          <w:p w14:paraId="2BF16219">
            <w:pPr>
              <w:bidi w:val="0"/>
              <w:ind w:left="0" w:leftChars="0" w:firstLine="0" w:firstLineChars="0"/>
              <w:jc w:val="center"/>
              <w:rPr>
                <w:rFonts w:hint="default" w:ascii="Times New Roman" w:hAnsi="Times New Roman" w:cs="Times New Roman"/>
                <w:b/>
                <w:bCs/>
                <w:color w:val="auto"/>
              </w:rPr>
            </w:pPr>
          </w:p>
          <w:p w14:paraId="2136A2A7">
            <w:pPr>
              <w:bidi w:val="0"/>
              <w:ind w:left="0" w:leftChars="0" w:firstLine="0" w:firstLineChars="0"/>
              <w:jc w:val="center"/>
              <w:rPr>
                <w:rFonts w:hint="default" w:ascii="Times New Roman" w:hAnsi="Times New Roman" w:cs="Times New Roman"/>
                <w:b/>
                <w:bCs/>
                <w:color w:val="auto"/>
              </w:rPr>
            </w:pPr>
          </w:p>
          <w:p w14:paraId="12A41AEA">
            <w:pPr>
              <w:bidi w:val="0"/>
              <w:ind w:left="0" w:leftChars="0" w:firstLine="0" w:firstLineChars="0"/>
              <w:jc w:val="center"/>
              <w:rPr>
                <w:rFonts w:hint="default" w:ascii="Times New Roman" w:hAnsi="Times New Roman" w:cs="Times New Roman"/>
                <w:b/>
                <w:bCs/>
                <w:color w:val="auto"/>
              </w:rPr>
            </w:pPr>
          </w:p>
          <w:p w14:paraId="7663B9A2">
            <w:pPr>
              <w:bidi w:val="0"/>
              <w:ind w:left="0" w:leftChars="0" w:firstLine="0" w:firstLineChars="0"/>
              <w:jc w:val="center"/>
              <w:rPr>
                <w:rFonts w:hint="default" w:ascii="Times New Roman" w:hAnsi="Times New Roman" w:cs="Times New Roman"/>
                <w:b/>
                <w:bCs/>
                <w:color w:val="auto"/>
              </w:rPr>
            </w:pPr>
          </w:p>
          <w:p w14:paraId="56E18F0E">
            <w:pPr>
              <w:bidi w:val="0"/>
              <w:ind w:left="0" w:leftChars="0" w:firstLine="0" w:firstLineChars="0"/>
              <w:jc w:val="center"/>
              <w:rPr>
                <w:rFonts w:hint="default" w:ascii="Times New Roman" w:hAnsi="Times New Roman" w:cs="Times New Roman"/>
                <w:b/>
                <w:bCs/>
                <w:color w:val="auto"/>
              </w:rPr>
            </w:pPr>
          </w:p>
          <w:p w14:paraId="6B3D9B50">
            <w:pPr>
              <w:bidi w:val="0"/>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1-</w:t>
            </w:r>
            <w:r>
              <w:rPr>
                <w:rFonts w:hint="eastAsia" w:cs="Times New Roman"/>
                <w:b/>
                <w:bCs/>
                <w:color w:val="auto"/>
                <w:lang w:val="en-US" w:eastAsia="zh-CN"/>
              </w:rPr>
              <w:t>6</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与《</w:t>
            </w:r>
            <w:r>
              <w:rPr>
                <w:rFonts w:hint="default" w:ascii="Times New Roman" w:hAnsi="Times New Roman" w:cs="Times New Roman"/>
                <w:b/>
                <w:bCs/>
                <w:color w:val="auto"/>
                <w:lang w:eastAsia="zh-CN"/>
              </w:rPr>
              <w:t>重点行业挥发性</w:t>
            </w:r>
            <w:r>
              <w:rPr>
                <w:rFonts w:hint="default" w:ascii="Times New Roman" w:hAnsi="Times New Roman" w:cs="Times New Roman"/>
                <w:b/>
                <w:bCs/>
                <w:color w:val="auto"/>
              </w:rPr>
              <w:t>有机物</w:t>
            </w:r>
            <w:r>
              <w:rPr>
                <w:rFonts w:hint="default" w:ascii="Times New Roman" w:hAnsi="Times New Roman" w:cs="Times New Roman"/>
                <w:b/>
                <w:bCs/>
                <w:color w:val="auto"/>
                <w:lang w:eastAsia="zh-CN"/>
              </w:rPr>
              <w:t>综合治理</w:t>
            </w:r>
            <w:r>
              <w:rPr>
                <w:rFonts w:hint="default" w:ascii="Times New Roman" w:hAnsi="Times New Roman" w:cs="Times New Roman"/>
                <w:b/>
                <w:bCs/>
                <w:color w:val="auto"/>
              </w:rPr>
              <w:t>方案</w:t>
            </w:r>
            <w:r>
              <w:rPr>
                <w:rFonts w:hint="eastAsia" w:cs="Times New Roman"/>
                <w:b/>
                <w:bCs/>
                <w:color w:val="auto"/>
                <w:lang w:eastAsia="zh-CN"/>
              </w:rPr>
              <w:t>》《</w:t>
            </w:r>
            <w:r>
              <w:rPr>
                <w:rFonts w:hint="default" w:ascii="Times New Roman" w:hAnsi="Times New Roman" w:cs="Times New Roman"/>
                <w:b/>
                <w:bCs/>
                <w:color w:val="auto"/>
              </w:rPr>
              <w:t>云南省重点行业挥发性有机物综合治理方案》符合性分析</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0"/>
              <w:gridCol w:w="1959"/>
              <w:gridCol w:w="718"/>
            </w:tblGrid>
            <w:tr w14:paraId="28D4F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940" w:type="dxa"/>
                  <w:tcBorders>
                    <w:top w:val="single" w:color="auto" w:sz="4" w:space="0"/>
                    <w:left w:val="single" w:color="auto" w:sz="4" w:space="0"/>
                    <w:bottom w:val="single" w:color="auto" w:sz="4" w:space="0"/>
                    <w:right w:val="single" w:color="auto" w:sz="4" w:space="0"/>
                  </w:tcBorders>
                  <w:shd w:val="clear" w:color="auto" w:fill="auto"/>
                  <w:vAlign w:val="center"/>
                </w:tcPr>
                <w:p w14:paraId="7789380A">
                  <w:pPr>
                    <w:pStyle w:val="14"/>
                    <w:bidi w:val="0"/>
                    <w:rPr>
                      <w:rFonts w:hint="default" w:ascii="Times New Roman" w:hAnsi="Times New Roman" w:eastAsia="宋体" w:cs="Times New Roman"/>
                      <w:b/>
                      <w:bCs/>
                      <w:color w:val="auto"/>
                      <w:lang w:val="en-US" w:eastAsia="zh-CN"/>
                    </w:rPr>
                  </w:pPr>
                  <w:r>
                    <w:rPr>
                      <w:rFonts w:hint="eastAsia"/>
                      <w:b/>
                      <w:bCs/>
                      <w:color w:val="auto"/>
                      <w:lang w:val="en-US" w:eastAsia="zh-CN"/>
                    </w:rPr>
                    <w:t>《重点行业挥发性有机物综合治理方案》《云南省重点行业挥发性有机物综合治理方案》相关</w:t>
                  </w:r>
                  <w:r>
                    <w:rPr>
                      <w:rFonts w:hint="default"/>
                      <w:b/>
                      <w:bCs/>
                      <w:color w:val="auto"/>
                      <w:lang w:val="en-US" w:eastAsia="zh-CN"/>
                    </w:rPr>
                    <w:t>要求如下</w:t>
                  </w:r>
                </w:p>
              </w:tc>
              <w:tc>
                <w:tcPr>
                  <w:tcW w:w="1959" w:type="dxa"/>
                  <w:tcBorders>
                    <w:top w:val="single" w:color="auto" w:sz="4" w:space="0"/>
                    <w:left w:val="single" w:color="auto" w:sz="4" w:space="0"/>
                    <w:bottom w:val="single" w:color="auto" w:sz="4" w:space="0"/>
                    <w:right w:val="single" w:color="auto" w:sz="4" w:space="0"/>
                  </w:tcBorders>
                  <w:shd w:val="clear" w:color="auto" w:fill="auto"/>
                  <w:vAlign w:val="center"/>
                </w:tcPr>
                <w:p w14:paraId="75BDA240">
                  <w:pPr>
                    <w:pStyle w:val="14"/>
                    <w:bidi w:val="0"/>
                    <w:rPr>
                      <w:rFonts w:hint="default" w:ascii="Times New Roman" w:hAnsi="Times New Roman" w:eastAsia="宋体" w:cs="Times New Roman"/>
                      <w:b/>
                      <w:bCs/>
                      <w:color w:val="auto"/>
                      <w:lang w:val="en-US" w:eastAsia="zh-CN"/>
                    </w:rPr>
                  </w:pPr>
                  <w:r>
                    <w:rPr>
                      <w:rFonts w:hint="default"/>
                      <w:b/>
                      <w:bCs/>
                      <w:color w:val="auto"/>
                      <w:lang w:val="en-US" w:eastAsia="zh-CN"/>
                    </w:rPr>
                    <w:t>本项目情况</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6C76A57A">
                  <w:pPr>
                    <w:pStyle w:val="14"/>
                    <w:bidi w:val="0"/>
                    <w:rPr>
                      <w:rFonts w:hint="default" w:ascii="Times New Roman" w:hAnsi="Times New Roman" w:eastAsia="宋体" w:cs="Times New Roman"/>
                      <w:b/>
                      <w:bCs/>
                      <w:color w:val="auto"/>
                      <w:lang w:val="en-US" w:eastAsia="zh-CN"/>
                    </w:rPr>
                  </w:pPr>
                  <w:r>
                    <w:rPr>
                      <w:rFonts w:hint="default"/>
                      <w:b/>
                      <w:bCs/>
                      <w:color w:val="auto"/>
                      <w:lang w:val="en-US" w:eastAsia="zh-CN"/>
                    </w:rPr>
                    <w:t>相符性分析</w:t>
                  </w:r>
                </w:p>
              </w:tc>
            </w:tr>
            <w:tr w14:paraId="2B93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940" w:type="dxa"/>
                  <w:tcBorders>
                    <w:top w:val="single" w:color="auto" w:sz="4" w:space="0"/>
                    <w:left w:val="single" w:color="auto" w:sz="4" w:space="0"/>
                    <w:bottom w:val="single" w:color="auto" w:sz="4" w:space="0"/>
                    <w:right w:val="single" w:color="auto" w:sz="4" w:space="0"/>
                  </w:tcBorders>
                  <w:shd w:val="clear" w:color="auto" w:fill="auto"/>
                  <w:vAlign w:val="center"/>
                </w:tcPr>
                <w:p w14:paraId="02685169">
                  <w:pPr>
                    <w:pStyle w:val="14"/>
                    <w:bidi w:val="0"/>
                    <w:jc w:val="left"/>
                    <w:rPr>
                      <w:rFonts w:hint="default"/>
                      <w:b/>
                      <w:bCs/>
                      <w:color w:val="auto"/>
                      <w:lang w:val="en-US" w:eastAsia="zh-CN"/>
                    </w:rPr>
                  </w:pPr>
                  <w:r>
                    <w:rPr>
                      <w:rFonts w:hint="eastAsia" w:cs="Times New Roman"/>
                      <w:b/>
                      <w:bCs/>
                      <w:color w:val="auto"/>
                      <w:lang w:val="en-US" w:eastAsia="zh-CN"/>
                    </w:rPr>
                    <w:t>三、控制思路与要求：</w:t>
                  </w:r>
                </w:p>
              </w:tc>
              <w:tc>
                <w:tcPr>
                  <w:tcW w:w="1959" w:type="dxa"/>
                  <w:tcBorders>
                    <w:top w:val="single" w:color="auto" w:sz="4" w:space="0"/>
                    <w:left w:val="single" w:color="auto" w:sz="4" w:space="0"/>
                    <w:bottom w:val="single" w:color="auto" w:sz="4" w:space="0"/>
                    <w:right w:val="single" w:color="auto" w:sz="4" w:space="0"/>
                  </w:tcBorders>
                  <w:shd w:val="clear" w:color="auto" w:fill="auto"/>
                  <w:vAlign w:val="center"/>
                </w:tcPr>
                <w:p w14:paraId="567319E3">
                  <w:pPr>
                    <w:pStyle w:val="14"/>
                    <w:bidi w:val="0"/>
                    <w:jc w:val="center"/>
                    <w:rPr>
                      <w:rFonts w:hint="default"/>
                      <w:b/>
                      <w:bCs/>
                      <w:color w:val="auto"/>
                      <w:lang w:val="en-US" w:eastAsia="zh-CN"/>
                    </w:rPr>
                  </w:pPr>
                  <w:r>
                    <w:rPr>
                      <w:rFonts w:hint="eastAsia"/>
                      <w:b/>
                      <w:bCs/>
                      <w:color w:val="auto"/>
                      <w:lang w:val="en-US" w:eastAsia="zh-CN"/>
                    </w:rPr>
                    <w:t>/</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1347BD11">
                  <w:pPr>
                    <w:pStyle w:val="14"/>
                    <w:bidi w:val="0"/>
                    <w:rPr>
                      <w:rFonts w:hint="default"/>
                      <w:b/>
                      <w:bCs/>
                      <w:color w:val="auto"/>
                      <w:lang w:val="en-US" w:eastAsia="zh-CN"/>
                    </w:rPr>
                  </w:pPr>
                  <w:r>
                    <w:rPr>
                      <w:rFonts w:hint="eastAsia"/>
                      <w:b/>
                      <w:bCs/>
                      <w:color w:val="auto"/>
                      <w:lang w:val="en-US" w:eastAsia="zh-CN"/>
                    </w:rPr>
                    <w:t>/</w:t>
                  </w:r>
                </w:p>
              </w:tc>
            </w:tr>
            <w:tr w14:paraId="77BB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40" w:type="dxa"/>
                  <w:tcBorders>
                    <w:top w:val="single" w:color="auto" w:sz="4" w:space="0"/>
                    <w:left w:val="single" w:color="auto" w:sz="4" w:space="0"/>
                    <w:bottom w:val="single" w:color="auto" w:sz="4" w:space="0"/>
                    <w:right w:val="single" w:color="auto" w:sz="4" w:space="0"/>
                  </w:tcBorders>
                  <w:shd w:val="clear" w:color="auto" w:fill="auto"/>
                  <w:vAlign w:val="center"/>
                </w:tcPr>
                <w:p w14:paraId="382CB93B">
                  <w:pPr>
                    <w:pStyle w:val="14"/>
                    <w:bidi w:val="0"/>
                    <w:jc w:val="left"/>
                    <w:rPr>
                      <w:rFonts w:hint="default" w:ascii="Times New Roman" w:hAnsi="Times New Roman" w:eastAsia="宋体" w:cs="Times New Roman"/>
                      <w:color w:val="auto"/>
                      <w:lang w:val="en-US" w:eastAsia="zh-CN"/>
                    </w:rPr>
                  </w:pPr>
                  <w:r>
                    <w:rPr>
                      <w:rFonts w:hint="eastAsia" w:cs="Times New Roman"/>
                      <w:b/>
                      <w:bCs/>
                      <w:color w:val="auto"/>
                      <w:lang w:val="en-US" w:eastAsia="zh-CN"/>
                    </w:rPr>
                    <w:t>（一）</w:t>
                  </w:r>
                  <w:r>
                    <w:rPr>
                      <w:rFonts w:hint="default" w:ascii="Times New Roman" w:hAnsi="Times New Roman" w:eastAsia="宋体" w:cs="Times New Roman"/>
                      <w:b/>
                      <w:bCs/>
                      <w:color w:val="auto"/>
                      <w:lang w:val="en-US" w:eastAsia="zh-CN"/>
                    </w:rPr>
                    <w:t>大力推进源头替代。</w:t>
                  </w:r>
                  <w:r>
                    <w:rPr>
                      <w:rFonts w:hint="default" w:ascii="Times New Roman" w:hAnsi="Times New Roman" w:eastAsia="宋体" w:cs="Times New Roman"/>
                      <w:color w:val="auto"/>
                      <w:lang w:val="en-US" w:eastAsia="zh-CN"/>
                    </w:rPr>
                    <w:t>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w:t>
                  </w:r>
                  <w:r>
                    <w:rPr>
                      <w:rFonts w:hint="eastAsia" w:cs="Times New Roman"/>
                      <w:color w:val="auto"/>
                      <w:lang w:val="en-US" w:eastAsia="zh-CN"/>
                    </w:rPr>
                    <w:t>；......</w:t>
                  </w:r>
                  <w:r>
                    <w:rPr>
                      <w:rFonts w:hint="default" w:ascii="Times New Roman" w:hAnsi="Times New Roman" w:eastAsia="宋体" w:cs="Times New Roman"/>
                      <w:color w:val="auto"/>
                      <w:lang w:val="en-US" w:eastAsia="zh-CN"/>
                    </w:rPr>
                    <w:t>。鼓励加快低VOCs含量涂料、油墨、胶粘剂等研发和生产。</w:t>
                  </w:r>
                </w:p>
                <w:p w14:paraId="33E820BA">
                  <w:pPr>
                    <w:pStyle w:val="14"/>
                    <w:bidi w:val="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加强政策引导。</w:t>
                  </w:r>
                  <w:r>
                    <w:rPr>
                      <w:rFonts w:hint="default" w:ascii="Times New Roman" w:hAnsi="Times New Roman" w:eastAsia="宋体" w:cs="Times New Roman"/>
                      <w:color w:val="auto"/>
                      <w:lang w:val="en-US" w:eastAsia="zh-CN"/>
                    </w:rPr>
                    <w:t>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r>
                    <w:rPr>
                      <w:rFonts w:hint="eastAsia" w:cs="Times New Roman"/>
                      <w:color w:val="auto"/>
                      <w:lang w:val="en-US" w:eastAsia="zh-CN"/>
                    </w:rPr>
                    <w:t>。</w:t>
                  </w:r>
                </w:p>
              </w:tc>
              <w:tc>
                <w:tcPr>
                  <w:tcW w:w="1959" w:type="dxa"/>
                  <w:tcBorders>
                    <w:top w:val="single" w:color="auto" w:sz="4" w:space="0"/>
                    <w:left w:val="single" w:color="auto" w:sz="4" w:space="0"/>
                    <w:bottom w:val="single" w:color="auto" w:sz="4" w:space="0"/>
                    <w:right w:val="single" w:color="auto" w:sz="4" w:space="0"/>
                  </w:tcBorders>
                  <w:shd w:val="clear" w:color="auto" w:fill="auto"/>
                  <w:vAlign w:val="center"/>
                </w:tcPr>
                <w:p w14:paraId="510DD511">
                  <w:pPr>
                    <w:pStyle w:val="14"/>
                    <w:bidi w:val="0"/>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项目稳定运行后，将</w:t>
                  </w:r>
                  <w:r>
                    <w:rPr>
                      <w:rFonts w:hint="eastAsia" w:cs="Times New Roman"/>
                      <w:color w:val="auto"/>
                      <w:lang w:val="en-US" w:eastAsia="zh-CN"/>
                    </w:rPr>
                    <w:t>调查客户对产品的需求情况，结合低</w:t>
                  </w:r>
                  <w:r>
                    <w:rPr>
                      <w:rFonts w:hint="default" w:ascii="Times New Roman" w:hAnsi="Times New Roman" w:cs="Times New Roman"/>
                      <w:color w:val="auto"/>
                    </w:rPr>
                    <w:t>VOCs含量涂料</w:t>
                  </w:r>
                  <w:r>
                    <w:rPr>
                      <w:rFonts w:hint="eastAsia" w:cs="Times New Roman"/>
                      <w:color w:val="auto"/>
                      <w:lang w:val="en-US" w:eastAsia="zh-CN"/>
                    </w:rPr>
                    <w:t>与需求产品的适配度</w:t>
                  </w:r>
                  <w:r>
                    <w:rPr>
                      <w:rFonts w:hint="default" w:ascii="Times New Roman" w:hAnsi="Times New Roman" w:cs="Times New Roman"/>
                      <w:color w:val="auto"/>
                      <w:lang w:val="en-US" w:eastAsia="zh-CN"/>
                    </w:rPr>
                    <w:t>，</w:t>
                  </w:r>
                  <w:r>
                    <w:rPr>
                      <w:rFonts w:hint="eastAsia" w:cs="Times New Roman"/>
                      <w:color w:val="auto"/>
                      <w:lang w:val="en-US" w:eastAsia="zh-CN"/>
                    </w:rPr>
                    <w:t>积极响应政策，</w:t>
                  </w:r>
                  <w:r>
                    <w:rPr>
                      <w:rFonts w:hint="default" w:ascii="Times New Roman" w:hAnsi="Times New Roman" w:cs="Times New Roman"/>
                      <w:color w:val="auto"/>
                      <w:lang w:val="en-US" w:eastAsia="zh-CN"/>
                    </w:rPr>
                    <w:t>探索源头替代，进一步将油漆改为水性漆等低VOCs涂料。现阶段使用油漆经过有效的废气处理措施，确保废气达标排放</w:t>
                  </w:r>
                  <w:r>
                    <w:rPr>
                      <w:rFonts w:hint="default"/>
                      <w:color w:val="auto"/>
                      <w:lang w:val="en-US" w:eastAsia="zh-CN"/>
                    </w:rPr>
                    <w:t>。</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0D8110B1">
                  <w:pPr>
                    <w:pStyle w:val="14"/>
                    <w:bidi w:val="0"/>
                    <w:rPr>
                      <w:rFonts w:hint="eastAsia" w:ascii="Times New Roman" w:hAnsi="Times New Roman" w:eastAsia="宋体" w:cs="Times New Roman"/>
                      <w:color w:val="auto"/>
                      <w:lang w:eastAsia="zh-CN"/>
                    </w:rPr>
                  </w:pPr>
                  <w:r>
                    <w:rPr>
                      <w:rFonts w:hint="eastAsia"/>
                      <w:color w:val="auto"/>
                      <w:lang w:val="en-US" w:eastAsia="zh-CN"/>
                    </w:rPr>
                    <w:t>符合</w:t>
                  </w:r>
                </w:p>
              </w:tc>
            </w:tr>
            <w:tr w14:paraId="0827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40" w:type="dxa"/>
                  <w:tcBorders>
                    <w:top w:val="single" w:color="auto" w:sz="4" w:space="0"/>
                    <w:left w:val="single" w:color="auto" w:sz="4" w:space="0"/>
                    <w:bottom w:val="single" w:color="auto" w:sz="4" w:space="0"/>
                    <w:right w:val="single" w:color="auto" w:sz="4" w:space="0"/>
                  </w:tcBorders>
                  <w:shd w:val="clear" w:color="auto" w:fill="auto"/>
                  <w:vAlign w:val="center"/>
                </w:tcPr>
                <w:p w14:paraId="51EBB1C5">
                  <w:pPr>
                    <w:pStyle w:val="14"/>
                    <w:numPr>
                      <w:ilvl w:val="0"/>
                      <w:numId w:val="0"/>
                    </w:numPr>
                    <w:bidi w:val="0"/>
                    <w:jc w:val="left"/>
                    <w:rPr>
                      <w:rFonts w:hint="default" w:ascii="Times New Roman" w:hAnsi="Times New Roman" w:eastAsia="宋体" w:cs="Times New Roman"/>
                      <w:color w:val="auto"/>
                      <w:lang w:val="en-US" w:eastAsia="zh-CN"/>
                    </w:rPr>
                  </w:pPr>
                  <w:r>
                    <w:rPr>
                      <w:rFonts w:hint="eastAsia" w:cs="Times New Roman"/>
                      <w:b/>
                      <w:bCs/>
                      <w:color w:val="auto"/>
                      <w:lang w:val="en-US" w:eastAsia="zh-CN"/>
                    </w:rPr>
                    <w:t>（二）</w:t>
                  </w:r>
                  <w:r>
                    <w:rPr>
                      <w:rFonts w:hint="default" w:ascii="Times New Roman" w:hAnsi="Times New Roman" w:eastAsia="宋体" w:cs="Times New Roman"/>
                      <w:b/>
                      <w:bCs/>
                      <w:color w:val="auto"/>
                      <w:lang w:val="en-US" w:eastAsia="zh-CN"/>
                    </w:rPr>
                    <w:t>全面加强无组织排放控制。</w:t>
                  </w:r>
                  <w:r>
                    <w:rPr>
                      <w:rFonts w:hint="default" w:ascii="Times New Roman" w:hAnsi="Times New Roman" w:eastAsia="宋体" w:cs="Times New Roman"/>
                      <w:color w:val="auto"/>
                      <w:lang w:val="en-US" w:eastAsia="zh-CN"/>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14:paraId="351E3440">
                  <w:pPr>
                    <w:pStyle w:val="14"/>
                    <w:numPr>
                      <w:ilvl w:val="0"/>
                      <w:numId w:val="0"/>
                    </w:numPr>
                    <w:bidi w:val="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加强设备与场所密闭管理。</w:t>
                  </w:r>
                  <w:r>
                    <w:rPr>
                      <w:rFonts w:hint="default" w:ascii="Times New Roman" w:hAnsi="Times New Roman" w:eastAsia="宋体" w:cs="Times New Roman"/>
                      <w:color w:val="auto"/>
                      <w:lang w:val="en-US" w:eastAsia="zh-CN"/>
                    </w:rPr>
                    <w:t>含VOCs物料应储存于密闭容器、包装袋，高效密封储罐，封闭式储库、料仓等。含VOCs物料转移和输送，应采用密闭管道或密闭容器、罐车等。</w:t>
                  </w:r>
                  <w:r>
                    <w:rPr>
                      <w:rFonts w:hint="eastAsia" w:cs="Times New Roman"/>
                      <w:color w:val="auto"/>
                      <w:lang w:val="en-US" w:eastAsia="zh-CN"/>
                    </w:rPr>
                    <w:t>......</w:t>
                  </w:r>
                  <w:r>
                    <w:rPr>
                      <w:rFonts w:hint="default" w:ascii="Times New Roman" w:hAnsi="Times New Roman" w:eastAsia="宋体" w:cs="Times New Roman"/>
                      <w:color w:val="auto"/>
                      <w:lang w:val="en-US" w:eastAsia="zh-CN"/>
                    </w:rPr>
                    <w:t>。含VOCs物料生产和使用过程，应采取有效收集措施或在密闭空间中操作。</w:t>
                  </w:r>
                </w:p>
                <w:p w14:paraId="0DE05D46">
                  <w:pPr>
                    <w:pStyle w:val="14"/>
                    <w:numPr>
                      <w:ilvl w:val="0"/>
                      <w:numId w:val="0"/>
                    </w:numPr>
                    <w:bidi w:val="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推进使用先进生产工艺。</w:t>
                  </w:r>
                  <w:r>
                    <w:rPr>
                      <w:rFonts w:hint="default" w:ascii="Times New Roman" w:hAnsi="Times New Roman" w:eastAsia="宋体" w:cs="Times New Roman"/>
                      <w:color w:val="auto"/>
                      <w:lang w:val="en-US" w:eastAsia="zh-CN"/>
                    </w:rPr>
                    <w:t>通过采用全密闭、连续化、自动化等生产技术，以及高效工艺与设备等，减少工艺过程无组织排放。</w:t>
                  </w:r>
                  <w:r>
                    <w:rPr>
                      <w:rFonts w:hint="eastAsia" w:cs="Times New Roman"/>
                      <w:color w:val="auto"/>
                      <w:lang w:val="en-US" w:eastAsia="zh-CN"/>
                    </w:rPr>
                    <w:t>......</w:t>
                  </w:r>
                  <w:r>
                    <w:rPr>
                      <w:rFonts w:hint="default" w:ascii="Times New Roman" w:hAnsi="Times New Roman" w:eastAsia="宋体" w:cs="Times New Roman"/>
                      <w:color w:val="auto"/>
                      <w:lang w:val="en-US" w:eastAsia="zh-CN"/>
                    </w:rPr>
                    <w:t>。工业涂装行业重点推进使用紧凑式涂装工艺，推广采用辊涂、静电喷涂、高压无气喷涂、空气辅助无气喷涂、热喷涂等涂装技术，鼓励企业采用自动化、智能化喷涂设备替代人工喷涂，减少使用空气喷涂技术。</w:t>
                  </w:r>
                  <w:r>
                    <w:rPr>
                      <w:rFonts w:hint="eastAsia" w:cs="Times New Roman"/>
                      <w:color w:val="auto"/>
                      <w:lang w:val="en-US" w:eastAsia="zh-CN"/>
                    </w:rPr>
                    <w:t>......</w:t>
                  </w:r>
                  <w:r>
                    <w:rPr>
                      <w:rFonts w:hint="default" w:ascii="Times New Roman" w:hAnsi="Times New Roman" w:eastAsia="宋体" w:cs="Times New Roman"/>
                      <w:color w:val="auto"/>
                      <w:lang w:val="en-US" w:eastAsia="zh-CN"/>
                    </w:rPr>
                    <w:t>。</w:t>
                  </w:r>
                </w:p>
                <w:p w14:paraId="730FB3B0">
                  <w:pPr>
                    <w:pStyle w:val="14"/>
                    <w:numPr>
                      <w:ilvl w:val="0"/>
                      <w:numId w:val="0"/>
                    </w:numPr>
                    <w:bidi w:val="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提高废气收集率。</w:t>
                  </w:r>
                  <w:r>
                    <w:rPr>
                      <w:rFonts w:hint="default" w:ascii="Times New Roman" w:hAnsi="Times New Roman" w:eastAsia="宋体" w:cs="Times New Roman"/>
                      <w:color w:val="auto"/>
                      <w:lang w:val="en-US" w:eastAsia="zh-CN"/>
                    </w:rPr>
                    <w:t>遵循</w:t>
                  </w:r>
                  <w:r>
                    <w:rPr>
                      <w:rFonts w:hint="eastAsia" w:cs="Times New Roman"/>
                      <w:color w:val="auto"/>
                      <w:lang w:val="en-US" w:eastAsia="zh-CN"/>
                    </w:rPr>
                    <w:t>“</w:t>
                  </w:r>
                  <w:r>
                    <w:rPr>
                      <w:rFonts w:hint="default" w:ascii="Times New Roman" w:hAnsi="Times New Roman" w:eastAsia="宋体" w:cs="Times New Roman"/>
                      <w:color w:val="auto"/>
                      <w:lang w:val="en-US" w:eastAsia="zh-CN"/>
                    </w:rPr>
                    <w:t>应收尽收、分质收集</w:t>
                  </w:r>
                  <w:r>
                    <w:rPr>
                      <w:rFonts w:hint="eastAsia" w:cs="Times New Roman"/>
                      <w:color w:val="auto"/>
                      <w:lang w:val="en-US" w:eastAsia="zh-CN"/>
                    </w:rPr>
                    <w:t>”</w:t>
                  </w:r>
                  <w:r>
                    <w:rPr>
                      <w:rFonts w:hint="default" w:ascii="Times New Roman" w:hAnsi="Times New Roman" w:eastAsia="宋体" w:cs="Times New Roman"/>
                      <w:color w:val="auto"/>
                      <w:lang w:val="en-US" w:eastAsia="zh-CN"/>
                    </w:rPr>
                    <w:t>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p w14:paraId="3FB317D8">
                  <w:pPr>
                    <w:pStyle w:val="14"/>
                    <w:numPr>
                      <w:ilvl w:val="0"/>
                      <w:numId w:val="0"/>
                    </w:numPr>
                    <w:bidi w:val="0"/>
                    <w:jc w:val="left"/>
                    <w:rPr>
                      <w:rFonts w:hint="default" w:ascii="Times New Roman" w:hAnsi="Times New Roman" w:eastAsia="宋体" w:cs="Times New Roman"/>
                      <w:color w:val="auto"/>
                      <w:lang w:val="en-US" w:eastAsia="zh-CN"/>
                    </w:rPr>
                  </w:pPr>
                  <w:r>
                    <w:rPr>
                      <w:rFonts w:hint="eastAsia" w:cs="Times New Roman"/>
                      <w:b/>
                      <w:bCs/>
                      <w:color w:val="auto"/>
                      <w:lang w:val="en-US" w:eastAsia="zh-CN"/>
                    </w:rPr>
                    <w:t>加强设备与管线组件泄漏控制。</w:t>
                  </w:r>
                  <w:r>
                    <w:rPr>
                      <w:rFonts w:hint="eastAsia" w:cs="Times New Roman"/>
                      <w:b w:val="0"/>
                      <w:bCs w:val="0"/>
                      <w:color w:val="auto"/>
                      <w:lang w:val="en-US" w:eastAsia="zh-CN"/>
                    </w:rPr>
                    <w:t>......。</w:t>
                  </w:r>
                </w:p>
              </w:tc>
              <w:tc>
                <w:tcPr>
                  <w:tcW w:w="1959" w:type="dxa"/>
                  <w:tcBorders>
                    <w:top w:val="single" w:color="auto" w:sz="4" w:space="0"/>
                    <w:left w:val="single" w:color="auto" w:sz="4" w:space="0"/>
                    <w:bottom w:val="single" w:color="auto" w:sz="4" w:space="0"/>
                    <w:right w:val="single" w:color="auto" w:sz="4" w:space="0"/>
                  </w:tcBorders>
                  <w:shd w:val="clear" w:color="auto" w:fill="auto"/>
                  <w:vAlign w:val="center"/>
                </w:tcPr>
                <w:p w14:paraId="4B2BA352">
                  <w:pPr>
                    <w:pStyle w:val="14"/>
                    <w:bidi w:val="0"/>
                    <w:jc w:val="left"/>
                    <w:rPr>
                      <w:rFonts w:hint="eastAsia"/>
                      <w:color w:val="auto"/>
                      <w:lang w:val="en-US" w:eastAsia="zh-CN"/>
                    </w:rPr>
                  </w:pPr>
                  <w:r>
                    <w:rPr>
                      <w:rFonts w:hint="default"/>
                      <w:color w:val="auto"/>
                      <w:lang w:val="en-US" w:eastAsia="zh-CN"/>
                    </w:rPr>
                    <w:t>本项目使用</w:t>
                  </w:r>
                  <w:r>
                    <w:rPr>
                      <w:rFonts w:hint="eastAsia"/>
                      <w:color w:val="auto"/>
                      <w:lang w:val="en-US" w:eastAsia="zh-CN"/>
                    </w:rPr>
                    <w:t>的油漆、稀释剂、固化剂等在项目贮存、运输均采用密封包装桶包装，调配漆以及喷漆工作均在密封的喷漆房进行</w:t>
                  </w:r>
                  <w:r>
                    <w:rPr>
                      <w:rFonts w:hint="default"/>
                      <w:color w:val="auto"/>
                    </w:rPr>
                    <w:t>。</w:t>
                  </w:r>
                  <w:r>
                    <w:rPr>
                      <w:rFonts w:hint="eastAsia"/>
                      <w:color w:val="auto"/>
                      <w:lang w:val="en-US" w:eastAsia="zh-CN"/>
                    </w:rPr>
                    <w:t>喷漆过程产生的挥发性有机物通过喷漆房的负压收集系统有效进行收集并通过活性炭吸附系统处理。</w:t>
                  </w:r>
                </w:p>
                <w:p w14:paraId="53ECD072">
                  <w:pPr>
                    <w:pStyle w:val="14"/>
                    <w:bidi w:val="0"/>
                    <w:jc w:val="left"/>
                    <w:rPr>
                      <w:rFonts w:hint="default"/>
                      <w:color w:val="auto"/>
                      <w:lang w:val="en-US" w:eastAsia="zh-CN"/>
                    </w:rPr>
                  </w:pPr>
                  <w:r>
                    <w:rPr>
                      <w:rFonts w:hint="eastAsia"/>
                      <w:color w:val="auto"/>
                      <w:lang w:val="en-US" w:eastAsia="zh-CN"/>
                    </w:rPr>
                    <w:t>项目喷漆流水线</w:t>
                  </w:r>
                  <w:r>
                    <w:rPr>
                      <w:rFonts w:hint="default" w:ascii="Times New Roman" w:hAnsi="Times New Roman" w:eastAsia="宋体" w:cs="Times New Roman"/>
                      <w:color w:val="auto"/>
                      <w:lang w:val="en-US" w:eastAsia="zh-CN"/>
                    </w:rPr>
                    <w:t>采用全密闭、连续化、自动化等生产技术，以及高效工艺与设备等，减少工艺过程无组织排放</w:t>
                  </w:r>
                  <w:r>
                    <w:rPr>
                      <w:rFonts w:hint="eastAsia" w:cs="Times New Roman"/>
                      <w:color w:val="auto"/>
                      <w:lang w:val="en-US" w:eastAsia="zh-CN"/>
                    </w:rPr>
                    <w:t>。</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2DA442F4">
                  <w:pPr>
                    <w:pStyle w:val="14"/>
                    <w:bidi w:val="0"/>
                    <w:rPr>
                      <w:rFonts w:hint="eastAsia" w:ascii="Times New Roman" w:hAnsi="Times New Roman" w:eastAsia="宋体" w:cs="Times New Roman"/>
                      <w:color w:val="auto"/>
                      <w:lang w:eastAsia="zh-CN"/>
                    </w:rPr>
                  </w:pPr>
                  <w:r>
                    <w:rPr>
                      <w:rFonts w:hint="eastAsia"/>
                      <w:color w:val="auto"/>
                      <w:lang w:val="en-US" w:eastAsia="zh-CN"/>
                    </w:rPr>
                    <w:t>符合</w:t>
                  </w:r>
                </w:p>
              </w:tc>
            </w:tr>
            <w:tr w14:paraId="19C4E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40" w:type="dxa"/>
                  <w:tcBorders>
                    <w:top w:val="single" w:color="auto" w:sz="4" w:space="0"/>
                    <w:left w:val="single" w:color="auto" w:sz="4" w:space="0"/>
                    <w:bottom w:val="single" w:color="auto" w:sz="4" w:space="0"/>
                    <w:right w:val="single" w:color="auto" w:sz="4" w:space="0"/>
                  </w:tcBorders>
                  <w:shd w:val="clear" w:color="auto" w:fill="auto"/>
                  <w:vAlign w:val="center"/>
                </w:tcPr>
                <w:p w14:paraId="0226D80C">
                  <w:pPr>
                    <w:pStyle w:val="14"/>
                    <w:numPr>
                      <w:ilvl w:val="0"/>
                      <w:numId w:val="0"/>
                    </w:numPr>
                    <w:bidi w:val="0"/>
                    <w:jc w:val="left"/>
                    <w:rPr>
                      <w:rFonts w:hint="default" w:ascii="Times New Roman" w:hAnsi="Times New Roman" w:eastAsia="宋体" w:cs="Times New Roman"/>
                      <w:color w:val="auto"/>
                      <w:lang w:val="en-US" w:eastAsia="zh-CN"/>
                    </w:rPr>
                  </w:pPr>
                  <w:r>
                    <w:rPr>
                      <w:rFonts w:hint="eastAsia" w:cs="Times New Roman"/>
                      <w:b/>
                      <w:bCs/>
                      <w:color w:val="auto"/>
                      <w:lang w:val="en-US" w:eastAsia="zh-CN"/>
                    </w:rPr>
                    <w:t>（三）</w:t>
                  </w:r>
                  <w:r>
                    <w:rPr>
                      <w:rFonts w:hint="default" w:ascii="Times New Roman" w:hAnsi="Times New Roman" w:eastAsia="宋体" w:cs="Times New Roman"/>
                      <w:b/>
                      <w:bCs/>
                      <w:color w:val="auto"/>
                      <w:lang w:val="en-US" w:eastAsia="zh-CN"/>
                    </w:rPr>
                    <w:t>推进建设适宜高效的治污设施。</w:t>
                  </w:r>
                  <w:r>
                    <w:rPr>
                      <w:rFonts w:hint="default" w:ascii="Times New Roman" w:hAnsi="Times New Roman" w:eastAsia="宋体" w:cs="Times New Roman"/>
                      <w:color w:val="auto"/>
                      <w:lang w:val="en-US" w:eastAsia="zh-CN"/>
                    </w:rPr>
                    <w:t>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w:t>
                  </w:r>
                  <w:r>
                    <w:rPr>
                      <w:rFonts w:hint="eastAsia" w:cs="Times New Roman"/>
                      <w:color w:val="auto"/>
                      <w:lang w:val="en-US" w:eastAsia="zh-CN"/>
                    </w:rPr>
                    <w:t>；......</w:t>
                  </w:r>
                  <w:r>
                    <w:rPr>
                      <w:rFonts w:hint="default" w:ascii="Times New Roman" w:hAnsi="Times New Roman" w:eastAsia="宋体" w:cs="Times New Roman"/>
                      <w:color w:val="auto"/>
                      <w:lang w:val="en-US" w:eastAsia="zh-CN"/>
                    </w:rPr>
                    <w:t>采用一次性活性炭吸附技术的，应定期更换活性炭，废旧活性炭应再生或处理处置。有条件的工业园区和产业集群等，推广集中喷涂、溶剂集中回收、活性炭集中再生等，加强资源共享，提高VOCs治理效率。</w:t>
                  </w:r>
                </w:p>
                <w:p w14:paraId="1FED12F1">
                  <w:pPr>
                    <w:pStyle w:val="14"/>
                    <w:bidi w:val="0"/>
                    <w:jc w:val="left"/>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bCs/>
                      <w:color w:val="auto"/>
                      <w:lang w:val="en-US" w:eastAsia="zh-CN"/>
                    </w:rPr>
                    <w:t>规范工程设计。</w:t>
                  </w:r>
                  <w:r>
                    <w:rPr>
                      <w:rFonts w:hint="default" w:ascii="Times New Roman" w:hAnsi="Times New Roman" w:eastAsia="宋体" w:cs="Times New Roman"/>
                      <w:b w:val="0"/>
                      <w:bCs w:val="0"/>
                      <w:color w:val="auto"/>
                      <w:lang w:val="en-US" w:eastAsia="zh-CN"/>
                    </w:rPr>
                    <w:t>采用吸附处理工艺的，应满足《吸附法工业有机废气治理工程技术规范》要求。</w:t>
                  </w:r>
                  <w:r>
                    <w:rPr>
                      <w:rFonts w:hint="eastAsia" w:cs="Times New Roman"/>
                      <w:b w:val="0"/>
                      <w:bCs w:val="0"/>
                      <w:color w:val="auto"/>
                      <w:lang w:val="en-US" w:eastAsia="zh-CN"/>
                    </w:rPr>
                    <w:t>......</w:t>
                  </w:r>
                  <w:r>
                    <w:rPr>
                      <w:rFonts w:hint="default" w:ascii="Times New Roman" w:hAnsi="Times New Roman" w:eastAsia="宋体" w:cs="Times New Roman"/>
                      <w:b w:val="0"/>
                      <w:bCs w:val="0"/>
                      <w:color w:val="auto"/>
                      <w:lang w:val="en-US" w:eastAsia="zh-CN"/>
                    </w:rPr>
                    <w:t>。</w:t>
                  </w:r>
                </w:p>
                <w:p w14:paraId="4390C236">
                  <w:pPr>
                    <w:pStyle w:val="14"/>
                    <w:bidi w:val="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实行重点排放源排放浓度与去除效率双重控制。</w:t>
                  </w:r>
                  <w:r>
                    <w:rPr>
                      <w:rFonts w:hint="default" w:ascii="Times New Roman" w:hAnsi="Times New Roman" w:eastAsia="宋体" w:cs="Times New Roman"/>
                      <w:color w:val="auto"/>
                      <w:lang w:val="en-US" w:eastAsia="zh-CN"/>
                    </w:rPr>
                    <w:t>车间或生产设施收集排放的废气，VOCs初始排放速率大于等于3千克/小时、重点区域大于等于2千克/小时的，应加大控制力度，除确保排放浓度稳定达标外，还应实行去除效率控制，去除效率不低于80%</w:t>
                  </w:r>
                  <w:r>
                    <w:rPr>
                      <w:rFonts w:hint="eastAsia" w:cs="Times New Roman"/>
                      <w:color w:val="auto"/>
                      <w:lang w:val="en-US" w:eastAsia="zh-CN"/>
                    </w:rPr>
                    <w:t>；</w:t>
                  </w:r>
                  <w:r>
                    <w:rPr>
                      <w:rFonts w:hint="default" w:ascii="Times New Roman" w:hAnsi="Times New Roman" w:eastAsia="宋体" w:cs="Times New Roman"/>
                      <w:color w:val="auto"/>
                      <w:lang w:val="en-US" w:eastAsia="zh-CN"/>
                    </w:rPr>
                    <w:t>采用的原辅材料符合国家有关低VOCs含量产品规定的除外，有行业排放标准的按其相关规定</w:t>
                  </w:r>
                  <w:r>
                    <w:rPr>
                      <w:rFonts w:hint="eastAsia" w:cs="Times New Roman"/>
                      <w:color w:val="auto"/>
                      <w:lang w:val="en-US" w:eastAsia="zh-CN"/>
                    </w:rPr>
                    <w:t>执行。</w:t>
                  </w:r>
                </w:p>
              </w:tc>
              <w:tc>
                <w:tcPr>
                  <w:tcW w:w="1959" w:type="dxa"/>
                  <w:tcBorders>
                    <w:top w:val="single" w:color="auto" w:sz="4" w:space="0"/>
                    <w:left w:val="single" w:color="auto" w:sz="4" w:space="0"/>
                    <w:bottom w:val="single" w:color="auto" w:sz="4" w:space="0"/>
                    <w:right w:val="single" w:color="auto" w:sz="4" w:space="0"/>
                  </w:tcBorders>
                  <w:shd w:val="clear" w:color="auto" w:fill="auto"/>
                  <w:vAlign w:val="center"/>
                </w:tcPr>
                <w:p w14:paraId="69A8D09D">
                  <w:pPr>
                    <w:pStyle w:val="14"/>
                    <w:bidi w:val="0"/>
                    <w:jc w:val="left"/>
                    <w:rPr>
                      <w:rFonts w:hint="default" w:ascii="Times New Roman" w:hAnsi="Times New Roman" w:cs="Times New Roman"/>
                      <w:color w:val="auto"/>
                      <w:lang w:val="en-US" w:eastAsia="zh-CN"/>
                    </w:rPr>
                  </w:pPr>
                  <w:r>
                    <w:rPr>
                      <w:rFonts w:hint="eastAsia"/>
                      <w:color w:val="auto"/>
                      <w:lang w:val="en-US" w:eastAsia="zh-CN"/>
                    </w:rPr>
                    <w:t>①根据污染核算，项目产生的挥发性有机物属于低浓度废气</w:t>
                  </w:r>
                  <w:r>
                    <w:rPr>
                      <w:rFonts w:hint="default"/>
                      <w:color w:val="auto"/>
                      <w:lang w:val="en-US" w:eastAsia="zh-CN"/>
                    </w:rPr>
                    <w:t>。</w:t>
                  </w:r>
                  <w:r>
                    <w:rPr>
                      <w:rFonts w:hint="eastAsia"/>
                      <w:color w:val="auto"/>
                      <w:lang w:val="en-US" w:eastAsia="zh-CN"/>
                    </w:rPr>
                    <w:t>适宜采用活性炭吸附系统进行处理。</w:t>
                  </w:r>
                  <w:r>
                    <w:rPr>
                      <w:rFonts w:hint="default" w:ascii="Times New Roman" w:hAnsi="Times New Roman" w:cs="Times New Roman"/>
                      <w:color w:val="auto"/>
                      <w:lang w:val="en-US" w:eastAsia="zh-CN"/>
                    </w:rPr>
                    <w:t>定期更换的废弃活性炭视作危废，定期委托有资质的单位清运处置。</w:t>
                  </w:r>
                </w:p>
                <w:p w14:paraId="71842E8D">
                  <w:pPr>
                    <w:pStyle w:val="14"/>
                    <w:bidi w:val="0"/>
                    <w:jc w:val="left"/>
                    <w:rPr>
                      <w:rFonts w:hint="eastAsia" w:ascii="Times New Roman" w:hAnsi="Times New Roman" w:cs="Times New Roman"/>
                      <w:color w:val="auto"/>
                      <w:lang w:val="en-US" w:eastAsia="zh-CN"/>
                    </w:rPr>
                  </w:pPr>
                  <w:r>
                    <w:rPr>
                      <w:rFonts w:hint="eastAsia" w:cs="Times New Roman"/>
                      <w:color w:val="auto"/>
                      <w:lang w:val="en-US" w:eastAsia="zh-CN"/>
                    </w:rPr>
                    <w:t>②项目</w:t>
                  </w:r>
                  <w:r>
                    <w:rPr>
                      <w:rFonts w:hint="eastAsia" w:ascii="Times New Roman" w:hAnsi="Times New Roman" w:cs="Times New Roman"/>
                      <w:color w:val="auto"/>
                      <w:lang w:val="en-US" w:eastAsia="zh-CN"/>
                    </w:rPr>
                    <w:t>采用</w:t>
                  </w:r>
                  <w:r>
                    <w:rPr>
                      <w:rFonts w:hint="eastAsia" w:cs="Times New Roman"/>
                      <w:color w:val="auto"/>
                      <w:lang w:val="en-US" w:eastAsia="zh-CN"/>
                    </w:rPr>
                    <w:t>的活性炭</w:t>
                  </w:r>
                  <w:r>
                    <w:rPr>
                      <w:rFonts w:hint="eastAsia" w:ascii="Times New Roman" w:hAnsi="Times New Roman" w:cs="Times New Roman"/>
                      <w:color w:val="auto"/>
                      <w:lang w:val="en-US" w:eastAsia="zh-CN"/>
                    </w:rPr>
                    <w:t>吸附处理工艺满足《吸附法工业有机废气治理工程技术规范》要求</w:t>
                  </w:r>
                  <w:r>
                    <w:rPr>
                      <w:rFonts w:hint="eastAsia" w:cs="Times New Roman"/>
                      <w:color w:val="auto"/>
                      <w:lang w:val="en-US" w:eastAsia="zh-CN"/>
                    </w:rPr>
                    <w:t>。</w:t>
                  </w:r>
                </w:p>
                <w:p w14:paraId="440998D6">
                  <w:pPr>
                    <w:pStyle w:val="14"/>
                    <w:bidi w:val="0"/>
                    <w:jc w:val="left"/>
                    <w:rPr>
                      <w:rFonts w:hint="default"/>
                      <w:color w:val="auto"/>
                      <w:lang w:val="en-US" w:eastAsia="zh-CN"/>
                    </w:rPr>
                  </w:pPr>
                  <w:r>
                    <w:rPr>
                      <w:rFonts w:hint="eastAsia"/>
                      <w:color w:val="auto"/>
                      <w:lang w:val="en-US" w:eastAsia="zh-CN"/>
                    </w:rPr>
                    <w:t>③项目不属于重点排放源。</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55B023C1">
                  <w:pPr>
                    <w:pStyle w:val="14"/>
                    <w:bidi w:val="0"/>
                    <w:rPr>
                      <w:rFonts w:hint="eastAsia" w:ascii="Times New Roman" w:hAnsi="Times New Roman" w:eastAsia="宋体" w:cs="Times New Roman"/>
                      <w:color w:val="auto"/>
                      <w:lang w:val="en-US" w:eastAsia="zh-CN"/>
                    </w:rPr>
                  </w:pPr>
                  <w:r>
                    <w:rPr>
                      <w:rFonts w:hint="eastAsia"/>
                      <w:color w:val="auto"/>
                      <w:lang w:val="en-US" w:eastAsia="zh-CN"/>
                    </w:rPr>
                    <w:t>符合</w:t>
                  </w:r>
                </w:p>
              </w:tc>
            </w:tr>
            <w:tr w14:paraId="5433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40" w:type="dxa"/>
                  <w:tcBorders>
                    <w:top w:val="single" w:color="auto" w:sz="4" w:space="0"/>
                    <w:left w:val="single" w:color="auto" w:sz="4" w:space="0"/>
                    <w:bottom w:val="single" w:color="auto" w:sz="4" w:space="0"/>
                    <w:right w:val="single" w:color="auto" w:sz="4" w:space="0"/>
                  </w:tcBorders>
                  <w:shd w:val="clear" w:color="auto" w:fill="auto"/>
                  <w:vAlign w:val="center"/>
                </w:tcPr>
                <w:p w14:paraId="24E684BD">
                  <w:pPr>
                    <w:pStyle w:val="14"/>
                    <w:bidi w:val="0"/>
                    <w:jc w:val="left"/>
                    <w:rPr>
                      <w:rFonts w:hint="default" w:ascii="Times New Roman" w:hAnsi="Times New Roman" w:eastAsia="宋体" w:cs="Times New Roman"/>
                      <w:color w:val="auto"/>
                      <w:lang w:val="en-US" w:eastAsia="zh-CN"/>
                    </w:rPr>
                  </w:pPr>
                  <w:r>
                    <w:rPr>
                      <w:rFonts w:hint="eastAsia" w:cs="Times New Roman"/>
                      <w:b/>
                      <w:bCs/>
                      <w:color w:val="auto"/>
                      <w:lang w:val="en-US" w:eastAsia="zh-CN"/>
                    </w:rPr>
                    <w:t>四、重点行业治理任务</w:t>
                  </w:r>
                </w:p>
              </w:tc>
              <w:tc>
                <w:tcPr>
                  <w:tcW w:w="1959" w:type="dxa"/>
                  <w:tcBorders>
                    <w:top w:val="single" w:color="auto" w:sz="4" w:space="0"/>
                    <w:left w:val="single" w:color="auto" w:sz="4" w:space="0"/>
                    <w:bottom w:val="single" w:color="auto" w:sz="4" w:space="0"/>
                    <w:right w:val="single" w:color="auto" w:sz="4" w:space="0"/>
                  </w:tcBorders>
                  <w:shd w:val="clear" w:color="auto" w:fill="auto"/>
                  <w:vAlign w:val="center"/>
                </w:tcPr>
                <w:p w14:paraId="07BDBD89">
                  <w:pPr>
                    <w:pStyle w:val="14"/>
                    <w:bidi w:val="0"/>
                    <w:jc w:val="center"/>
                    <w:rPr>
                      <w:rFonts w:hint="default"/>
                      <w:color w:val="auto"/>
                      <w:lang w:val="en-US" w:eastAsia="zh-CN"/>
                    </w:rPr>
                  </w:pPr>
                  <w:r>
                    <w:rPr>
                      <w:rFonts w:hint="eastAsia"/>
                      <w:color w:val="auto"/>
                      <w:lang w:val="en-US" w:eastAsia="zh-CN"/>
                    </w:rPr>
                    <w:t>/</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590A546B">
                  <w:pPr>
                    <w:pStyle w:val="14"/>
                    <w:bidi w:val="0"/>
                    <w:rPr>
                      <w:rFonts w:hint="eastAsia" w:eastAsia="宋体"/>
                      <w:color w:val="auto"/>
                      <w:lang w:val="en-US" w:eastAsia="zh-CN"/>
                    </w:rPr>
                  </w:pPr>
                  <w:r>
                    <w:rPr>
                      <w:rFonts w:hint="eastAsia"/>
                      <w:color w:val="auto"/>
                      <w:lang w:val="en-US" w:eastAsia="zh-CN"/>
                    </w:rPr>
                    <w:t>/</w:t>
                  </w:r>
                </w:p>
              </w:tc>
            </w:tr>
            <w:tr w14:paraId="1268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40" w:type="dxa"/>
                  <w:tcBorders>
                    <w:top w:val="single" w:color="auto" w:sz="4" w:space="0"/>
                    <w:left w:val="single" w:color="auto" w:sz="4" w:space="0"/>
                    <w:bottom w:val="single" w:color="auto" w:sz="4" w:space="0"/>
                    <w:right w:val="single" w:color="auto" w:sz="4" w:space="0"/>
                  </w:tcBorders>
                  <w:shd w:val="clear" w:color="auto" w:fill="auto"/>
                  <w:vAlign w:val="center"/>
                </w:tcPr>
                <w:p w14:paraId="71234AFF">
                  <w:pPr>
                    <w:pStyle w:val="14"/>
                    <w:bidi w:val="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（三）工业涂装VOCs综合治理。</w:t>
                  </w:r>
                  <w:r>
                    <w:rPr>
                      <w:rFonts w:hint="default" w:ascii="Times New Roman" w:hAnsi="Times New Roman" w:eastAsia="宋体" w:cs="Times New Roman"/>
                      <w:color w:val="auto"/>
                      <w:lang w:val="en-US" w:eastAsia="zh-CN"/>
                    </w:rPr>
                    <w:t>加大汽车、家具、集装箱、电子产品、工程机械等行业VOCs治理力度，重点区域应结合本地产业特征，加快实施其他行业涂装VOCs综合治理。</w:t>
                  </w:r>
                </w:p>
                <w:p w14:paraId="3A109313">
                  <w:pPr>
                    <w:pStyle w:val="14"/>
                    <w:bidi w:val="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强化源头控制</w:t>
                  </w:r>
                  <w:r>
                    <w:rPr>
                      <w:rFonts w:hint="eastAsia" w:cs="Times New Roman"/>
                      <w:b/>
                      <w:bCs/>
                      <w:color w:val="auto"/>
                      <w:lang w:val="en-US" w:eastAsia="zh-CN"/>
                    </w:rPr>
                    <w:t>。</w:t>
                  </w:r>
                  <w:r>
                    <w:rPr>
                      <w:rFonts w:hint="default" w:ascii="Times New Roman" w:hAnsi="Times New Roman" w:eastAsia="宋体" w:cs="Times New Roman"/>
                      <w:color w:val="auto"/>
                      <w:lang w:val="en-US" w:eastAsia="zh-CN"/>
                    </w:rPr>
                    <w:t>加快使用粉末、水性、高固体分、辐射固化等低VOCs含量的涂料替代溶剂型涂料。</w:t>
                  </w:r>
                  <w:r>
                    <w:rPr>
                      <w:rFonts w:hint="eastAsia" w:cs="Times New Roman"/>
                      <w:color w:val="auto"/>
                      <w:lang w:val="en-US" w:eastAsia="zh-CN"/>
                    </w:rPr>
                    <w:t>......</w:t>
                  </w:r>
                  <w:r>
                    <w:rPr>
                      <w:rFonts w:hint="default" w:ascii="Times New Roman" w:hAnsi="Times New Roman" w:eastAsia="宋体" w:cs="Times New Roman"/>
                      <w:color w:val="auto"/>
                      <w:lang w:val="en-US" w:eastAsia="zh-CN"/>
                    </w:rPr>
                    <w:t>木质家具制造大力推广使用水性、辐射固化、粉末等涂料和水性胶粘剂</w:t>
                  </w:r>
                  <w:r>
                    <w:rPr>
                      <w:rFonts w:hint="eastAsia" w:cs="Times New Roman"/>
                      <w:color w:val="auto"/>
                      <w:lang w:val="en-US" w:eastAsia="zh-CN"/>
                    </w:rPr>
                    <w:t>；......</w:t>
                  </w:r>
                  <w:r>
                    <w:rPr>
                      <w:rFonts w:hint="default" w:ascii="Times New Roman" w:hAnsi="Times New Roman" w:eastAsia="宋体" w:cs="Times New Roman"/>
                      <w:color w:val="auto"/>
                      <w:lang w:val="en-US" w:eastAsia="zh-CN"/>
                    </w:rPr>
                    <w:t>。</w:t>
                  </w:r>
                </w:p>
                <w:p w14:paraId="61481CCD">
                  <w:pPr>
                    <w:pStyle w:val="14"/>
                    <w:bidi w:val="0"/>
                    <w:jc w:val="left"/>
                    <w:rPr>
                      <w:rFonts w:hint="default" w:ascii="Times New Roman" w:hAnsi="Times New Roman" w:eastAsia="宋体" w:cs="Times New Roman"/>
                      <w:color w:val="auto"/>
                      <w:lang w:val="en-US" w:eastAsia="zh-CN"/>
                    </w:rPr>
                  </w:pPr>
                  <w:r>
                    <w:rPr>
                      <w:rFonts w:hint="eastAsia" w:cs="Times New Roman"/>
                      <w:color w:val="auto"/>
                      <w:lang w:val="en-US" w:eastAsia="zh-CN"/>
                    </w:rPr>
                    <w:t>......</w:t>
                  </w:r>
                  <w:r>
                    <w:rPr>
                      <w:rFonts w:hint="default" w:ascii="Times New Roman" w:hAnsi="Times New Roman" w:eastAsia="宋体" w:cs="Times New Roman"/>
                      <w:color w:val="auto"/>
                      <w:lang w:val="en-US" w:eastAsia="zh-CN"/>
                    </w:rPr>
                    <w:t>木质家具推广使用高效的往复式喷涂箱、机械手和静电喷涂技术。板式家具采用喷涂工艺的，推广使用粉末静电喷涂技术</w:t>
                  </w:r>
                  <w:r>
                    <w:rPr>
                      <w:rFonts w:hint="eastAsia" w:cs="Times New Roman"/>
                      <w:color w:val="auto"/>
                      <w:lang w:val="en-US" w:eastAsia="zh-CN"/>
                    </w:rPr>
                    <w:t>；</w:t>
                  </w:r>
                  <w:r>
                    <w:rPr>
                      <w:rFonts w:hint="default" w:ascii="Times New Roman" w:hAnsi="Times New Roman" w:eastAsia="宋体" w:cs="Times New Roman"/>
                      <w:color w:val="auto"/>
                      <w:lang w:val="en-US" w:eastAsia="zh-CN"/>
                    </w:rPr>
                    <w:t>采用溶剂型、辐射固化涂料的，推广使用辊涂、淋涂等工艺。</w:t>
                  </w:r>
                  <w:r>
                    <w:rPr>
                      <w:rFonts w:hint="eastAsia" w:cs="Times New Roman"/>
                      <w:color w:val="auto"/>
                      <w:lang w:val="en-US" w:eastAsia="zh-CN"/>
                    </w:rPr>
                    <w:t>......</w:t>
                  </w:r>
                  <w:r>
                    <w:rPr>
                      <w:rFonts w:hint="default" w:ascii="Times New Roman" w:hAnsi="Times New Roman" w:eastAsia="宋体" w:cs="Times New Roman"/>
                      <w:color w:val="auto"/>
                      <w:lang w:val="en-US" w:eastAsia="zh-CN"/>
                    </w:rPr>
                    <w:t>。</w:t>
                  </w:r>
                </w:p>
                <w:p w14:paraId="4D75E982">
                  <w:pPr>
                    <w:pStyle w:val="14"/>
                    <w:bidi w:val="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有效控制无组织排放。</w:t>
                  </w:r>
                  <w:r>
                    <w:rPr>
                      <w:rFonts w:hint="default" w:ascii="Times New Roman" w:hAnsi="Times New Roman" w:eastAsia="宋体" w:cs="Times New Roman"/>
                      <w:color w:val="auto"/>
                      <w:lang w:val="en-US" w:eastAsia="zh-CN"/>
                    </w:rPr>
                    <w:t>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p w14:paraId="01B5907F">
                  <w:pPr>
                    <w:pStyle w:val="14"/>
                    <w:bidi w:val="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推进建设适宜高效的治污设施。</w:t>
                  </w:r>
                  <w:r>
                    <w:rPr>
                      <w:rFonts w:hint="default" w:ascii="Times New Roman" w:hAnsi="Times New Roman" w:eastAsia="宋体" w:cs="Times New Roman"/>
                      <w:color w:val="auto"/>
                      <w:lang w:val="en-US" w:eastAsia="zh-CN"/>
                    </w:rPr>
                    <w:t>喷涂废气应设置高效漆雾处理装置。喷涂、晾（风）干废气宜采用吸附浓缩+燃烧处理方式，小风量的可采用一次性活性炭吸附等工艺。</w:t>
                  </w:r>
                  <w:r>
                    <w:rPr>
                      <w:rFonts w:hint="eastAsia" w:cs="Times New Roman"/>
                      <w:color w:val="auto"/>
                      <w:lang w:val="en-US" w:eastAsia="zh-CN"/>
                    </w:rPr>
                    <w:t>......。</w:t>
                  </w:r>
                </w:p>
              </w:tc>
              <w:tc>
                <w:tcPr>
                  <w:tcW w:w="1959" w:type="dxa"/>
                  <w:tcBorders>
                    <w:top w:val="single" w:color="auto" w:sz="4" w:space="0"/>
                    <w:left w:val="single" w:color="auto" w:sz="4" w:space="0"/>
                    <w:bottom w:val="single" w:color="auto" w:sz="4" w:space="0"/>
                    <w:right w:val="single" w:color="auto" w:sz="4" w:space="0"/>
                  </w:tcBorders>
                  <w:shd w:val="clear" w:color="auto" w:fill="auto"/>
                  <w:vAlign w:val="center"/>
                </w:tcPr>
                <w:p w14:paraId="0F56302B">
                  <w:pPr>
                    <w:pStyle w:val="14"/>
                    <w:bidi w:val="0"/>
                    <w:jc w:val="left"/>
                    <w:rPr>
                      <w:rFonts w:hint="eastAsia" w:cs="Times New Roman"/>
                      <w:color w:val="auto"/>
                      <w:lang w:val="en-US" w:eastAsia="zh-CN"/>
                    </w:rPr>
                  </w:pPr>
                  <w:r>
                    <w:rPr>
                      <w:rFonts w:hint="eastAsia" w:cs="Times New Roman"/>
                      <w:color w:val="auto"/>
                      <w:lang w:val="en-US" w:eastAsia="zh-CN"/>
                    </w:rPr>
                    <w:t>①</w:t>
                  </w:r>
                  <w:r>
                    <w:rPr>
                      <w:rFonts w:hint="default" w:ascii="Times New Roman" w:hAnsi="Times New Roman" w:cs="Times New Roman"/>
                      <w:color w:val="auto"/>
                      <w:lang w:val="en-US" w:eastAsia="zh-CN"/>
                    </w:rPr>
                    <w:t>项目稳定运行后，将</w:t>
                  </w:r>
                  <w:r>
                    <w:rPr>
                      <w:rFonts w:hint="eastAsia" w:cs="Times New Roman"/>
                      <w:color w:val="auto"/>
                      <w:lang w:val="en-US" w:eastAsia="zh-CN"/>
                    </w:rPr>
                    <w:t>调查客户对产品的需求情况，结合低</w:t>
                  </w:r>
                  <w:r>
                    <w:rPr>
                      <w:rFonts w:hint="default" w:ascii="Times New Roman" w:hAnsi="Times New Roman" w:cs="Times New Roman"/>
                      <w:color w:val="auto"/>
                    </w:rPr>
                    <w:t>VOCs含量涂料</w:t>
                  </w:r>
                  <w:r>
                    <w:rPr>
                      <w:rFonts w:hint="eastAsia" w:cs="Times New Roman"/>
                      <w:color w:val="auto"/>
                      <w:lang w:val="en-US" w:eastAsia="zh-CN"/>
                    </w:rPr>
                    <w:t>与需求产品的适配度</w:t>
                  </w:r>
                  <w:r>
                    <w:rPr>
                      <w:rFonts w:hint="default" w:ascii="Times New Roman" w:hAnsi="Times New Roman" w:cs="Times New Roman"/>
                      <w:color w:val="auto"/>
                      <w:lang w:val="en-US" w:eastAsia="zh-CN"/>
                    </w:rPr>
                    <w:t>，</w:t>
                  </w:r>
                  <w:r>
                    <w:rPr>
                      <w:rFonts w:hint="eastAsia" w:cs="Times New Roman"/>
                      <w:color w:val="auto"/>
                      <w:lang w:val="en-US" w:eastAsia="zh-CN"/>
                    </w:rPr>
                    <w:t>积极响应政策，</w:t>
                  </w:r>
                  <w:r>
                    <w:rPr>
                      <w:rFonts w:hint="default" w:ascii="Times New Roman" w:hAnsi="Times New Roman" w:cs="Times New Roman"/>
                      <w:color w:val="auto"/>
                      <w:lang w:val="en-US" w:eastAsia="zh-CN"/>
                    </w:rPr>
                    <w:t>探索源头替代，进一步将油漆改为水性漆等低VOCs涂料</w:t>
                  </w:r>
                  <w:r>
                    <w:rPr>
                      <w:rFonts w:hint="eastAsia" w:cs="Times New Roman"/>
                      <w:color w:val="auto"/>
                      <w:lang w:val="en-US" w:eastAsia="zh-CN"/>
                    </w:rPr>
                    <w:t>。</w:t>
                  </w:r>
                  <w:r>
                    <w:rPr>
                      <w:rFonts w:hint="default" w:ascii="Times New Roman" w:hAnsi="Times New Roman" w:cs="Times New Roman"/>
                      <w:color w:val="auto"/>
                      <w:lang w:val="en-US" w:eastAsia="zh-CN"/>
                    </w:rPr>
                    <w:t>现阶段使用油漆经过有效的废气处理措施，确保废气达标排放。</w:t>
                  </w:r>
                </w:p>
                <w:p w14:paraId="0428744C">
                  <w:pPr>
                    <w:pStyle w:val="14"/>
                    <w:bidi w:val="0"/>
                    <w:jc w:val="left"/>
                    <w:rPr>
                      <w:rFonts w:hint="default"/>
                      <w:color w:val="auto"/>
                    </w:rPr>
                  </w:pPr>
                  <w:r>
                    <w:rPr>
                      <w:rFonts w:hint="eastAsia"/>
                      <w:color w:val="auto"/>
                      <w:lang w:val="en-US" w:eastAsia="zh-CN"/>
                    </w:rPr>
                    <w:t>②</w:t>
                  </w:r>
                  <w:r>
                    <w:rPr>
                      <w:rFonts w:hint="default"/>
                      <w:color w:val="auto"/>
                      <w:lang w:val="en-US" w:eastAsia="zh-CN"/>
                    </w:rPr>
                    <w:t>本项目使用</w:t>
                  </w:r>
                  <w:r>
                    <w:rPr>
                      <w:rFonts w:hint="eastAsia"/>
                      <w:color w:val="auto"/>
                      <w:lang w:val="en-US" w:eastAsia="zh-CN"/>
                    </w:rPr>
                    <w:t>的油漆、稀释剂、固化剂等在项目贮存、运输均采用密封包装桶包装，调配漆以及喷漆工作均在密封的喷漆房进行</w:t>
                  </w:r>
                  <w:r>
                    <w:rPr>
                      <w:rFonts w:hint="default"/>
                      <w:color w:val="auto"/>
                    </w:rPr>
                    <w:t>。</w:t>
                  </w:r>
                </w:p>
                <w:p w14:paraId="39C1E973">
                  <w:pPr>
                    <w:pStyle w:val="14"/>
                    <w:bidi w:val="0"/>
                    <w:jc w:val="left"/>
                    <w:rPr>
                      <w:rFonts w:hint="default" w:eastAsia="宋体"/>
                      <w:color w:val="auto"/>
                      <w:lang w:val="en-US" w:eastAsia="zh-CN"/>
                    </w:rPr>
                  </w:pPr>
                  <w:r>
                    <w:rPr>
                      <w:rFonts w:hint="eastAsia"/>
                      <w:color w:val="auto"/>
                      <w:lang w:val="en-US" w:eastAsia="zh-CN"/>
                    </w:rPr>
                    <w:t>③项目喷漆废气采用“水帘+活性炭吸附系统”处理，水帘可高效除去漆雾，采用的一次性活性炭吸附工艺满足相关要求。</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50149911">
                  <w:pPr>
                    <w:pStyle w:val="14"/>
                    <w:bidi w:val="0"/>
                    <w:rPr>
                      <w:rFonts w:hint="eastAsia" w:ascii="Times New Roman" w:hAnsi="Times New Roman" w:eastAsia="宋体" w:cs="Times New Roman"/>
                      <w:color w:val="auto"/>
                      <w:lang w:val="en-US" w:eastAsia="zh-CN"/>
                    </w:rPr>
                  </w:pPr>
                  <w:r>
                    <w:rPr>
                      <w:rFonts w:hint="eastAsia"/>
                      <w:color w:val="auto"/>
                      <w:lang w:val="en-US" w:eastAsia="zh-CN"/>
                    </w:rPr>
                    <w:t>符合</w:t>
                  </w:r>
                </w:p>
              </w:tc>
            </w:tr>
          </w:tbl>
          <w:p w14:paraId="29EF9B49">
            <w:pPr>
              <w:bidi w:val="0"/>
              <w:rPr>
                <w:rFonts w:hint="default" w:ascii="Times New Roman" w:hAnsi="Times New Roman" w:eastAsia="宋体" w:cs="Times New Roman"/>
                <w:color w:val="auto"/>
                <w:lang w:eastAsia="zh-CN"/>
              </w:rPr>
            </w:pPr>
            <w:r>
              <w:rPr>
                <w:rFonts w:hint="default" w:ascii="Times New Roman" w:hAnsi="Times New Roman" w:cs="Times New Roman"/>
                <w:color w:val="auto"/>
              </w:rPr>
              <w:t>综上所述，项目建设与《重点行业挥发性有机物综合治理方案</w:t>
            </w:r>
            <w:r>
              <w:rPr>
                <w:rFonts w:hint="eastAsia" w:cs="Times New Roman"/>
                <w:color w:val="auto"/>
                <w:lang w:eastAsia="zh-CN"/>
              </w:rPr>
              <w:t>》《</w:t>
            </w:r>
            <w:r>
              <w:rPr>
                <w:rFonts w:hint="default" w:ascii="Times New Roman" w:hAnsi="Times New Roman" w:cs="Times New Roman"/>
                <w:color w:val="auto"/>
              </w:rPr>
              <w:t>云南省重点行业挥发性有机物综合治理方案》相符</w:t>
            </w:r>
            <w:r>
              <w:rPr>
                <w:rFonts w:hint="default" w:ascii="Times New Roman" w:hAnsi="Times New Roman" w:cs="Times New Roman"/>
                <w:color w:val="auto"/>
                <w:lang w:eastAsia="zh-CN"/>
              </w:rPr>
              <w:t>。</w:t>
            </w:r>
          </w:p>
          <w:p w14:paraId="19F2FCE0">
            <w:pPr>
              <w:bidi w:val="0"/>
              <w:rPr>
                <w:rFonts w:hint="default"/>
                <w:b/>
                <w:bCs/>
                <w:color w:val="auto"/>
                <w:lang w:val="en-US" w:eastAsia="zh-CN"/>
              </w:rPr>
            </w:pPr>
            <w:bookmarkStart w:id="1" w:name="_Toc15571"/>
            <w:r>
              <w:rPr>
                <w:rFonts w:hint="eastAsia"/>
                <w:b/>
                <w:bCs/>
                <w:color w:val="auto"/>
                <w:lang w:val="en-US" w:eastAsia="zh-CN"/>
              </w:rPr>
              <w:t>⑥与《2020年挥发性有机物治理攻坚方案》符合性分析</w:t>
            </w:r>
          </w:p>
          <w:p w14:paraId="292B5806">
            <w:pPr>
              <w:bidi w:val="0"/>
              <w:rPr>
                <w:rFonts w:hint="default"/>
                <w:b w:val="0"/>
                <w:bCs w:val="0"/>
                <w:color w:val="auto"/>
                <w:lang w:val="en-US" w:eastAsia="zh-CN"/>
              </w:rPr>
            </w:pPr>
            <w:r>
              <w:rPr>
                <w:rFonts w:hint="eastAsia"/>
                <w:b w:val="0"/>
                <w:bCs w:val="0"/>
                <w:color w:val="auto"/>
                <w:lang w:val="en-US" w:eastAsia="zh-CN"/>
              </w:rPr>
              <w:t>2020年6月23日，生态环境部发布了“关于印发《2020年挥发性有机物治理攻坚方案》的通知（环大气〔2020〕33号）”，本项目与《2020年挥发性有机物治理攻坚方案》符合性分析如下：</w:t>
            </w:r>
          </w:p>
          <w:p w14:paraId="3C8CF234">
            <w:pPr>
              <w:bidi w:val="0"/>
              <w:ind w:left="0" w:leftChars="0" w:firstLine="0" w:firstLineChars="0"/>
              <w:jc w:val="center"/>
              <w:rPr>
                <w:rFonts w:hint="default"/>
                <w:b/>
                <w:bCs/>
                <w:color w:val="auto"/>
              </w:rPr>
            </w:pPr>
          </w:p>
          <w:p w14:paraId="497EEEEF">
            <w:pPr>
              <w:bidi w:val="0"/>
              <w:ind w:left="0" w:leftChars="0" w:firstLine="0" w:firstLineChars="0"/>
              <w:jc w:val="center"/>
              <w:rPr>
                <w:rFonts w:hint="default"/>
                <w:b/>
                <w:bCs/>
                <w:color w:val="auto"/>
              </w:rPr>
            </w:pPr>
          </w:p>
          <w:p w14:paraId="0AD80031">
            <w:pPr>
              <w:bidi w:val="0"/>
              <w:ind w:left="0" w:leftChars="0" w:firstLine="0" w:firstLineChars="0"/>
              <w:jc w:val="center"/>
              <w:rPr>
                <w:rFonts w:hint="default"/>
                <w:b/>
                <w:bCs/>
                <w:color w:val="auto"/>
              </w:rPr>
            </w:pPr>
          </w:p>
          <w:p w14:paraId="064B4BDA">
            <w:pPr>
              <w:bidi w:val="0"/>
              <w:ind w:left="0" w:leftChars="0" w:firstLine="0" w:firstLineChars="0"/>
              <w:jc w:val="center"/>
              <w:rPr>
                <w:rFonts w:hint="default"/>
                <w:b/>
                <w:bCs/>
                <w:color w:val="auto"/>
              </w:rPr>
            </w:pPr>
            <w:r>
              <w:rPr>
                <w:rFonts w:hint="default"/>
                <w:b/>
                <w:bCs/>
                <w:color w:val="auto"/>
              </w:rPr>
              <w:t>表</w:t>
            </w:r>
            <w:r>
              <w:rPr>
                <w:rFonts w:hint="eastAsia"/>
                <w:b/>
                <w:bCs/>
                <w:color w:val="auto"/>
                <w:lang w:val="en-US" w:eastAsia="zh-CN"/>
              </w:rPr>
              <w:t>1-7</w:t>
            </w:r>
            <w:r>
              <w:rPr>
                <w:rFonts w:hint="default"/>
                <w:b/>
                <w:bCs/>
                <w:color w:val="auto"/>
              </w:rPr>
              <w:t xml:space="preserve">  与《2020年挥发性有机物治理攻坚方案》符合性分析</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0"/>
              <w:gridCol w:w="1989"/>
              <w:gridCol w:w="718"/>
            </w:tblGrid>
            <w:tr w14:paraId="4E4F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00914920">
                  <w:pPr>
                    <w:pStyle w:val="14"/>
                    <w:bidi w:val="0"/>
                    <w:rPr>
                      <w:rFonts w:hint="default"/>
                      <w:b/>
                      <w:bCs/>
                      <w:color w:val="auto"/>
                      <w:lang w:val="en-US" w:eastAsia="zh-CN"/>
                    </w:rPr>
                  </w:pPr>
                  <w:r>
                    <w:rPr>
                      <w:rFonts w:hint="default"/>
                      <w:b/>
                      <w:bCs/>
                      <w:color w:val="auto"/>
                      <w:lang w:val="en-US" w:eastAsia="zh-CN"/>
                    </w:rPr>
                    <w:t>《2020年挥发性有机物治理攻坚方案》</w:t>
                  </w:r>
                  <w:r>
                    <w:rPr>
                      <w:rFonts w:hint="eastAsia"/>
                      <w:b/>
                      <w:bCs/>
                      <w:color w:val="auto"/>
                      <w:lang w:val="en-US" w:eastAsia="zh-CN"/>
                    </w:rPr>
                    <w:t>相关</w:t>
                  </w:r>
                  <w:r>
                    <w:rPr>
                      <w:rFonts w:hint="default"/>
                      <w:b/>
                      <w:bCs/>
                      <w:color w:val="auto"/>
                      <w:lang w:val="en-US" w:eastAsia="zh-CN"/>
                    </w:rPr>
                    <w:t>要求如下</w:t>
                  </w:r>
                </w:p>
              </w:tc>
              <w:tc>
                <w:tcPr>
                  <w:tcW w:w="1989" w:type="dxa"/>
                  <w:tcBorders>
                    <w:top w:val="single" w:color="auto" w:sz="4" w:space="0"/>
                    <w:left w:val="single" w:color="auto" w:sz="4" w:space="0"/>
                    <w:bottom w:val="single" w:color="auto" w:sz="4" w:space="0"/>
                    <w:right w:val="single" w:color="auto" w:sz="4" w:space="0"/>
                  </w:tcBorders>
                  <w:shd w:val="clear" w:color="auto" w:fill="auto"/>
                  <w:vAlign w:val="center"/>
                </w:tcPr>
                <w:p w14:paraId="71750CF2">
                  <w:pPr>
                    <w:pStyle w:val="14"/>
                    <w:bidi w:val="0"/>
                    <w:rPr>
                      <w:rFonts w:hint="default"/>
                      <w:b/>
                      <w:bCs/>
                      <w:color w:val="auto"/>
                      <w:lang w:val="en-US" w:eastAsia="zh-CN"/>
                    </w:rPr>
                  </w:pPr>
                  <w:r>
                    <w:rPr>
                      <w:rFonts w:hint="default"/>
                      <w:b/>
                      <w:bCs/>
                      <w:color w:val="auto"/>
                      <w:lang w:val="en-US" w:eastAsia="zh-CN"/>
                    </w:rPr>
                    <w:t>本项目情况</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1C99C8B7">
                  <w:pPr>
                    <w:pStyle w:val="14"/>
                    <w:bidi w:val="0"/>
                    <w:rPr>
                      <w:rFonts w:hint="default"/>
                      <w:b/>
                      <w:bCs/>
                      <w:color w:val="auto"/>
                      <w:lang w:val="en-US" w:eastAsia="zh-CN"/>
                    </w:rPr>
                  </w:pPr>
                  <w:r>
                    <w:rPr>
                      <w:rFonts w:hint="default"/>
                      <w:b/>
                      <w:bCs/>
                      <w:color w:val="auto"/>
                      <w:lang w:val="en-US" w:eastAsia="zh-CN"/>
                    </w:rPr>
                    <w:t>相符性分析</w:t>
                  </w:r>
                </w:p>
              </w:tc>
            </w:tr>
            <w:tr w14:paraId="59CE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07FDF999">
                  <w:pPr>
                    <w:pStyle w:val="14"/>
                    <w:bidi w:val="0"/>
                    <w:jc w:val="left"/>
                    <w:rPr>
                      <w:rFonts w:hint="eastAsia"/>
                      <w:b/>
                      <w:bCs/>
                      <w:color w:val="auto"/>
                    </w:rPr>
                  </w:pPr>
                  <w:r>
                    <w:rPr>
                      <w:rFonts w:hint="eastAsia"/>
                      <w:b/>
                      <w:bCs/>
                      <w:color w:val="auto"/>
                    </w:rPr>
                    <w:t>一、大力推进源头替代，有效减少VOCs产生</w:t>
                  </w:r>
                </w:p>
                <w:p w14:paraId="63D892A7">
                  <w:pPr>
                    <w:pStyle w:val="14"/>
                    <w:bidi w:val="0"/>
                    <w:jc w:val="left"/>
                    <w:rPr>
                      <w:rFonts w:hint="eastAsia"/>
                      <w:b w:val="0"/>
                      <w:bCs w:val="0"/>
                      <w:color w:val="auto"/>
                    </w:rPr>
                  </w:pPr>
                  <w:r>
                    <w:rPr>
                      <w:rFonts w:hint="eastAsia"/>
                      <w:b w:val="0"/>
                      <w:bCs w:val="0"/>
                      <w:color w:val="auto"/>
                      <w:lang w:val="en-US" w:eastAsia="zh-CN"/>
                    </w:rPr>
                    <w:t>......</w:t>
                  </w:r>
                  <w:r>
                    <w:rPr>
                      <w:rFonts w:hint="eastAsia"/>
                      <w:b w:val="0"/>
                      <w:bCs w:val="0"/>
                      <w:color w:val="auto"/>
                    </w:rPr>
                    <w:t>。</w:t>
                  </w:r>
                </w:p>
                <w:p w14:paraId="0849A78C">
                  <w:pPr>
                    <w:pStyle w:val="14"/>
                    <w:bidi w:val="0"/>
                    <w:jc w:val="left"/>
                    <w:rPr>
                      <w:rFonts w:hint="default"/>
                      <w:color w:val="auto"/>
                      <w:lang w:val="en-US" w:eastAsia="zh-CN"/>
                    </w:rPr>
                  </w:pPr>
                  <w:r>
                    <w:rPr>
                      <w:rFonts w:hint="eastAsia"/>
                      <w:b/>
                      <w:bCs/>
                      <w:color w:val="auto"/>
                    </w:rPr>
                    <w:t>大力推进低（无）VOCs含量原辅材料替代。</w:t>
                  </w:r>
                  <w:r>
                    <w:rPr>
                      <w:rFonts w:hint="eastAsia"/>
                      <w:color w:val="auto"/>
                    </w:rPr>
                    <w:t>将全面使用符合国家要求的低VOCs含量原辅材料的企业纳入正面清单和政府绿色采购清单。企业应建立原辅材料台账，记录VOCs原辅材料名称、成分、VOCs含量、采购量、使用量、库存量、回收方式、回收量等信息，并保存相关证明材料。采用符合国家有关低VOCs含量产品规定的涂料、油墨、胶粘剂等，排放浓度稳定达标且排放速率满足相关规定的，相应生产工序可不要求建设末端治理设施。使用的原辅材料VOCs含量（质量比）均低于10%的工序，可不要求采取无组织排放收集和处理措施。</w:t>
                  </w:r>
                </w:p>
              </w:tc>
              <w:tc>
                <w:tcPr>
                  <w:tcW w:w="1989" w:type="dxa"/>
                  <w:tcBorders>
                    <w:top w:val="single" w:color="auto" w:sz="4" w:space="0"/>
                    <w:left w:val="single" w:color="auto" w:sz="4" w:space="0"/>
                    <w:bottom w:val="single" w:color="auto" w:sz="4" w:space="0"/>
                    <w:right w:val="single" w:color="auto" w:sz="4" w:space="0"/>
                  </w:tcBorders>
                  <w:shd w:val="clear" w:color="auto" w:fill="auto"/>
                  <w:vAlign w:val="center"/>
                </w:tcPr>
                <w:p w14:paraId="2ADDCC45">
                  <w:pPr>
                    <w:pStyle w:val="14"/>
                    <w:bidi w:val="0"/>
                    <w:jc w:val="left"/>
                    <w:rPr>
                      <w:rFonts w:hint="default"/>
                      <w:color w:val="auto"/>
                      <w:lang w:val="en-US" w:eastAsia="zh-CN"/>
                    </w:rPr>
                  </w:pPr>
                  <w:r>
                    <w:rPr>
                      <w:rFonts w:hint="default" w:ascii="Times New Roman" w:hAnsi="Times New Roman" w:cs="Times New Roman"/>
                      <w:color w:val="auto"/>
                      <w:lang w:val="en-US" w:eastAsia="zh-CN"/>
                    </w:rPr>
                    <w:t>项目稳定运行后，将</w:t>
                  </w:r>
                  <w:r>
                    <w:rPr>
                      <w:rFonts w:hint="eastAsia" w:cs="Times New Roman"/>
                      <w:color w:val="auto"/>
                      <w:lang w:val="en-US" w:eastAsia="zh-CN"/>
                    </w:rPr>
                    <w:t>调查客户对产品的需求情况，结合低</w:t>
                  </w:r>
                  <w:r>
                    <w:rPr>
                      <w:rFonts w:hint="default" w:ascii="Times New Roman" w:hAnsi="Times New Roman" w:cs="Times New Roman"/>
                      <w:color w:val="auto"/>
                    </w:rPr>
                    <w:t>VOCs含量涂料</w:t>
                  </w:r>
                  <w:r>
                    <w:rPr>
                      <w:rFonts w:hint="eastAsia" w:cs="Times New Roman"/>
                      <w:color w:val="auto"/>
                      <w:lang w:val="en-US" w:eastAsia="zh-CN"/>
                    </w:rPr>
                    <w:t>与需求产品的适配度</w:t>
                  </w:r>
                  <w:r>
                    <w:rPr>
                      <w:rFonts w:hint="default" w:ascii="Times New Roman" w:hAnsi="Times New Roman" w:cs="Times New Roman"/>
                      <w:color w:val="auto"/>
                      <w:lang w:val="en-US" w:eastAsia="zh-CN"/>
                    </w:rPr>
                    <w:t>，</w:t>
                  </w:r>
                  <w:r>
                    <w:rPr>
                      <w:rFonts w:hint="eastAsia" w:cs="Times New Roman"/>
                      <w:color w:val="auto"/>
                      <w:lang w:val="en-US" w:eastAsia="zh-CN"/>
                    </w:rPr>
                    <w:t>积极响应政策，</w:t>
                  </w:r>
                  <w:r>
                    <w:rPr>
                      <w:rFonts w:hint="default" w:ascii="Times New Roman" w:hAnsi="Times New Roman" w:cs="Times New Roman"/>
                      <w:color w:val="auto"/>
                      <w:lang w:val="en-US" w:eastAsia="zh-CN"/>
                    </w:rPr>
                    <w:t>探索源头替代，进一步将油漆改为水性漆等低VOCs涂料。现阶段使用油漆经过有效的废气处理措施，确保废气达标排放</w:t>
                  </w:r>
                  <w:r>
                    <w:rPr>
                      <w:rFonts w:hint="default"/>
                      <w:color w:val="auto"/>
                      <w:lang w:val="en-US" w:eastAsia="zh-CN"/>
                    </w:rPr>
                    <w:t>。</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2EA15DE1">
                  <w:pPr>
                    <w:pStyle w:val="14"/>
                    <w:bidi w:val="0"/>
                    <w:jc w:val="center"/>
                    <w:rPr>
                      <w:rFonts w:hint="default"/>
                      <w:color w:val="auto"/>
                      <w:lang w:val="en-US" w:eastAsia="zh-CN"/>
                    </w:rPr>
                  </w:pPr>
                  <w:r>
                    <w:rPr>
                      <w:rFonts w:hint="eastAsia"/>
                      <w:color w:val="auto"/>
                      <w:lang w:val="en-US" w:eastAsia="zh-CN"/>
                    </w:rPr>
                    <w:t>符合</w:t>
                  </w:r>
                </w:p>
              </w:tc>
            </w:tr>
            <w:tr w14:paraId="32257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20E52C7D">
                  <w:pPr>
                    <w:pStyle w:val="14"/>
                    <w:bidi w:val="0"/>
                    <w:jc w:val="left"/>
                    <w:rPr>
                      <w:rFonts w:hint="default"/>
                      <w:b/>
                      <w:bCs/>
                      <w:color w:val="auto"/>
                      <w:lang w:val="en-US" w:eastAsia="zh-CN"/>
                    </w:rPr>
                  </w:pPr>
                  <w:r>
                    <w:rPr>
                      <w:rFonts w:hint="default"/>
                      <w:b/>
                      <w:bCs/>
                      <w:color w:val="auto"/>
                      <w:lang w:val="en-US" w:eastAsia="zh-CN"/>
                    </w:rPr>
                    <w:t>二、全面落实标准要求，强化无组织排放控制</w:t>
                  </w:r>
                </w:p>
                <w:p w14:paraId="683ECEDF">
                  <w:pPr>
                    <w:pStyle w:val="14"/>
                    <w:bidi w:val="0"/>
                    <w:jc w:val="left"/>
                    <w:rPr>
                      <w:rFonts w:hint="default"/>
                      <w:color w:val="auto"/>
                      <w:lang w:val="en-US" w:eastAsia="zh-CN"/>
                    </w:rPr>
                  </w:pPr>
                  <w:r>
                    <w:rPr>
                      <w:rFonts w:hint="default"/>
                      <w:color w:val="auto"/>
                      <w:lang w:val="en-US" w:eastAsia="zh-CN"/>
                    </w:rPr>
                    <w:t>2020年7月1日起，全面执行《挥发性有机物无组织排放控制标准》，重点区域应落实无组织排放特别控制要求。指导企业制定VOCs无组织排放控制规程，细化到具体工序和生产环节，以及启停机、检维修作业等，落实到具体责任人</w:t>
                  </w:r>
                  <w:r>
                    <w:rPr>
                      <w:rFonts w:hint="eastAsia"/>
                      <w:color w:val="auto"/>
                      <w:lang w:val="en-US" w:eastAsia="zh-CN"/>
                    </w:rPr>
                    <w:t>；</w:t>
                  </w:r>
                  <w:r>
                    <w:rPr>
                      <w:rFonts w:hint="default"/>
                      <w:color w:val="auto"/>
                      <w:lang w:val="en-US" w:eastAsia="zh-CN"/>
                    </w:rPr>
                    <w:t>健全内部考核制度，严格按照操作规程生产。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w:t>
                  </w:r>
                  <w:r>
                    <w:rPr>
                      <w:rFonts w:hint="eastAsia"/>
                      <w:color w:val="auto"/>
                      <w:lang w:val="en-US" w:eastAsia="zh-CN"/>
                    </w:rPr>
                    <w:t>；</w:t>
                  </w:r>
                  <w:r>
                    <w:rPr>
                      <w:rFonts w:hint="default"/>
                      <w:color w:val="auto"/>
                      <w:lang w:val="en-US" w:eastAsia="zh-CN"/>
                    </w:rPr>
                    <w:t>非取用状态时容器应密闭。处置环节应将盛装过VOCs物料的包装容器、含VOCs废料（渣、液）、废吸附剂等通过加盖、封装等方式密闭，妥善存放，不得随意丢弃，7月15日前集中清运一次，交有资质的单位处置。</w:t>
                  </w:r>
                </w:p>
              </w:tc>
              <w:tc>
                <w:tcPr>
                  <w:tcW w:w="1989" w:type="dxa"/>
                  <w:tcBorders>
                    <w:top w:val="single" w:color="auto" w:sz="4" w:space="0"/>
                    <w:left w:val="single" w:color="auto" w:sz="4" w:space="0"/>
                    <w:bottom w:val="single" w:color="auto" w:sz="4" w:space="0"/>
                    <w:right w:val="single" w:color="auto" w:sz="4" w:space="0"/>
                  </w:tcBorders>
                  <w:shd w:val="clear" w:color="auto" w:fill="auto"/>
                  <w:vAlign w:val="center"/>
                </w:tcPr>
                <w:p w14:paraId="11BFFCB5">
                  <w:pPr>
                    <w:pStyle w:val="14"/>
                    <w:bidi w:val="0"/>
                    <w:jc w:val="left"/>
                    <w:rPr>
                      <w:rFonts w:hint="default"/>
                      <w:color w:val="auto"/>
                      <w:lang w:val="en-US" w:eastAsia="zh-CN"/>
                    </w:rPr>
                  </w:pPr>
                  <w:r>
                    <w:rPr>
                      <w:rFonts w:hint="eastAsia"/>
                      <w:color w:val="auto"/>
                      <w:lang w:val="en-US" w:eastAsia="zh-CN"/>
                    </w:rPr>
                    <w:t>①项目所在区域不属于重点地区。根据本次评价废气影响放析，提出企业应加强管理，定期对废气处理系统进行检查，确保其正常运行，杜绝非正常排放的情况发生。并</w:t>
                  </w:r>
                  <w:r>
                    <w:rPr>
                      <w:rFonts w:hint="default"/>
                      <w:color w:val="auto"/>
                      <w:lang w:val="en-US" w:eastAsia="zh-CN"/>
                    </w:rPr>
                    <w:t>健全内部考核制度，严格按照操作规程生产</w:t>
                  </w:r>
                  <w:r>
                    <w:rPr>
                      <w:rFonts w:hint="eastAsia"/>
                      <w:color w:val="auto"/>
                      <w:lang w:val="en-US" w:eastAsia="zh-CN"/>
                    </w:rPr>
                    <w:t>。②</w:t>
                  </w:r>
                  <w:r>
                    <w:rPr>
                      <w:rFonts w:hint="default"/>
                      <w:color w:val="auto"/>
                      <w:lang w:val="en-US" w:eastAsia="zh-CN"/>
                    </w:rPr>
                    <w:t>项目使用</w:t>
                  </w:r>
                  <w:r>
                    <w:rPr>
                      <w:rFonts w:hint="eastAsia"/>
                      <w:color w:val="auto"/>
                      <w:lang w:val="en-US" w:eastAsia="zh-CN"/>
                    </w:rPr>
                    <w:t>的油漆、稀释剂、固化剂等在项目贮存、运输均采用密封包装桶包装，调配漆以及喷漆工作均在密封的喷漆房进行</w:t>
                  </w:r>
                  <w:r>
                    <w:rPr>
                      <w:rFonts w:hint="default"/>
                      <w:color w:val="auto"/>
                    </w:rPr>
                    <w:t>。</w:t>
                  </w:r>
                  <w:r>
                    <w:rPr>
                      <w:rFonts w:hint="default" w:ascii="Times New Roman" w:hAnsi="Times New Roman" w:cs="Times New Roman"/>
                      <w:color w:val="auto"/>
                      <w:lang w:val="en-US" w:eastAsia="zh-CN"/>
                    </w:rPr>
                    <w:t>定期更换的废弃活性炭视作危废，定期委托有资质的单位清运处置</w:t>
                  </w:r>
                  <w:r>
                    <w:rPr>
                      <w:rFonts w:hint="eastAsia" w:cs="Times New Roman"/>
                      <w:color w:val="auto"/>
                      <w:lang w:val="en-US" w:eastAsia="zh-CN"/>
                    </w:rPr>
                    <w:t>。</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7D2C2619">
                  <w:pPr>
                    <w:pStyle w:val="14"/>
                    <w:bidi w:val="0"/>
                    <w:jc w:val="center"/>
                    <w:rPr>
                      <w:rFonts w:hint="eastAsia" w:eastAsia="宋体"/>
                      <w:color w:val="auto"/>
                      <w:lang w:eastAsia="zh-CN"/>
                    </w:rPr>
                  </w:pPr>
                  <w:r>
                    <w:rPr>
                      <w:rFonts w:hint="eastAsia"/>
                      <w:color w:val="auto"/>
                      <w:lang w:val="en-US" w:eastAsia="zh-CN"/>
                    </w:rPr>
                    <w:t>符合</w:t>
                  </w:r>
                </w:p>
              </w:tc>
            </w:tr>
            <w:tr w14:paraId="45DD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031510EF">
                  <w:pPr>
                    <w:pStyle w:val="14"/>
                    <w:bidi w:val="0"/>
                    <w:jc w:val="left"/>
                    <w:rPr>
                      <w:rFonts w:hint="default"/>
                      <w:b/>
                      <w:bCs/>
                      <w:color w:val="auto"/>
                      <w:lang w:val="en-US" w:eastAsia="zh-CN"/>
                    </w:rPr>
                  </w:pPr>
                  <w:r>
                    <w:rPr>
                      <w:rFonts w:hint="default"/>
                      <w:b/>
                      <w:bCs/>
                      <w:color w:val="auto"/>
                      <w:lang w:val="en-US" w:eastAsia="zh-CN"/>
                    </w:rPr>
                    <w:t>三、聚焦治污设施</w:t>
                  </w:r>
                  <w:r>
                    <w:rPr>
                      <w:rFonts w:hint="eastAsia"/>
                      <w:b/>
                      <w:bCs/>
                      <w:color w:val="auto"/>
                      <w:lang w:val="en-US" w:eastAsia="zh-CN"/>
                    </w:rPr>
                    <w:t>“</w:t>
                  </w:r>
                  <w:r>
                    <w:rPr>
                      <w:rFonts w:hint="default"/>
                      <w:b/>
                      <w:bCs/>
                      <w:color w:val="auto"/>
                      <w:lang w:val="en-US" w:eastAsia="zh-CN"/>
                    </w:rPr>
                    <w:t>三率</w:t>
                  </w:r>
                  <w:r>
                    <w:rPr>
                      <w:rFonts w:hint="eastAsia"/>
                      <w:b/>
                      <w:bCs/>
                      <w:color w:val="auto"/>
                      <w:lang w:val="en-US" w:eastAsia="zh-CN"/>
                    </w:rPr>
                    <w:t>”</w:t>
                  </w:r>
                  <w:r>
                    <w:rPr>
                      <w:rFonts w:hint="default"/>
                      <w:b/>
                      <w:bCs/>
                      <w:color w:val="auto"/>
                      <w:lang w:val="en-US" w:eastAsia="zh-CN"/>
                    </w:rPr>
                    <w:t>，提升综合治理效率</w:t>
                  </w:r>
                </w:p>
                <w:p w14:paraId="3119A0E6">
                  <w:pPr>
                    <w:pStyle w:val="14"/>
                    <w:bidi w:val="0"/>
                    <w:jc w:val="left"/>
                    <w:rPr>
                      <w:rFonts w:hint="default"/>
                      <w:color w:val="auto"/>
                      <w:lang w:val="en-US" w:eastAsia="zh-CN"/>
                    </w:rPr>
                  </w:pPr>
                  <w:r>
                    <w:rPr>
                      <w:rFonts w:hint="default"/>
                      <w:color w:val="auto"/>
                      <w:lang w:val="en-US" w:eastAsia="zh-CN"/>
                    </w:rPr>
                    <w:t>组织企业对现有VOCs废气收集率、治理设施同步运行率和去除率开展自查，重点关注单一采用光氧化、光催化、低温等离子、一次性活性炭吸附、喷淋吸收等工艺的治理设施，7月15日前完成。对达不到要求的VOCs收集、治理设施进行更换或升级改造，确保实现达标排放。除恶臭异味治理外，一般不采用低温等离子、光催化、光氧化等技术。行业排放标准中规定特别排放限值和控制要求的，应按相关规定执行</w:t>
                  </w:r>
                  <w:r>
                    <w:rPr>
                      <w:rFonts w:hint="eastAsia"/>
                      <w:color w:val="auto"/>
                      <w:lang w:val="en-US" w:eastAsia="zh-CN"/>
                    </w:rPr>
                    <w:t>；</w:t>
                  </w:r>
                  <w:r>
                    <w:rPr>
                      <w:rFonts w:hint="default"/>
                      <w:color w:val="auto"/>
                      <w:lang w:val="en-US" w:eastAsia="zh-CN"/>
                    </w:rPr>
                    <w:t>未制定行业标准的应执行大气污染物综合排放标准和挥发性有机物无组织排放控制标准</w:t>
                  </w:r>
                  <w:r>
                    <w:rPr>
                      <w:rFonts w:hint="eastAsia"/>
                      <w:color w:val="auto"/>
                      <w:lang w:val="en-US" w:eastAsia="zh-CN"/>
                    </w:rPr>
                    <w:t>；</w:t>
                  </w:r>
                  <w:r>
                    <w:rPr>
                      <w:rFonts w:hint="default"/>
                      <w:color w:val="auto"/>
                      <w:lang w:val="en-US" w:eastAsia="zh-CN"/>
                    </w:rPr>
                    <w:t>已制定更严格地方排放标准的，按地方标准执行。</w:t>
                  </w:r>
                </w:p>
                <w:p w14:paraId="398812CE">
                  <w:pPr>
                    <w:pStyle w:val="14"/>
                    <w:bidi w:val="0"/>
                    <w:jc w:val="left"/>
                    <w:rPr>
                      <w:rFonts w:hint="default"/>
                      <w:color w:val="auto"/>
                      <w:lang w:val="en-US" w:eastAsia="zh-CN"/>
                    </w:rPr>
                  </w:pPr>
                  <w:r>
                    <w:rPr>
                      <w:rFonts w:hint="default"/>
                      <w:b/>
                      <w:bCs/>
                      <w:color w:val="auto"/>
                      <w:lang w:val="en-US" w:eastAsia="zh-CN"/>
                    </w:rPr>
                    <w:t>按照</w:t>
                  </w:r>
                  <w:r>
                    <w:rPr>
                      <w:rFonts w:hint="eastAsia"/>
                      <w:b/>
                      <w:bCs/>
                      <w:color w:val="auto"/>
                      <w:lang w:val="en-US" w:eastAsia="zh-CN"/>
                    </w:rPr>
                    <w:t>“</w:t>
                  </w:r>
                  <w:r>
                    <w:rPr>
                      <w:rFonts w:hint="default"/>
                      <w:b/>
                      <w:bCs/>
                      <w:color w:val="auto"/>
                      <w:lang w:val="en-US" w:eastAsia="zh-CN"/>
                    </w:rPr>
                    <w:t>应收尽收</w:t>
                  </w:r>
                  <w:r>
                    <w:rPr>
                      <w:rFonts w:hint="eastAsia"/>
                      <w:b/>
                      <w:bCs/>
                      <w:color w:val="auto"/>
                      <w:lang w:val="en-US" w:eastAsia="zh-CN"/>
                    </w:rPr>
                    <w:t>”</w:t>
                  </w:r>
                  <w:r>
                    <w:rPr>
                      <w:rFonts w:hint="default"/>
                      <w:b/>
                      <w:bCs/>
                      <w:color w:val="auto"/>
                      <w:lang w:val="en-US" w:eastAsia="zh-CN"/>
                    </w:rPr>
                    <w:t>的原则提升废气收集率。</w:t>
                  </w:r>
                  <w:r>
                    <w:rPr>
                      <w:rFonts w:hint="default"/>
                      <w:color w:val="auto"/>
                      <w:lang w:val="en-US" w:eastAsia="zh-CN"/>
                    </w:rPr>
                    <w:t>将无组织排放转变为有组织排放进行控制，优先采用密闭设备、在密闭空间中操作或采用全密闭集气罩收集方式</w:t>
                  </w:r>
                  <w:r>
                    <w:rPr>
                      <w:rFonts w:hint="eastAsia"/>
                      <w:color w:val="auto"/>
                      <w:lang w:val="en-US" w:eastAsia="zh-CN"/>
                    </w:rPr>
                    <w:t>；</w:t>
                  </w:r>
                  <w:r>
                    <w:rPr>
                      <w:rFonts w:hint="default"/>
                      <w:color w:val="auto"/>
                      <w:lang w:val="en-US" w:eastAsia="zh-CN"/>
                    </w:rPr>
                    <w:t>对于采用局部集气罩的，应根据废气排放特点合理选择收集点位，距集气罩开口面最远处的VOCs无组织排放位置，控制风速不低于0.3米/秒，达不到要求的通过更换大功率风机、增设烟道风机、增加垂帘等方式及时改造。VOCs废气处理系统发生故障或检修时，对应生产工艺设备应停止运行，待检修完毕后同步投入使用。企业新建治污设施或对现有治污设施实施改造，应依据排放废气特征、VOCs组分及浓度、生产工况等，合理选择治理技术，对治理难度大、单一治理工艺难以稳定达标的，要采用多种技术的组合工艺。采用活性炭吸附技术的，应选择碘值不低于800毫克/克的活性炭，并按设计要求足量添加、及时更换</w:t>
                  </w:r>
                  <w:r>
                    <w:rPr>
                      <w:rFonts w:hint="eastAsia"/>
                      <w:color w:val="auto"/>
                      <w:lang w:val="en-US" w:eastAsia="zh-CN"/>
                    </w:rPr>
                    <w:t>；</w:t>
                  </w:r>
                  <w:r>
                    <w:rPr>
                      <w:rFonts w:hint="default"/>
                      <w:color w:val="auto"/>
                      <w:lang w:val="en-US" w:eastAsia="zh-CN"/>
                    </w:rPr>
                    <w:t>各地要督促行政区域内采用一次性活性炭吸附技术的企业按期更换活性炭，对于长期未进行更换的，于7月底前全部更换一次，并将废旧活性炭交有资质的单位处理处置，记录更换时间和使用量。</w:t>
                  </w:r>
                </w:p>
              </w:tc>
              <w:tc>
                <w:tcPr>
                  <w:tcW w:w="1989" w:type="dxa"/>
                  <w:tcBorders>
                    <w:top w:val="single" w:color="auto" w:sz="4" w:space="0"/>
                    <w:left w:val="single" w:color="auto" w:sz="4" w:space="0"/>
                    <w:bottom w:val="single" w:color="auto" w:sz="4" w:space="0"/>
                    <w:right w:val="single" w:color="auto" w:sz="4" w:space="0"/>
                  </w:tcBorders>
                  <w:shd w:val="clear" w:color="auto" w:fill="auto"/>
                  <w:vAlign w:val="center"/>
                </w:tcPr>
                <w:p w14:paraId="72182E17">
                  <w:pPr>
                    <w:pStyle w:val="14"/>
                    <w:bidi w:val="0"/>
                    <w:jc w:val="left"/>
                    <w:rPr>
                      <w:rFonts w:hint="eastAsia"/>
                      <w:color w:val="auto"/>
                      <w:lang w:val="en-US" w:eastAsia="zh-CN"/>
                    </w:rPr>
                  </w:pPr>
                  <w:r>
                    <w:rPr>
                      <w:rFonts w:hint="eastAsia"/>
                      <w:color w:val="auto"/>
                      <w:lang w:val="en-US" w:eastAsia="zh-CN"/>
                    </w:rPr>
                    <w:t>①项目拟采用活性炭吸附系统对项目喷漆产生的VOCs进行吸附治理，根据工程分析，系统可进一步净化挥发性有机物及异味气体，根据污染核算，项目排放的污染物达到相应排放标准。</w:t>
                  </w:r>
                </w:p>
                <w:p w14:paraId="5193EFB0">
                  <w:pPr>
                    <w:pStyle w:val="14"/>
                    <w:bidi w:val="0"/>
                    <w:jc w:val="left"/>
                    <w:rPr>
                      <w:rFonts w:hint="eastAsia"/>
                      <w:color w:val="auto"/>
                      <w:lang w:val="en-US" w:eastAsia="zh-CN"/>
                    </w:rPr>
                  </w:pPr>
                  <w:r>
                    <w:rPr>
                      <w:rFonts w:hint="eastAsia"/>
                      <w:color w:val="auto"/>
                      <w:lang w:val="en-US" w:eastAsia="zh-CN"/>
                    </w:rPr>
                    <w:t>②喷漆房密封设置。喷漆过程产生的挥发性有机物通过喷漆房的负压收集系统有效进行收集并通过活性炭吸附系统处理，设计的风机风量满足最小风速控制要求。</w:t>
                  </w:r>
                </w:p>
                <w:p w14:paraId="7A192007">
                  <w:pPr>
                    <w:pStyle w:val="14"/>
                    <w:bidi w:val="0"/>
                    <w:jc w:val="left"/>
                    <w:rPr>
                      <w:rFonts w:hint="default"/>
                      <w:color w:val="auto"/>
                      <w:lang w:val="en-US" w:eastAsia="zh-CN"/>
                    </w:rPr>
                  </w:pPr>
                  <w:r>
                    <w:rPr>
                      <w:rFonts w:hint="eastAsia"/>
                      <w:color w:val="auto"/>
                      <w:lang w:val="en-US" w:eastAsia="zh-CN"/>
                    </w:rPr>
                    <w:t>评价提出企业应加强管理，定期对废气处理系统进行检查，确保其正常运行，杜绝非正常排放的情况发生。根据核算，挥发性有机物浓度较低，本次</w:t>
                  </w:r>
                  <w:r>
                    <w:rPr>
                      <w:rFonts w:hint="default"/>
                      <w:color w:val="auto"/>
                      <w:lang w:val="en-US" w:eastAsia="zh-CN"/>
                    </w:rPr>
                    <w:t>VOCs</w:t>
                  </w:r>
                  <w:r>
                    <w:rPr>
                      <w:rFonts w:hint="eastAsia"/>
                      <w:color w:val="auto"/>
                      <w:lang w:val="en-US" w:eastAsia="zh-CN"/>
                    </w:rPr>
                    <w:t>治理系统采用活性炭进行吸附，</w:t>
                  </w:r>
                  <w:r>
                    <w:rPr>
                      <w:rFonts w:hint="default" w:ascii="Times New Roman" w:hAnsi="Times New Roman" w:cs="Times New Roman"/>
                      <w:color w:val="auto"/>
                      <w:lang w:val="en-US" w:eastAsia="zh-CN"/>
                    </w:rPr>
                    <w:t>定期更换的废弃活性炭视作危废，定期委托有资质的单位清运处置</w:t>
                  </w:r>
                  <w:r>
                    <w:rPr>
                      <w:rFonts w:hint="eastAsia" w:cs="Times New Roman"/>
                      <w:color w:val="auto"/>
                      <w:lang w:val="en-US" w:eastAsia="zh-CN"/>
                    </w:rPr>
                    <w:t>。</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3DAB3042">
                  <w:pPr>
                    <w:pStyle w:val="14"/>
                    <w:bidi w:val="0"/>
                    <w:jc w:val="center"/>
                    <w:rPr>
                      <w:rFonts w:hint="eastAsia" w:eastAsia="宋体"/>
                      <w:color w:val="auto"/>
                      <w:lang w:eastAsia="zh-CN"/>
                    </w:rPr>
                  </w:pPr>
                  <w:r>
                    <w:rPr>
                      <w:rFonts w:hint="eastAsia"/>
                      <w:color w:val="auto"/>
                      <w:lang w:val="en-US" w:eastAsia="zh-CN"/>
                    </w:rPr>
                    <w:t>符合</w:t>
                  </w:r>
                </w:p>
              </w:tc>
            </w:tr>
          </w:tbl>
          <w:p w14:paraId="59A20E4D">
            <w:pPr>
              <w:bidi w:val="0"/>
              <w:rPr>
                <w:rFonts w:hint="eastAsia"/>
                <w:b/>
                <w:bCs/>
                <w:color w:val="auto"/>
                <w:lang w:val="en-US" w:eastAsia="zh-CN"/>
              </w:rPr>
            </w:pPr>
            <w:r>
              <w:rPr>
                <w:rFonts w:hint="default" w:ascii="Times New Roman" w:hAnsi="Times New Roman" w:eastAsia="宋体" w:cs="Times New Roman"/>
                <w:color w:val="auto"/>
                <w:sz w:val="24"/>
              </w:rPr>
              <w:t>综上所述，项目建设与《2020年挥发性有机物治理攻坚方案》相符</w:t>
            </w:r>
          </w:p>
          <w:bookmarkEnd w:id="1"/>
          <w:p w14:paraId="683EBB99">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4、</w:t>
            </w:r>
            <w:r>
              <w:rPr>
                <w:rFonts w:hint="eastAsia" w:cs="Times New Roman"/>
                <w:b/>
                <w:bCs/>
                <w:color w:val="auto"/>
                <w:lang w:val="en-US" w:eastAsia="zh-CN"/>
              </w:rPr>
              <w:t>用地符合性</w:t>
            </w:r>
            <w:r>
              <w:rPr>
                <w:rFonts w:hint="default" w:ascii="Times New Roman" w:hAnsi="Times New Roman" w:cs="Times New Roman"/>
                <w:b/>
                <w:bCs/>
                <w:color w:val="auto"/>
                <w:lang w:val="en-US" w:eastAsia="zh-CN"/>
              </w:rPr>
              <w:t>分析</w:t>
            </w:r>
          </w:p>
          <w:p w14:paraId="229C69D0">
            <w:pPr>
              <w:bidi w:val="0"/>
              <w:rPr>
                <w:rFonts w:hint="default" w:ascii="Times New Roman" w:hAnsi="Times New Roman" w:cs="Times New Roman"/>
                <w:b/>
                <w:bCs/>
                <w:color w:val="auto"/>
                <w:lang w:val="en-US" w:eastAsia="zh-CN"/>
              </w:rPr>
            </w:pPr>
            <w:r>
              <w:rPr>
                <w:rFonts w:hint="default" w:ascii="Times New Roman" w:hAnsi="Times New Roman" w:cs="Times New Roman"/>
                <w:color w:val="auto"/>
                <w:lang w:val="en-US" w:eastAsia="zh-CN"/>
              </w:rPr>
              <w:t>项目位于云南省玉溪市澄江市右所镇右所社区大坡头。租用云南澄江县德安磷化工有限责任公司共约4000m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的原有闲置厂房</w:t>
            </w:r>
            <w:r>
              <w:rPr>
                <w:rFonts w:hint="eastAsia" w:cs="Times New Roman"/>
                <w:color w:val="auto"/>
                <w:lang w:val="en-US" w:eastAsia="zh-CN"/>
              </w:rPr>
              <w:t>进行建设</w:t>
            </w:r>
            <w:r>
              <w:rPr>
                <w:rFonts w:hint="default" w:ascii="Times New Roman" w:hAnsi="Times New Roman" w:cs="Times New Roman"/>
                <w:color w:val="auto"/>
                <w:lang w:val="en-US" w:eastAsia="zh-CN"/>
              </w:rPr>
              <w:t>，</w:t>
            </w:r>
            <w:r>
              <w:rPr>
                <w:rFonts w:hint="eastAsia" w:cs="Times New Roman"/>
                <w:color w:val="auto"/>
                <w:lang w:val="en-US" w:eastAsia="zh-CN"/>
              </w:rPr>
              <w:t>根据建设单位提供资料及咨询生态主管部门，项目租用用地属于工业用地（见附件7），项目租用的闲置厂房原为</w:t>
            </w:r>
            <w:r>
              <w:rPr>
                <w:rFonts w:hint="default" w:ascii="Times New Roman" w:hAnsi="Times New Roman" w:cs="Times New Roman"/>
                <w:color w:val="auto"/>
                <w:lang w:val="en-US" w:eastAsia="zh-CN"/>
              </w:rPr>
              <w:t>德安磷化工</w:t>
            </w:r>
            <w:r>
              <w:rPr>
                <w:rFonts w:hint="eastAsia" w:cs="Times New Roman"/>
                <w:color w:val="auto"/>
                <w:lang w:val="en-US" w:eastAsia="zh-CN"/>
              </w:rPr>
              <w:t>仓库，已闲置多年，根据现场调查，用地不存在污染情况，项目建设符合用地要求</w:t>
            </w:r>
            <w:r>
              <w:rPr>
                <w:rFonts w:hint="default" w:ascii="Times New Roman" w:hAnsi="Times New Roman" w:cs="Times New Roman"/>
                <w:color w:val="auto"/>
                <w:lang w:val="en-US" w:eastAsia="zh-CN"/>
              </w:rPr>
              <w:t>。</w:t>
            </w:r>
          </w:p>
          <w:p w14:paraId="6D213F12">
            <w:pPr>
              <w:bidi w:val="0"/>
              <w:rPr>
                <w:rFonts w:hint="default" w:ascii="Times New Roman" w:hAnsi="Times New Roman" w:cs="Times New Roman"/>
                <w:b/>
                <w:bCs/>
                <w:color w:val="auto"/>
                <w:lang w:val="en-US" w:eastAsia="zh-CN"/>
              </w:rPr>
            </w:pPr>
            <w:r>
              <w:rPr>
                <w:rFonts w:hint="eastAsia" w:cs="Times New Roman"/>
                <w:b/>
                <w:bCs/>
                <w:color w:val="auto"/>
                <w:lang w:val="en-US" w:eastAsia="zh-CN"/>
              </w:rPr>
              <w:t>5</w:t>
            </w:r>
            <w:r>
              <w:rPr>
                <w:rFonts w:hint="default" w:ascii="Times New Roman" w:hAnsi="Times New Roman" w:cs="Times New Roman"/>
                <w:b/>
                <w:bCs/>
                <w:color w:val="auto"/>
                <w:lang w:val="en-US" w:eastAsia="zh-CN"/>
              </w:rPr>
              <w:t>、选址合理性分析</w:t>
            </w:r>
          </w:p>
          <w:p w14:paraId="635DDD64">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项目位于云南省玉溪市澄江市右所镇右所社区大坡头。通过与</w:t>
            </w:r>
            <w:r>
              <w:rPr>
                <w:rFonts w:hint="eastAsia" w:cs="Times New Roman"/>
                <w:color w:val="auto"/>
                <w:lang w:val="en-US" w:eastAsia="zh-CN"/>
              </w:rPr>
              <w:t>“</w:t>
            </w:r>
            <w:r>
              <w:rPr>
                <w:rFonts w:hint="default" w:ascii="Times New Roman" w:hAnsi="Times New Roman" w:cs="Times New Roman"/>
                <w:color w:val="auto"/>
                <w:lang w:val="en-US" w:eastAsia="zh-CN"/>
              </w:rPr>
              <w:t>三线一单</w:t>
            </w:r>
            <w:r>
              <w:rPr>
                <w:rFonts w:hint="eastAsia" w:cs="Times New Roman"/>
                <w:color w:val="auto"/>
                <w:lang w:val="en-US" w:eastAsia="zh-CN"/>
              </w:rPr>
              <w:t>”</w:t>
            </w:r>
            <w:r>
              <w:rPr>
                <w:rFonts w:hint="default" w:ascii="Times New Roman" w:hAnsi="Times New Roman" w:cs="Times New Roman"/>
                <w:color w:val="auto"/>
                <w:lang w:val="en-US" w:eastAsia="zh-CN"/>
              </w:rPr>
              <w:t>及相关要求分析，项目范围不占用国土空间规划划定的生态保护红线、永久基本农田，占地范围内属于城镇开发边界内。</w:t>
            </w:r>
            <w:r>
              <w:rPr>
                <w:rFonts w:hint="eastAsia" w:cs="Times New Roman"/>
                <w:color w:val="auto"/>
                <w:lang w:val="en-US" w:eastAsia="zh-CN"/>
              </w:rPr>
              <w:t>项目建设不会降低环境质量底线、不会突破资源利用上线，本项目符合玉溪市生态环境管控总体要求、澄江市乡镇生活污染重点管控单元相关准入条件</w:t>
            </w:r>
            <w:r>
              <w:rPr>
                <w:rFonts w:hint="default" w:ascii="Times New Roman" w:hAnsi="Times New Roman" w:cs="Times New Roman"/>
                <w:color w:val="auto"/>
                <w:lang w:val="en-US" w:eastAsia="zh-CN"/>
              </w:rPr>
              <w:t>。</w:t>
            </w:r>
          </w:p>
          <w:p w14:paraId="413A421A">
            <w:pPr>
              <w:bidi w:val="0"/>
              <w:rPr>
                <w:rFonts w:hint="default" w:ascii="Times New Roman" w:hAnsi="Times New Roman" w:cs="Times New Roman"/>
                <w:color w:val="auto"/>
                <w:lang w:val="en-US" w:eastAsia="zh-CN"/>
              </w:rPr>
            </w:pPr>
            <w:r>
              <w:rPr>
                <w:rFonts w:hint="eastAsia" w:cs="Times New Roman"/>
                <w:color w:val="auto"/>
                <w:lang w:val="en-US" w:eastAsia="zh-CN"/>
              </w:rPr>
              <w:t>根据分析，项目选址符合《云南省抚仙湖保护条例》《云南澄江动物群古生物国家地质公园总体规划（2016-2025）》《云南省澄江动物化石群保护规定》《云南省澄江化石地世界自然遗产保护条例》等区域准入要求。</w:t>
            </w:r>
            <w:r>
              <w:rPr>
                <w:rFonts w:hint="default" w:ascii="Times New Roman" w:hAnsi="Times New Roman" w:cs="Times New Roman"/>
                <w:color w:val="auto"/>
                <w:lang w:val="en-US" w:eastAsia="zh-CN"/>
              </w:rPr>
              <w:t>区域基础设施完善，供电、供水、交通等基础条件十分便利。项目建成后在采取相应环保措施，项目产生的废气达标排放，对周围环境影响不大，项目无废水外排，对周围地表水环境影响不大，噪声厂界可达标，周围无噪声环境敏感目标，固体废物均能得到合理处置。目前项目周边环境质量良好，外环境较简单，无重大环境制约因素存在。</w:t>
            </w:r>
          </w:p>
          <w:p w14:paraId="673E7E81">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综上，项目选址合理。</w:t>
            </w:r>
          </w:p>
          <w:p w14:paraId="5462819F">
            <w:pPr>
              <w:bidi w:val="0"/>
              <w:rPr>
                <w:rFonts w:hint="default" w:ascii="Times New Roman" w:hAnsi="Times New Roman" w:cs="Times New Roman"/>
                <w:b/>
                <w:bCs/>
                <w:color w:val="auto"/>
              </w:rPr>
            </w:pPr>
            <w:r>
              <w:rPr>
                <w:rFonts w:hint="eastAsia" w:cs="Times New Roman"/>
                <w:b/>
                <w:bCs/>
                <w:color w:val="auto"/>
                <w:lang w:val="en-US" w:eastAsia="zh-CN"/>
              </w:rPr>
              <w:t>6</w:t>
            </w:r>
            <w:r>
              <w:rPr>
                <w:rFonts w:hint="default" w:ascii="Times New Roman" w:hAnsi="Times New Roman" w:cs="Times New Roman"/>
                <w:b/>
                <w:bCs/>
                <w:color w:val="auto"/>
                <w:lang w:val="en-US" w:eastAsia="zh-CN"/>
              </w:rPr>
              <w:t>、</w:t>
            </w:r>
            <w:r>
              <w:rPr>
                <w:rFonts w:hint="default" w:ascii="Times New Roman" w:hAnsi="Times New Roman" w:cs="Times New Roman"/>
                <w:b/>
                <w:bCs/>
                <w:color w:val="auto"/>
              </w:rPr>
              <w:t>环境相容性分析</w:t>
            </w:r>
          </w:p>
          <w:p w14:paraId="0E5E5E2D">
            <w:pPr>
              <w:bidi w:val="0"/>
              <w:rPr>
                <w:rFonts w:hint="default" w:ascii="Times New Roman" w:hAnsi="Times New Roman" w:cs="Times New Roman"/>
                <w:color w:val="auto"/>
              </w:rPr>
            </w:pPr>
            <w:r>
              <w:rPr>
                <w:rFonts w:hint="default" w:ascii="Times New Roman" w:hAnsi="Times New Roman" w:cs="Times New Roman"/>
                <w:color w:val="auto"/>
              </w:rPr>
              <w:t>本项目位于云南省玉溪市澄江市右所镇右所社区大坡头。根据现场调查，项目周边500m范围内主要为企业</w:t>
            </w:r>
            <w:r>
              <w:rPr>
                <w:rFonts w:hint="default" w:ascii="Times New Roman" w:hAnsi="Times New Roman" w:cs="Times New Roman"/>
                <w:color w:val="auto"/>
                <w:lang w:val="en-US" w:eastAsia="zh-CN"/>
              </w:rPr>
              <w:t>和闲置厂房，附近村庄为大坡头村</w:t>
            </w:r>
            <w:r>
              <w:rPr>
                <w:rFonts w:hint="default" w:ascii="Times New Roman" w:hAnsi="Times New Roman" w:cs="Times New Roman"/>
                <w:color w:val="auto"/>
                <w:lang w:eastAsia="zh-CN"/>
              </w:rPr>
              <w:t>（</w:t>
            </w:r>
            <w:r>
              <w:rPr>
                <w:rFonts w:hint="default" w:ascii="Times New Roman" w:hAnsi="Times New Roman" w:cs="Times New Roman"/>
                <w:color w:val="auto"/>
              </w:rPr>
              <w:t>具体企业分布情况见表1-</w:t>
            </w:r>
            <w:r>
              <w:rPr>
                <w:rFonts w:hint="eastAsia" w:cs="Times New Roman"/>
                <w:color w:val="auto"/>
                <w:lang w:val="en-US" w:eastAsia="zh-CN"/>
              </w:rPr>
              <w:t>8</w:t>
            </w:r>
            <w:r>
              <w:rPr>
                <w:rFonts w:hint="default" w:ascii="Times New Roman" w:hAnsi="Times New Roman" w:cs="Times New Roman"/>
                <w:color w:val="auto"/>
              </w:rPr>
              <w:t>）。</w:t>
            </w:r>
          </w:p>
          <w:p w14:paraId="060C8736">
            <w:pPr>
              <w:bidi w:val="0"/>
              <w:ind w:left="0" w:leftChars="0" w:firstLine="0" w:firstLineChars="0"/>
              <w:jc w:val="center"/>
              <w:rPr>
                <w:rFonts w:hint="default" w:ascii="Times New Roman" w:hAnsi="Times New Roman" w:cs="Times New Roman"/>
                <w:b/>
                <w:bCs/>
                <w:color w:val="auto"/>
              </w:rPr>
            </w:pPr>
          </w:p>
          <w:p w14:paraId="7241CCE6">
            <w:pPr>
              <w:bidi w:val="0"/>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表1-</w:t>
            </w:r>
            <w:r>
              <w:rPr>
                <w:rFonts w:hint="eastAsia" w:cs="Times New Roman"/>
                <w:b/>
                <w:bCs/>
                <w:color w:val="auto"/>
                <w:lang w:val="en-US" w:eastAsia="zh-CN"/>
              </w:rPr>
              <w:t>8</w:t>
            </w:r>
            <w:r>
              <w:rPr>
                <w:rFonts w:hint="default" w:ascii="Times New Roman" w:hAnsi="Times New Roman" w:cs="Times New Roman"/>
                <w:b/>
                <w:bCs/>
                <w:color w:val="auto"/>
              </w:rPr>
              <w:t xml:space="preserve"> </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本项目周边</w:t>
            </w:r>
            <w:r>
              <w:rPr>
                <w:rFonts w:hint="default" w:ascii="Times New Roman" w:hAnsi="Times New Roman" w:cs="Times New Roman"/>
                <w:b/>
                <w:bCs/>
                <w:color w:val="auto"/>
                <w:lang w:val="en-US" w:eastAsia="zh-CN"/>
              </w:rPr>
              <w:t>环境</w:t>
            </w:r>
            <w:r>
              <w:rPr>
                <w:rFonts w:hint="default" w:ascii="Times New Roman" w:hAnsi="Times New Roman" w:cs="Times New Roman"/>
                <w:b/>
                <w:bCs/>
                <w:color w:val="auto"/>
              </w:rPr>
              <w:t>情况一览表</w:t>
            </w:r>
          </w:p>
          <w:tbl>
            <w:tblPr>
              <w:tblStyle w:val="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798"/>
              <w:gridCol w:w="876"/>
              <w:gridCol w:w="720"/>
              <w:gridCol w:w="850"/>
              <w:gridCol w:w="1222"/>
              <w:gridCol w:w="680"/>
            </w:tblGrid>
            <w:tr w14:paraId="2EB13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352" w:type="pct"/>
                  <w:noWrap w:val="0"/>
                  <w:vAlign w:val="center"/>
                </w:tcPr>
                <w:p w14:paraId="4D7E8E42">
                  <w:pPr>
                    <w:pStyle w:val="14"/>
                    <w:bidi w:val="0"/>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359" w:type="pct"/>
                  <w:noWrap w:val="0"/>
                  <w:vAlign w:val="center"/>
                </w:tcPr>
                <w:p w14:paraId="6BDE4623">
                  <w:pPr>
                    <w:pStyle w:val="14"/>
                    <w:bidi w:val="0"/>
                    <w:rPr>
                      <w:rFonts w:hint="default" w:ascii="Times New Roman" w:hAnsi="Times New Roman" w:cs="Times New Roman"/>
                      <w:b/>
                      <w:bCs/>
                      <w:color w:val="auto"/>
                    </w:rPr>
                  </w:pPr>
                  <w:r>
                    <w:rPr>
                      <w:rFonts w:hint="default" w:ascii="Times New Roman" w:hAnsi="Times New Roman" w:cs="Times New Roman"/>
                      <w:b/>
                      <w:bCs/>
                      <w:color w:val="auto"/>
                    </w:rPr>
                    <w:t>周围环境</w:t>
                  </w:r>
                </w:p>
              </w:tc>
              <w:tc>
                <w:tcPr>
                  <w:tcW w:w="662" w:type="pct"/>
                  <w:noWrap w:val="0"/>
                  <w:vAlign w:val="center"/>
                </w:tcPr>
                <w:p w14:paraId="73F43693">
                  <w:pPr>
                    <w:pStyle w:val="14"/>
                    <w:bidi w:val="0"/>
                    <w:rPr>
                      <w:rFonts w:hint="default" w:ascii="Times New Roman" w:hAnsi="Times New Roman" w:cs="Times New Roman"/>
                      <w:b/>
                      <w:bCs/>
                      <w:color w:val="auto"/>
                    </w:rPr>
                  </w:pPr>
                  <w:r>
                    <w:rPr>
                      <w:rFonts w:hint="default" w:ascii="Times New Roman" w:hAnsi="Times New Roman" w:cs="Times New Roman"/>
                      <w:b/>
                      <w:bCs/>
                      <w:color w:val="auto"/>
                    </w:rPr>
                    <w:t>方位</w:t>
                  </w:r>
                </w:p>
              </w:tc>
              <w:tc>
                <w:tcPr>
                  <w:tcW w:w="544" w:type="pct"/>
                  <w:noWrap w:val="0"/>
                  <w:vAlign w:val="center"/>
                </w:tcPr>
                <w:p w14:paraId="66CE9679">
                  <w:pPr>
                    <w:pStyle w:val="14"/>
                    <w:bidi w:val="0"/>
                    <w:rPr>
                      <w:rFonts w:hint="default" w:ascii="Times New Roman" w:hAnsi="Times New Roman" w:cs="Times New Roman"/>
                      <w:b/>
                      <w:bCs/>
                      <w:color w:val="auto"/>
                    </w:rPr>
                  </w:pPr>
                  <w:r>
                    <w:rPr>
                      <w:rFonts w:hint="default" w:ascii="Times New Roman" w:hAnsi="Times New Roman" w:cs="Times New Roman"/>
                      <w:b/>
                      <w:bCs/>
                      <w:color w:val="auto"/>
                    </w:rPr>
                    <w:t>距离</w:t>
                  </w:r>
                </w:p>
              </w:tc>
              <w:tc>
                <w:tcPr>
                  <w:tcW w:w="642" w:type="pct"/>
                  <w:noWrap w:val="0"/>
                  <w:vAlign w:val="center"/>
                </w:tcPr>
                <w:p w14:paraId="112824A2">
                  <w:pPr>
                    <w:pStyle w:val="14"/>
                    <w:bidi w:val="0"/>
                    <w:rPr>
                      <w:rFonts w:hint="default" w:ascii="Times New Roman" w:hAnsi="Times New Roman" w:cs="Times New Roman"/>
                      <w:b/>
                      <w:bCs/>
                      <w:color w:val="auto"/>
                    </w:rPr>
                  </w:pPr>
                  <w:r>
                    <w:rPr>
                      <w:rFonts w:hint="default" w:ascii="Times New Roman" w:hAnsi="Times New Roman" w:cs="Times New Roman"/>
                      <w:b/>
                      <w:bCs/>
                      <w:color w:val="auto"/>
                    </w:rPr>
                    <w:t>产品方案</w:t>
                  </w:r>
                </w:p>
              </w:tc>
              <w:tc>
                <w:tcPr>
                  <w:tcW w:w="924" w:type="pct"/>
                  <w:noWrap w:val="0"/>
                  <w:vAlign w:val="center"/>
                </w:tcPr>
                <w:p w14:paraId="5A55701B">
                  <w:pPr>
                    <w:pStyle w:val="14"/>
                    <w:bidi w:val="0"/>
                    <w:rPr>
                      <w:rFonts w:hint="default" w:ascii="Times New Roman" w:hAnsi="Times New Roman" w:cs="Times New Roman"/>
                      <w:b/>
                      <w:bCs/>
                      <w:color w:val="auto"/>
                    </w:rPr>
                  </w:pPr>
                  <w:r>
                    <w:rPr>
                      <w:rFonts w:hint="default" w:ascii="Times New Roman" w:hAnsi="Times New Roman" w:cs="Times New Roman"/>
                      <w:b/>
                      <w:bCs/>
                      <w:color w:val="auto"/>
                    </w:rPr>
                    <w:t>污染物排放</w:t>
                  </w:r>
                </w:p>
              </w:tc>
              <w:tc>
                <w:tcPr>
                  <w:tcW w:w="514" w:type="pct"/>
                  <w:noWrap w:val="0"/>
                  <w:vAlign w:val="center"/>
                </w:tcPr>
                <w:p w14:paraId="0E745165">
                  <w:pPr>
                    <w:pStyle w:val="14"/>
                    <w:bidi w:val="0"/>
                    <w:rPr>
                      <w:rFonts w:hint="default" w:ascii="Times New Roman" w:hAnsi="Times New Roman" w:cs="Times New Roman"/>
                      <w:b/>
                      <w:bCs/>
                      <w:color w:val="auto"/>
                    </w:rPr>
                  </w:pPr>
                  <w:r>
                    <w:rPr>
                      <w:rFonts w:hint="default" w:ascii="Times New Roman" w:hAnsi="Times New Roman" w:cs="Times New Roman"/>
                      <w:b/>
                      <w:bCs/>
                      <w:color w:val="auto"/>
                    </w:rPr>
                    <w:t>备注</w:t>
                  </w:r>
                </w:p>
              </w:tc>
            </w:tr>
            <w:tr w14:paraId="2FCD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352" w:type="pct"/>
                  <w:noWrap w:val="0"/>
                  <w:vAlign w:val="center"/>
                </w:tcPr>
                <w:p w14:paraId="071E6E9E">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1359" w:type="pct"/>
                  <w:noWrap w:val="0"/>
                  <w:vAlign w:val="center"/>
                </w:tcPr>
                <w:p w14:paraId="02DBECCE">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绿野农业科技服务有限公司</w:t>
                  </w:r>
                </w:p>
              </w:tc>
              <w:tc>
                <w:tcPr>
                  <w:tcW w:w="662" w:type="pct"/>
                  <w:noWrap w:val="0"/>
                  <w:vAlign w:val="center"/>
                </w:tcPr>
                <w:p w14:paraId="58747E61">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西南侧</w:t>
                  </w:r>
                </w:p>
              </w:tc>
              <w:tc>
                <w:tcPr>
                  <w:tcW w:w="544" w:type="pct"/>
                  <w:noWrap w:val="0"/>
                  <w:vAlign w:val="center"/>
                </w:tcPr>
                <w:p w14:paraId="1F89D2BD">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10m</w:t>
                  </w:r>
                </w:p>
              </w:tc>
              <w:tc>
                <w:tcPr>
                  <w:tcW w:w="642" w:type="pct"/>
                  <w:noWrap w:val="0"/>
                  <w:vAlign w:val="center"/>
                </w:tcPr>
                <w:p w14:paraId="69989D67">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924" w:type="pct"/>
                  <w:noWrap w:val="0"/>
                  <w:vAlign w:val="center"/>
                </w:tcPr>
                <w:p w14:paraId="7CF1B24C">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514" w:type="pct"/>
                  <w:noWrap w:val="0"/>
                  <w:vAlign w:val="center"/>
                </w:tcPr>
                <w:p w14:paraId="2B1A27D8">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正常运行</w:t>
                  </w:r>
                </w:p>
              </w:tc>
            </w:tr>
            <w:tr w14:paraId="610B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52" w:type="pct"/>
                  <w:noWrap w:val="0"/>
                  <w:vAlign w:val="center"/>
                </w:tcPr>
                <w:p w14:paraId="4B44E86A">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c>
                <w:tcPr>
                  <w:tcW w:w="1359" w:type="pct"/>
                  <w:noWrap w:val="0"/>
                  <w:vAlign w:val="center"/>
                </w:tcPr>
                <w:p w14:paraId="425C35F0">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云南帕啦美娜工艺品有限公司</w:t>
                  </w:r>
                </w:p>
              </w:tc>
              <w:tc>
                <w:tcPr>
                  <w:tcW w:w="662" w:type="pct"/>
                  <w:noWrap w:val="0"/>
                  <w:vAlign w:val="center"/>
                </w:tcPr>
                <w:p w14:paraId="7BAAAAE1">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西南侧</w:t>
                  </w:r>
                </w:p>
              </w:tc>
              <w:tc>
                <w:tcPr>
                  <w:tcW w:w="544" w:type="pct"/>
                  <w:noWrap w:val="0"/>
                  <w:vAlign w:val="center"/>
                </w:tcPr>
                <w:p w14:paraId="446D8110">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60m</w:t>
                  </w:r>
                </w:p>
              </w:tc>
              <w:tc>
                <w:tcPr>
                  <w:tcW w:w="642" w:type="pct"/>
                  <w:noWrap w:val="0"/>
                  <w:vAlign w:val="center"/>
                </w:tcPr>
                <w:p w14:paraId="61F2131E">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工艺品</w:t>
                  </w:r>
                </w:p>
              </w:tc>
              <w:tc>
                <w:tcPr>
                  <w:tcW w:w="924" w:type="pct"/>
                  <w:noWrap w:val="0"/>
                  <w:vAlign w:val="center"/>
                </w:tcPr>
                <w:p w14:paraId="5C1AAAB8">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颗粒物、非甲烷总烃</w:t>
                  </w:r>
                </w:p>
              </w:tc>
              <w:tc>
                <w:tcPr>
                  <w:tcW w:w="514" w:type="pct"/>
                  <w:noWrap w:val="0"/>
                  <w:vAlign w:val="center"/>
                </w:tcPr>
                <w:p w14:paraId="10B6D05E">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正常运行</w:t>
                  </w:r>
                </w:p>
              </w:tc>
            </w:tr>
            <w:tr w14:paraId="26DC5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352" w:type="pct"/>
                  <w:noWrap w:val="0"/>
                  <w:vAlign w:val="center"/>
                </w:tcPr>
                <w:p w14:paraId="4C043A1A">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p>
              </w:tc>
              <w:tc>
                <w:tcPr>
                  <w:tcW w:w="1359" w:type="pct"/>
                  <w:noWrap w:val="0"/>
                  <w:vAlign w:val="center"/>
                </w:tcPr>
                <w:p w14:paraId="05E4941F">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云南澄江县德安磷化工有限责任公司</w:t>
                  </w:r>
                </w:p>
              </w:tc>
              <w:tc>
                <w:tcPr>
                  <w:tcW w:w="662" w:type="pct"/>
                  <w:noWrap w:val="0"/>
                  <w:vAlign w:val="center"/>
                </w:tcPr>
                <w:p w14:paraId="65EA0BB9">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南侧</w:t>
                  </w:r>
                </w:p>
              </w:tc>
              <w:tc>
                <w:tcPr>
                  <w:tcW w:w="544" w:type="pct"/>
                  <w:noWrap w:val="0"/>
                  <w:vAlign w:val="center"/>
                </w:tcPr>
                <w:p w14:paraId="4BEB476C">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5m</w:t>
                  </w:r>
                </w:p>
              </w:tc>
              <w:tc>
                <w:tcPr>
                  <w:tcW w:w="642" w:type="pct"/>
                  <w:noWrap w:val="0"/>
                  <w:vAlign w:val="center"/>
                </w:tcPr>
                <w:p w14:paraId="79449E33">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924" w:type="pct"/>
                  <w:noWrap w:val="0"/>
                  <w:vAlign w:val="center"/>
                </w:tcPr>
                <w:p w14:paraId="4506EBE9">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514" w:type="pct"/>
                  <w:noWrap w:val="0"/>
                  <w:vAlign w:val="center"/>
                </w:tcPr>
                <w:p w14:paraId="6B3DF02D">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闲置厂房</w:t>
                  </w:r>
                </w:p>
              </w:tc>
            </w:tr>
            <w:tr w14:paraId="53F79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52" w:type="pct"/>
                  <w:noWrap w:val="0"/>
                  <w:vAlign w:val="center"/>
                </w:tcPr>
                <w:p w14:paraId="7025EB8D">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p>
              </w:tc>
              <w:tc>
                <w:tcPr>
                  <w:tcW w:w="1359" w:type="pct"/>
                  <w:noWrap w:val="0"/>
                  <w:vAlign w:val="center"/>
                </w:tcPr>
                <w:p w14:paraId="4170C3DD">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大坡头村</w:t>
                  </w:r>
                </w:p>
              </w:tc>
              <w:tc>
                <w:tcPr>
                  <w:tcW w:w="662" w:type="pct"/>
                  <w:noWrap w:val="0"/>
                  <w:vAlign w:val="center"/>
                </w:tcPr>
                <w:p w14:paraId="48BC72A3">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南侧</w:t>
                  </w:r>
                </w:p>
              </w:tc>
              <w:tc>
                <w:tcPr>
                  <w:tcW w:w="544" w:type="pct"/>
                  <w:noWrap w:val="0"/>
                  <w:vAlign w:val="center"/>
                </w:tcPr>
                <w:p w14:paraId="2DB2AAFE">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240m</w:t>
                  </w:r>
                </w:p>
              </w:tc>
              <w:tc>
                <w:tcPr>
                  <w:tcW w:w="642" w:type="pct"/>
                  <w:noWrap w:val="0"/>
                  <w:vAlign w:val="center"/>
                </w:tcPr>
                <w:p w14:paraId="1F2C3BB5">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924" w:type="pct"/>
                  <w:noWrap w:val="0"/>
                  <w:vAlign w:val="center"/>
                </w:tcPr>
                <w:p w14:paraId="513EF7E8">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514" w:type="pct"/>
                  <w:noWrap w:val="0"/>
                  <w:vAlign w:val="center"/>
                </w:tcPr>
                <w:p w14:paraId="0CA0F116">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村庄</w:t>
                  </w:r>
                </w:p>
              </w:tc>
            </w:tr>
          </w:tbl>
          <w:p w14:paraId="35CA14B5">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从对项目周边企业情况调查可知，周围的企业对本项目无制约性因素。根据工程分析，项目产生的噪声、废气均能达标排放，项目无废水外排，对周围地表水的影响较小，固体废物100%合理处置，项目周边多为闲置厂房，项目的建设对周围企业的影响不大，项目生产过程中的噪声、废气通过采取环保措施后均能够达标排放，对周边敏感点和居民居住区影响较小。</w:t>
            </w:r>
          </w:p>
          <w:p w14:paraId="3D523A80">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综上所述，本项目与周围环境是相容的。</w:t>
            </w:r>
          </w:p>
          <w:p w14:paraId="3E19B7CB">
            <w:pPr>
              <w:bidi w:val="0"/>
              <w:rPr>
                <w:rFonts w:hint="default" w:ascii="Times New Roman" w:hAnsi="Times New Roman" w:eastAsia="宋体" w:cs="Times New Roman"/>
                <w:b/>
                <w:bCs/>
                <w:color w:val="auto"/>
                <w:lang w:val="en-US" w:eastAsia="zh-CN"/>
              </w:rPr>
            </w:pPr>
            <w:r>
              <w:rPr>
                <w:rFonts w:hint="eastAsia" w:cs="Times New Roman"/>
                <w:b/>
                <w:bCs/>
                <w:color w:val="auto"/>
                <w:lang w:val="en-US" w:eastAsia="zh-CN"/>
              </w:rPr>
              <w:t>7</w:t>
            </w:r>
            <w:r>
              <w:rPr>
                <w:rFonts w:hint="default" w:ascii="Times New Roman" w:hAnsi="Times New Roman" w:cs="Times New Roman"/>
                <w:b/>
                <w:bCs/>
                <w:color w:val="auto"/>
                <w:lang w:val="en-US" w:eastAsia="zh-CN"/>
              </w:rPr>
              <w:t>、项目平面布局合理性分析</w:t>
            </w:r>
          </w:p>
          <w:p w14:paraId="120FFE90">
            <w:pPr>
              <w:bidi w:val="0"/>
              <w:rPr>
                <w:rFonts w:hint="default" w:ascii="Times New Roman" w:hAnsi="Times New Roman" w:cs="Times New Roman"/>
                <w:color w:val="auto"/>
                <w:lang w:val="en-US" w:eastAsia="zh-CN"/>
              </w:rPr>
            </w:pPr>
            <w:r>
              <w:rPr>
                <w:rFonts w:hint="default" w:ascii="Times New Roman" w:hAnsi="Times New Roman" w:cs="Times New Roman"/>
                <w:color w:val="auto"/>
              </w:rPr>
              <w:t>项目区呈不规则矩形，北侧布置有生产厂房，南侧为办公区，中部主要为绿化及通道，生产厂房内</w:t>
            </w:r>
            <w:r>
              <w:rPr>
                <w:rFonts w:hint="default" w:ascii="Times New Roman" w:hAnsi="Times New Roman" w:cs="Times New Roman"/>
                <w:color w:val="auto"/>
                <w:lang w:eastAsia="zh-CN"/>
              </w:rPr>
              <w:t>由</w:t>
            </w:r>
            <w:r>
              <w:rPr>
                <w:rFonts w:hint="default" w:ascii="Times New Roman" w:hAnsi="Times New Roman" w:cs="Times New Roman"/>
                <w:color w:val="auto"/>
              </w:rPr>
              <w:t>西至东分别布置有喷漆房、晾干区</w:t>
            </w:r>
            <w:r>
              <w:rPr>
                <w:rFonts w:hint="default" w:ascii="Times New Roman" w:hAnsi="Times New Roman" w:cs="Times New Roman"/>
                <w:color w:val="auto"/>
                <w:lang w:eastAsia="zh-CN"/>
              </w:rPr>
              <w:t>、</w:t>
            </w:r>
            <w:r>
              <w:rPr>
                <w:rFonts w:hint="default" w:ascii="Times New Roman" w:hAnsi="Times New Roman" w:cs="Times New Roman"/>
                <w:color w:val="auto"/>
              </w:rPr>
              <w:t>产品及原料堆放区，生产厂房按照工艺流程依次布置，分区合理、流程通畅</w:t>
            </w:r>
            <w:r>
              <w:rPr>
                <w:rFonts w:hint="default" w:ascii="Times New Roman" w:hAnsi="Times New Roman" w:cs="Times New Roman"/>
                <w:color w:val="auto"/>
                <w:lang w:eastAsia="zh-CN"/>
              </w:rPr>
              <w:t>，</w:t>
            </w:r>
            <w:r>
              <w:rPr>
                <w:rFonts w:hint="eastAsia" w:cs="Times New Roman"/>
                <w:color w:val="auto"/>
                <w:lang w:val="en-US" w:eastAsia="zh-CN"/>
              </w:rPr>
              <w:t>平面</w:t>
            </w:r>
            <w:r>
              <w:rPr>
                <w:rFonts w:hint="default" w:ascii="Times New Roman" w:hAnsi="Times New Roman" w:cs="Times New Roman"/>
                <w:color w:val="auto"/>
                <w:lang w:val="en-US" w:eastAsia="zh-CN"/>
              </w:rPr>
              <w:t>布局合理。</w:t>
            </w:r>
          </w:p>
          <w:p w14:paraId="12F6E388">
            <w:pPr>
              <w:bidi w:val="0"/>
              <w:rPr>
                <w:rFonts w:hint="eastAsia" w:cs="Times New Roman"/>
                <w:color w:val="auto"/>
                <w:lang w:val="en-US" w:eastAsia="zh-CN"/>
              </w:rPr>
            </w:pPr>
            <w:r>
              <w:rPr>
                <w:rFonts w:hint="eastAsia" w:cs="Times New Roman"/>
                <w:color w:val="auto"/>
                <w:lang w:val="en-US" w:eastAsia="zh-CN"/>
              </w:rPr>
              <w:t>项目“水帘+活性炭吸附系统”设置在喷漆房北侧，靠近喷漆房，便于废气的收集以及管道的布设，排气筒沿砖混厂房外壁布设，高度25m，高于周围200m范围最高建筑5m以上，废气处理设置位置以及排气筒高度设置合理。一般固废间、危废暂存间设置在生产厂房东北侧，邻近原料及产品库，便于固体废物收集暂存。沉淀池以及依托的化粪池位于生活区附近，利于洗手废水、旱厕粪污收集，且与生产区分区明确，综上，项目环境保护设施布置合理可行。</w:t>
            </w:r>
          </w:p>
          <w:p w14:paraId="2C063643">
            <w:pPr>
              <w:bidi w:val="0"/>
              <w:ind w:left="0" w:leftChars="0" w:firstLine="0" w:firstLineChars="0"/>
              <w:rPr>
                <w:rFonts w:hint="default" w:cs="Times New Roman"/>
                <w:color w:val="auto"/>
                <w:lang w:val="en-US" w:eastAsia="zh-CN"/>
              </w:rPr>
            </w:pPr>
          </w:p>
        </w:tc>
      </w:tr>
    </w:tbl>
    <w:p w14:paraId="7A9456A9">
      <w:pPr>
        <w:pStyle w:val="2"/>
        <w:bidi w:val="0"/>
        <w:rPr>
          <w:rFonts w:hint="default" w:ascii="Times New Roman" w:hAnsi="Times New Roman" w:cs="Times New Roman"/>
          <w:color w:val="auto"/>
          <w:lang w:val="en-US" w:eastAsia="zh-CN"/>
        </w:rPr>
      </w:pPr>
      <w:bookmarkStart w:id="2" w:name="_Toc9390"/>
      <w:r>
        <w:rPr>
          <w:rFonts w:hint="default" w:ascii="Times New Roman" w:hAnsi="Times New Roman" w:cs="Times New Roman"/>
          <w:color w:val="auto"/>
          <w:lang w:val="en-US" w:eastAsia="zh-CN"/>
        </w:rPr>
        <w:t>二、建设项目工程分析</w:t>
      </w:r>
      <w:bookmarkEnd w:id="2"/>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7643"/>
      </w:tblGrid>
      <w:tr w14:paraId="357E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2" w:hRule="atLeast"/>
          <w:jc w:val="center"/>
        </w:trPr>
        <w:tc>
          <w:tcPr>
            <w:tcW w:w="879" w:type="dxa"/>
            <w:vAlign w:val="center"/>
          </w:tcPr>
          <w:p w14:paraId="0D3E84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建设内容</w:t>
            </w:r>
          </w:p>
        </w:tc>
        <w:tc>
          <w:tcPr>
            <w:tcW w:w="7643" w:type="dxa"/>
            <w:vAlign w:val="center"/>
          </w:tcPr>
          <w:p w14:paraId="3D83BCBD">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一、项目由来</w:t>
            </w:r>
          </w:p>
          <w:p w14:paraId="3083D17B">
            <w:pPr>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云南吉步商贸有限公司</w:t>
            </w:r>
            <w:r>
              <w:rPr>
                <w:rFonts w:hint="default" w:ascii="Times New Roman" w:hAnsi="Times New Roman" w:cs="Times New Roman"/>
                <w:color w:val="auto"/>
                <w:lang w:val="en-US" w:eastAsia="zh-CN"/>
              </w:rPr>
              <w:t>成立于2024年6月，主要从事建筑材料销售、建筑装饰材料销售</w:t>
            </w:r>
            <w:r>
              <w:rPr>
                <w:rFonts w:hint="eastAsia" w:cs="Times New Roman"/>
                <w:color w:val="auto"/>
                <w:lang w:val="en-US" w:eastAsia="zh-CN"/>
              </w:rPr>
              <w:t>；</w:t>
            </w:r>
            <w:r>
              <w:rPr>
                <w:rFonts w:hint="default" w:ascii="Times New Roman" w:hAnsi="Times New Roman" w:cs="Times New Roman"/>
                <w:color w:val="auto"/>
                <w:lang w:val="en-US" w:eastAsia="zh-CN"/>
              </w:rPr>
              <w:t>木材销售</w:t>
            </w:r>
            <w:r>
              <w:rPr>
                <w:rFonts w:hint="eastAsia" w:cs="Times New Roman"/>
                <w:color w:val="auto"/>
                <w:lang w:val="en-US" w:eastAsia="zh-CN"/>
              </w:rPr>
              <w:t>；</w:t>
            </w:r>
            <w:r>
              <w:rPr>
                <w:rFonts w:hint="default" w:ascii="Times New Roman" w:hAnsi="Times New Roman" w:cs="Times New Roman"/>
                <w:color w:val="auto"/>
                <w:lang w:val="en-US" w:eastAsia="zh-CN"/>
              </w:rPr>
              <w:t>金属材料销售</w:t>
            </w:r>
            <w:r>
              <w:rPr>
                <w:rFonts w:hint="eastAsia" w:cs="Times New Roman"/>
                <w:color w:val="auto"/>
                <w:lang w:val="en-US" w:eastAsia="zh-CN"/>
              </w:rPr>
              <w:t>；</w:t>
            </w:r>
            <w:r>
              <w:rPr>
                <w:rFonts w:hint="default" w:ascii="Times New Roman" w:hAnsi="Times New Roman" w:cs="Times New Roman"/>
                <w:color w:val="auto"/>
                <w:lang w:val="en-US" w:eastAsia="zh-CN"/>
              </w:rPr>
              <w:t>楼梯销售</w:t>
            </w:r>
            <w:r>
              <w:rPr>
                <w:rFonts w:hint="eastAsia" w:cs="Times New Roman"/>
                <w:color w:val="auto"/>
                <w:lang w:val="en-US" w:eastAsia="zh-CN"/>
              </w:rPr>
              <w:t>；</w:t>
            </w:r>
            <w:r>
              <w:rPr>
                <w:rFonts w:hint="default" w:ascii="Times New Roman" w:hAnsi="Times New Roman" w:cs="Times New Roman"/>
                <w:color w:val="auto"/>
                <w:lang w:val="en-US" w:eastAsia="zh-CN"/>
              </w:rPr>
              <w:t>木窗销售</w:t>
            </w:r>
            <w:r>
              <w:rPr>
                <w:rFonts w:hint="eastAsia" w:cs="Times New Roman"/>
                <w:color w:val="auto"/>
                <w:lang w:val="en-US" w:eastAsia="zh-CN"/>
              </w:rPr>
              <w:t>；</w:t>
            </w:r>
            <w:r>
              <w:rPr>
                <w:rFonts w:hint="default" w:ascii="Times New Roman" w:hAnsi="Times New Roman" w:cs="Times New Roman"/>
                <w:color w:val="auto"/>
                <w:lang w:val="en-US" w:eastAsia="zh-CN"/>
              </w:rPr>
              <w:t>木材加工</w:t>
            </w:r>
            <w:r>
              <w:rPr>
                <w:rFonts w:hint="eastAsia" w:cs="Times New Roman"/>
                <w:color w:val="auto"/>
                <w:lang w:val="en-US" w:eastAsia="zh-CN"/>
              </w:rPr>
              <w:t>；</w:t>
            </w:r>
            <w:r>
              <w:rPr>
                <w:rFonts w:hint="default" w:ascii="Times New Roman" w:hAnsi="Times New Roman" w:cs="Times New Roman"/>
                <w:color w:val="auto"/>
                <w:lang w:val="en-US" w:eastAsia="zh-CN"/>
              </w:rPr>
              <w:t>门窗制造加工等。现于云南省玉溪市澄江市右所镇右所社区大坡头租用云南澄江县德安磷化工有限责任公司共约4000m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的原有闲置厂房，投资860万元，进行《</w:t>
            </w:r>
            <w:r>
              <w:rPr>
                <w:rFonts w:hint="default" w:ascii="Times New Roman" w:hAnsi="Times New Roman" w:cs="Times New Roman"/>
                <w:color w:val="auto"/>
                <w:lang w:eastAsia="zh-CN"/>
              </w:rPr>
              <w:t>云南吉步商贸有限公司澄江吉步轻奢环保家具城厂房标准化建设项目》</w:t>
            </w:r>
            <w:r>
              <w:rPr>
                <w:rFonts w:hint="default" w:ascii="Times New Roman" w:hAnsi="Times New Roman" w:cs="Times New Roman"/>
                <w:color w:val="auto"/>
                <w:lang w:val="en-US" w:eastAsia="zh-CN"/>
              </w:rPr>
              <w:t>的建设生产，该项目主要利用原有一栋4层框架结构的厂房一楼并延伸一座钢质生产厂房组成生产车间，内部主要含（2个喷漆房、晾干区、产品、原料库）、租用1栋砖混办公楼及其他辅助配套设施，项目建成后可年产5万支木楼梯</w:t>
            </w:r>
            <w:r>
              <w:rPr>
                <w:rFonts w:hint="eastAsia" w:cs="Times New Roman"/>
                <w:color w:val="auto"/>
                <w:lang w:val="en-US" w:eastAsia="zh-CN"/>
              </w:rPr>
              <w:t>立柱</w:t>
            </w:r>
            <w:r>
              <w:rPr>
                <w:rFonts w:hint="default" w:ascii="Times New Roman" w:hAnsi="Times New Roman" w:cs="Times New Roman"/>
                <w:color w:val="auto"/>
                <w:lang w:val="en-US" w:eastAsia="zh-CN"/>
              </w:rPr>
              <w:t>。项目已于2024年8月23日取得澄江市发展和改革局关于项目立项的投资备案证，项目代码：2408-530422-04-01-641388。</w:t>
            </w:r>
          </w:p>
          <w:p w14:paraId="2C67D394">
            <w:pPr>
              <w:bidi w:val="0"/>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lang w:val="en-US" w:eastAsia="zh-CN"/>
              </w:rPr>
              <w:t>实际建设内容与投资备案证不一致说明：</w:t>
            </w:r>
            <w:r>
              <w:rPr>
                <w:rFonts w:hint="default" w:ascii="Times New Roman" w:hAnsi="Times New Roman" w:cs="Times New Roman"/>
                <w:b w:val="0"/>
                <w:bCs w:val="0"/>
                <w:color w:val="auto"/>
                <w:lang w:val="en-US" w:eastAsia="zh-CN"/>
              </w:rPr>
              <w:t>本次实际建设中主体建筑仅为</w:t>
            </w:r>
            <w:r>
              <w:rPr>
                <w:rFonts w:hint="eastAsia" w:cs="Times New Roman"/>
                <w:b w:val="0"/>
                <w:bCs w:val="0"/>
                <w:color w:val="auto"/>
                <w:lang w:val="en-US" w:eastAsia="zh-CN"/>
              </w:rPr>
              <w:t>租用的</w:t>
            </w:r>
            <w:r>
              <w:rPr>
                <w:rFonts w:hint="default" w:ascii="Times New Roman" w:hAnsi="Times New Roman" w:cs="Times New Roman"/>
                <w:b w:val="0"/>
                <w:bCs w:val="0"/>
                <w:color w:val="auto"/>
                <w:lang w:val="en-US" w:eastAsia="zh-CN"/>
              </w:rPr>
              <w:t>1栋生产车间3000m</w:t>
            </w:r>
            <w:r>
              <w:rPr>
                <w:rFonts w:hint="default" w:ascii="Times New Roman" w:hAnsi="Times New Roman" w:cs="Times New Roman"/>
                <w:b w:val="0"/>
                <w:bCs w:val="0"/>
                <w:color w:val="auto"/>
                <w:vertAlign w:val="superscript"/>
                <w:lang w:val="en-US" w:eastAsia="zh-CN"/>
              </w:rPr>
              <w:t>2</w:t>
            </w:r>
            <w:r>
              <w:rPr>
                <w:rFonts w:hint="default" w:ascii="Times New Roman" w:hAnsi="Times New Roman" w:cs="Times New Roman"/>
                <w:b w:val="0"/>
                <w:bCs w:val="0"/>
                <w:color w:val="auto"/>
                <w:lang w:val="en-US" w:eastAsia="zh-CN"/>
              </w:rPr>
              <w:t>及1栋300m</w:t>
            </w:r>
            <w:r>
              <w:rPr>
                <w:rFonts w:hint="default" w:ascii="Times New Roman" w:hAnsi="Times New Roman" w:cs="Times New Roman"/>
                <w:b w:val="0"/>
                <w:bCs w:val="0"/>
                <w:color w:val="auto"/>
                <w:vertAlign w:val="superscript"/>
                <w:lang w:val="en-US" w:eastAsia="zh-CN"/>
              </w:rPr>
              <w:t>2</w:t>
            </w:r>
            <w:r>
              <w:rPr>
                <w:rFonts w:hint="default" w:ascii="Times New Roman" w:hAnsi="Times New Roman" w:cs="Times New Roman"/>
                <w:b w:val="0"/>
                <w:bCs w:val="0"/>
                <w:color w:val="auto"/>
                <w:lang w:val="en-US" w:eastAsia="zh-CN"/>
              </w:rPr>
              <w:t>办公楼及配电房等辅助设施，不涉及投资备案证</w:t>
            </w:r>
            <w:r>
              <w:rPr>
                <w:rFonts w:hint="eastAsia" w:cs="Times New Roman"/>
                <w:b w:val="0"/>
                <w:bCs w:val="0"/>
                <w:color w:val="auto"/>
                <w:lang w:val="en-US" w:eastAsia="zh-CN"/>
              </w:rPr>
              <w:t>中新建道路、围墙、</w:t>
            </w:r>
            <w:r>
              <w:rPr>
                <w:rFonts w:hint="default" w:ascii="Times New Roman" w:hAnsi="Times New Roman" w:cs="Times New Roman"/>
                <w:b w:val="0"/>
                <w:bCs w:val="0"/>
                <w:color w:val="auto"/>
                <w:lang w:val="en-US" w:eastAsia="zh-CN"/>
              </w:rPr>
              <w:t>型材天蓬屋面</w:t>
            </w:r>
            <w:r>
              <w:rPr>
                <w:rFonts w:hint="eastAsia" w:cs="Times New Roman"/>
                <w:b w:val="0"/>
                <w:bCs w:val="0"/>
                <w:color w:val="auto"/>
                <w:lang w:val="en-US" w:eastAsia="zh-CN"/>
              </w:rPr>
              <w:t>、</w:t>
            </w:r>
            <w:r>
              <w:rPr>
                <w:rFonts w:hint="default" w:ascii="Times New Roman" w:hAnsi="Times New Roman" w:cs="Times New Roman"/>
                <w:b w:val="0"/>
                <w:bCs w:val="0"/>
                <w:color w:val="auto"/>
                <w:lang w:val="en-US" w:eastAsia="zh-CN"/>
              </w:rPr>
              <w:t>精致加工棚及无尘加工房</w:t>
            </w:r>
            <w:r>
              <w:rPr>
                <w:rFonts w:hint="eastAsia" w:cs="Times New Roman"/>
                <w:b w:val="0"/>
                <w:bCs w:val="0"/>
                <w:color w:val="auto"/>
                <w:lang w:val="en-US" w:eastAsia="zh-CN"/>
              </w:rPr>
              <w:t>等内容</w:t>
            </w:r>
            <w:r>
              <w:rPr>
                <w:rFonts w:hint="default" w:ascii="Times New Roman" w:hAnsi="Times New Roman" w:cs="Times New Roman"/>
                <w:b w:val="0"/>
                <w:bCs w:val="0"/>
                <w:color w:val="auto"/>
                <w:lang w:val="en-US" w:eastAsia="zh-CN"/>
              </w:rPr>
              <w:t>，实际建设内容以本次评价所述为准。</w:t>
            </w:r>
          </w:p>
          <w:p w14:paraId="589B8071">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建设单位</w:t>
            </w:r>
            <w:r>
              <w:rPr>
                <w:rFonts w:hint="default" w:ascii="Times New Roman" w:hAnsi="Times New Roman" w:cs="Times New Roman"/>
                <w:color w:val="auto"/>
              </w:rPr>
              <w:t>委托云南嘉衍环境工程有限公司开展</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云南吉步商贸有限公司澄江吉步轻奢环保家具城厂房标准化建设项目</w:t>
            </w:r>
            <w:r>
              <w:rPr>
                <w:rFonts w:hint="default" w:ascii="Times New Roman" w:hAnsi="Times New Roman" w:cs="Times New Roman"/>
                <w:color w:val="auto"/>
                <w:lang w:val="en-US" w:eastAsia="zh-CN"/>
              </w:rPr>
              <w:t>》</w:t>
            </w:r>
            <w:r>
              <w:rPr>
                <w:rFonts w:hint="default" w:ascii="Times New Roman" w:hAnsi="Times New Roman" w:cs="Times New Roman"/>
                <w:color w:val="auto"/>
              </w:rPr>
              <w:t>环境影响评价工作。对照《建设项目环境影响评价分类管理名录》</w:t>
            </w:r>
            <w:r>
              <w:rPr>
                <w:rFonts w:hint="default" w:ascii="Times New Roman" w:hAnsi="Times New Roman" w:cs="Times New Roman"/>
                <w:color w:val="auto"/>
                <w:lang w:eastAsia="zh-CN"/>
              </w:rPr>
              <w:t>（</w:t>
            </w:r>
            <w:r>
              <w:rPr>
                <w:rFonts w:hint="default" w:ascii="Times New Roman" w:hAnsi="Times New Roman" w:cs="Times New Roman"/>
                <w:color w:val="auto"/>
              </w:rPr>
              <w:t>2021年版），本次项目属于</w:t>
            </w:r>
            <w:r>
              <w:rPr>
                <w:rFonts w:hint="eastAsia" w:cs="Times New Roman"/>
                <w:color w:val="auto"/>
                <w:lang w:eastAsia="zh-CN"/>
              </w:rPr>
              <w:t>“</w:t>
            </w:r>
            <w:r>
              <w:rPr>
                <w:rFonts w:hint="default" w:ascii="Times New Roman" w:hAnsi="Times New Roman" w:cs="Times New Roman"/>
                <w:color w:val="auto"/>
                <w:lang w:val="en-US" w:eastAsia="zh-CN"/>
              </w:rPr>
              <w:t>十七</w:t>
            </w:r>
            <w:r>
              <w:rPr>
                <w:rFonts w:hint="default" w:ascii="Times New Roman" w:hAnsi="Times New Roman" w:cs="Times New Roman"/>
                <w:color w:val="auto"/>
              </w:rPr>
              <w:t>、</w:t>
            </w:r>
            <w:r>
              <w:rPr>
                <w:rFonts w:hint="default" w:ascii="Times New Roman" w:hAnsi="Times New Roman" w:cs="Times New Roman"/>
                <w:color w:val="auto"/>
                <w:lang w:val="en-US" w:eastAsia="zh-CN"/>
              </w:rPr>
              <w:t>木材加工和木、竹、藤、棕、草制品业--33木质制品制造203--年用溶剂型涂料（含稀释剂）10吨以下的</w:t>
            </w:r>
            <w:r>
              <w:rPr>
                <w:rFonts w:hint="eastAsia" w:cs="Times New Roman"/>
                <w:color w:val="auto"/>
                <w:lang w:eastAsia="zh-CN"/>
              </w:rPr>
              <w:t>”</w:t>
            </w:r>
            <w:r>
              <w:rPr>
                <w:rFonts w:hint="default" w:ascii="Times New Roman" w:hAnsi="Times New Roman" w:cs="Times New Roman"/>
                <w:color w:val="auto"/>
              </w:rPr>
              <w:t>，需编制环境影响报告表</w:t>
            </w:r>
            <w:r>
              <w:rPr>
                <w:rFonts w:hint="default" w:ascii="Times New Roman" w:hAnsi="Times New Roman" w:cs="Times New Roman"/>
                <w:color w:val="auto"/>
                <w:lang w:eastAsia="zh-CN"/>
              </w:rPr>
              <w:t>。</w:t>
            </w:r>
          </w:p>
          <w:p w14:paraId="27911AC2">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二、项目概况</w:t>
            </w:r>
          </w:p>
          <w:p w14:paraId="7BF7B50D">
            <w:pPr>
              <w:bidi w:val="0"/>
              <w:rPr>
                <w:rFonts w:hint="default" w:ascii="Times New Roman" w:hAnsi="Times New Roman" w:eastAsia="宋体" w:cs="Times New Roman"/>
                <w:color w:val="auto"/>
                <w:lang w:eastAsia="zh-CN"/>
              </w:rPr>
            </w:pPr>
            <w:r>
              <w:rPr>
                <w:rFonts w:hint="default" w:ascii="Times New Roman" w:hAnsi="Times New Roman" w:cs="Times New Roman"/>
                <w:b/>
                <w:bCs/>
                <w:color w:val="auto"/>
              </w:rPr>
              <w:t>1、项目名称：</w:t>
            </w:r>
            <w:r>
              <w:rPr>
                <w:rFonts w:hint="default" w:ascii="Times New Roman" w:hAnsi="Times New Roman" w:cs="Times New Roman"/>
                <w:color w:val="auto"/>
                <w:lang w:eastAsia="zh-CN"/>
              </w:rPr>
              <w:t>云南吉步商贸有限公司澄江吉步轻奢环保家具城厂房标准化建设项目</w:t>
            </w:r>
          </w:p>
          <w:p w14:paraId="713912B2">
            <w:pPr>
              <w:bidi w:val="0"/>
              <w:rPr>
                <w:rFonts w:hint="default" w:ascii="Times New Roman" w:hAnsi="Times New Roman" w:eastAsia="宋体" w:cs="Times New Roman"/>
                <w:color w:val="auto"/>
                <w:lang w:eastAsia="zh-CN"/>
              </w:rPr>
            </w:pPr>
            <w:r>
              <w:rPr>
                <w:rFonts w:hint="default" w:ascii="Times New Roman" w:hAnsi="Times New Roman" w:cs="Times New Roman"/>
                <w:b/>
                <w:bCs/>
                <w:color w:val="auto"/>
              </w:rPr>
              <w:t>2、建设单位：</w:t>
            </w:r>
            <w:r>
              <w:rPr>
                <w:rFonts w:hint="default" w:ascii="Times New Roman" w:hAnsi="Times New Roman" w:cs="Times New Roman"/>
                <w:color w:val="auto"/>
                <w:lang w:eastAsia="zh-CN"/>
              </w:rPr>
              <w:t>云南吉步商贸有限公司</w:t>
            </w:r>
          </w:p>
          <w:p w14:paraId="6AC6C37B">
            <w:pPr>
              <w:bidi w:val="0"/>
              <w:rPr>
                <w:rFonts w:hint="default" w:ascii="Times New Roman" w:hAnsi="Times New Roman" w:cs="Times New Roman"/>
                <w:color w:val="auto"/>
              </w:rPr>
            </w:pPr>
            <w:r>
              <w:rPr>
                <w:rFonts w:hint="default" w:ascii="Times New Roman" w:hAnsi="Times New Roman" w:cs="Times New Roman"/>
                <w:b/>
                <w:bCs/>
                <w:color w:val="auto"/>
              </w:rPr>
              <w:t>3、建设性质：</w:t>
            </w:r>
            <w:r>
              <w:rPr>
                <w:rFonts w:hint="default" w:ascii="Times New Roman" w:hAnsi="Times New Roman" w:cs="Times New Roman"/>
                <w:color w:val="auto"/>
              </w:rPr>
              <w:t>新建</w:t>
            </w:r>
          </w:p>
          <w:p w14:paraId="2002EF77">
            <w:pPr>
              <w:bidi w:val="0"/>
              <w:rPr>
                <w:rFonts w:hint="default" w:ascii="Times New Roman" w:hAnsi="Times New Roman" w:eastAsia="宋体" w:cs="Times New Roman"/>
                <w:color w:val="auto"/>
                <w:lang w:val="en-US" w:eastAsia="zh-CN"/>
              </w:rPr>
            </w:pPr>
            <w:r>
              <w:rPr>
                <w:rFonts w:hint="default" w:ascii="Times New Roman" w:hAnsi="Times New Roman" w:cs="Times New Roman"/>
                <w:b/>
                <w:bCs/>
                <w:color w:val="auto"/>
              </w:rPr>
              <w:t>4、建设地点：</w:t>
            </w:r>
            <w:r>
              <w:rPr>
                <w:rFonts w:hint="default" w:ascii="Times New Roman" w:hAnsi="Times New Roman" w:cs="Times New Roman"/>
                <w:color w:val="auto"/>
                <w:lang w:val="en-US" w:eastAsia="zh-CN"/>
              </w:rPr>
              <w:t>云南省玉溪市澄江市右所镇右所社区大坡头</w:t>
            </w:r>
          </w:p>
          <w:p w14:paraId="1B49778C">
            <w:pPr>
              <w:bidi w:val="0"/>
              <w:rPr>
                <w:rFonts w:hint="default" w:ascii="Times New Roman" w:hAnsi="Times New Roman" w:cs="Times New Roman"/>
                <w:color w:val="auto"/>
              </w:rPr>
            </w:pPr>
            <w:r>
              <w:rPr>
                <w:rFonts w:hint="default" w:ascii="Times New Roman" w:hAnsi="Times New Roman" w:cs="Times New Roman"/>
                <w:b/>
                <w:bCs/>
                <w:color w:val="auto"/>
              </w:rPr>
              <w:t>5、投资规模：</w:t>
            </w:r>
            <w:r>
              <w:rPr>
                <w:rFonts w:hint="default" w:ascii="Times New Roman" w:hAnsi="Times New Roman" w:cs="Times New Roman"/>
                <w:color w:val="auto"/>
                <w:lang w:val="en-US" w:eastAsia="zh-CN"/>
              </w:rPr>
              <w:t>860</w:t>
            </w:r>
            <w:r>
              <w:rPr>
                <w:rFonts w:hint="default" w:ascii="Times New Roman" w:hAnsi="Times New Roman" w:cs="Times New Roman"/>
                <w:color w:val="auto"/>
              </w:rPr>
              <w:t>万元</w:t>
            </w:r>
          </w:p>
          <w:p w14:paraId="51C00E90">
            <w:pPr>
              <w:bidi w:val="0"/>
              <w:rPr>
                <w:rFonts w:hint="default" w:ascii="Times New Roman" w:hAnsi="Times New Roman" w:cs="Times New Roman"/>
                <w:color w:val="auto"/>
              </w:rPr>
            </w:pPr>
            <w:r>
              <w:rPr>
                <w:rFonts w:hint="default" w:ascii="Times New Roman" w:hAnsi="Times New Roman" w:cs="Times New Roman"/>
                <w:b/>
                <w:bCs/>
                <w:color w:val="auto"/>
              </w:rPr>
              <w:t>6、用地情况：</w:t>
            </w:r>
            <w:r>
              <w:rPr>
                <w:rFonts w:hint="default" w:ascii="Times New Roman" w:hAnsi="Times New Roman" w:cs="Times New Roman"/>
                <w:color w:val="auto"/>
              </w:rPr>
              <w:t>本项目用地位于云南省玉溪市澄江市右所镇右所社区大坡头，</w:t>
            </w:r>
            <w:r>
              <w:rPr>
                <w:rFonts w:hint="default" w:ascii="Times New Roman" w:hAnsi="Times New Roman" w:cs="Times New Roman"/>
                <w:color w:val="auto"/>
                <w:lang w:val="en-US" w:eastAsia="zh-CN"/>
              </w:rPr>
              <w:t>租赁</w:t>
            </w:r>
            <w:r>
              <w:rPr>
                <w:rFonts w:hint="default" w:ascii="Times New Roman" w:hAnsi="Times New Roman" w:cs="Times New Roman"/>
                <w:color w:val="auto"/>
              </w:rPr>
              <w:t>占地</w:t>
            </w:r>
            <w:r>
              <w:rPr>
                <w:rFonts w:hint="default" w:ascii="Times New Roman" w:hAnsi="Times New Roman" w:cs="Times New Roman"/>
                <w:color w:val="auto"/>
                <w:lang w:val="en-US" w:eastAsia="zh-CN"/>
              </w:rPr>
              <w:t>4000m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rPr>
              <w:t>，总建筑面积</w:t>
            </w:r>
            <w:r>
              <w:rPr>
                <w:rFonts w:hint="eastAsia" w:cs="Times New Roman"/>
                <w:color w:val="auto"/>
                <w:lang w:val="en-US" w:eastAsia="zh-CN"/>
              </w:rPr>
              <w:t>3174</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，用地</w:t>
            </w:r>
            <w:r>
              <w:rPr>
                <w:rFonts w:hint="default" w:ascii="Times New Roman" w:hAnsi="Times New Roman" w:cs="Times New Roman"/>
                <w:color w:val="auto"/>
                <w:lang w:val="en-US" w:eastAsia="zh-CN"/>
              </w:rPr>
              <w:t>范围原为云南澄江县德安磷化工有限责任公司厂房，</w:t>
            </w:r>
            <w:r>
              <w:rPr>
                <w:rFonts w:hint="default" w:ascii="Times New Roman" w:hAnsi="Times New Roman" w:cs="Times New Roman"/>
                <w:color w:val="auto"/>
              </w:rPr>
              <w:t>不涉及相关的文物保护单位，建设单位</w:t>
            </w:r>
            <w:r>
              <w:rPr>
                <w:rFonts w:hint="default" w:ascii="Times New Roman" w:hAnsi="Times New Roman" w:cs="Times New Roman"/>
                <w:color w:val="auto"/>
                <w:lang w:val="en-US" w:eastAsia="zh-CN"/>
              </w:rPr>
              <w:t>租赁</w:t>
            </w:r>
            <w:r>
              <w:rPr>
                <w:rFonts w:hint="default" w:ascii="Times New Roman" w:hAnsi="Times New Roman" w:cs="Times New Roman"/>
                <w:color w:val="auto"/>
              </w:rPr>
              <w:t>协议详见附件</w:t>
            </w:r>
            <w:r>
              <w:rPr>
                <w:rFonts w:hint="eastAsia" w:cs="Times New Roman"/>
                <w:color w:val="auto"/>
                <w:lang w:val="en-US" w:eastAsia="zh-CN"/>
              </w:rPr>
              <w:t>7</w:t>
            </w:r>
            <w:r>
              <w:rPr>
                <w:rFonts w:hint="default" w:ascii="Times New Roman" w:hAnsi="Times New Roman" w:cs="Times New Roman"/>
                <w:color w:val="auto"/>
              </w:rPr>
              <w:t>。</w:t>
            </w:r>
          </w:p>
          <w:p w14:paraId="560CA2B0">
            <w:pPr>
              <w:bidi w:val="0"/>
              <w:rPr>
                <w:rFonts w:hint="default" w:ascii="Times New Roman" w:hAnsi="Times New Roman" w:cs="Times New Roman"/>
                <w:b/>
                <w:bCs/>
                <w:color w:val="auto"/>
              </w:rPr>
            </w:pPr>
            <w:r>
              <w:rPr>
                <w:rFonts w:hint="default" w:ascii="Times New Roman" w:hAnsi="Times New Roman" w:cs="Times New Roman"/>
                <w:b/>
                <w:bCs/>
                <w:color w:val="auto"/>
              </w:rPr>
              <w:t>7、建设内容及规模：</w:t>
            </w:r>
          </w:p>
          <w:p w14:paraId="2C476983">
            <w:pPr>
              <w:bidi w:val="0"/>
              <w:rPr>
                <w:rFonts w:hint="default" w:ascii="Times New Roman" w:hAnsi="Times New Roman" w:cs="Times New Roman"/>
                <w:color w:val="auto"/>
              </w:rPr>
            </w:pPr>
            <w:r>
              <w:rPr>
                <w:rFonts w:hint="default" w:ascii="Times New Roman" w:hAnsi="Times New Roman" w:cs="Times New Roman"/>
                <w:color w:val="auto"/>
              </w:rPr>
              <w:t>项目总投资</w:t>
            </w:r>
            <w:r>
              <w:rPr>
                <w:rFonts w:hint="default" w:ascii="Times New Roman" w:hAnsi="Times New Roman" w:cs="Times New Roman"/>
                <w:color w:val="auto"/>
                <w:lang w:val="en-US" w:eastAsia="zh-CN"/>
              </w:rPr>
              <w:t>860</w:t>
            </w:r>
            <w:r>
              <w:rPr>
                <w:rFonts w:hint="default" w:ascii="Times New Roman" w:hAnsi="Times New Roman" w:cs="Times New Roman"/>
                <w:color w:val="auto"/>
              </w:rPr>
              <w:t>万元，占地</w:t>
            </w:r>
            <w:r>
              <w:rPr>
                <w:rFonts w:hint="default" w:ascii="Times New Roman" w:hAnsi="Times New Roman" w:cs="Times New Roman"/>
                <w:color w:val="auto"/>
                <w:lang w:val="en-US" w:eastAsia="zh-CN"/>
              </w:rPr>
              <w:t>4000m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rPr>
              <w:t>，建筑面积</w:t>
            </w:r>
            <w:r>
              <w:rPr>
                <w:rFonts w:hint="eastAsia" w:cs="Times New Roman"/>
                <w:color w:val="auto"/>
                <w:lang w:val="en-US" w:eastAsia="zh-CN"/>
              </w:rPr>
              <w:t>3174</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，建设内容主要为</w:t>
            </w:r>
            <w:r>
              <w:rPr>
                <w:rFonts w:hint="default" w:ascii="Times New Roman" w:hAnsi="Times New Roman" w:cs="Times New Roman"/>
                <w:color w:val="auto"/>
                <w:lang w:val="en-US" w:eastAsia="zh-CN"/>
              </w:rPr>
              <w:t>1栋生产厂房（内设2个喷漆房、晾干区、产品及原料库）、1栋砖混办公楼及其他辅助配套设施，</w:t>
            </w:r>
            <w:r>
              <w:rPr>
                <w:rFonts w:hint="default" w:ascii="Times New Roman" w:hAnsi="Times New Roman" w:cs="Times New Roman"/>
                <w:color w:val="auto"/>
              </w:rPr>
              <w:t>新建1条年产</w:t>
            </w:r>
            <w:r>
              <w:rPr>
                <w:rFonts w:hint="default" w:ascii="Times New Roman" w:hAnsi="Times New Roman" w:cs="Times New Roman"/>
                <w:color w:val="auto"/>
                <w:lang w:val="en-US" w:eastAsia="zh-CN"/>
              </w:rPr>
              <w:t>5</w:t>
            </w:r>
            <w:r>
              <w:rPr>
                <w:rFonts w:hint="default" w:ascii="Times New Roman" w:hAnsi="Times New Roman" w:cs="Times New Roman"/>
                <w:color w:val="auto"/>
              </w:rPr>
              <w:t>万</w:t>
            </w:r>
            <w:r>
              <w:rPr>
                <w:rFonts w:hint="default" w:ascii="Times New Roman" w:hAnsi="Times New Roman" w:cs="Times New Roman"/>
                <w:color w:val="auto"/>
                <w:lang w:val="en-US" w:eastAsia="zh-CN"/>
              </w:rPr>
              <w:t>支木楼梯</w:t>
            </w:r>
            <w:r>
              <w:rPr>
                <w:rFonts w:hint="eastAsia" w:cs="Times New Roman"/>
                <w:color w:val="auto"/>
                <w:lang w:val="en-US" w:eastAsia="zh-CN"/>
              </w:rPr>
              <w:t>立柱</w:t>
            </w:r>
            <w:r>
              <w:rPr>
                <w:rFonts w:hint="default" w:ascii="Times New Roman" w:hAnsi="Times New Roman" w:cs="Times New Roman"/>
                <w:color w:val="auto"/>
                <w:lang w:val="en-US" w:eastAsia="zh-CN"/>
              </w:rPr>
              <w:t>的生产线</w:t>
            </w:r>
            <w:r>
              <w:rPr>
                <w:rFonts w:hint="default" w:ascii="Times New Roman" w:hAnsi="Times New Roman" w:cs="Times New Roman"/>
                <w:color w:val="auto"/>
              </w:rPr>
              <w:t>，具体见下表。</w:t>
            </w:r>
          </w:p>
          <w:p w14:paraId="60BF2502">
            <w:pPr>
              <w:bidi w:val="0"/>
              <w:ind w:left="0" w:leftChars="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表2-1  项目工程组成一览表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2"/>
              <w:gridCol w:w="383"/>
              <w:gridCol w:w="473"/>
              <w:gridCol w:w="867"/>
              <w:gridCol w:w="4403"/>
              <w:gridCol w:w="699"/>
            </w:tblGrid>
            <w:tr w14:paraId="6C52E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592" w:type="dxa"/>
                  <w:vAlign w:val="center"/>
                </w:tcPr>
                <w:p w14:paraId="70484A1A">
                  <w:pPr>
                    <w:pStyle w:val="14"/>
                    <w:widowControl w:val="0"/>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工程类别</w:t>
                  </w:r>
                </w:p>
              </w:tc>
              <w:tc>
                <w:tcPr>
                  <w:tcW w:w="1723" w:type="dxa"/>
                  <w:gridSpan w:val="3"/>
                  <w:vAlign w:val="center"/>
                </w:tcPr>
                <w:p w14:paraId="7B57964A">
                  <w:pPr>
                    <w:pStyle w:val="14"/>
                    <w:widowControl w:val="0"/>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工程名称</w:t>
                  </w:r>
                </w:p>
              </w:tc>
              <w:tc>
                <w:tcPr>
                  <w:tcW w:w="4403" w:type="dxa"/>
                  <w:vAlign w:val="center"/>
                </w:tcPr>
                <w:p w14:paraId="321B9E3B">
                  <w:pPr>
                    <w:pStyle w:val="14"/>
                    <w:widowControl w:val="0"/>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主要建设内容或功能</w:t>
                  </w:r>
                </w:p>
              </w:tc>
              <w:tc>
                <w:tcPr>
                  <w:tcW w:w="699" w:type="dxa"/>
                  <w:vAlign w:val="center"/>
                </w:tcPr>
                <w:p w14:paraId="1FEF61A9">
                  <w:pPr>
                    <w:pStyle w:val="14"/>
                    <w:widowControl w:val="0"/>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备注</w:t>
                  </w:r>
                </w:p>
              </w:tc>
            </w:tr>
            <w:tr w14:paraId="55D5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92" w:type="dxa"/>
                  <w:vMerge w:val="restart"/>
                  <w:vAlign w:val="center"/>
                </w:tcPr>
                <w:p w14:paraId="118F5002">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主体工程</w:t>
                  </w:r>
                </w:p>
              </w:tc>
              <w:tc>
                <w:tcPr>
                  <w:tcW w:w="1723" w:type="dxa"/>
                  <w:gridSpan w:val="3"/>
                  <w:vAlign w:val="center"/>
                </w:tcPr>
                <w:p w14:paraId="6469D6D6">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生产厂房</w:t>
                  </w:r>
                </w:p>
              </w:tc>
              <w:tc>
                <w:tcPr>
                  <w:tcW w:w="4403" w:type="dxa"/>
                  <w:vAlign w:val="center"/>
                </w:tcPr>
                <w:p w14:paraId="59BEBFFB">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1栋，部分区域为4层框架结构（总高约20m）的一楼（项目仅使用一楼），其余区域为单层钢架结构（高约9m），厂房占地面积2400m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，位于项目区东北侧，生产厂房建筑面积共2400m</w:t>
                  </w:r>
                  <w:r>
                    <w:rPr>
                      <w:rFonts w:hint="default" w:ascii="Times New Roman" w:hAnsi="Times New Roman" w:cs="Times New Roman"/>
                      <w:color w:val="auto"/>
                      <w:vertAlign w:val="superscript"/>
                      <w:lang w:val="en-US" w:eastAsia="zh-CN"/>
                    </w:rPr>
                    <w:t>2</w:t>
                  </w:r>
                </w:p>
              </w:tc>
              <w:tc>
                <w:tcPr>
                  <w:tcW w:w="699" w:type="dxa"/>
                  <w:vAlign w:val="center"/>
                </w:tcPr>
                <w:p w14:paraId="786C7981">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租用</w:t>
                  </w:r>
                </w:p>
              </w:tc>
            </w:tr>
            <w:tr w14:paraId="3712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92" w:type="dxa"/>
                  <w:vMerge w:val="continue"/>
                  <w:vAlign w:val="center"/>
                </w:tcPr>
                <w:p w14:paraId="01BF9F48">
                  <w:pPr>
                    <w:pStyle w:val="14"/>
                    <w:widowControl w:val="0"/>
                    <w:bidi w:val="0"/>
                    <w:rPr>
                      <w:rFonts w:hint="default" w:ascii="Times New Roman" w:hAnsi="Times New Roman" w:eastAsia="宋体" w:cs="Times New Roman"/>
                      <w:color w:val="auto"/>
                      <w:lang w:val="en-US" w:eastAsia="zh-CN"/>
                    </w:rPr>
                  </w:pPr>
                </w:p>
              </w:tc>
              <w:tc>
                <w:tcPr>
                  <w:tcW w:w="383" w:type="dxa"/>
                  <w:vMerge w:val="restart"/>
                  <w:vAlign w:val="center"/>
                </w:tcPr>
                <w:p w14:paraId="28123986">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其中</w:t>
                  </w:r>
                </w:p>
              </w:tc>
              <w:tc>
                <w:tcPr>
                  <w:tcW w:w="1340" w:type="dxa"/>
                  <w:gridSpan w:val="2"/>
                  <w:vAlign w:val="center"/>
                </w:tcPr>
                <w:p w14:paraId="746A8B43">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喷漆房及晾干区</w:t>
                  </w:r>
                </w:p>
              </w:tc>
              <w:tc>
                <w:tcPr>
                  <w:tcW w:w="4403" w:type="dxa"/>
                  <w:vAlign w:val="center"/>
                </w:tcPr>
                <w:p w14:paraId="3B3252C1">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喷漆房2间，分别进行底漆及面漆喷漆工作，占地均为150m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/间，为自动流水线喷漆房，晾干区域约500m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，采用自然晾干，位于厂房内西侧</w:t>
                  </w:r>
                </w:p>
              </w:tc>
              <w:tc>
                <w:tcPr>
                  <w:tcW w:w="699" w:type="dxa"/>
                  <w:vAlign w:val="center"/>
                </w:tcPr>
                <w:p w14:paraId="467DFAD3">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r>
            <w:tr w14:paraId="7A22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92" w:type="dxa"/>
                  <w:vMerge w:val="continue"/>
                  <w:vAlign w:val="center"/>
                </w:tcPr>
                <w:p w14:paraId="36C2DC6F">
                  <w:pPr>
                    <w:pStyle w:val="14"/>
                    <w:widowControl w:val="0"/>
                    <w:bidi w:val="0"/>
                    <w:rPr>
                      <w:rFonts w:hint="default" w:ascii="Times New Roman" w:hAnsi="Times New Roman" w:cs="Times New Roman"/>
                      <w:color w:val="auto"/>
                    </w:rPr>
                  </w:pPr>
                </w:p>
              </w:tc>
              <w:tc>
                <w:tcPr>
                  <w:tcW w:w="383" w:type="dxa"/>
                  <w:vMerge w:val="continue"/>
                  <w:vAlign w:val="center"/>
                </w:tcPr>
                <w:p w14:paraId="5198211A">
                  <w:pPr>
                    <w:pStyle w:val="14"/>
                    <w:widowControl w:val="0"/>
                    <w:bidi w:val="0"/>
                    <w:rPr>
                      <w:rFonts w:hint="default" w:ascii="Times New Roman" w:hAnsi="Times New Roman" w:eastAsia="宋体" w:cs="Times New Roman"/>
                      <w:color w:val="auto"/>
                      <w:lang w:val="en-US" w:eastAsia="zh-CN"/>
                    </w:rPr>
                  </w:pPr>
                </w:p>
              </w:tc>
              <w:tc>
                <w:tcPr>
                  <w:tcW w:w="1340" w:type="dxa"/>
                  <w:gridSpan w:val="2"/>
                  <w:vAlign w:val="center"/>
                </w:tcPr>
                <w:p w14:paraId="1B9225AC">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原料、成品区及厂房内通道及配电室等</w:t>
                  </w:r>
                </w:p>
              </w:tc>
              <w:tc>
                <w:tcPr>
                  <w:tcW w:w="4403" w:type="dxa"/>
                  <w:vAlign w:val="center"/>
                </w:tcPr>
                <w:p w14:paraId="4B50AE40">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位于生产厂房内东北侧，占地约1600m</w:t>
                  </w:r>
                  <w:r>
                    <w:rPr>
                      <w:rFonts w:hint="default" w:ascii="Times New Roman" w:hAnsi="Times New Roman" w:cs="Times New Roman"/>
                      <w:color w:val="auto"/>
                      <w:kern w:val="2"/>
                      <w:sz w:val="21"/>
                      <w:szCs w:val="24"/>
                      <w:vertAlign w:val="superscript"/>
                      <w:lang w:val="en-US" w:eastAsia="zh-CN" w:bidi="ar-SA"/>
                    </w:rPr>
                    <w:t>2</w:t>
                  </w:r>
                </w:p>
              </w:tc>
              <w:tc>
                <w:tcPr>
                  <w:tcW w:w="699" w:type="dxa"/>
                  <w:vAlign w:val="center"/>
                </w:tcPr>
                <w:p w14:paraId="5D03CA1C">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w:t>
                  </w:r>
                </w:p>
              </w:tc>
            </w:tr>
            <w:tr w14:paraId="0CF3A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92" w:type="dxa"/>
                  <w:vMerge w:val="restart"/>
                  <w:vAlign w:val="center"/>
                </w:tcPr>
                <w:p w14:paraId="6D78B267">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辅助工程</w:t>
                  </w:r>
                </w:p>
              </w:tc>
              <w:tc>
                <w:tcPr>
                  <w:tcW w:w="1723" w:type="dxa"/>
                  <w:gridSpan w:val="3"/>
                  <w:vAlign w:val="center"/>
                </w:tcPr>
                <w:p w14:paraId="663F77F3">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办公室</w:t>
                  </w:r>
                </w:p>
              </w:tc>
              <w:tc>
                <w:tcPr>
                  <w:tcW w:w="4403" w:type="dxa"/>
                  <w:vAlign w:val="center"/>
                </w:tcPr>
                <w:p w14:paraId="34721004">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1栋，位于项目区西南侧，占地300m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，2层半砖混结构，建筑面积750m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，主要用于员工的办公</w:t>
                  </w:r>
                </w:p>
              </w:tc>
              <w:tc>
                <w:tcPr>
                  <w:tcW w:w="699" w:type="dxa"/>
                  <w:vAlign w:val="center"/>
                </w:tcPr>
                <w:p w14:paraId="04B9FDF5">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租用</w:t>
                  </w:r>
                </w:p>
              </w:tc>
            </w:tr>
            <w:tr w14:paraId="1195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92" w:type="dxa"/>
                  <w:vMerge w:val="continue"/>
                  <w:vAlign w:val="center"/>
                </w:tcPr>
                <w:p w14:paraId="12EBA8F2">
                  <w:pPr>
                    <w:pStyle w:val="14"/>
                    <w:widowControl w:val="0"/>
                    <w:bidi w:val="0"/>
                    <w:rPr>
                      <w:rFonts w:hint="default" w:ascii="Times New Roman" w:hAnsi="Times New Roman" w:cs="Times New Roman"/>
                      <w:color w:val="auto"/>
                      <w:lang w:val="en-US" w:eastAsia="zh-CN"/>
                    </w:rPr>
                  </w:pPr>
                </w:p>
              </w:tc>
              <w:tc>
                <w:tcPr>
                  <w:tcW w:w="1723" w:type="dxa"/>
                  <w:gridSpan w:val="3"/>
                  <w:vAlign w:val="center"/>
                </w:tcPr>
                <w:p w14:paraId="370394E4">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旱厕</w:t>
                  </w:r>
                  <w:r>
                    <w:rPr>
                      <w:rFonts w:hint="eastAsia" w:cs="Times New Roman"/>
                      <w:color w:val="auto"/>
                      <w:lang w:val="en-US" w:eastAsia="zh-CN"/>
                    </w:rPr>
                    <w:t>及化粪池</w:t>
                  </w:r>
                </w:p>
              </w:tc>
              <w:tc>
                <w:tcPr>
                  <w:tcW w:w="4403" w:type="dxa"/>
                  <w:vAlign w:val="center"/>
                </w:tcPr>
                <w:p w14:paraId="5B0C7860">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1间，旱厕，</w:t>
                  </w:r>
                  <w:r>
                    <w:rPr>
                      <w:rFonts w:hint="eastAsia" w:cs="Times New Roman"/>
                      <w:color w:val="auto"/>
                      <w:lang w:val="en-US" w:eastAsia="zh-CN"/>
                    </w:rPr>
                    <w:t>1个地埋式化粪池，地上地下总</w:t>
                  </w:r>
                  <w:r>
                    <w:rPr>
                      <w:rFonts w:hint="default" w:ascii="Times New Roman" w:hAnsi="Times New Roman" w:cs="Times New Roman"/>
                      <w:color w:val="auto"/>
                      <w:lang w:val="en-US" w:eastAsia="zh-CN"/>
                    </w:rPr>
                    <w:t>建筑面积</w:t>
                  </w:r>
                  <w:r>
                    <w:rPr>
                      <w:rFonts w:hint="eastAsia" w:cs="Times New Roman"/>
                      <w:color w:val="auto"/>
                      <w:lang w:val="en-US" w:eastAsia="zh-CN"/>
                    </w:rPr>
                    <w:t>共23</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2</w:t>
                  </w:r>
                </w:p>
              </w:tc>
              <w:tc>
                <w:tcPr>
                  <w:tcW w:w="699" w:type="dxa"/>
                  <w:vAlign w:val="center"/>
                </w:tcPr>
                <w:p w14:paraId="4136556E">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租用</w:t>
                  </w:r>
                </w:p>
              </w:tc>
            </w:tr>
            <w:tr w14:paraId="3539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92" w:type="dxa"/>
                  <w:vMerge w:val="restart"/>
                  <w:vAlign w:val="center"/>
                </w:tcPr>
                <w:p w14:paraId="1BCD70B9">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公用工程</w:t>
                  </w:r>
                </w:p>
              </w:tc>
              <w:tc>
                <w:tcPr>
                  <w:tcW w:w="1723" w:type="dxa"/>
                  <w:gridSpan w:val="3"/>
                  <w:vAlign w:val="center"/>
                </w:tcPr>
                <w:p w14:paraId="375F3C33">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供水系统</w:t>
                  </w:r>
                </w:p>
              </w:tc>
              <w:tc>
                <w:tcPr>
                  <w:tcW w:w="4403" w:type="dxa"/>
                  <w:vAlign w:val="center"/>
                </w:tcPr>
                <w:p w14:paraId="0DA6AA2F">
                  <w:pPr>
                    <w:pStyle w:val="14"/>
                    <w:widowControl w:val="0"/>
                    <w:bidi w:val="0"/>
                    <w:rPr>
                      <w:rFonts w:hint="default" w:ascii="Times New Roman" w:hAnsi="Times New Roman" w:cs="Times New Roman"/>
                      <w:color w:val="auto"/>
                    </w:rPr>
                  </w:pPr>
                  <w:r>
                    <w:rPr>
                      <w:rFonts w:hint="default" w:ascii="Times New Roman" w:hAnsi="Times New Roman" w:cs="Times New Roman"/>
                      <w:color w:val="auto"/>
                      <w:kern w:val="0"/>
                      <w:sz w:val="21"/>
                      <w:szCs w:val="21"/>
                      <w:lang w:val="en-US" w:eastAsia="zh-CN"/>
                    </w:rPr>
                    <w:t>市政</w:t>
                  </w:r>
                  <w:r>
                    <w:rPr>
                      <w:rFonts w:hint="default" w:ascii="Times New Roman" w:hAnsi="Times New Roman" w:cs="Times New Roman"/>
                      <w:color w:val="auto"/>
                      <w:lang w:val="en-US" w:eastAsia="zh-CN"/>
                    </w:rPr>
                    <w:t>供水系统</w:t>
                  </w:r>
                </w:p>
              </w:tc>
              <w:tc>
                <w:tcPr>
                  <w:tcW w:w="699" w:type="dxa"/>
                  <w:vAlign w:val="center"/>
                </w:tcPr>
                <w:p w14:paraId="74258863">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r>
            <w:tr w14:paraId="600D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592" w:type="dxa"/>
                  <w:vMerge w:val="continue"/>
                  <w:vAlign w:val="center"/>
                </w:tcPr>
                <w:p w14:paraId="6A6BD0C3">
                  <w:pPr>
                    <w:pStyle w:val="14"/>
                    <w:widowControl w:val="0"/>
                    <w:bidi w:val="0"/>
                    <w:rPr>
                      <w:rFonts w:hint="default" w:ascii="Times New Roman" w:hAnsi="Times New Roman" w:cs="Times New Roman"/>
                      <w:color w:val="auto"/>
                      <w:lang w:val="en-US" w:eastAsia="zh-CN"/>
                    </w:rPr>
                  </w:pPr>
                </w:p>
              </w:tc>
              <w:tc>
                <w:tcPr>
                  <w:tcW w:w="1723" w:type="dxa"/>
                  <w:gridSpan w:val="3"/>
                  <w:vAlign w:val="center"/>
                </w:tcPr>
                <w:p w14:paraId="2727182A">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供电系统</w:t>
                  </w:r>
                </w:p>
              </w:tc>
              <w:tc>
                <w:tcPr>
                  <w:tcW w:w="4403" w:type="dxa"/>
                  <w:vAlign w:val="center"/>
                </w:tcPr>
                <w:p w14:paraId="1F7AD005">
                  <w:pPr>
                    <w:pStyle w:val="14"/>
                    <w:widowControl w:val="0"/>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市政配电系统接入项目配电室分配至项目区</w:t>
                  </w:r>
                </w:p>
              </w:tc>
              <w:tc>
                <w:tcPr>
                  <w:tcW w:w="699" w:type="dxa"/>
                  <w:vAlign w:val="center"/>
                </w:tcPr>
                <w:p w14:paraId="2AC78B8F">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r>
            <w:tr w14:paraId="767B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2" w:hRule="atLeast"/>
                <w:jc w:val="center"/>
              </w:trPr>
              <w:tc>
                <w:tcPr>
                  <w:tcW w:w="592" w:type="dxa"/>
                  <w:vMerge w:val="continue"/>
                  <w:vAlign w:val="center"/>
                </w:tcPr>
                <w:p w14:paraId="551664A7">
                  <w:pPr>
                    <w:pStyle w:val="14"/>
                    <w:widowControl w:val="0"/>
                    <w:bidi w:val="0"/>
                    <w:rPr>
                      <w:rFonts w:hint="default" w:ascii="Times New Roman" w:hAnsi="Times New Roman" w:cs="Times New Roman"/>
                      <w:color w:val="auto"/>
                      <w:lang w:val="en-US" w:eastAsia="zh-CN"/>
                    </w:rPr>
                  </w:pPr>
                </w:p>
              </w:tc>
              <w:tc>
                <w:tcPr>
                  <w:tcW w:w="1723" w:type="dxa"/>
                  <w:gridSpan w:val="3"/>
                  <w:vAlign w:val="center"/>
                </w:tcPr>
                <w:p w14:paraId="7AC12923">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排水系统</w:t>
                  </w:r>
                </w:p>
              </w:tc>
              <w:tc>
                <w:tcPr>
                  <w:tcW w:w="4403" w:type="dxa"/>
                  <w:vAlign w:val="center"/>
                </w:tcPr>
                <w:p w14:paraId="12B6C0A9">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项目实行雨污分流，雨水通过项目区域内的雨水管网收集后排入周边雨水沟渠</w:t>
                  </w:r>
                  <w:r>
                    <w:rPr>
                      <w:rFonts w:hint="eastAsia" w:cs="Times New Roman"/>
                      <w:color w:val="auto"/>
                      <w:lang w:eastAsia="zh-CN"/>
                    </w:rPr>
                    <w:t>；</w:t>
                  </w:r>
                  <w:r>
                    <w:rPr>
                      <w:rFonts w:hint="default" w:ascii="Times New Roman" w:hAnsi="Times New Roman" w:cs="Times New Roman"/>
                      <w:color w:val="auto"/>
                      <w:lang w:val="en-US" w:eastAsia="zh-CN"/>
                    </w:rPr>
                    <w:t>项目生产过程不使用水，不产生生产废水</w:t>
                  </w:r>
                  <w:r>
                    <w:rPr>
                      <w:rFonts w:hint="eastAsia" w:cs="Times New Roman"/>
                      <w:color w:val="auto"/>
                      <w:lang w:val="en-US" w:eastAsia="zh-CN"/>
                    </w:rPr>
                    <w:t>；</w:t>
                  </w:r>
                  <w:r>
                    <w:rPr>
                      <w:rFonts w:hint="default" w:ascii="Times New Roman" w:hAnsi="Times New Roman" w:cs="Times New Roman"/>
                      <w:color w:val="auto"/>
                      <w:lang w:val="en-US" w:eastAsia="zh-CN"/>
                    </w:rPr>
                    <w:t>少量办公废水经沉淀池沉淀后回用于项目内洒水降尘，项目不设置食宿，旱厕定期委托</w:t>
                  </w:r>
                  <w:r>
                    <w:rPr>
                      <w:rFonts w:hint="eastAsia" w:cs="Times New Roman"/>
                      <w:color w:val="auto"/>
                      <w:lang w:val="en-US" w:eastAsia="zh-CN"/>
                    </w:rPr>
                    <w:t>周边村民</w:t>
                  </w:r>
                  <w:r>
                    <w:rPr>
                      <w:rFonts w:hint="default" w:ascii="Times New Roman" w:hAnsi="Times New Roman" w:cs="Times New Roman"/>
                      <w:color w:val="auto"/>
                      <w:lang w:val="en-US" w:eastAsia="zh-CN"/>
                    </w:rPr>
                    <w:t>清掏作为农作物肥料施用</w:t>
                  </w:r>
                </w:p>
              </w:tc>
              <w:tc>
                <w:tcPr>
                  <w:tcW w:w="699" w:type="dxa"/>
                  <w:vAlign w:val="center"/>
                </w:tcPr>
                <w:p w14:paraId="1B4F6D70">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新建</w:t>
                  </w:r>
                </w:p>
              </w:tc>
            </w:tr>
            <w:tr w14:paraId="223C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1" w:hRule="atLeast"/>
                <w:jc w:val="center"/>
              </w:trPr>
              <w:tc>
                <w:tcPr>
                  <w:tcW w:w="592" w:type="dxa"/>
                  <w:vMerge w:val="restart"/>
                  <w:vAlign w:val="center"/>
                </w:tcPr>
                <w:p w14:paraId="478E8F9C">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环保工程</w:t>
                  </w:r>
                </w:p>
              </w:tc>
              <w:tc>
                <w:tcPr>
                  <w:tcW w:w="856" w:type="dxa"/>
                  <w:gridSpan w:val="2"/>
                  <w:vMerge w:val="restart"/>
                  <w:vAlign w:val="center"/>
                </w:tcPr>
                <w:p w14:paraId="5C164911">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废水治理措施</w:t>
                  </w:r>
                </w:p>
              </w:tc>
              <w:tc>
                <w:tcPr>
                  <w:tcW w:w="867" w:type="dxa"/>
                  <w:vAlign w:val="center"/>
                </w:tcPr>
                <w:p w14:paraId="112AFED5">
                  <w:pPr>
                    <w:pStyle w:val="14"/>
                    <w:widowControl w:val="0"/>
                    <w:bidi w:val="0"/>
                    <w:rPr>
                      <w:rFonts w:hint="default" w:ascii="Times New Roman" w:hAnsi="Times New Roman" w:eastAsia="宋体" w:cs="Times New Roman"/>
                      <w:color w:val="auto"/>
                      <w:lang w:val="en-US" w:eastAsia="zh-CN"/>
                    </w:rPr>
                  </w:pPr>
                  <w:r>
                    <w:rPr>
                      <w:rFonts w:hint="eastAsia" w:cs="Times New Roman"/>
                      <w:color w:val="auto"/>
                      <w:lang w:eastAsia="zh-CN"/>
                    </w:rPr>
                    <w:t>“</w:t>
                  </w:r>
                  <w:r>
                    <w:rPr>
                      <w:rFonts w:hint="default" w:ascii="Times New Roman" w:hAnsi="Times New Roman" w:cs="Times New Roman"/>
                      <w:color w:val="auto"/>
                      <w:lang w:val="en-US" w:eastAsia="zh-CN"/>
                    </w:rPr>
                    <w:t>雨污分流</w:t>
                  </w:r>
                  <w:r>
                    <w:rPr>
                      <w:rFonts w:hint="eastAsia" w:cs="Times New Roman"/>
                      <w:color w:val="auto"/>
                      <w:lang w:eastAsia="zh-CN"/>
                    </w:rPr>
                    <w:t>”</w:t>
                  </w:r>
                  <w:r>
                    <w:rPr>
                      <w:rFonts w:hint="default" w:ascii="Times New Roman" w:hAnsi="Times New Roman" w:cs="Times New Roman"/>
                      <w:color w:val="auto"/>
                      <w:lang w:val="en-US" w:eastAsia="zh-CN"/>
                    </w:rPr>
                    <w:t>排水系统</w:t>
                  </w:r>
                </w:p>
              </w:tc>
              <w:tc>
                <w:tcPr>
                  <w:tcW w:w="4403" w:type="dxa"/>
                  <w:vAlign w:val="center"/>
                </w:tcPr>
                <w:p w14:paraId="30996EC4">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改造现有厂房、空地</w:t>
                  </w:r>
                  <w:r>
                    <w:rPr>
                      <w:rFonts w:hint="eastAsia" w:cs="Times New Roman"/>
                      <w:color w:val="auto"/>
                      <w:lang w:val="en-US" w:eastAsia="zh-CN"/>
                    </w:rPr>
                    <w:t>“</w:t>
                  </w:r>
                  <w:r>
                    <w:rPr>
                      <w:rFonts w:hint="default" w:ascii="Times New Roman" w:hAnsi="Times New Roman" w:cs="Times New Roman"/>
                      <w:color w:val="auto"/>
                      <w:lang w:val="en-US" w:eastAsia="zh-CN"/>
                    </w:rPr>
                    <w:t>雨污分流</w:t>
                  </w:r>
                  <w:r>
                    <w:rPr>
                      <w:rFonts w:hint="eastAsia" w:cs="Times New Roman"/>
                      <w:color w:val="auto"/>
                      <w:lang w:val="en-US" w:eastAsia="zh-CN"/>
                    </w:rPr>
                    <w:t>”</w:t>
                  </w:r>
                  <w:r>
                    <w:rPr>
                      <w:rFonts w:hint="default" w:ascii="Times New Roman" w:hAnsi="Times New Roman" w:cs="Times New Roman"/>
                      <w:color w:val="auto"/>
                      <w:lang w:val="en-US" w:eastAsia="zh-CN"/>
                    </w:rPr>
                    <w:t>排水系统并完善相关雨水沟渠</w:t>
                  </w:r>
                </w:p>
              </w:tc>
              <w:tc>
                <w:tcPr>
                  <w:tcW w:w="699" w:type="dxa"/>
                  <w:vAlign w:val="center"/>
                </w:tcPr>
                <w:p w14:paraId="6C191D33">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修缮</w:t>
                  </w:r>
                </w:p>
              </w:tc>
            </w:tr>
            <w:tr w14:paraId="7EB1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92" w:type="dxa"/>
                  <w:vMerge w:val="continue"/>
                  <w:vAlign w:val="center"/>
                </w:tcPr>
                <w:p w14:paraId="23BEDC92">
                  <w:pPr>
                    <w:pStyle w:val="14"/>
                    <w:widowControl w:val="0"/>
                    <w:bidi w:val="0"/>
                    <w:rPr>
                      <w:rFonts w:hint="default" w:ascii="Times New Roman" w:hAnsi="Times New Roman" w:cs="Times New Roman"/>
                      <w:color w:val="auto"/>
                      <w:lang w:val="en-US" w:eastAsia="zh-CN"/>
                    </w:rPr>
                  </w:pPr>
                </w:p>
              </w:tc>
              <w:tc>
                <w:tcPr>
                  <w:tcW w:w="856" w:type="dxa"/>
                  <w:gridSpan w:val="2"/>
                  <w:vMerge w:val="continue"/>
                  <w:vAlign w:val="center"/>
                </w:tcPr>
                <w:p w14:paraId="27A8BD71">
                  <w:pPr>
                    <w:pStyle w:val="14"/>
                    <w:widowControl w:val="0"/>
                    <w:bidi w:val="0"/>
                    <w:rPr>
                      <w:rFonts w:hint="default" w:ascii="Times New Roman" w:hAnsi="Times New Roman" w:cs="Times New Roman"/>
                      <w:color w:val="auto"/>
                      <w:lang w:val="en-US" w:eastAsia="zh-CN"/>
                    </w:rPr>
                  </w:pPr>
                </w:p>
              </w:tc>
              <w:tc>
                <w:tcPr>
                  <w:tcW w:w="867" w:type="dxa"/>
                  <w:vAlign w:val="center"/>
                </w:tcPr>
                <w:p w14:paraId="0A730AD8">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沉淀池</w:t>
                  </w:r>
                </w:p>
              </w:tc>
              <w:tc>
                <w:tcPr>
                  <w:tcW w:w="4403" w:type="dxa"/>
                  <w:vAlign w:val="center"/>
                </w:tcPr>
                <w:p w14:paraId="6369BB7D">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设一个1m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沉淀池，办公废水经沉淀池收集沉淀后用于厂区内地面洒水降尘</w:t>
                  </w:r>
                  <w:r>
                    <w:rPr>
                      <w:rFonts w:hint="eastAsia" w:cs="Times New Roman"/>
                      <w:color w:val="auto"/>
                      <w:lang w:val="en-US" w:eastAsia="zh-CN"/>
                    </w:rPr>
                    <w:t>，新建沉淀池建筑面积1m³。</w:t>
                  </w:r>
                </w:p>
              </w:tc>
              <w:tc>
                <w:tcPr>
                  <w:tcW w:w="699" w:type="dxa"/>
                  <w:vAlign w:val="center"/>
                </w:tcPr>
                <w:p w14:paraId="762BC69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新建</w:t>
                  </w:r>
                </w:p>
              </w:tc>
            </w:tr>
            <w:tr w14:paraId="1EC2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8" w:hRule="atLeast"/>
                <w:jc w:val="center"/>
              </w:trPr>
              <w:tc>
                <w:tcPr>
                  <w:tcW w:w="592" w:type="dxa"/>
                  <w:vMerge w:val="continue"/>
                  <w:vAlign w:val="center"/>
                </w:tcPr>
                <w:p w14:paraId="3AD27F40">
                  <w:pPr>
                    <w:pStyle w:val="14"/>
                    <w:widowControl w:val="0"/>
                    <w:bidi w:val="0"/>
                    <w:rPr>
                      <w:rFonts w:hint="default" w:ascii="Times New Roman" w:hAnsi="Times New Roman" w:cs="Times New Roman"/>
                      <w:color w:val="auto"/>
                      <w:lang w:val="en-US" w:eastAsia="zh-CN"/>
                    </w:rPr>
                  </w:pPr>
                </w:p>
              </w:tc>
              <w:tc>
                <w:tcPr>
                  <w:tcW w:w="856" w:type="dxa"/>
                  <w:gridSpan w:val="2"/>
                  <w:vAlign w:val="center"/>
                </w:tcPr>
                <w:p w14:paraId="6D23A5BC">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废气治理措施</w:t>
                  </w:r>
                </w:p>
              </w:tc>
              <w:tc>
                <w:tcPr>
                  <w:tcW w:w="867" w:type="dxa"/>
                  <w:vAlign w:val="center"/>
                </w:tcPr>
                <w:p w14:paraId="2C5DBF16">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水帘+活性炭吸附系统</w:t>
                  </w:r>
                </w:p>
              </w:tc>
              <w:tc>
                <w:tcPr>
                  <w:tcW w:w="4403" w:type="dxa"/>
                  <w:vAlign w:val="center"/>
                </w:tcPr>
                <w:p w14:paraId="511A891C">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喷漆房密封设置</w:t>
                  </w:r>
                  <w:r>
                    <w:rPr>
                      <w:rFonts w:hint="default" w:ascii="Times New Roman" w:hAnsi="Times New Roman" w:cs="Times New Roman"/>
                      <w:color w:val="auto"/>
                      <w:lang w:val="en-US" w:eastAsia="zh-CN"/>
                    </w:rPr>
                    <w:t>，配套负压抽风系统，末端设置1套</w:t>
                  </w:r>
                  <w:r>
                    <w:rPr>
                      <w:rFonts w:hint="eastAsia" w:cs="Times New Roman"/>
                      <w:color w:val="auto"/>
                      <w:lang w:val="en-US" w:eastAsia="zh-CN"/>
                    </w:rPr>
                    <w:t>水帘+活性炭吸附系统</w:t>
                  </w:r>
                  <w:r>
                    <w:rPr>
                      <w:rFonts w:hint="default" w:ascii="Times New Roman" w:hAnsi="Times New Roman" w:cs="Times New Roman"/>
                      <w:color w:val="auto"/>
                      <w:lang w:val="en-US" w:eastAsia="zh-CN"/>
                    </w:rPr>
                    <w:t>，喷漆废气经负压收集至同一套处理系统处理后经过1根2</w:t>
                  </w:r>
                  <w:r>
                    <w:rPr>
                      <w:rFonts w:hint="eastAsia" w:cs="Times New Roman"/>
                      <w:color w:val="auto"/>
                      <w:lang w:val="en-US" w:eastAsia="zh-CN"/>
                    </w:rPr>
                    <w:t>5</w:t>
                  </w:r>
                  <w:r>
                    <w:rPr>
                      <w:rFonts w:hint="default" w:ascii="Times New Roman" w:hAnsi="Times New Roman" w:cs="Times New Roman"/>
                      <w:color w:val="auto"/>
                      <w:lang w:val="en-US" w:eastAsia="zh-CN"/>
                    </w:rPr>
                    <w:t>m高的DA001排气筒排放</w:t>
                  </w:r>
                </w:p>
              </w:tc>
              <w:tc>
                <w:tcPr>
                  <w:tcW w:w="699" w:type="dxa"/>
                  <w:vAlign w:val="center"/>
                </w:tcPr>
                <w:p w14:paraId="122FB14C">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新建</w:t>
                  </w:r>
                </w:p>
              </w:tc>
            </w:tr>
            <w:tr w14:paraId="34060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9" w:hRule="atLeast"/>
                <w:jc w:val="center"/>
              </w:trPr>
              <w:tc>
                <w:tcPr>
                  <w:tcW w:w="592" w:type="dxa"/>
                  <w:vMerge w:val="continue"/>
                  <w:vAlign w:val="center"/>
                </w:tcPr>
                <w:p w14:paraId="23E3B3B0">
                  <w:pPr>
                    <w:pStyle w:val="14"/>
                    <w:widowControl w:val="0"/>
                    <w:bidi w:val="0"/>
                    <w:rPr>
                      <w:rFonts w:hint="default" w:ascii="Times New Roman" w:hAnsi="Times New Roman" w:cs="Times New Roman"/>
                      <w:color w:val="auto"/>
                      <w:lang w:val="en-US" w:eastAsia="zh-CN"/>
                    </w:rPr>
                  </w:pPr>
                </w:p>
              </w:tc>
              <w:tc>
                <w:tcPr>
                  <w:tcW w:w="1723" w:type="dxa"/>
                  <w:gridSpan w:val="3"/>
                  <w:vAlign w:val="center"/>
                </w:tcPr>
                <w:p w14:paraId="0B0A7220">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噪声治理措施</w:t>
                  </w:r>
                </w:p>
              </w:tc>
              <w:tc>
                <w:tcPr>
                  <w:tcW w:w="4403" w:type="dxa"/>
                  <w:vAlign w:val="center"/>
                </w:tcPr>
                <w:p w14:paraId="0409056D">
                  <w:pPr>
                    <w:pStyle w:val="14"/>
                    <w:widowControl w:val="0"/>
                    <w:bidi w:val="0"/>
                    <w:rPr>
                      <w:rFonts w:hint="default" w:ascii="Times New Roman" w:hAnsi="Times New Roman" w:cs="Times New Roman"/>
                      <w:color w:val="auto"/>
                    </w:rPr>
                  </w:pPr>
                  <w:r>
                    <w:rPr>
                      <w:rFonts w:hint="default" w:ascii="Times New Roman" w:hAnsi="Times New Roman" w:cs="Times New Roman"/>
                      <w:color w:val="auto"/>
                      <w:kern w:val="0"/>
                      <w:sz w:val="21"/>
                      <w:szCs w:val="21"/>
                      <w:lang w:val="en-US" w:eastAsia="zh-CN"/>
                    </w:rPr>
                    <w:t>低噪设备</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厂房隔声</w:t>
                  </w:r>
                </w:p>
              </w:tc>
              <w:tc>
                <w:tcPr>
                  <w:tcW w:w="699" w:type="dxa"/>
                  <w:vAlign w:val="center"/>
                </w:tcPr>
                <w:p w14:paraId="37972A4B">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新建</w:t>
                  </w:r>
                </w:p>
              </w:tc>
            </w:tr>
            <w:tr w14:paraId="2A5F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2" w:type="dxa"/>
                  <w:vMerge w:val="continue"/>
                  <w:vAlign w:val="center"/>
                </w:tcPr>
                <w:p w14:paraId="4175CB2B">
                  <w:pPr>
                    <w:pStyle w:val="14"/>
                    <w:widowControl w:val="0"/>
                    <w:bidi w:val="0"/>
                    <w:rPr>
                      <w:rFonts w:hint="default" w:ascii="Times New Roman" w:hAnsi="Times New Roman" w:cs="Times New Roman"/>
                      <w:color w:val="auto"/>
                      <w:lang w:val="en-US" w:eastAsia="zh-CN"/>
                    </w:rPr>
                  </w:pPr>
                </w:p>
              </w:tc>
              <w:tc>
                <w:tcPr>
                  <w:tcW w:w="856" w:type="dxa"/>
                  <w:gridSpan w:val="2"/>
                  <w:vMerge w:val="restart"/>
                  <w:vAlign w:val="center"/>
                </w:tcPr>
                <w:p w14:paraId="76B31968">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固废处理设施</w:t>
                  </w:r>
                </w:p>
              </w:tc>
              <w:tc>
                <w:tcPr>
                  <w:tcW w:w="867" w:type="dxa"/>
                  <w:vAlign w:val="center"/>
                </w:tcPr>
                <w:p w14:paraId="6C5BDBD8">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生活垃圾收集桶</w:t>
                  </w:r>
                </w:p>
              </w:tc>
              <w:tc>
                <w:tcPr>
                  <w:tcW w:w="4403" w:type="dxa"/>
                  <w:vAlign w:val="center"/>
                </w:tcPr>
                <w:p w14:paraId="29137D7C">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办公区设置若干生活垃圾收集桶，生活垃圾分类收集，定期清运至大坡头村生活垃圾集中收集点</w:t>
                  </w:r>
                </w:p>
              </w:tc>
              <w:tc>
                <w:tcPr>
                  <w:tcW w:w="699" w:type="dxa"/>
                  <w:vAlign w:val="center"/>
                </w:tcPr>
                <w:p w14:paraId="371EA304">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新建</w:t>
                  </w:r>
                </w:p>
              </w:tc>
            </w:tr>
            <w:tr w14:paraId="38B5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592" w:type="dxa"/>
                  <w:vMerge w:val="continue"/>
                  <w:vAlign w:val="center"/>
                </w:tcPr>
                <w:p w14:paraId="4989C3E2">
                  <w:pPr>
                    <w:pStyle w:val="14"/>
                    <w:widowControl w:val="0"/>
                    <w:bidi w:val="0"/>
                    <w:rPr>
                      <w:rFonts w:hint="default" w:ascii="Times New Roman" w:hAnsi="Times New Roman" w:cs="Times New Roman"/>
                      <w:color w:val="auto"/>
                      <w:lang w:val="en-US" w:eastAsia="zh-CN"/>
                    </w:rPr>
                  </w:pPr>
                </w:p>
              </w:tc>
              <w:tc>
                <w:tcPr>
                  <w:tcW w:w="856" w:type="dxa"/>
                  <w:gridSpan w:val="2"/>
                  <w:vMerge w:val="continue"/>
                  <w:vAlign w:val="center"/>
                </w:tcPr>
                <w:p w14:paraId="3355D237">
                  <w:pPr>
                    <w:pStyle w:val="14"/>
                    <w:widowControl w:val="0"/>
                    <w:bidi w:val="0"/>
                    <w:rPr>
                      <w:rFonts w:hint="default" w:ascii="Times New Roman" w:hAnsi="Times New Roman" w:cs="Times New Roman"/>
                      <w:color w:val="auto"/>
                    </w:rPr>
                  </w:pPr>
                </w:p>
              </w:tc>
              <w:tc>
                <w:tcPr>
                  <w:tcW w:w="867" w:type="dxa"/>
                  <w:vAlign w:val="center"/>
                </w:tcPr>
                <w:p w14:paraId="2153E12A">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危废</w:t>
                  </w:r>
                  <w:r>
                    <w:rPr>
                      <w:rFonts w:hint="eastAsia" w:cs="Times New Roman"/>
                      <w:color w:val="auto"/>
                      <w:lang w:val="en-US" w:eastAsia="zh-CN"/>
                    </w:rPr>
                    <w:t>贮存库</w:t>
                  </w:r>
                </w:p>
              </w:tc>
              <w:tc>
                <w:tcPr>
                  <w:tcW w:w="4403" w:type="dxa"/>
                  <w:vAlign w:val="center"/>
                </w:tcPr>
                <w:p w14:paraId="394ABFAB">
                  <w:pPr>
                    <w:pStyle w:val="14"/>
                    <w:widowControl w:val="0"/>
                    <w:bidi w:val="0"/>
                    <w:rPr>
                      <w:rFonts w:hint="eastAsia" w:ascii="Times New Roman" w:hAnsi="Times New Roman" w:eastAsia="宋体" w:cs="Times New Roman"/>
                      <w:color w:val="auto"/>
                      <w:lang w:eastAsia="zh-CN"/>
                    </w:rPr>
                  </w:pPr>
                  <w:r>
                    <w:rPr>
                      <w:rFonts w:hint="default" w:ascii="Times New Roman" w:hAnsi="Times New Roman" w:cs="Times New Roman"/>
                      <w:color w:val="auto"/>
                      <w:lang w:val="en-US" w:eastAsia="zh-CN"/>
                    </w:rPr>
                    <w:t>在生产厂房内东南侧</w:t>
                  </w:r>
                  <w:r>
                    <w:rPr>
                      <w:rFonts w:hint="default" w:ascii="Times New Roman" w:hAnsi="Times New Roman" w:cs="Times New Roman"/>
                      <w:color w:val="auto"/>
                    </w:rPr>
                    <w:t>设置1个危险废物</w:t>
                  </w:r>
                  <w:r>
                    <w:rPr>
                      <w:rFonts w:hint="eastAsia" w:cs="Times New Roman"/>
                      <w:color w:val="auto"/>
                      <w:lang w:val="en-US" w:eastAsia="zh-CN"/>
                    </w:rPr>
                    <w:t>贮存库</w:t>
                  </w:r>
                  <w:r>
                    <w:rPr>
                      <w:rFonts w:hint="default" w:ascii="Times New Roman" w:hAnsi="Times New Roman" w:cs="Times New Roman"/>
                      <w:color w:val="auto"/>
                    </w:rPr>
                    <w:t>，</w:t>
                  </w:r>
                  <w:r>
                    <w:rPr>
                      <w:rFonts w:hint="default" w:ascii="Times New Roman" w:hAnsi="Times New Roman" w:cs="Times New Roman"/>
                      <w:color w:val="auto"/>
                      <w:lang w:val="en-US" w:eastAsia="zh-CN"/>
                    </w:rPr>
                    <w:t>面积为5m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w:t>
                  </w:r>
                  <w:r>
                    <w:rPr>
                      <w:rFonts w:hint="default" w:ascii="Times New Roman" w:hAnsi="Times New Roman" w:cs="Times New Roman"/>
                      <w:color w:val="auto"/>
                    </w:rPr>
                    <w:t>用于暂存项目</w:t>
                  </w:r>
                  <w:r>
                    <w:rPr>
                      <w:rFonts w:hint="eastAsia" w:ascii="Times New Roman" w:hAnsi="Times New Roman" w:cs="Times New Roman"/>
                      <w:color w:val="auto"/>
                      <w:lang w:val="en-US" w:eastAsia="zh-CN"/>
                    </w:rPr>
                    <w:t>生产</w:t>
                  </w:r>
                  <w:r>
                    <w:rPr>
                      <w:rFonts w:hint="default" w:ascii="Times New Roman" w:hAnsi="Times New Roman" w:cs="Times New Roman"/>
                      <w:color w:val="auto"/>
                    </w:rPr>
                    <w:t>过程产生的</w:t>
                  </w:r>
                  <w:r>
                    <w:rPr>
                      <w:rFonts w:hint="eastAsia" w:ascii="Times New Roman" w:hAnsi="Times New Roman" w:cs="Times New Roman"/>
                      <w:color w:val="auto"/>
                      <w:lang w:val="en-US" w:eastAsia="zh-CN"/>
                    </w:rPr>
                    <w:t>危废</w:t>
                  </w:r>
                </w:p>
              </w:tc>
              <w:tc>
                <w:tcPr>
                  <w:tcW w:w="699" w:type="dxa"/>
                  <w:vAlign w:val="center"/>
                </w:tcPr>
                <w:p w14:paraId="22EE0907">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新建</w:t>
                  </w:r>
                </w:p>
              </w:tc>
            </w:tr>
            <w:tr w14:paraId="61B4F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9" w:hRule="atLeast"/>
                <w:jc w:val="center"/>
              </w:trPr>
              <w:tc>
                <w:tcPr>
                  <w:tcW w:w="592" w:type="dxa"/>
                  <w:vMerge w:val="continue"/>
                  <w:vAlign w:val="center"/>
                </w:tcPr>
                <w:p w14:paraId="3E1ADD0A">
                  <w:pPr>
                    <w:pStyle w:val="14"/>
                    <w:widowControl w:val="0"/>
                    <w:bidi w:val="0"/>
                    <w:rPr>
                      <w:rFonts w:hint="default" w:ascii="Times New Roman" w:hAnsi="Times New Roman" w:cs="Times New Roman"/>
                      <w:color w:val="auto"/>
                      <w:lang w:val="en-US" w:eastAsia="zh-CN"/>
                    </w:rPr>
                  </w:pPr>
                </w:p>
              </w:tc>
              <w:tc>
                <w:tcPr>
                  <w:tcW w:w="856" w:type="dxa"/>
                  <w:gridSpan w:val="2"/>
                  <w:vMerge w:val="continue"/>
                  <w:vAlign w:val="center"/>
                </w:tcPr>
                <w:p w14:paraId="76C029AA">
                  <w:pPr>
                    <w:pStyle w:val="14"/>
                    <w:widowControl w:val="0"/>
                    <w:bidi w:val="0"/>
                    <w:rPr>
                      <w:rFonts w:hint="default" w:ascii="Times New Roman" w:hAnsi="Times New Roman" w:cs="Times New Roman"/>
                      <w:color w:val="auto"/>
                    </w:rPr>
                  </w:pPr>
                </w:p>
              </w:tc>
              <w:tc>
                <w:tcPr>
                  <w:tcW w:w="867" w:type="dxa"/>
                  <w:vAlign w:val="center"/>
                </w:tcPr>
                <w:p w14:paraId="32B268FE">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一般固废间</w:t>
                  </w:r>
                </w:p>
              </w:tc>
              <w:tc>
                <w:tcPr>
                  <w:tcW w:w="4403" w:type="dxa"/>
                  <w:vAlign w:val="center"/>
                </w:tcPr>
                <w:p w14:paraId="0B6D5B5A">
                  <w:pPr>
                    <w:pStyle w:val="14"/>
                    <w:widowControl w:val="0"/>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在生产厂房东侧</w:t>
                  </w:r>
                  <w:r>
                    <w:rPr>
                      <w:rFonts w:hint="default" w:ascii="Times New Roman" w:hAnsi="Times New Roman" w:cs="Times New Roman"/>
                      <w:color w:val="auto"/>
                    </w:rPr>
                    <w:t>设置1个</w:t>
                  </w:r>
                  <w:r>
                    <w:rPr>
                      <w:rFonts w:hint="default" w:ascii="Times New Roman" w:hAnsi="Times New Roman" w:cs="Times New Roman"/>
                      <w:color w:val="auto"/>
                      <w:lang w:val="en-US" w:eastAsia="zh-CN"/>
                    </w:rPr>
                    <w:t>一般固体废物暂存间</w:t>
                  </w:r>
                  <w:r>
                    <w:rPr>
                      <w:rFonts w:hint="default" w:ascii="Times New Roman" w:hAnsi="Times New Roman" w:cs="Times New Roman"/>
                      <w:color w:val="auto"/>
                    </w:rPr>
                    <w:t>，</w:t>
                  </w:r>
                  <w:r>
                    <w:rPr>
                      <w:rFonts w:hint="default" w:ascii="Times New Roman" w:hAnsi="Times New Roman" w:cs="Times New Roman"/>
                      <w:color w:val="auto"/>
                      <w:lang w:val="en-US" w:eastAsia="zh-CN"/>
                    </w:rPr>
                    <w:t>面积为20m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w:t>
                  </w:r>
                  <w:r>
                    <w:rPr>
                      <w:rFonts w:hint="default" w:ascii="Times New Roman" w:hAnsi="Times New Roman" w:cs="Times New Roman"/>
                      <w:color w:val="auto"/>
                    </w:rPr>
                    <w:t>用于暂存项目</w:t>
                  </w:r>
                  <w:r>
                    <w:rPr>
                      <w:rFonts w:hint="default" w:ascii="Times New Roman" w:hAnsi="Times New Roman" w:cs="Times New Roman"/>
                      <w:color w:val="auto"/>
                      <w:lang w:val="en-US" w:eastAsia="zh-CN"/>
                    </w:rPr>
                    <w:t>包装废料等一般固废</w:t>
                  </w:r>
                </w:p>
              </w:tc>
              <w:tc>
                <w:tcPr>
                  <w:tcW w:w="699" w:type="dxa"/>
                  <w:vAlign w:val="center"/>
                </w:tcPr>
                <w:p w14:paraId="31AB7F33">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新建</w:t>
                  </w:r>
                </w:p>
              </w:tc>
            </w:tr>
            <w:tr w14:paraId="4CF6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6" w:hRule="atLeast"/>
                <w:jc w:val="center"/>
              </w:trPr>
              <w:tc>
                <w:tcPr>
                  <w:tcW w:w="592" w:type="dxa"/>
                  <w:vMerge w:val="continue"/>
                  <w:vAlign w:val="center"/>
                </w:tcPr>
                <w:p w14:paraId="63558F98">
                  <w:pPr>
                    <w:pStyle w:val="14"/>
                    <w:widowControl w:val="0"/>
                    <w:bidi w:val="0"/>
                    <w:rPr>
                      <w:rFonts w:hint="default" w:ascii="Times New Roman" w:hAnsi="Times New Roman" w:cs="Times New Roman"/>
                      <w:color w:val="auto"/>
                      <w:lang w:val="en-US" w:eastAsia="zh-CN"/>
                    </w:rPr>
                  </w:pPr>
                </w:p>
              </w:tc>
              <w:tc>
                <w:tcPr>
                  <w:tcW w:w="856" w:type="dxa"/>
                  <w:gridSpan w:val="2"/>
                  <w:vAlign w:val="center"/>
                </w:tcPr>
                <w:p w14:paraId="419E638C">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土壤、地下水治理措施</w:t>
                  </w:r>
                </w:p>
              </w:tc>
              <w:tc>
                <w:tcPr>
                  <w:tcW w:w="867" w:type="dxa"/>
                  <w:vAlign w:val="center"/>
                </w:tcPr>
                <w:p w14:paraId="3D6ABCE6">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分区防渗</w:t>
                  </w:r>
                </w:p>
              </w:tc>
              <w:tc>
                <w:tcPr>
                  <w:tcW w:w="4403" w:type="dxa"/>
                  <w:vAlign w:val="center"/>
                </w:tcPr>
                <w:p w14:paraId="104542D7">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default" w:ascii="Times New Roman" w:hAnsi="Times New Roman" w:cs="Times New Roman"/>
                      <w:b/>
                      <w:bCs/>
                      <w:color w:val="auto"/>
                      <w:lang w:val="en-US" w:eastAsia="zh-CN"/>
                    </w:rPr>
                    <w:t>重点防渗区：危废间</w:t>
                  </w:r>
                  <w:r>
                    <w:rPr>
                      <w:rFonts w:hint="eastAsia" w:cs="Times New Roman"/>
                      <w:b/>
                      <w:bCs/>
                      <w:color w:val="auto"/>
                      <w:lang w:val="en-US" w:eastAsia="zh-CN"/>
                    </w:rPr>
                    <w:t>、喷漆房、油漆及稀释剂贮存区</w:t>
                  </w:r>
                  <w:r>
                    <w:rPr>
                      <w:rFonts w:hint="default" w:ascii="Times New Roman" w:hAnsi="Times New Roman" w:cs="Times New Roman"/>
                      <w:b/>
                      <w:bCs/>
                      <w:color w:val="auto"/>
                      <w:lang w:val="en-US" w:eastAsia="zh-CN"/>
                    </w:rPr>
                    <w:t>划为重点防渗区。可</w:t>
                  </w:r>
                  <w:r>
                    <w:rPr>
                      <w:rFonts w:hint="default" w:ascii="Times New Roman" w:hAnsi="Times New Roman" w:cs="Times New Roman"/>
                      <w:color w:val="auto"/>
                      <w:lang w:val="en-US" w:eastAsia="zh-CN"/>
                    </w:rPr>
                    <w:t>采用</w:t>
                  </w:r>
                  <w:r>
                    <w:rPr>
                      <w:rFonts w:hint="eastAsia" w:cs="Times New Roman"/>
                      <w:color w:val="auto"/>
                      <w:lang w:val="en-US" w:eastAsia="zh-CN"/>
                    </w:rPr>
                    <w:t>“</w:t>
                  </w:r>
                  <w:r>
                    <w:rPr>
                      <w:rFonts w:hint="default" w:ascii="Times New Roman" w:hAnsi="Times New Roman" w:cs="Times New Roman"/>
                      <w:color w:val="auto"/>
                      <w:lang w:val="en-US" w:eastAsia="zh-CN"/>
                    </w:rPr>
                    <w:t>抗渗系数为P8水泥+2.0mmHDPE膜+环氧树脂</w:t>
                  </w:r>
                  <w:r>
                    <w:rPr>
                      <w:rFonts w:hint="eastAsia" w:cs="Times New Roman"/>
                      <w:color w:val="auto"/>
                      <w:lang w:val="en-US" w:eastAsia="zh-CN"/>
                    </w:rPr>
                    <w:t>”</w:t>
                  </w:r>
                  <w:r>
                    <w:rPr>
                      <w:rFonts w:hint="default" w:ascii="Times New Roman" w:hAnsi="Times New Roman" w:cs="Times New Roman"/>
                      <w:color w:val="auto"/>
                      <w:lang w:val="en-US" w:eastAsia="zh-CN"/>
                    </w:rPr>
                    <w:t>进行防渗，使其地面、围堰区达到渗透系数≤1×10</w:t>
                  </w:r>
                  <w:r>
                    <w:rPr>
                      <w:rFonts w:hint="default" w:ascii="Times New Roman" w:hAnsi="Times New Roman" w:cs="Times New Roman"/>
                      <w:color w:val="auto"/>
                      <w:vertAlign w:val="superscript"/>
                      <w:lang w:val="en-US" w:eastAsia="zh-CN"/>
                    </w:rPr>
                    <w:t>-10</w:t>
                  </w:r>
                  <w:r>
                    <w:rPr>
                      <w:rFonts w:hint="default" w:ascii="Times New Roman" w:hAnsi="Times New Roman" w:cs="Times New Roman"/>
                      <w:color w:val="auto"/>
                      <w:lang w:val="en-US" w:eastAsia="zh-CN"/>
                    </w:rPr>
                    <w:t>cm/s的防渗性能</w:t>
                  </w:r>
                  <w:r>
                    <w:rPr>
                      <w:rFonts w:hint="eastAsia" w:cs="Times New Roman"/>
                      <w:color w:val="auto"/>
                      <w:lang w:val="en-US" w:eastAsia="zh-CN"/>
                    </w:rPr>
                    <w:t>；</w:t>
                  </w:r>
                </w:p>
                <w:p w14:paraId="5A5EEBA6">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r>
                    <w:rPr>
                      <w:rFonts w:hint="default" w:ascii="Times New Roman" w:hAnsi="Times New Roman" w:cs="Times New Roman"/>
                      <w:b/>
                      <w:bCs/>
                      <w:color w:val="auto"/>
                      <w:lang w:val="en-US" w:eastAsia="zh-CN"/>
                    </w:rPr>
                    <w:t>一般防渗区：沉淀池、生产厂房及一般固废间划为一般防渗区</w:t>
                  </w:r>
                  <w:r>
                    <w:rPr>
                      <w:rFonts w:hint="default" w:ascii="Times New Roman" w:hAnsi="Times New Roman" w:cs="Times New Roman"/>
                      <w:color w:val="auto"/>
                      <w:lang w:val="en-US" w:eastAsia="zh-CN"/>
                    </w:rPr>
                    <w:t>，沉淀池建议采用2.0mm厚HDPE防渗膜+硬化，防渗性能达到等效黏土防渗层Mb≥1.5m，渗透系数≤1.0×10</w:t>
                  </w:r>
                  <w:r>
                    <w:rPr>
                      <w:rFonts w:hint="default" w:ascii="Times New Roman" w:hAnsi="Times New Roman" w:cs="Times New Roman"/>
                      <w:color w:val="auto"/>
                      <w:vertAlign w:val="superscript"/>
                      <w:lang w:val="en-US" w:eastAsia="zh-CN"/>
                    </w:rPr>
                    <w:t>-7</w:t>
                  </w:r>
                  <w:r>
                    <w:rPr>
                      <w:rFonts w:hint="default" w:ascii="Times New Roman" w:hAnsi="Times New Roman" w:cs="Times New Roman"/>
                      <w:color w:val="auto"/>
                      <w:lang w:val="en-US" w:eastAsia="zh-CN"/>
                    </w:rPr>
                    <w:t>cm/s</w:t>
                  </w:r>
                  <w:r>
                    <w:rPr>
                      <w:rFonts w:hint="eastAsia" w:cs="Times New Roman"/>
                      <w:color w:val="auto"/>
                      <w:lang w:val="en-US" w:eastAsia="zh-CN"/>
                    </w:rPr>
                    <w:t>；</w:t>
                  </w:r>
                  <w:r>
                    <w:rPr>
                      <w:rFonts w:hint="default" w:ascii="Times New Roman" w:hAnsi="Times New Roman" w:cs="Times New Roman"/>
                      <w:color w:val="auto"/>
                      <w:lang w:val="en-US" w:eastAsia="zh-CN"/>
                    </w:rPr>
                    <w:t>生产厂房、</w:t>
                  </w:r>
                  <w:r>
                    <w:rPr>
                      <w:rFonts w:hint="default" w:ascii="Times New Roman" w:hAnsi="Times New Roman" w:cs="Times New Roman"/>
                      <w:color w:val="auto"/>
                      <w:lang w:eastAsia="zh-CN"/>
                    </w:rPr>
                    <w:t>一般工业固废</w:t>
                  </w:r>
                  <w:r>
                    <w:rPr>
                      <w:rFonts w:hint="default" w:ascii="Times New Roman" w:hAnsi="Times New Roman" w:cs="Times New Roman"/>
                      <w:color w:val="auto"/>
                    </w:rPr>
                    <w:t>存放区参照《一般工业固体废物贮存和填埋污染控制标准》</w:t>
                  </w:r>
                  <w:r>
                    <w:rPr>
                      <w:rFonts w:hint="default" w:ascii="Times New Roman" w:hAnsi="Times New Roman" w:cs="Times New Roman"/>
                      <w:color w:val="auto"/>
                      <w:lang w:eastAsia="zh-CN"/>
                    </w:rPr>
                    <w:t>（</w:t>
                  </w:r>
                  <w:r>
                    <w:rPr>
                      <w:rFonts w:hint="default" w:ascii="Times New Roman" w:hAnsi="Times New Roman" w:cs="Times New Roman"/>
                      <w:color w:val="auto"/>
                    </w:rPr>
                    <w:t>GB18599-2020）要求防渗，等效粘土防渗层Mb≥0.75m，K≤1.0×10</w:t>
                  </w:r>
                  <w:r>
                    <w:rPr>
                      <w:rFonts w:hint="default" w:ascii="Times New Roman" w:hAnsi="Times New Roman" w:cs="Times New Roman"/>
                      <w:color w:val="auto"/>
                      <w:vertAlign w:val="superscript"/>
                    </w:rPr>
                    <w:t>-5</w:t>
                  </w:r>
                  <w:r>
                    <w:rPr>
                      <w:rFonts w:hint="default" w:ascii="Times New Roman" w:hAnsi="Times New Roman" w:cs="Times New Roman"/>
                      <w:color w:val="auto"/>
                    </w:rPr>
                    <w:t>cm/s</w:t>
                  </w:r>
                  <w:r>
                    <w:rPr>
                      <w:rFonts w:hint="eastAsia" w:cs="Times New Roman"/>
                      <w:color w:val="auto"/>
                      <w:lang w:eastAsia="zh-CN"/>
                    </w:rPr>
                    <w:t>；</w:t>
                  </w:r>
                </w:p>
                <w:p w14:paraId="171D18E2">
                  <w:pPr>
                    <w:pStyle w:val="14"/>
                    <w:widowControl w:val="0"/>
                    <w:bidi w:val="0"/>
                    <w:rPr>
                      <w:rFonts w:hint="default" w:ascii="Times New Roman" w:hAnsi="Times New Roman" w:cs="Times New Roman"/>
                      <w:color w:val="auto"/>
                    </w:rPr>
                  </w:pPr>
                  <w:r>
                    <w:rPr>
                      <w:rFonts w:hint="default" w:ascii="Times New Roman" w:hAnsi="Times New Roman" w:cs="Times New Roman"/>
                      <w:color w:val="auto"/>
                      <w:lang w:val="en-US" w:eastAsia="zh-CN"/>
                    </w:rPr>
                    <w:t>（3）</w:t>
                  </w:r>
                  <w:r>
                    <w:rPr>
                      <w:rFonts w:hint="default" w:ascii="Times New Roman" w:hAnsi="Times New Roman" w:cs="Times New Roman"/>
                      <w:b/>
                      <w:bCs/>
                      <w:color w:val="auto"/>
                      <w:lang w:val="en-US" w:eastAsia="zh-CN"/>
                    </w:rPr>
                    <w:t>简单防渗区：办公区、配电室、道路地面等划为简单防渗区，</w:t>
                  </w:r>
                  <w:r>
                    <w:rPr>
                      <w:rFonts w:hint="default" w:ascii="Times New Roman" w:hAnsi="Times New Roman" w:cs="Times New Roman"/>
                      <w:color w:val="auto"/>
                      <w:lang w:val="en-US" w:eastAsia="zh-CN"/>
                    </w:rPr>
                    <w:t>全部硬化处理且保证无明显破损现象</w:t>
                  </w:r>
                </w:p>
              </w:tc>
              <w:tc>
                <w:tcPr>
                  <w:tcW w:w="699" w:type="dxa"/>
                  <w:vAlign w:val="center"/>
                </w:tcPr>
                <w:p w14:paraId="62AF7F92">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新建</w:t>
                  </w:r>
                </w:p>
              </w:tc>
            </w:tr>
          </w:tbl>
          <w:p w14:paraId="6603561D">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8、产品方案</w:t>
            </w:r>
          </w:p>
          <w:p w14:paraId="62524761">
            <w:pPr>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项目建成后可年产5</w:t>
            </w:r>
            <w:r>
              <w:rPr>
                <w:rFonts w:hint="default" w:ascii="Times New Roman" w:hAnsi="Times New Roman" w:cs="Times New Roman"/>
                <w:color w:val="auto"/>
              </w:rPr>
              <w:t>万</w:t>
            </w:r>
            <w:r>
              <w:rPr>
                <w:rFonts w:hint="default" w:ascii="Times New Roman" w:hAnsi="Times New Roman" w:cs="Times New Roman"/>
                <w:color w:val="auto"/>
                <w:lang w:val="en-US" w:eastAsia="zh-CN"/>
              </w:rPr>
              <w:t>支木楼梯</w:t>
            </w:r>
            <w:r>
              <w:rPr>
                <w:rFonts w:hint="eastAsia" w:cs="Times New Roman"/>
                <w:color w:val="auto"/>
                <w:lang w:val="en-US" w:eastAsia="zh-CN"/>
              </w:rPr>
              <w:t>立柱</w:t>
            </w:r>
            <w:r>
              <w:rPr>
                <w:rFonts w:hint="default" w:ascii="Times New Roman" w:hAnsi="Times New Roman" w:cs="Times New Roman"/>
                <w:color w:val="auto"/>
                <w:lang w:eastAsia="zh-CN"/>
              </w:rPr>
              <w:t>，</w:t>
            </w:r>
            <w:r>
              <w:rPr>
                <w:rFonts w:hint="eastAsia" w:cs="Times New Roman"/>
                <w:color w:val="auto"/>
                <w:lang w:val="en-US" w:eastAsia="zh-CN"/>
              </w:rPr>
              <w:t>主要涉及木楼梯大柱及立柱，木楼梯</w:t>
            </w:r>
            <w:r>
              <w:rPr>
                <w:rFonts w:hint="default" w:ascii="Times New Roman" w:hAnsi="Times New Roman" w:cs="Times New Roman"/>
                <w:color w:val="auto"/>
                <w:lang w:eastAsia="zh-CN"/>
              </w:rPr>
              <w:t>原件进场，场内喷漆晾干后即为本项目产品，项目内不涉及成品楼梯组装。</w:t>
            </w:r>
            <w:r>
              <w:rPr>
                <w:rFonts w:hint="default" w:ascii="Times New Roman" w:hAnsi="Times New Roman" w:cs="Times New Roman"/>
                <w:color w:val="auto"/>
                <w:lang w:val="en-US" w:eastAsia="zh-CN"/>
              </w:rPr>
              <w:t>项目产品信息如下：</w:t>
            </w:r>
          </w:p>
          <w:p w14:paraId="077C7D5B">
            <w:pPr>
              <w:bidi w:val="0"/>
              <w:ind w:left="0" w:leftChars="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表2-2  项目产品规格表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2583"/>
              <w:gridCol w:w="3109"/>
            </w:tblGrid>
            <w:tr w14:paraId="58EA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725" w:type="dxa"/>
                  <w:tcMar>
                    <w:top w:w="0" w:type="dxa"/>
                    <w:left w:w="0" w:type="dxa"/>
                    <w:bottom w:w="0" w:type="dxa"/>
                    <w:right w:w="0" w:type="dxa"/>
                  </w:tcMar>
                  <w:vAlign w:val="center"/>
                </w:tcPr>
                <w:p w14:paraId="48483E69">
                  <w:pPr>
                    <w:pStyle w:val="14"/>
                    <w:widowControl w:val="0"/>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产品名称</w:t>
                  </w:r>
                </w:p>
              </w:tc>
              <w:tc>
                <w:tcPr>
                  <w:tcW w:w="2583" w:type="dxa"/>
                  <w:tcMar>
                    <w:top w:w="0" w:type="dxa"/>
                    <w:left w:w="0" w:type="dxa"/>
                    <w:bottom w:w="0" w:type="dxa"/>
                    <w:right w:w="0" w:type="dxa"/>
                  </w:tcMar>
                  <w:vAlign w:val="center"/>
                </w:tcPr>
                <w:p w14:paraId="0B67CFB2">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产量（万t/a）</w:t>
                  </w:r>
                </w:p>
              </w:tc>
              <w:tc>
                <w:tcPr>
                  <w:tcW w:w="3109" w:type="dxa"/>
                  <w:tcMar>
                    <w:top w:w="0" w:type="dxa"/>
                    <w:left w:w="0" w:type="dxa"/>
                    <w:bottom w:w="0" w:type="dxa"/>
                    <w:right w:w="0" w:type="dxa"/>
                  </w:tcMar>
                  <w:vAlign w:val="center"/>
                </w:tcPr>
                <w:p w14:paraId="2ED3121B">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产品形态</w:t>
                  </w:r>
                </w:p>
              </w:tc>
            </w:tr>
            <w:tr w14:paraId="07833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725" w:type="dxa"/>
                  <w:tcMar>
                    <w:top w:w="0" w:type="dxa"/>
                    <w:left w:w="0" w:type="dxa"/>
                    <w:bottom w:w="0" w:type="dxa"/>
                    <w:right w:w="0" w:type="dxa"/>
                  </w:tcMar>
                  <w:vAlign w:val="center"/>
                </w:tcPr>
                <w:p w14:paraId="7800BC1D">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木楼梯</w:t>
                  </w:r>
                  <w:r>
                    <w:rPr>
                      <w:rFonts w:hint="eastAsia" w:cs="Times New Roman"/>
                      <w:color w:val="auto"/>
                      <w:lang w:val="en-US" w:eastAsia="zh-CN"/>
                    </w:rPr>
                    <w:t>立柱</w:t>
                  </w:r>
                </w:p>
              </w:tc>
              <w:tc>
                <w:tcPr>
                  <w:tcW w:w="2583" w:type="dxa"/>
                  <w:tcMar>
                    <w:top w:w="0" w:type="dxa"/>
                    <w:left w:w="0" w:type="dxa"/>
                    <w:bottom w:w="0" w:type="dxa"/>
                    <w:right w:w="0" w:type="dxa"/>
                  </w:tcMar>
                  <w:vAlign w:val="center"/>
                </w:tcPr>
                <w:p w14:paraId="2D41A990">
                  <w:pPr>
                    <w:pStyle w:val="14"/>
                    <w:widowControl w:val="0"/>
                    <w:bidi w:val="0"/>
                    <w:rPr>
                      <w:rFonts w:hint="default" w:ascii="Times New Roman" w:hAnsi="Times New Roman" w:cs="Times New Roman"/>
                      <w:color w:val="auto"/>
                    </w:rPr>
                  </w:pPr>
                  <w:r>
                    <w:rPr>
                      <w:rFonts w:hint="default" w:ascii="Times New Roman" w:hAnsi="Times New Roman" w:cs="Times New Roman"/>
                      <w:color w:val="auto"/>
                      <w:lang w:val="en-US" w:eastAsia="zh-CN"/>
                    </w:rPr>
                    <w:t>5万支</w:t>
                  </w:r>
                </w:p>
              </w:tc>
              <w:tc>
                <w:tcPr>
                  <w:tcW w:w="3109" w:type="dxa"/>
                  <w:tcMar>
                    <w:top w:w="0" w:type="dxa"/>
                    <w:left w:w="0" w:type="dxa"/>
                    <w:bottom w:w="0" w:type="dxa"/>
                    <w:right w:w="0" w:type="dxa"/>
                  </w:tcMar>
                  <w:vAlign w:val="center"/>
                </w:tcPr>
                <w:p w14:paraId="6BE79C96">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不规则（根据市场定制）</w:t>
                  </w:r>
                </w:p>
              </w:tc>
            </w:tr>
          </w:tbl>
          <w:p w14:paraId="1C5F44CE">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9、项目主要原辅料</w:t>
            </w:r>
          </w:p>
          <w:p w14:paraId="0621B995">
            <w:pPr>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本项目生产过程主要原辅材料如下：</w:t>
            </w:r>
          </w:p>
          <w:p w14:paraId="3C47585F">
            <w:pPr>
              <w:bidi w:val="0"/>
              <w:ind w:left="0" w:leftChars="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表2-3  项目主要原辅料使用情况表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6"/>
              <w:gridCol w:w="1051"/>
              <w:gridCol w:w="1099"/>
              <w:gridCol w:w="962"/>
              <w:gridCol w:w="962"/>
              <w:gridCol w:w="904"/>
              <w:gridCol w:w="1303"/>
            </w:tblGrid>
            <w:tr w14:paraId="1B9D7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36" w:type="dxa"/>
                  <w:vAlign w:val="center"/>
                </w:tcPr>
                <w:p w14:paraId="6F139710">
                  <w:pPr>
                    <w:pStyle w:val="14"/>
                    <w:widowControl w:val="0"/>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原辅材料名称</w:t>
                  </w:r>
                </w:p>
              </w:tc>
              <w:tc>
                <w:tcPr>
                  <w:tcW w:w="1051" w:type="dxa"/>
                  <w:vAlign w:val="center"/>
                </w:tcPr>
                <w:p w14:paraId="62EEC769">
                  <w:pPr>
                    <w:pStyle w:val="14"/>
                    <w:widowControl w:val="0"/>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规格、型号</w:t>
                  </w:r>
                </w:p>
              </w:tc>
              <w:tc>
                <w:tcPr>
                  <w:tcW w:w="1099" w:type="dxa"/>
                  <w:vAlign w:val="center"/>
                </w:tcPr>
                <w:p w14:paraId="0B66B2DA">
                  <w:pPr>
                    <w:pStyle w:val="14"/>
                    <w:widowControl w:val="0"/>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年用量</w:t>
                  </w:r>
                </w:p>
              </w:tc>
              <w:tc>
                <w:tcPr>
                  <w:tcW w:w="962" w:type="dxa"/>
                  <w:vAlign w:val="center"/>
                </w:tcPr>
                <w:p w14:paraId="7624386D">
                  <w:pPr>
                    <w:pStyle w:val="14"/>
                    <w:widowControl w:val="0"/>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贮存量</w:t>
                  </w:r>
                </w:p>
              </w:tc>
              <w:tc>
                <w:tcPr>
                  <w:tcW w:w="962" w:type="dxa"/>
                  <w:vAlign w:val="center"/>
                </w:tcPr>
                <w:p w14:paraId="05B64721">
                  <w:pPr>
                    <w:pStyle w:val="14"/>
                    <w:widowControl w:val="0"/>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物质形态</w:t>
                  </w:r>
                </w:p>
              </w:tc>
              <w:tc>
                <w:tcPr>
                  <w:tcW w:w="904" w:type="dxa"/>
                  <w:vAlign w:val="center"/>
                </w:tcPr>
                <w:p w14:paraId="11B9F4AB">
                  <w:pPr>
                    <w:pStyle w:val="14"/>
                    <w:widowControl w:val="0"/>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贮存方式</w:t>
                  </w:r>
                </w:p>
              </w:tc>
              <w:tc>
                <w:tcPr>
                  <w:tcW w:w="1303" w:type="dxa"/>
                  <w:vAlign w:val="center"/>
                </w:tcPr>
                <w:p w14:paraId="7CEB64BA">
                  <w:pPr>
                    <w:pStyle w:val="14"/>
                    <w:widowControl w:val="0"/>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来源</w:t>
                  </w:r>
                </w:p>
              </w:tc>
            </w:tr>
            <w:tr w14:paraId="3173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36" w:type="dxa"/>
                  <w:vAlign w:val="center"/>
                </w:tcPr>
                <w:p w14:paraId="046D6225">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木楼梯原件</w:t>
                  </w:r>
                </w:p>
              </w:tc>
              <w:tc>
                <w:tcPr>
                  <w:tcW w:w="1051" w:type="dxa"/>
                  <w:vAlign w:val="center"/>
                </w:tcPr>
                <w:p w14:paraId="7C895480">
                  <w:pPr>
                    <w:pStyle w:val="14"/>
                    <w:widowControl w:val="0"/>
                    <w:bidi w:val="0"/>
                    <w:rPr>
                      <w:rFonts w:hint="default" w:ascii="Times New Roman" w:hAnsi="Times New Roman" w:cs="Times New Roman"/>
                      <w:color w:val="auto"/>
                    </w:rPr>
                  </w:pPr>
                  <w:r>
                    <w:rPr>
                      <w:rFonts w:hint="default" w:ascii="Times New Roman" w:hAnsi="Times New Roman" w:cs="Times New Roman"/>
                      <w:color w:val="auto"/>
                      <w:lang w:val="en-US" w:eastAsia="zh-CN"/>
                    </w:rPr>
                    <w:t>不规则（根据市场定制）</w:t>
                  </w:r>
                </w:p>
              </w:tc>
              <w:tc>
                <w:tcPr>
                  <w:tcW w:w="1099" w:type="dxa"/>
                  <w:vAlign w:val="center"/>
                </w:tcPr>
                <w:p w14:paraId="0D9CCDD8">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5万支/a</w:t>
                  </w:r>
                </w:p>
              </w:tc>
              <w:tc>
                <w:tcPr>
                  <w:tcW w:w="962" w:type="dxa"/>
                  <w:vAlign w:val="center"/>
                </w:tcPr>
                <w:p w14:paraId="3A410B4C">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0.2万支</w:t>
                  </w:r>
                </w:p>
              </w:tc>
              <w:tc>
                <w:tcPr>
                  <w:tcW w:w="962" w:type="dxa"/>
                  <w:vAlign w:val="center"/>
                </w:tcPr>
                <w:p w14:paraId="3541F05A">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固态</w:t>
                  </w:r>
                </w:p>
              </w:tc>
              <w:tc>
                <w:tcPr>
                  <w:tcW w:w="904" w:type="dxa"/>
                  <w:vAlign w:val="center"/>
                </w:tcPr>
                <w:p w14:paraId="49002D2C">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原料区摆放</w:t>
                  </w:r>
                </w:p>
              </w:tc>
              <w:tc>
                <w:tcPr>
                  <w:tcW w:w="1303" w:type="dxa"/>
                  <w:vAlign w:val="center"/>
                </w:tcPr>
                <w:p w14:paraId="7E1984B4">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外购以及公司其他木工厂加工运进</w:t>
                  </w:r>
                </w:p>
              </w:tc>
            </w:tr>
            <w:tr w14:paraId="6282E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36" w:type="dxa"/>
                  <w:vAlign w:val="center"/>
                </w:tcPr>
                <w:p w14:paraId="7B2B5532">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聚氨酯清漆</w:t>
                  </w:r>
                </w:p>
              </w:tc>
              <w:tc>
                <w:tcPr>
                  <w:tcW w:w="1051" w:type="dxa"/>
                  <w:vAlign w:val="center"/>
                </w:tcPr>
                <w:p w14:paraId="5E3EA320">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GD-SDS-2018-003</w:t>
                  </w:r>
                </w:p>
              </w:tc>
              <w:tc>
                <w:tcPr>
                  <w:tcW w:w="1099" w:type="dxa"/>
                  <w:vAlign w:val="center"/>
                </w:tcPr>
                <w:p w14:paraId="19DE5893">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0.4t/a</w:t>
                  </w:r>
                </w:p>
              </w:tc>
              <w:tc>
                <w:tcPr>
                  <w:tcW w:w="962" w:type="dxa"/>
                  <w:vAlign w:val="center"/>
                </w:tcPr>
                <w:p w14:paraId="79C2F4A8">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0.05t/a</w:t>
                  </w:r>
                </w:p>
              </w:tc>
              <w:tc>
                <w:tcPr>
                  <w:tcW w:w="962" w:type="dxa"/>
                  <w:vAlign w:val="center"/>
                </w:tcPr>
                <w:p w14:paraId="495830EB">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液态</w:t>
                  </w:r>
                </w:p>
              </w:tc>
              <w:tc>
                <w:tcPr>
                  <w:tcW w:w="904" w:type="dxa"/>
                  <w:vAlign w:val="center"/>
                </w:tcPr>
                <w:p w14:paraId="3B41C7C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桶装、喷漆房存放</w:t>
                  </w:r>
                </w:p>
              </w:tc>
              <w:tc>
                <w:tcPr>
                  <w:tcW w:w="1303" w:type="dxa"/>
                  <w:vAlign w:val="center"/>
                </w:tcPr>
                <w:p w14:paraId="52210CE1">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外购</w:t>
                  </w:r>
                </w:p>
              </w:tc>
            </w:tr>
            <w:tr w14:paraId="007C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36" w:type="dxa"/>
                  <w:vAlign w:val="center"/>
                </w:tcPr>
                <w:p w14:paraId="5A8C54DE">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聚氨酯底漆</w:t>
                  </w:r>
                </w:p>
              </w:tc>
              <w:tc>
                <w:tcPr>
                  <w:tcW w:w="1051" w:type="dxa"/>
                  <w:vAlign w:val="center"/>
                </w:tcPr>
                <w:p w14:paraId="58BD5E35">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099" w:type="dxa"/>
                  <w:vAlign w:val="center"/>
                </w:tcPr>
                <w:p w14:paraId="35E52C3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0.6t/a</w:t>
                  </w:r>
                </w:p>
              </w:tc>
              <w:tc>
                <w:tcPr>
                  <w:tcW w:w="962" w:type="dxa"/>
                  <w:vAlign w:val="center"/>
                </w:tcPr>
                <w:p w14:paraId="66BBB257">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0.06t/a</w:t>
                  </w:r>
                </w:p>
              </w:tc>
              <w:tc>
                <w:tcPr>
                  <w:tcW w:w="962" w:type="dxa"/>
                  <w:vAlign w:val="center"/>
                </w:tcPr>
                <w:p w14:paraId="66DD68CC">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液态</w:t>
                  </w:r>
                </w:p>
              </w:tc>
              <w:tc>
                <w:tcPr>
                  <w:tcW w:w="904" w:type="dxa"/>
                  <w:vAlign w:val="center"/>
                </w:tcPr>
                <w:p w14:paraId="4029E583">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桶装、喷漆房存放</w:t>
                  </w:r>
                </w:p>
              </w:tc>
              <w:tc>
                <w:tcPr>
                  <w:tcW w:w="1303" w:type="dxa"/>
                  <w:vAlign w:val="center"/>
                </w:tcPr>
                <w:p w14:paraId="38C5D60B">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外购</w:t>
                  </w:r>
                </w:p>
              </w:tc>
            </w:tr>
            <w:tr w14:paraId="2BA4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36" w:type="dxa"/>
                  <w:vAlign w:val="center"/>
                </w:tcPr>
                <w:p w14:paraId="66E49F97">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聚氨酯漆固化剂</w:t>
                  </w:r>
                </w:p>
              </w:tc>
              <w:tc>
                <w:tcPr>
                  <w:tcW w:w="1051" w:type="dxa"/>
                  <w:vAlign w:val="center"/>
                </w:tcPr>
                <w:p w14:paraId="50A71E3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GD-SDS-2022-007</w:t>
                  </w:r>
                </w:p>
              </w:tc>
              <w:tc>
                <w:tcPr>
                  <w:tcW w:w="1099" w:type="dxa"/>
                  <w:vAlign w:val="center"/>
                </w:tcPr>
                <w:p w14:paraId="19E1876C">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0.25t/a</w:t>
                  </w:r>
                </w:p>
              </w:tc>
              <w:tc>
                <w:tcPr>
                  <w:tcW w:w="962" w:type="dxa"/>
                  <w:vAlign w:val="center"/>
                </w:tcPr>
                <w:p w14:paraId="4D5658AD">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0.02t/a</w:t>
                  </w:r>
                </w:p>
              </w:tc>
              <w:tc>
                <w:tcPr>
                  <w:tcW w:w="962" w:type="dxa"/>
                  <w:vAlign w:val="center"/>
                </w:tcPr>
                <w:p w14:paraId="65E3762A">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液态</w:t>
                  </w:r>
                </w:p>
              </w:tc>
              <w:tc>
                <w:tcPr>
                  <w:tcW w:w="904" w:type="dxa"/>
                  <w:vAlign w:val="center"/>
                </w:tcPr>
                <w:p w14:paraId="615BD13F">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桶装、喷漆房存放</w:t>
                  </w:r>
                </w:p>
              </w:tc>
              <w:tc>
                <w:tcPr>
                  <w:tcW w:w="1303" w:type="dxa"/>
                  <w:vAlign w:val="center"/>
                </w:tcPr>
                <w:p w14:paraId="66D343F9">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外购</w:t>
                  </w:r>
                </w:p>
              </w:tc>
            </w:tr>
            <w:tr w14:paraId="0AB1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36" w:type="dxa"/>
                  <w:vAlign w:val="center"/>
                </w:tcPr>
                <w:p w14:paraId="3F1035BD">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聚氨酯漆稀释剂</w:t>
                  </w:r>
                </w:p>
              </w:tc>
              <w:tc>
                <w:tcPr>
                  <w:tcW w:w="1051" w:type="dxa"/>
                  <w:vAlign w:val="center"/>
                </w:tcPr>
                <w:p w14:paraId="05C5665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099" w:type="dxa"/>
                  <w:vAlign w:val="center"/>
                </w:tcPr>
                <w:p w14:paraId="402EA085">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1.5t/a</w:t>
                  </w:r>
                </w:p>
              </w:tc>
              <w:tc>
                <w:tcPr>
                  <w:tcW w:w="962" w:type="dxa"/>
                  <w:vAlign w:val="center"/>
                </w:tcPr>
                <w:p w14:paraId="77125EEE">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0.1t/a</w:t>
                  </w:r>
                </w:p>
              </w:tc>
              <w:tc>
                <w:tcPr>
                  <w:tcW w:w="962" w:type="dxa"/>
                  <w:vAlign w:val="center"/>
                </w:tcPr>
                <w:p w14:paraId="55B14743">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液态</w:t>
                  </w:r>
                </w:p>
              </w:tc>
              <w:tc>
                <w:tcPr>
                  <w:tcW w:w="904" w:type="dxa"/>
                  <w:vAlign w:val="center"/>
                </w:tcPr>
                <w:p w14:paraId="1A5D4DBC">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桶装、喷漆房存放</w:t>
                  </w:r>
                </w:p>
              </w:tc>
              <w:tc>
                <w:tcPr>
                  <w:tcW w:w="1303" w:type="dxa"/>
                  <w:vAlign w:val="center"/>
                </w:tcPr>
                <w:p w14:paraId="4E38E1AE">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外购</w:t>
                  </w:r>
                </w:p>
              </w:tc>
            </w:tr>
            <w:tr w14:paraId="0FB2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36" w:type="dxa"/>
                  <w:vAlign w:val="center"/>
                </w:tcPr>
                <w:p w14:paraId="48C3E497">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产品包装塑料膜及包装扎带等</w:t>
                  </w:r>
                </w:p>
              </w:tc>
              <w:tc>
                <w:tcPr>
                  <w:tcW w:w="1051" w:type="dxa"/>
                  <w:vAlign w:val="center"/>
                </w:tcPr>
                <w:p w14:paraId="1F49A6E8">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不规则</w:t>
                  </w:r>
                </w:p>
              </w:tc>
              <w:tc>
                <w:tcPr>
                  <w:tcW w:w="1099" w:type="dxa"/>
                  <w:vAlign w:val="center"/>
                </w:tcPr>
                <w:p w14:paraId="2FD46C09">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1000卷/a</w:t>
                  </w:r>
                </w:p>
              </w:tc>
              <w:tc>
                <w:tcPr>
                  <w:tcW w:w="962" w:type="dxa"/>
                  <w:vAlign w:val="center"/>
                </w:tcPr>
                <w:p w14:paraId="5278AC68">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200卷</w:t>
                  </w:r>
                </w:p>
              </w:tc>
              <w:tc>
                <w:tcPr>
                  <w:tcW w:w="962" w:type="dxa"/>
                  <w:vAlign w:val="center"/>
                </w:tcPr>
                <w:p w14:paraId="14D2F55A">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固态</w:t>
                  </w:r>
                </w:p>
              </w:tc>
              <w:tc>
                <w:tcPr>
                  <w:tcW w:w="904" w:type="dxa"/>
                  <w:vAlign w:val="center"/>
                </w:tcPr>
                <w:p w14:paraId="3C746B75">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产品区摆放</w:t>
                  </w:r>
                </w:p>
              </w:tc>
              <w:tc>
                <w:tcPr>
                  <w:tcW w:w="1303" w:type="dxa"/>
                  <w:vAlign w:val="center"/>
                </w:tcPr>
                <w:p w14:paraId="7060CED7">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外购</w:t>
                  </w:r>
                </w:p>
              </w:tc>
            </w:tr>
            <w:tr w14:paraId="0D165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36" w:type="dxa"/>
                  <w:vAlign w:val="center"/>
                </w:tcPr>
                <w:p w14:paraId="0BB76D8F">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水</w:t>
                  </w:r>
                </w:p>
              </w:tc>
              <w:tc>
                <w:tcPr>
                  <w:tcW w:w="1051" w:type="dxa"/>
                  <w:vAlign w:val="center"/>
                </w:tcPr>
                <w:p w14:paraId="5FC3F2E0">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1099" w:type="dxa"/>
                  <w:vAlign w:val="center"/>
                </w:tcPr>
                <w:p w14:paraId="0A50085D">
                  <w:pPr>
                    <w:pStyle w:val="14"/>
                    <w:widowControl w:val="0"/>
                    <w:bidi w:val="0"/>
                    <w:rPr>
                      <w:rFonts w:hint="default" w:ascii="Times New Roman" w:hAnsi="Times New Roman" w:eastAsia="宋体" w:cs="Times New Roman"/>
                      <w:color w:val="auto"/>
                      <w:lang w:val="en-US" w:eastAsia="zh-CN"/>
                    </w:rPr>
                  </w:pPr>
                  <w:r>
                    <w:rPr>
                      <w:rFonts w:hint="eastAsia" w:cs="Times New Roman"/>
                      <w:color w:val="auto"/>
                      <w:lang w:val="en-US" w:eastAsia="zh-CN"/>
                    </w:rPr>
                    <w:t>371</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eastAsia" w:ascii="Times New Roman" w:hAnsi="Times New Roman" w:cs="Times New Roman"/>
                      <w:color w:val="auto"/>
                      <w:vertAlign w:val="baseline"/>
                      <w:lang w:val="en-US" w:eastAsia="zh-CN"/>
                    </w:rPr>
                    <w:t>/a</w:t>
                  </w:r>
                </w:p>
              </w:tc>
              <w:tc>
                <w:tcPr>
                  <w:tcW w:w="962" w:type="dxa"/>
                  <w:vAlign w:val="center"/>
                </w:tcPr>
                <w:p w14:paraId="73748DCF">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962" w:type="dxa"/>
                  <w:vAlign w:val="center"/>
                </w:tcPr>
                <w:p w14:paraId="7F9ED07B">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液态</w:t>
                  </w:r>
                </w:p>
              </w:tc>
              <w:tc>
                <w:tcPr>
                  <w:tcW w:w="904" w:type="dxa"/>
                  <w:vAlign w:val="center"/>
                </w:tcPr>
                <w:p w14:paraId="531555FF">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1303" w:type="dxa"/>
                  <w:vAlign w:val="center"/>
                </w:tcPr>
                <w:p w14:paraId="4F0B23E0">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市政自来水管供给</w:t>
                  </w:r>
                </w:p>
              </w:tc>
            </w:tr>
            <w:tr w14:paraId="3AA2C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36" w:type="dxa"/>
                  <w:vAlign w:val="center"/>
                </w:tcPr>
                <w:p w14:paraId="2E633627">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电</w:t>
                  </w:r>
                </w:p>
              </w:tc>
              <w:tc>
                <w:tcPr>
                  <w:tcW w:w="1051" w:type="dxa"/>
                  <w:vAlign w:val="center"/>
                </w:tcPr>
                <w:p w14:paraId="779675E4">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1099" w:type="dxa"/>
                  <w:vAlign w:val="center"/>
                </w:tcPr>
                <w:p w14:paraId="653A619D">
                  <w:pPr>
                    <w:pStyle w:val="14"/>
                    <w:widowControl w:val="0"/>
                    <w:bidi w:val="0"/>
                    <w:rPr>
                      <w:rFonts w:hint="default" w:ascii="Times New Roman" w:hAnsi="Times New Roman" w:cs="Times New Roman"/>
                      <w:color w:val="auto"/>
                    </w:rPr>
                  </w:pPr>
                  <w:r>
                    <w:rPr>
                      <w:rFonts w:hint="default" w:ascii="Times New Roman" w:hAnsi="Times New Roman" w:cs="Times New Roman"/>
                      <w:color w:val="auto"/>
                      <w:lang w:val="en-US" w:eastAsia="zh-CN"/>
                    </w:rPr>
                    <w:t>10</w:t>
                  </w:r>
                  <w:r>
                    <w:rPr>
                      <w:rFonts w:hint="default" w:ascii="Times New Roman" w:hAnsi="Times New Roman" w:cs="Times New Roman"/>
                      <w:color w:val="auto"/>
                    </w:rPr>
                    <w:t>万kwh</w:t>
                  </w:r>
                </w:p>
              </w:tc>
              <w:tc>
                <w:tcPr>
                  <w:tcW w:w="962" w:type="dxa"/>
                  <w:vAlign w:val="center"/>
                </w:tcPr>
                <w:p w14:paraId="5A2824D8">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962" w:type="dxa"/>
                  <w:vAlign w:val="center"/>
                </w:tcPr>
                <w:p w14:paraId="4460F285">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904" w:type="dxa"/>
                  <w:vAlign w:val="center"/>
                </w:tcPr>
                <w:p w14:paraId="45C9E687">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1303" w:type="dxa"/>
                  <w:vAlign w:val="center"/>
                </w:tcPr>
                <w:p w14:paraId="67DC3E23">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市政电网供给</w:t>
                  </w:r>
                </w:p>
              </w:tc>
            </w:tr>
          </w:tbl>
          <w:p w14:paraId="69A4C966">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原料性能及理化性质：</w:t>
            </w:r>
          </w:p>
          <w:p w14:paraId="7679B94B">
            <w:pPr>
              <w:bidi w:val="0"/>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lang w:val="en-US" w:eastAsia="zh-CN"/>
              </w:rPr>
              <w:t>聚氨酯漆：</w:t>
            </w:r>
            <w:r>
              <w:rPr>
                <w:rFonts w:hint="default" w:ascii="Times New Roman" w:hAnsi="Times New Roman" w:cs="Times New Roman"/>
                <w:b w:val="0"/>
                <w:bCs w:val="0"/>
                <w:color w:val="auto"/>
                <w:lang w:val="en-US" w:eastAsia="zh-CN"/>
              </w:rPr>
              <w:t>聚氨酯漆即聚氨基甲酸酯漆，是指在其涂膜中含有相称数目的氨酯键的涂料。它漆膜强韧，光泽丰满，附着力强，耐水耐磨、耐腐蚀性。被广泛用于高级木制家具，也可用于金属表面。可以分为双组分聚氨酯涂料和单组分聚氨酯涂料。双组分聚氨酯涂料一般是由异氰酸酯预聚物（也叫低分子氨基甲酸酯聚合物）和含羟基树脂两部分组成，通常称为固化剂组分和主剂组分。这一类涂料的品种很多，应用范围也很广。一般都具有良好的机械性能、较高的固体含量、各方面的性能都比较好。是很有发展前途的一类涂料品种。主要应用方向有木器涂料、汽车修补涂料、防腐涂料、地坪漆、电子涂料、特种涂料、聚氨酯防水涂料等。</w:t>
            </w:r>
            <w:r>
              <w:rPr>
                <w:rFonts w:hint="eastAsia" w:cs="Times New Roman"/>
                <w:b w:val="0"/>
                <w:bCs w:val="0"/>
                <w:color w:val="auto"/>
                <w:lang w:val="en-US" w:eastAsia="zh-CN"/>
              </w:rPr>
              <w:t>单组份</w:t>
            </w:r>
            <w:r>
              <w:rPr>
                <w:rFonts w:hint="default" w:ascii="Times New Roman" w:hAnsi="Times New Roman" w:cs="Times New Roman"/>
                <w:b w:val="0"/>
                <w:bCs w:val="0"/>
                <w:color w:val="auto"/>
                <w:lang w:val="en-US" w:eastAsia="zh-CN"/>
              </w:rPr>
              <w:t>聚氨酯涂料主要有氨酯油涂料、潮气固化聚氨酯涂料、封闭型聚氨酯涂料等品种。主要用于地板涂料、防腐涂料、预卷材涂料等。</w:t>
            </w:r>
          </w:p>
          <w:p w14:paraId="4CF19E10">
            <w:pPr>
              <w:bidi w:val="0"/>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lang w:val="en-US" w:eastAsia="zh-CN"/>
              </w:rPr>
              <w:t>聚氨酯漆稀释剂：</w:t>
            </w:r>
            <w:r>
              <w:rPr>
                <w:rFonts w:hint="default" w:ascii="Times New Roman" w:hAnsi="Times New Roman" w:cs="Times New Roman"/>
                <w:b w:val="0"/>
                <w:bCs w:val="0"/>
                <w:color w:val="auto"/>
                <w:lang w:val="en-US" w:eastAsia="zh-CN"/>
              </w:rPr>
              <w:t>是一种无色的稀释剂，由芳香烃溶剂和高沸点酯类溶剂制成，对聚氨酯产品有很好的稀释作用，稀释比1</w:t>
            </w:r>
            <w:r>
              <w:rPr>
                <w:rFonts w:hint="eastAsia" w:cs="Times New Roman"/>
                <w:b w:val="0"/>
                <w:bCs w:val="0"/>
                <w:color w:val="auto"/>
                <w:lang w:val="en-US" w:eastAsia="zh-CN"/>
              </w:rPr>
              <w:t>：</w:t>
            </w:r>
            <w:r>
              <w:rPr>
                <w:rFonts w:hint="default" w:ascii="Times New Roman" w:hAnsi="Times New Roman" w:cs="Times New Roman"/>
                <w:b w:val="0"/>
                <w:bCs w:val="0"/>
                <w:color w:val="auto"/>
                <w:lang w:val="en-US" w:eastAsia="zh-CN"/>
              </w:rPr>
              <w:t>1.5。</w:t>
            </w:r>
          </w:p>
          <w:p w14:paraId="6DCF7A3D">
            <w:pPr>
              <w:bidi w:val="0"/>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lang w:val="en-US" w:eastAsia="zh-CN"/>
              </w:rPr>
              <w:t>聚氨酯漆固化剂：</w:t>
            </w:r>
            <w:r>
              <w:rPr>
                <w:rFonts w:hint="default" w:ascii="Times New Roman" w:hAnsi="Times New Roman" w:cs="Times New Roman"/>
                <w:b w:val="0"/>
                <w:bCs w:val="0"/>
                <w:color w:val="auto"/>
                <w:lang w:val="en-US" w:eastAsia="zh-CN"/>
              </w:rPr>
              <w:t>固化剂又名硬化剂、熟化剂或变定剂，是一类增进或控制固化反应的物质或混合物。树脂固化是经过缩合、闭环、加成或催化等化学反应，使热固性树脂发生不可逆的变化过程，固化是通过添加固化（交联）剂来完成的。本次聚氨酯漆固化剂主要成分有二甲苯、乙酸丁酯、甲苯二异氰酸酯，聚氨酯漆与固化剂配比为4</w:t>
            </w:r>
            <w:r>
              <w:rPr>
                <w:rFonts w:hint="eastAsia" w:cs="Times New Roman"/>
                <w:b w:val="0"/>
                <w:bCs w:val="0"/>
                <w:color w:val="auto"/>
                <w:lang w:val="en-US" w:eastAsia="zh-CN"/>
              </w:rPr>
              <w:t>：</w:t>
            </w:r>
            <w:r>
              <w:rPr>
                <w:rFonts w:hint="default" w:ascii="Times New Roman" w:hAnsi="Times New Roman" w:cs="Times New Roman"/>
                <w:b w:val="0"/>
                <w:bCs w:val="0"/>
                <w:color w:val="auto"/>
                <w:lang w:val="en-US" w:eastAsia="zh-CN"/>
              </w:rPr>
              <w:t>1。</w:t>
            </w:r>
          </w:p>
          <w:p w14:paraId="265A3AB9">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项目所有漆、稀释剂及固化剂其主要有害成分详见下表</w:t>
            </w:r>
          </w:p>
          <w:p w14:paraId="6FD4EF1D">
            <w:pPr>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表2-4  主要有害成分一览表</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1212"/>
              <w:gridCol w:w="1188"/>
              <w:gridCol w:w="1131"/>
              <w:gridCol w:w="1705"/>
            </w:tblGrid>
            <w:tr w14:paraId="770E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647F4B15">
                  <w:pPr>
                    <w:pStyle w:val="14"/>
                    <w:widowControl w:val="0"/>
                    <w:bidi w:val="0"/>
                    <w:jc w:val="right"/>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名称</w:t>
                  </w:r>
                </w:p>
                <w:p w14:paraId="11D1959C">
                  <w:pPr>
                    <w:pStyle w:val="14"/>
                    <w:widowControl w:val="0"/>
                    <w:bidi w:val="0"/>
                    <w:jc w:val="left"/>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成分（%）</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046AB1D8">
                  <w:pPr>
                    <w:pStyle w:val="14"/>
                    <w:widowControl w:val="0"/>
                    <w:bidi w:val="0"/>
                    <w:ind w:firstLine="0" w:firstLineChars="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聚氨酯清漆</w:t>
                  </w:r>
                </w:p>
              </w:tc>
              <w:tc>
                <w:tcPr>
                  <w:tcW w:w="800" w:type="pct"/>
                  <w:tcBorders>
                    <w:top w:val="single" w:color="auto" w:sz="4" w:space="0"/>
                    <w:left w:val="single" w:color="auto" w:sz="4" w:space="0"/>
                    <w:bottom w:val="single" w:color="auto" w:sz="4" w:space="0"/>
                    <w:right w:val="single" w:color="auto" w:sz="4" w:space="0"/>
                  </w:tcBorders>
                  <w:noWrap w:val="0"/>
                  <w:vAlign w:val="center"/>
                </w:tcPr>
                <w:p w14:paraId="2DEC5ABE">
                  <w:pPr>
                    <w:pStyle w:val="14"/>
                    <w:widowControl w:val="0"/>
                    <w:bidi w:val="0"/>
                    <w:ind w:firstLine="0" w:firstLineChars="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聚氨酯底漆</w:t>
                  </w:r>
                </w:p>
              </w:tc>
              <w:tc>
                <w:tcPr>
                  <w:tcW w:w="762" w:type="pct"/>
                  <w:tcBorders>
                    <w:top w:val="single" w:color="auto" w:sz="4" w:space="0"/>
                    <w:left w:val="single" w:color="auto" w:sz="4" w:space="0"/>
                    <w:bottom w:val="single" w:color="auto" w:sz="4" w:space="0"/>
                    <w:right w:val="single" w:color="auto" w:sz="4" w:space="0"/>
                  </w:tcBorders>
                  <w:noWrap w:val="0"/>
                  <w:vAlign w:val="center"/>
                </w:tcPr>
                <w:p w14:paraId="4E8C2027">
                  <w:pPr>
                    <w:pStyle w:val="14"/>
                    <w:widowControl w:val="0"/>
                    <w:bidi w:val="0"/>
                    <w:ind w:firstLine="0" w:firstLineChars="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聚氨酯漆固化剂</w:t>
                  </w:r>
                </w:p>
              </w:tc>
              <w:tc>
                <w:tcPr>
                  <w:tcW w:w="1149" w:type="pct"/>
                  <w:tcBorders>
                    <w:top w:val="single" w:color="auto" w:sz="4" w:space="0"/>
                    <w:left w:val="single" w:color="auto" w:sz="4" w:space="0"/>
                    <w:bottom w:val="single" w:color="auto" w:sz="4" w:space="0"/>
                    <w:right w:val="single" w:color="auto" w:sz="4" w:space="0"/>
                  </w:tcBorders>
                  <w:noWrap w:val="0"/>
                  <w:vAlign w:val="center"/>
                </w:tcPr>
                <w:p w14:paraId="67320863">
                  <w:pPr>
                    <w:pStyle w:val="14"/>
                    <w:widowControl w:val="0"/>
                    <w:bidi w:val="0"/>
                    <w:ind w:firstLine="0" w:firstLineChars="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聚氨酯漆稀释剂（本次取均值）</w:t>
                  </w:r>
                </w:p>
              </w:tc>
            </w:tr>
            <w:tr w14:paraId="5302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tcBorders>
                    <w:top w:val="single" w:color="auto" w:sz="4" w:space="0"/>
                    <w:left w:val="single" w:color="auto" w:sz="4" w:space="0"/>
                    <w:bottom w:val="single" w:color="auto" w:sz="4" w:space="0"/>
                    <w:right w:val="single" w:color="auto" w:sz="4" w:space="0"/>
                  </w:tcBorders>
                  <w:noWrap w:val="0"/>
                  <w:vAlign w:val="center"/>
                </w:tcPr>
                <w:p w14:paraId="43EC6358">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二甲苯</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289F76A6">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800" w:type="pct"/>
                  <w:tcBorders>
                    <w:top w:val="single" w:color="auto" w:sz="4" w:space="0"/>
                    <w:left w:val="single" w:color="auto" w:sz="4" w:space="0"/>
                    <w:bottom w:val="single" w:color="auto" w:sz="4" w:space="0"/>
                    <w:right w:val="single" w:color="auto" w:sz="4" w:space="0"/>
                  </w:tcBorders>
                  <w:noWrap w:val="0"/>
                  <w:vAlign w:val="center"/>
                </w:tcPr>
                <w:p w14:paraId="637BAADD">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c>
                <w:tcPr>
                  <w:tcW w:w="762" w:type="pct"/>
                  <w:tcBorders>
                    <w:top w:val="single" w:color="auto" w:sz="4" w:space="0"/>
                    <w:left w:val="single" w:color="auto" w:sz="4" w:space="0"/>
                    <w:bottom w:val="single" w:color="auto" w:sz="4" w:space="0"/>
                    <w:right w:val="single" w:color="auto" w:sz="4" w:space="0"/>
                  </w:tcBorders>
                  <w:noWrap w:val="0"/>
                  <w:vAlign w:val="center"/>
                </w:tcPr>
                <w:p w14:paraId="656806B2">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w:t>
                  </w:r>
                </w:p>
              </w:tc>
              <w:tc>
                <w:tcPr>
                  <w:tcW w:w="1149" w:type="pct"/>
                  <w:tcBorders>
                    <w:top w:val="single" w:color="auto" w:sz="4" w:space="0"/>
                    <w:left w:val="single" w:color="auto" w:sz="4" w:space="0"/>
                    <w:bottom w:val="single" w:color="auto" w:sz="4" w:space="0"/>
                    <w:right w:val="single" w:color="auto" w:sz="4" w:space="0"/>
                  </w:tcBorders>
                  <w:noWrap w:val="0"/>
                  <w:vAlign w:val="center"/>
                </w:tcPr>
                <w:p w14:paraId="1790023E">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20-50（35）</w:t>
                  </w:r>
                </w:p>
              </w:tc>
            </w:tr>
            <w:tr w14:paraId="55819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tcBorders>
                    <w:top w:val="single" w:color="auto" w:sz="4" w:space="0"/>
                    <w:left w:val="single" w:color="auto" w:sz="4" w:space="0"/>
                    <w:bottom w:val="single" w:color="auto" w:sz="4" w:space="0"/>
                    <w:right w:val="single" w:color="auto" w:sz="4" w:space="0"/>
                  </w:tcBorders>
                  <w:noWrap w:val="0"/>
                  <w:vAlign w:val="center"/>
                </w:tcPr>
                <w:p w14:paraId="52C3A4F5">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乙酸丁酯</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0E6860B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800" w:type="pct"/>
                  <w:tcBorders>
                    <w:top w:val="single" w:color="auto" w:sz="4" w:space="0"/>
                    <w:left w:val="single" w:color="auto" w:sz="4" w:space="0"/>
                    <w:bottom w:val="single" w:color="auto" w:sz="4" w:space="0"/>
                    <w:right w:val="single" w:color="auto" w:sz="4" w:space="0"/>
                  </w:tcBorders>
                  <w:noWrap w:val="0"/>
                  <w:vAlign w:val="center"/>
                </w:tcPr>
                <w:p w14:paraId="10BD2BC3">
                  <w:pPr>
                    <w:pStyle w:val="14"/>
                    <w:widowControl w:val="0"/>
                    <w:bidi w:val="0"/>
                    <w:rPr>
                      <w:rFonts w:hint="default" w:ascii="Times New Roman" w:hAnsi="Times New Roman" w:cs="Times New Roman"/>
                      <w:color w:val="auto"/>
                      <w:lang w:val="en-US" w:eastAsia="zh-CN"/>
                    </w:rPr>
                  </w:pPr>
                </w:p>
              </w:tc>
              <w:tc>
                <w:tcPr>
                  <w:tcW w:w="762" w:type="pct"/>
                  <w:tcBorders>
                    <w:top w:val="single" w:color="auto" w:sz="4" w:space="0"/>
                    <w:left w:val="single" w:color="auto" w:sz="4" w:space="0"/>
                    <w:bottom w:val="single" w:color="auto" w:sz="4" w:space="0"/>
                    <w:right w:val="single" w:color="auto" w:sz="4" w:space="0"/>
                  </w:tcBorders>
                  <w:noWrap w:val="0"/>
                  <w:vAlign w:val="center"/>
                </w:tcPr>
                <w:p w14:paraId="55F2BDD4">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p>
              </w:tc>
              <w:tc>
                <w:tcPr>
                  <w:tcW w:w="1149" w:type="pct"/>
                  <w:tcBorders>
                    <w:top w:val="single" w:color="auto" w:sz="4" w:space="0"/>
                    <w:left w:val="single" w:color="auto" w:sz="4" w:space="0"/>
                    <w:bottom w:val="single" w:color="auto" w:sz="4" w:space="0"/>
                    <w:right w:val="single" w:color="auto" w:sz="4" w:space="0"/>
                  </w:tcBorders>
                  <w:noWrap w:val="0"/>
                  <w:vAlign w:val="center"/>
                </w:tcPr>
                <w:p w14:paraId="1566CD03">
                  <w:pPr>
                    <w:pStyle w:val="14"/>
                    <w:widowControl w:val="0"/>
                    <w:bidi w:val="0"/>
                    <w:rPr>
                      <w:rFonts w:hint="default" w:ascii="Times New Roman" w:hAnsi="Times New Roman" w:cs="Times New Roman"/>
                      <w:color w:val="auto"/>
                      <w:lang w:val="en-US" w:eastAsia="zh-CN"/>
                    </w:rPr>
                  </w:pPr>
                </w:p>
              </w:tc>
            </w:tr>
            <w:tr w14:paraId="46EAD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tcBorders>
                    <w:top w:val="single" w:color="auto" w:sz="4" w:space="0"/>
                    <w:left w:val="single" w:color="auto" w:sz="4" w:space="0"/>
                    <w:bottom w:val="single" w:color="auto" w:sz="4" w:space="0"/>
                    <w:right w:val="single" w:color="auto" w:sz="4" w:space="0"/>
                  </w:tcBorders>
                  <w:noWrap w:val="0"/>
                  <w:vAlign w:val="center"/>
                </w:tcPr>
                <w:p w14:paraId="2E035D41">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环己酮</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150317BC">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800" w:type="pct"/>
                  <w:tcBorders>
                    <w:top w:val="single" w:color="auto" w:sz="4" w:space="0"/>
                    <w:left w:val="single" w:color="auto" w:sz="4" w:space="0"/>
                    <w:bottom w:val="single" w:color="auto" w:sz="4" w:space="0"/>
                    <w:right w:val="single" w:color="auto" w:sz="4" w:space="0"/>
                  </w:tcBorders>
                  <w:noWrap w:val="0"/>
                  <w:vAlign w:val="center"/>
                </w:tcPr>
                <w:p w14:paraId="19BA7C8F">
                  <w:pPr>
                    <w:pStyle w:val="14"/>
                    <w:widowControl w:val="0"/>
                    <w:bidi w:val="0"/>
                    <w:rPr>
                      <w:rFonts w:hint="default" w:ascii="Times New Roman" w:hAnsi="Times New Roman" w:cs="Times New Roman"/>
                      <w:color w:val="auto"/>
                      <w:lang w:val="en-US" w:eastAsia="zh-CN"/>
                    </w:rPr>
                  </w:pPr>
                </w:p>
              </w:tc>
              <w:tc>
                <w:tcPr>
                  <w:tcW w:w="762" w:type="pct"/>
                  <w:tcBorders>
                    <w:top w:val="single" w:color="auto" w:sz="4" w:space="0"/>
                    <w:left w:val="single" w:color="auto" w:sz="4" w:space="0"/>
                    <w:bottom w:val="single" w:color="auto" w:sz="4" w:space="0"/>
                    <w:right w:val="single" w:color="auto" w:sz="4" w:space="0"/>
                  </w:tcBorders>
                  <w:noWrap w:val="0"/>
                  <w:vAlign w:val="center"/>
                </w:tcPr>
                <w:p w14:paraId="0177D7CE">
                  <w:pPr>
                    <w:pStyle w:val="14"/>
                    <w:widowControl w:val="0"/>
                    <w:bidi w:val="0"/>
                    <w:rPr>
                      <w:rFonts w:hint="default" w:ascii="Times New Roman" w:hAnsi="Times New Roman" w:cs="Times New Roman"/>
                      <w:color w:val="auto"/>
                      <w:lang w:val="en-US" w:eastAsia="zh-CN"/>
                    </w:rPr>
                  </w:pPr>
                </w:p>
              </w:tc>
              <w:tc>
                <w:tcPr>
                  <w:tcW w:w="1149" w:type="pct"/>
                  <w:tcBorders>
                    <w:top w:val="single" w:color="auto" w:sz="4" w:space="0"/>
                    <w:left w:val="single" w:color="auto" w:sz="4" w:space="0"/>
                    <w:bottom w:val="single" w:color="auto" w:sz="4" w:space="0"/>
                    <w:right w:val="single" w:color="auto" w:sz="4" w:space="0"/>
                  </w:tcBorders>
                  <w:noWrap w:val="0"/>
                  <w:vAlign w:val="center"/>
                </w:tcPr>
                <w:p w14:paraId="1F36592F">
                  <w:pPr>
                    <w:pStyle w:val="14"/>
                    <w:widowControl w:val="0"/>
                    <w:bidi w:val="0"/>
                    <w:rPr>
                      <w:rFonts w:hint="default" w:ascii="Times New Roman" w:hAnsi="Times New Roman" w:cs="Times New Roman"/>
                      <w:color w:val="auto"/>
                      <w:lang w:val="en-US" w:eastAsia="zh-CN"/>
                    </w:rPr>
                  </w:pPr>
                </w:p>
              </w:tc>
            </w:tr>
            <w:tr w14:paraId="1446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tcBorders>
                    <w:top w:val="single" w:color="auto" w:sz="4" w:space="0"/>
                    <w:left w:val="single" w:color="auto" w:sz="4" w:space="0"/>
                    <w:bottom w:val="single" w:color="auto" w:sz="4" w:space="0"/>
                    <w:right w:val="single" w:color="auto" w:sz="4" w:space="0"/>
                  </w:tcBorders>
                  <w:noWrap w:val="0"/>
                  <w:vAlign w:val="center"/>
                </w:tcPr>
                <w:p w14:paraId="25C4BAE5">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醋酸丁酯</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687E7680">
                  <w:pPr>
                    <w:pStyle w:val="14"/>
                    <w:widowControl w:val="0"/>
                    <w:bidi w:val="0"/>
                    <w:rPr>
                      <w:rFonts w:hint="default" w:ascii="Times New Roman" w:hAnsi="Times New Roman" w:cs="Times New Roman"/>
                      <w:color w:val="auto"/>
                      <w:lang w:val="en-US" w:eastAsia="zh-CN"/>
                    </w:rPr>
                  </w:pPr>
                </w:p>
              </w:tc>
              <w:tc>
                <w:tcPr>
                  <w:tcW w:w="800" w:type="pct"/>
                  <w:tcBorders>
                    <w:top w:val="single" w:color="auto" w:sz="4" w:space="0"/>
                    <w:left w:val="single" w:color="auto" w:sz="4" w:space="0"/>
                    <w:bottom w:val="single" w:color="auto" w:sz="4" w:space="0"/>
                    <w:right w:val="single" w:color="auto" w:sz="4" w:space="0"/>
                  </w:tcBorders>
                  <w:noWrap w:val="0"/>
                  <w:vAlign w:val="center"/>
                </w:tcPr>
                <w:p w14:paraId="5A3DF720">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w:t>
                  </w:r>
                </w:p>
              </w:tc>
              <w:tc>
                <w:tcPr>
                  <w:tcW w:w="762" w:type="pct"/>
                  <w:tcBorders>
                    <w:top w:val="single" w:color="auto" w:sz="4" w:space="0"/>
                    <w:left w:val="single" w:color="auto" w:sz="4" w:space="0"/>
                    <w:bottom w:val="single" w:color="auto" w:sz="4" w:space="0"/>
                    <w:right w:val="single" w:color="auto" w:sz="4" w:space="0"/>
                  </w:tcBorders>
                  <w:noWrap w:val="0"/>
                  <w:vAlign w:val="center"/>
                </w:tcPr>
                <w:p w14:paraId="26D89AEC">
                  <w:pPr>
                    <w:pStyle w:val="14"/>
                    <w:widowControl w:val="0"/>
                    <w:bidi w:val="0"/>
                    <w:rPr>
                      <w:rFonts w:hint="default" w:ascii="Times New Roman" w:hAnsi="Times New Roman" w:cs="Times New Roman"/>
                      <w:color w:val="auto"/>
                      <w:lang w:val="en-US" w:eastAsia="zh-CN"/>
                    </w:rPr>
                  </w:pPr>
                </w:p>
              </w:tc>
              <w:tc>
                <w:tcPr>
                  <w:tcW w:w="1149" w:type="pct"/>
                  <w:tcBorders>
                    <w:top w:val="single" w:color="auto" w:sz="4" w:space="0"/>
                    <w:left w:val="single" w:color="auto" w:sz="4" w:space="0"/>
                    <w:bottom w:val="single" w:color="auto" w:sz="4" w:space="0"/>
                    <w:right w:val="single" w:color="auto" w:sz="4" w:space="0"/>
                  </w:tcBorders>
                  <w:noWrap w:val="0"/>
                  <w:vAlign w:val="center"/>
                </w:tcPr>
                <w:p w14:paraId="44E6FD8E">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15-40（27.5）</w:t>
                  </w:r>
                </w:p>
              </w:tc>
            </w:tr>
            <w:tr w14:paraId="5D86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tcBorders>
                    <w:top w:val="single" w:color="auto" w:sz="4" w:space="0"/>
                    <w:left w:val="single" w:color="auto" w:sz="4" w:space="0"/>
                    <w:bottom w:val="single" w:color="auto" w:sz="4" w:space="0"/>
                    <w:right w:val="single" w:color="auto" w:sz="4" w:space="0"/>
                  </w:tcBorders>
                  <w:noWrap w:val="0"/>
                  <w:vAlign w:val="center"/>
                </w:tcPr>
                <w:p w14:paraId="4029C861">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醋酸乙酯</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5CD14A9F">
                  <w:pPr>
                    <w:pStyle w:val="14"/>
                    <w:widowControl w:val="0"/>
                    <w:bidi w:val="0"/>
                    <w:rPr>
                      <w:rFonts w:hint="default" w:ascii="Times New Roman" w:hAnsi="Times New Roman" w:cs="Times New Roman"/>
                      <w:color w:val="auto"/>
                      <w:lang w:val="en-US" w:eastAsia="zh-CN"/>
                    </w:rPr>
                  </w:pPr>
                </w:p>
              </w:tc>
              <w:tc>
                <w:tcPr>
                  <w:tcW w:w="800" w:type="pct"/>
                  <w:tcBorders>
                    <w:top w:val="single" w:color="auto" w:sz="4" w:space="0"/>
                    <w:left w:val="single" w:color="auto" w:sz="4" w:space="0"/>
                    <w:bottom w:val="single" w:color="auto" w:sz="4" w:space="0"/>
                    <w:right w:val="single" w:color="auto" w:sz="4" w:space="0"/>
                  </w:tcBorders>
                  <w:noWrap w:val="0"/>
                  <w:vAlign w:val="center"/>
                </w:tcPr>
                <w:p w14:paraId="62712BE0">
                  <w:pPr>
                    <w:pStyle w:val="14"/>
                    <w:widowControl w:val="0"/>
                    <w:bidi w:val="0"/>
                    <w:rPr>
                      <w:rFonts w:hint="default" w:ascii="Times New Roman" w:hAnsi="Times New Roman" w:cs="Times New Roman"/>
                      <w:color w:val="auto"/>
                      <w:lang w:val="en-US" w:eastAsia="zh-CN"/>
                    </w:rPr>
                  </w:pPr>
                </w:p>
              </w:tc>
              <w:tc>
                <w:tcPr>
                  <w:tcW w:w="762" w:type="pct"/>
                  <w:tcBorders>
                    <w:top w:val="single" w:color="auto" w:sz="4" w:space="0"/>
                    <w:left w:val="single" w:color="auto" w:sz="4" w:space="0"/>
                    <w:bottom w:val="single" w:color="auto" w:sz="4" w:space="0"/>
                    <w:right w:val="single" w:color="auto" w:sz="4" w:space="0"/>
                  </w:tcBorders>
                  <w:noWrap w:val="0"/>
                  <w:vAlign w:val="center"/>
                </w:tcPr>
                <w:p w14:paraId="60EDA576">
                  <w:pPr>
                    <w:pStyle w:val="14"/>
                    <w:widowControl w:val="0"/>
                    <w:bidi w:val="0"/>
                    <w:rPr>
                      <w:rFonts w:hint="default" w:ascii="Times New Roman" w:hAnsi="Times New Roman" w:cs="Times New Roman"/>
                      <w:color w:val="auto"/>
                      <w:lang w:val="en-US" w:eastAsia="zh-CN"/>
                    </w:rPr>
                  </w:pPr>
                </w:p>
              </w:tc>
              <w:tc>
                <w:tcPr>
                  <w:tcW w:w="1149" w:type="pct"/>
                  <w:tcBorders>
                    <w:top w:val="single" w:color="auto" w:sz="4" w:space="0"/>
                    <w:left w:val="single" w:color="auto" w:sz="4" w:space="0"/>
                    <w:bottom w:val="single" w:color="auto" w:sz="4" w:space="0"/>
                    <w:right w:val="single" w:color="auto" w:sz="4" w:space="0"/>
                  </w:tcBorders>
                  <w:noWrap w:val="0"/>
                  <w:vAlign w:val="center"/>
                </w:tcPr>
                <w:p w14:paraId="4BECD887">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0-15（7.5）</w:t>
                  </w:r>
                </w:p>
              </w:tc>
            </w:tr>
            <w:tr w14:paraId="7F56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tcBorders>
                    <w:top w:val="single" w:color="auto" w:sz="4" w:space="0"/>
                    <w:left w:val="single" w:color="auto" w:sz="4" w:space="0"/>
                    <w:bottom w:val="single" w:color="auto" w:sz="4" w:space="0"/>
                    <w:right w:val="single" w:color="auto" w:sz="4" w:space="0"/>
                  </w:tcBorders>
                  <w:noWrap w:val="0"/>
                  <w:vAlign w:val="center"/>
                </w:tcPr>
                <w:p w14:paraId="4CA0B522">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羧基丙烯酸树脂</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3A1E0D99">
                  <w:pPr>
                    <w:pStyle w:val="14"/>
                    <w:widowControl w:val="0"/>
                    <w:bidi w:val="0"/>
                    <w:rPr>
                      <w:rFonts w:hint="default" w:ascii="Times New Roman" w:hAnsi="Times New Roman" w:cs="Times New Roman"/>
                      <w:color w:val="auto"/>
                      <w:lang w:val="en-US" w:eastAsia="zh-CN"/>
                    </w:rPr>
                  </w:pPr>
                </w:p>
              </w:tc>
              <w:tc>
                <w:tcPr>
                  <w:tcW w:w="800" w:type="pct"/>
                  <w:tcBorders>
                    <w:top w:val="single" w:color="auto" w:sz="4" w:space="0"/>
                    <w:left w:val="single" w:color="auto" w:sz="4" w:space="0"/>
                    <w:bottom w:val="single" w:color="auto" w:sz="4" w:space="0"/>
                    <w:right w:val="single" w:color="auto" w:sz="4" w:space="0"/>
                  </w:tcBorders>
                  <w:noWrap w:val="0"/>
                  <w:vAlign w:val="center"/>
                </w:tcPr>
                <w:p w14:paraId="6A89AAB2">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w:t>
                  </w:r>
                </w:p>
              </w:tc>
              <w:tc>
                <w:tcPr>
                  <w:tcW w:w="762" w:type="pct"/>
                  <w:tcBorders>
                    <w:top w:val="single" w:color="auto" w:sz="4" w:space="0"/>
                    <w:left w:val="single" w:color="auto" w:sz="4" w:space="0"/>
                    <w:bottom w:val="single" w:color="auto" w:sz="4" w:space="0"/>
                    <w:right w:val="single" w:color="auto" w:sz="4" w:space="0"/>
                  </w:tcBorders>
                  <w:noWrap w:val="0"/>
                  <w:vAlign w:val="center"/>
                </w:tcPr>
                <w:p w14:paraId="6D717549">
                  <w:pPr>
                    <w:pStyle w:val="14"/>
                    <w:widowControl w:val="0"/>
                    <w:bidi w:val="0"/>
                    <w:rPr>
                      <w:rFonts w:hint="default" w:ascii="Times New Roman" w:hAnsi="Times New Roman" w:cs="Times New Roman"/>
                      <w:color w:val="auto"/>
                      <w:lang w:val="en-US" w:eastAsia="zh-CN"/>
                    </w:rPr>
                  </w:pPr>
                </w:p>
              </w:tc>
              <w:tc>
                <w:tcPr>
                  <w:tcW w:w="1149" w:type="pct"/>
                  <w:tcBorders>
                    <w:top w:val="single" w:color="auto" w:sz="4" w:space="0"/>
                    <w:left w:val="single" w:color="auto" w:sz="4" w:space="0"/>
                    <w:bottom w:val="single" w:color="auto" w:sz="4" w:space="0"/>
                    <w:right w:val="single" w:color="auto" w:sz="4" w:space="0"/>
                  </w:tcBorders>
                  <w:noWrap w:val="0"/>
                  <w:vAlign w:val="center"/>
                </w:tcPr>
                <w:p w14:paraId="67CCD179">
                  <w:pPr>
                    <w:pStyle w:val="14"/>
                    <w:widowControl w:val="0"/>
                    <w:bidi w:val="0"/>
                    <w:rPr>
                      <w:rFonts w:hint="default" w:ascii="Times New Roman" w:hAnsi="Times New Roman" w:cs="Times New Roman"/>
                      <w:color w:val="auto"/>
                      <w:lang w:val="en-US" w:eastAsia="zh-CN"/>
                    </w:rPr>
                  </w:pPr>
                </w:p>
              </w:tc>
            </w:tr>
            <w:tr w14:paraId="4876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tcBorders>
                    <w:top w:val="single" w:color="auto" w:sz="4" w:space="0"/>
                    <w:left w:val="single" w:color="auto" w:sz="4" w:space="0"/>
                    <w:bottom w:val="single" w:color="auto" w:sz="4" w:space="0"/>
                    <w:right w:val="single" w:color="auto" w:sz="4" w:space="0"/>
                  </w:tcBorders>
                  <w:noWrap w:val="0"/>
                  <w:vAlign w:val="center"/>
                </w:tcPr>
                <w:p w14:paraId="313238DF">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甲苯二异氰酸酯</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4077028B">
                  <w:pPr>
                    <w:pStyle w:val="14"/>
                    <w:widowControl w:val="0"/>
                    <w:bidi w:val="0"/>
                    <w:rPr>
                      <w:rFonts w:hint="default" w:ascii="Times New Roman" w:hAnsi="Times New Roman" w:cs="Times New Roman"/>
                      <w:color w:val="auto"/>
                      <w:lang w:val="en-US" w:eastAsia="zh-CN"/>
                    </w:rPr>
                  </w:pPr>
                </w:p>
              </w:tc>
              <w:tc>
                <w:tcPr>
                  <w:tcW w:w="800" w:type="pct"/>
                  <w:tcBorders>
                    <w:top w:val="single" w:color="auto" w:sz="4" w:space="0"/>
                    <w:left w:val="single" w:color="auto" w:sz="4" w:space="0"/>
                    <w:bottom w:val="single" w:color="auto" w:sz="4" w:space="0"/>
                    <w:right w:val="single" w:color="auto" w:sz="4" w:space="0"/>
                  </w:tcBorders>
                  <w:noWrap w:val="0"/>
                  <w:vAlign w:val="center"/>
                </w:tcPr>
                <w:p w14:paraId="05D3B733">
                  <w:pPr>
                    <w:pStyle w:val="14"/>
                    <w:widowControl w:val="0"/>
                    <w:bidi w:val="0"/>
                    <w:rPr>
                      <w:rFonts w:hint="default" w:ascii="Times New Roman" w:hAnsi="Times New Roman" w:cs="Times New Roman"/>
                      <w:color w:val="auto"/>
                      <w:lang w:val="en-US" w:eastAsia="zh-CN"/>
                    </w:rPr>
                  </w:pPr>
                </w:p>
              </w:tc>
              <w:tc>
                <w:tcPr>
                  <w:tcW w:w="762" w:type="pct"/>
                  <w:tcBorders>
                    <w:top w:val="single" w:color="auto" w:sz="4" w:space="0"/>
                    <w:left w:val="single" w:color="auto" w:sz="4" w:space="0"/>
                    <w:bottom w:val="single" w:color="auto" w:sz="4" w:space="0"/>
                    <w:right w:val="single" w:color="auto" w:sz="4" w:space="0"/>
                  </w:tcBorders>
                  <w:noWrap w:val="0"/>
                  <w:vAlign w:val="center"/>
                </w:tcPr>
                <w:p w14:paraId="3EBD4782">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w:t>
                  </w:r>
                </w:p>
              </w:tc>
              <w:tc>
                <w:tcPr>
                  <w:tcW w:w="1149" w:type="pct"/>
                  <w:tcBorders>
                    <w:top w:val="single" w:color="auto" w:sz="4" w:space="0"/>
                    <w:left w:val="single" w:color="auto" w:sz="4" w:space="0"/>
                    <w:bottom w:val="single" w:color="auto" w:sz="4" w:space="0"/>
                    <w:right w:val="single" w:color="auto" w:sz="4" w:space="0"/>
                  </w:tcBorders>
                  <w:noWrap w:val="0"/>
                  <w:vAlign w:val="center"/>
                </w:tcPr>
                <w:p w14:paraId="1B94E3CF">
                  <w:pPr>
                    <w:pStyle w:val="14"/>
                    <w:widowControl w:val="0"/>
                    <w:bidi w:val="0"/>
                    <w:rPr>
                      <w:rFonts w:hint="default" w:ascii="Times New Roman" w:hAnsi="Times New Roman" w:cs="Times New Roman"/>
                      <w:color w:val="auto"/>
                      <w:lang w:val="en-US" w:eastAsia="zh-CN"/>
                    </w:rPr>
                  </w:pPr>
                </w:p>
              </w:tc>
            </w:tr>
            <w:tr w14:paraId="3E927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tcBorders>
                    <w:top w:val="single" w:color="auto" w:sz="4" w:space="0"/>
                    <w:left w:val="single" w:color="auto" w:sz="4" w:space="0"/>
                    <w:bottom w:val="single" w:color="auto" w:sz="4" w:space="0"/>
                    <w:right w:val="single" w:color="auto" w:sz="4" w:space="0"/>
                  </w:tcBorders>
                  <w:noWrap w:val="0"/>
                  <w:vAlign w:val="center"/>
                </w:tcPr>
                <w:p w14:paraId="783E39E5">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甲基异丁基酮</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2F09707C">
                  <w:pPr>
                    <w:pStyle w:val="14"/>
                    <w:widowControl w:val="0"/>
                    <w:bidi w:val="0"/>
                    <w:rPr>
                      <w:rFonts w:hint="default" w:ascii="Times New Roman" w:hAnsi="Times New Roman" w:cs="Times New Roman"/>
                      <w:color w:val="auto"/>
                      <w:lang w:val="en-US" w:eastAsia="zh-CN"/>
                    </w:rPr>
                  </w:pPr>
                </w:p>
              </w:tc>
              <w:tc>
                <w:tcPr>
                  <w:tcW w:w="800" w:type="pct"/>
                  <w:tcBorders>
                    <w:top w:val="single" w:color="auto" w:sz="4" w:space="0"/>
                    <w:left w:val="single" w:color="auto" w:sz="4" w:space="0"/>
                    <w:bottom w:val="single" w:color="auto" w:sz="4" w:space="0"/>
                    <w:right w:val="single" w:color="auto" w:sz="4" w:space="0"/>
                  </w:tcBorders>
                  <w:noWrap w:val="0"/>
                  <w:vAlign w:val="center"/>
                </w:tcPr>
                <w:p w14:paraId="393FEA78">
                  <w:pPr>
                    <w:pStyle w:val="14"/>
                    <w:widowControl w:val="0"/>
                    <w:bidi w:val="0"/>
                    <w:rPr>
                      <w:rFonts w:hint="default" w:ascii="Times New Roman" w:hAnsi="Times New Roman" w:cs="Times New Roman"/>
                      <w:color w:val="auto"/>
                      <w:lang w:val="en-US" w:eastAsia="zh-CN"/>
                    </w:rPr>
                  </w:pPr>
                </w:p>
              </w:tc>
              <w:tc>
                <w:tcPr>
                  <w:tcW w:w="762" w:type="pct"/>
                  <w:tcBorders>
                    <w:top w:val="single" w:color="auto" w:sz="4" w:space="0"/>
                    <w:left w:val="single" w:color="auto" w:sz="4" w:space="0"/>
                    <w:bottom w:val="single" w:color="auto" w:sz="4" w:space="0"/>
                    <w:right w:val="single" w:color="auto" w:sz="4" w:space="0"/>
                  </w:tcBorders>
                  <w:noWrap w:val="0"/>
                  <w:vAlign w:val="center"/>
                </w:tcPr>
                <w:p w14:paraId="13587228">
                  <w:pPr>
                    <w:pStyle w:val="14"/>
                    <w:widowControl w:val="0"/>
                    <w:bidi w:val="0"/>
                    <w:rPr>
                      <w:rFonts w:hint="default" w:ascii="Times New Roman" w:hAnsi="Times New Roman" w:cs="Times New Roman"/>
                      <w:color w:val="auto"/>
                      <w:lang w:val="en-US" w:eastAsia="zh-CN"/>
                    </w:rPr>
                  </w:pPr>
                </w:p>
              </w:tc>
              <w:tc>
                <w:tcPr>
                  <w:tcW w:w="1149" w:type="pct"/>
                  <w:tcBorders>
                    <w:top w:val="single" w:color="auto" w:sz="4" w:space="0"/>
                    <w:left w:val="single" w:color="auto" w:sz="4" w:space="0"/>
                    <w:bottom w:val="single" w:color="auto" w:sz="4" w:space="0"/>
                    <w:right w:val="single" w:color="auto" w:sz="4" w:space="0"/>
                  </w:tcBorders>
                  <w:noWrap w:val="0"/>
                  <w:vAlign w:val="center"/>
                </w:tcPr>
                <w:p w14:paraId="57991E7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0-5（2.5）</w:t>
                  </w:r>
                </w:p>
              </w:tc>
            </w:tr>
            <w:tr w14:paraId="482C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tcBorders>
                    <w:top w:val="single" w:color="auto" w:sz="4" w:space="0"/>
                    <w:left w:val="single" w:color="auto" w:sz="4" w:space="0"/>
                    <w:bottom w:val="single" w:color="auto" w:sz="4" w:space="0"/>
                    <w:right w:val="single" w:color="auto" w:sz="4" w:space="0"/>
                  </w:tcBorders>
                  <w:noWrap w:val="0"/>
                  <w:vAlign w:val="center"/>
                </w:tcPr>
                <w:p w14:paraId="3272DDB8">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丙二酮甲醚醋酸酯</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25AFF4EA">
                  <w:pPr>
                    <w:pStyle w:val="14"/>
                    <w:widowControl w:val="0"/>
                    <w:bidi w:val="0"/>
                    <w:rPr>
                      <w:rFonts w:hint="default" w:ascii="Times New Roman" w:hAnsi="Times New Roman" w:cs="Times New Roman"/>
                      <w:color w:val="auto"/>
                      <w:lang w:val="en-US" w:eastAsia="zh-CN"/>
                    </w:rPr>
                  </w:pPr>
                </w:p>
              </w:tc>
              <w:tc>
                <w:tcPr>
                  <w:tcW w:w="800" w:type="pct"/>
                  <w:tcBorders>
                    <w:top w:val="single" w:color="auto" w:sz="4" w:space="0"/>
                    <w:left w:val="single" w:color="auto" w:sz="4" w:space="0"/>
                    <w:bottom w:val="single" w:color="auto" w:sz="4" w:space="0"/>
                    <w:right w:val="single" w:color="auto" w:sz="4" w:space="0"/>
                  </w:tcBorders>
                  <w:noWrap w:val="0"/>
                  <w:vAlign w:val="center"/>
                </w:tcPr>
                <w:p w14:paraId="1FEAF8F0">
                  <w:pPr>
                    <w:pStyle w:val="14"/>
                    <w:widowControl w:val="0"/>
                    <w:bidi w:val="0"/>
                    <w:rPr>
                      <w:rFonts w:hint="default" w:ascii="Times New Roman" w:hAnsi="Times New Roman" w:cs="Times New Roman"/>
                      <w:color w:val="auto"/>
                      <w:lang w:val="en-US" w:eastAsia="zh-CN"/>
                    </w:rPr>
                  </w:pPr>
                </w:p>
              </w:tc>
              <w:tc>
                <w:tcPr>
                  <w:tcW w:w="762" w:type="pct"/>
                  <w:tcBorders>
                    <w:top w:val="single" w:color="auto" w:sz="4" w:space="0"/>
                    <w:left w:val="single" w:color="auto" w:sz="4" w:space="0"/>
                    <w:bottom w:val="single" w:color="auto" w:sz="4" w:space="0"/>
                    <w:right w:val="single" w:color="auto" w:sz="4" w:space="0"/>
                  </w:tcBorders>
                  <w:noWrap w:val="0"/>
                  <w:vAlign w:val="center"/>
                </w:tcPr>
                <w:p w14:paraId="536AEBFC">
                  <w:pPr>
                    <w:pStyle w:val="14"/>
                    <w:widowControl w:val="0"/>
                    <w:bidi w:val="0"/>
                    <w:rPr>
                      <w:rFonts w:hint="default" w:ascii="Times New Roman" w:hAnsi="Times New Roman" w:cs="Times New Roman"/>
                      <w:color w:val="auto"/>
                      <w:lang w:val="en-US" w:eastAsia="zh-CN"/>
                    </w:rPr>
                  </w:pPr>
                </w:p>
              </w:tc>
              <w:tc>
                <w:tcPr>
                  <w:tcW w:w="1149" w:type="pct"/>
                  <w:tcBorders>
                    <w:top w:val="single" w:color="auto" w:sz="4" w:space="0"/>
                    <w:left w:val="single" w:color="auto" w:sz="4" w:space="0"/>
                    <w:bottom w:val="single" w:color="auto" w:sz="4" w:space="0"/>
                    <w:right w:val="single" w:color="auto" w:sz="4" w:space="0"/>
                  </w:tcBorders>
                  <w:noWrap w:val="0"/>
                  <w:vAlign w:val="center"/>
                </w:tcPr>
                <w:p w14:paraId="5B7BEA0F">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0-40（20）</w:t>
                  </w:r>
                </w:p>
              </w:tc>
            </w:tr>
          </w:tbl>
          <w:p w14:paraId="2B231367">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10、项目主要生产设备</w:t>
            </w:r>
          </w:p>
          <w:p w14:paraId="61929B15">
            <w:pPr>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项目生产设备主要如下：</w:t>
            </w:r>
          </w:p>
          <w:p w14:paraId="46DF96CA">
            <w:pPr>
              <w:bidi w:val="0"/>
              <w:ind w:left="0" w:leftChars="0" w:firstLine="0" w:firstLineChars="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表2-5  项目主要生产设备一览表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902"/>
              <w:gridCol w:w="1700"/>
              <w:gridCol w:w="814"/>
              <w:gridCol w:w="961"/>
              <w:gridCol w:w="1369"/>
            </w:tblGrid>
            <w:tr w14:paraId="25F11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dxa"/>
                  <w:vAlign w:val="center"/>
                </w:tcPr>
                <w:p w14:paraId="09E9D872">
                  <w:pPr>
                    <w:pStyle w:val="14"/>
                    <w:widowControl w:val="0"/>
                    <w:bidi w:val="0"/>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902" w:type="dxa"/>
                  <w:vAlign w:val="center"/>
                </w:tcPr>
                <w:p w14:paraId="3EF08E4B">
                  <w:pPr>
                    <w:pStyle w:val="14"/>
                    <w:widowControl w:val="0"/>
                    <w:bidi w:val="0"/>
                    <w:rPr>
                      <w:rFonts w:hint="default" w:ascii="Times New Roman" w:hAnsi="Times New Roman" w:cs="Times New Roman"/>
                      <w:b/>
                      <w:bCs/>
                      <w:color w:val="auto"/>
                    </w:rPr>
                  </w:pPr>
                  <w:r>
                    <w:rPr>
                      <w:rFonts w:hint="default" w:ascii="Times New Roman" w:hAnsi="Times New Roman" w:cs="Times New Roman"/>
                      <w:b/>
                      <w:bCs/>
                      <w:color w:val="auto"/>
                    </w:rPr>
                    <w:t>名称</w:t>
                  </w:r>
                </w:p>
              </w:tc>
              <w:tc>
                <w:tcPr>
                  <w:tcW w:w="1700" w:type="dxa"/>
                  <w:vAlign w:val="center"/>
                </w:tcPr>
                <w:p w14:paraId="7454065C">
                  <w:pPr>
                    <w:pStyle w:val="14"/>
                    <w:widowControl w:val="0"/>
                    <w:bidi w:val="0"/>
                    <w:rPr>
                      <w:rFonts w:hint="default" w:ascii="Times New Roman" w:hAnsi="Times New Roman" w:cs="Times New Roman"/>
                      <w:b/>
                      <w:bCs/>
                      <w:color w:val="auto"/>
                    </w:rPr>
                  </w:pPr>
                  <w:r>
                    <w:rPr>
                      <w:rFonts w:hint="default" w:ascii="Times New Roman" w:hAnsi="Times New Roman" w:cs="Times New Roman"/>
                      <w:b/>
                      <w:bCs/>
                      <w:color w:val="auto"/>
                    </w:rPr>
                    <w:t>规格型号</w:t>
                  </w:r>
                </w:p>
              </w:tc>
              <w:tc>
                <w:tcPr>
                  <w:tcW w:w="814" w:type="dxa"/>
                  <w:vAlign w:val="center"/>
                </w:tcPr>
                <w:p w14:paraId="4A4F99CB">
                  <w:pPr>
                    <w:pStyle w:val="14"/>
                    <w:widowControl w:val="0"/>
                    <w:bidi w:val="0"/>
                    <w:rPr>
                      <w:rFonts w:hint="default" w:ascii="Times New Roman" w:hAnsi="Times New Roman" w:cs="Times New Roman"/>
                      <w:b/>
                      <w:bCs/>
                      <w:color w:val="auto"/>
                    </w:rPr>
                  </w:pPr>
                  <w:r>
                    <w:rPr>
                      <w:rFonts w:hint="default" w:ascii="Times New Roman" w:hAnsi="Times New Roman" w:cs="Times New Roman"/>
                      <w:b/>
                      <w:bCs/>
                      <w:color w:val="auto"/>
                    </w:rPr>
                    <w:t>单位</w:t>
                  </w:r>
                </w:p>
              </w:tc>
              <w:tc>
                <w:tcPr>
                  <w:tcW w:w="961" w:type="dxa"/>
                  <w:vAlign w:val="center"/>
                </w:tcPr>
                <w:p w14:paraId="59CD9489">
                  <w:pPr>
                    <w:pStyle w:val="14"/>
                    <w:widowControl w:val="0"/>
                    <w:bidi w:val="0"/>
                    <w:rPr>
                      <w:rFonts w:hint="default" w:ascii="Times New Roman" w:hAnsi="Times New Roman" w:cs="Times New Roman"/>
                      <w:b/>
                      <w:bCs/>
                      <w:color w:val="auto"/>
                    </w:rPr>
                  </w:pPr>
                  <w:r>
                    <w:rPr>
                      <w:rFonts w:hint="default" w:ascii="Times New Roman" w:hAnsi="Times New Roman" w:cs="Times New Roman"/>
                      <w:b/>
                      <w:bCs/>
                      <w:color w:val="auto"/>
                    </w:rPr>
                    <w:t>数量</w:t>
                  </w:r>
                </w:p>
              </w:tc>
              <w:tc>
                <w:tcPr>
                  <w:tcW w:w="1369" w:type="dxa"/>
                  <w:vAlign w:val="center"/>
                </w:tcPr>
                <w:p w14:paraId="12FA9A8D">
                  <w:pPr>
                    <w:pStyle w:val="14"/>
                    <w:widowControl w:val="0"/>
                    <w:bidi w:val="0"/>
                    <w:rPr>
                      <w:rFonts w:hint="default" w:ascii="Times New Roman" w:hAnsi="Times New Roman" w:cs="Times New Roman"/>
                      <w:b/>
                      <w:bCs/>
                      <w:color w:val="auto"/>
                    </w:rPr>
                  </w:pPr>
                  <w:r>
                    <w:rPr>
                      <w:rFonts w:hint="default" w:ascii="Times New Roman" w:hAnsi="Times New Roman" w:cs="Times New Roman"/>
                      <w:b/>
                      <w:bCs/>
                      <w:color w:val="auto"/>
                    </w:rPr>
                    <w:t>备注</w:t>
                  </w:r>
                  <w:r>
                    <w:rPr>
                      <w:rFonts w:hint="default" w:ascii="Times New Roman" w:hAnsi="Times New Roman" w:cs="Times New Roman"/>
                      <w:b/>
                      <w:bCs/>
                      <w:color w:val="auto"/>
                      <w:lang w:eastAsia="zh-CN"/>
                    </w:rPr>
                    <w:t>（</w:t>
                  </w:r>
                  <w:r>
                    <w:rPr>
                      <w:rFonts w:hint="default" w:ascii="Times New Roman" w:hAnsi="Times New Roman" w:cs="Times New Roman"/>
                      <w:b/>
                      <w:bCs/>
                      <w:color w:val="auto"/>
                    </w:rPr>
                    <w:t>对应工艺）</w:t>
                  </w:r>
                </w:p>
              </w:tc>
            </w:tr>
            <w:tr w14:paraId="1CAA0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71" w:type="dxa"/>
                  <w:vAlign w:val="center"/>
                </w:tcPr>
                <w:p w14:paraId="077B7D4F">
                  <w:pPr>
                    <w:pStyle w:val="14"/>
                    <w:widowControl w:val="0"/>
                    <w:bidi w:val="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w:t>
                  </w:r>
                </w:p>
              </w:tc>
              <w:tc>
                <w:tcPr>
                  <w:tcW w:w="1902" w:type="dxa"/>
                  <w:vAlign w:val="center"/>
                </w:tcPr>
                <w:p w14:paraId="3AFB10E7">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自动喷漆流水线</w:t>
                  </w:r>
                </w:p>
              </w:tc>
              <w:tc>
                <w:tcPr>
                  <w:tcW w:w="1700" w:type="dxa"/>
                  <w:vAlign w:val="center"/>
                </w:tcPr>
                <w:p w14:paraId="4011FE5F">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14" w:type="dxa"/>
                  <w:vAlign w:val="center"/>
                </w:tcPr>
                <w:p w14:paraId="4CD99568">
                  <w:pPr>
                    <w:pStyle w:val="14"/>
                    <w:widowControl w:val="0"/>
                    <w:bidi w:val="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条</w:t>
                  </w:r>
                </w:p>
              </w:tc>
              <w:tc>
                <w:tcPr>
                  <w:tcW w:w="961" w:type="dxa"/>
                  <w:vAlign w:val="center"/>
                </w:tcPr>
                <w:p w14:paraId="2713E440">
                  <w:pPr>
                    <w:pStyle w:val="14"/>
                    <w:widowControl w:val="0"/>
                    <w:bidi w:val="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2</w:t>
                  </w:r>
                </w:p>
              </w:tc>
              <w:tc>
                <w:tcPr>
                  <w:tcW w:w="1369" w:type="dxa"/>
                  <w:vAlign w:val="center"/>
                </w:tcPr>
                <w:p w14:paraId="6BF6178C">
                  <w:pPr>
                    <w:pStyle w:val="14"/>
                    <w:widowControl w:val="0"/>
                    <w:bidi w:val="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喷漆</w:t>
                  </w:r>
                </w:p>
              </w:tc>
            </w:tr>
            <w:tr w14:paraId="75C2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71" w:type="dxa"/>
                  <w:vAlign w:val="center"/>
                </w:tcPr>
                <w:p w14:paraId="2E18E6D3">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c>
                <w:tcPr>
                  <w:tcW w:w="1902" w:type="dxa"/>
                  <w:vAlign w:val="center"/>
                </w:tcPr>
                <w:p w14:paraId="11857BB4">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码垛托盘</w:t>
                  </w:r>
                </w:p>
              </w:tc>
              <w:tc>
                <w:tcPr>
                  <w:tcW w:w="1700" w:type="dxa"/>
                  <w:vAlign w:val="center"/>
                </w:tcPr>
                <w:p w14:paraId="56B3E988">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1.2m*1.5m</w:t>
                  </w:r>
                </w:p>
              </w:tc>
              <w:tc>
                <w:tcPr>
                  <w:tcW w:w="814" w:type="dxa"/>
                  <w:vAlign w:val="center"/>
                </w:tcPr>
                <w:p w14:paraId="2EAFF841">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个</w:t>
                  </w:r>
                </w:p>
              </w:tc>
              <w:tc>
                <w:tcPr>
                  <w:tcW w:w="961" w:type="dxa"/>
                  <w:vAlign w:val="center"/>
                </w:tcPr>
                <w:p w14:paraId="5B8D17F6">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p>
              </w:tc>
              <w:tc>
                <w:tcPr>
                  <w:tcW w:w="1369" w:type="dxa"/>
                  <w:vMerge w:val="restart"/>
                  <w:vAlign w:val="center"/>
                </w:tcPr>
                <w:p w14:paraId="1C8D64A6">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原料及产品装卸、码垛</w:t>
                  </w:r>
                </w:p>
              </w:tc>
            </w:tr>
            <w:tr w14:paraId="00620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71" w:type="dxa"/>
                  <w:vAlign w:val="center"/>
                </w:tcPr>
                <w:p w14:paraId="32CE7E55">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p>
              </w:tc>
              <w:tc>
                <w:tcPr>
                  <w:tcW w:w="1902" w:type="dxa"/>
                  <w:vAlign w:val="center"/>
                </w:tcPr>
                <w:p w14:paraId="5DCD5B92">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叉车</w:t>
                  </w:r>
                </w:p>
              </w:tc>
              <w:tc>
                <w:tcPr>
                  <w:tcW w:w="1700" w:type="dxa"/>
                  <w:vAlign w:val="center"/>
                </w:tcPr>
                <w:p w14:paraId="4041CD03">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5t</w:t>
                  </w:r>
                </w:p>
              </w:tc>
              <w:tc>
                <w:tcPr>
                  <w:tcW w:w="814" w:type="dxa"/>
                  <w:vAlign w:val="center"/>
                </w:tcPr>
                <w:p w14:paraId="2A0E5626">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961" w:type="dxa"/>
                  <w:vAlign w:val="center"/>
                </w:tcPr>
                <w:p w14:paraId="73854532">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1369" w:type="dxa"/>
                  <w:vMerge w:val="continue"/>
                  <w:vAlign w:val="center"/>
                </w:tcPr>
                <w:p w14:paraId="51786ACC">
                  <w:pPr>
                    <w:pStyle w:val="14"/>
                    <w:widowControl w:val="0"/>
                    <w:bidi w:val="0"/>
                    <w:rPr>
                      <w:rFonts w:hint="default" w:ascii="Times New Roman" w:hAnsi="Times New Roman" w:cs="Times New Roman"/>
                      <w:color w:val="auto"/>
                      <w:lang w:val="en-US" w:eastAsia="zh-CN"/>
                    </w:rPr>
                  </w:pPr>
                </w:p>
              </w:tc>
            </w:tr>
          </w:tbl>
          <w:p w14:paraId="2A303774">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11、项目劳动定员及工作制度</w:t>
            </w:r>
          </w:p>
          <w:p w14:paraId="18449C73">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1）工作制度：项目年工作为300天，时间为</w:t>
            </w:r>
            <w:r>
              <w:rPr>
                <w:rFonts w:hint="default" w:ascii="Times New Roman" w:hAnsi="Times New Roman" w:cs="Times New Roman"/>
                <w:color w:val="auto"/>
                <w:lang w:val="en-US" w:eastAsia="zh-CN"/>
              </w:rPr>
              <w:t>1</w:t>
            </w:r>
            <w:r>
              <w:rPr>
                <w:rFonts w:hint="default" w:ascii="Times New Roman" w:hAnsi="Times New Roman" w:cs="Times New Roman"/>
                <w:color w:val="auto"/>
              </w:rPr>
              <w:t>班/天，每班为8小时。</w:t>
            </w:r>
          </w:p>
          <w:p w14:paraId="4613AC46">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2）定员：本项目劳动定员</w:t>
            </w:r>
            <w:r>
              <w:rPr>
                <w:rFonts w:hint="default" w:ascii="Times New Roman" w:hAnsi="Times New Roman" w:cs="Times New Roman"/>
                <w:color w:val="auto"/>
                <w:lang w:val="en-US" w:eastAsia="zh-CN"/>
              </w:rPr>
              <w:t>13</w:t>
            </w:r>
            <w:r>
              <w:rPr>
                <w:rFonts w:hint="default" w:ascii="Times New Roman" w:hAnsi="Times New Roman" w:cs="Times New Roman"/>
                <w:color w:val="auto"/>
              </w:rPr>
              <w:t>人，</w:t>
            </w:r>
            <w:r>
              <w:rPr>
                <w:rFonts w:hint="eastAsia" w:cs="Times New Roman"/>
                <w:color w:val="auto"/>
                <w:lang w:val="en-US" w:eastAsia="zh-CN"/>
              </w:rPr>
              <w:t>均不在项目内食宿</w:t>
            </w:r>
            <w:r>
              <w:rPr>
                <w:rFonts w:hint="default" w:ascii="Times New Roman" w:hAnsi="Times New Roman" w:cs="Times New Roman"/>
                <w:color w:val="auto"/>
              </w:rPr>
              <w:t>。</w:t>
            </w:r>
          </w:p>
          <w:p w14:paraId="37B7BFBC">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12、施工计划</w:t>
            </w:r>
          </w:p>
          <w:p w14:paraId="06EE5463">
            <w:pPr>
              <w:bidi w:val="0"/>
              <w:rPr>
                <w:rFonts w:hint="default" w:ascii="Times New Roman" w:hAnsi="Times New Roman" w:cs="Times New Roman"/>
                <w:color w:val="auto"/>
                <w:lang w:val="en-US"/>
              </w:rPr>
            </w:pPr>
            <w:r>
              <w:rPr>
                <w:rFonts w:hint="default" w:ascii="Times New Roman" w:hAnsi="Times New Roman" w:cs="Times New Roman"/>
                <w:color w:val="auto"/>
              </w:rPr>
              <w:t>根据现场踏勘，项目</w:t>
            </w:r>
            <w:r>
              <w:rPr>
                <w:rFonts w:hint="default" w:ascii="Times New Roman" w:hAnsi="Times New Roman" w:cs="Times New Roman"/>
                <w:color w:val="auto"/>
                <w:lang w:val="en-US" w:eastAsia="zh-CN"/>
              </w:rPr>
              <w:t>租用的厂房及办公区为租用建筑，后续施工主要进行生产设备以及环保设备安装等</w:t>
            </w:r>
            <w:r>
              <w:rPr>
                <w:rFonts w:hint="default" w:ascii="Times New Roman" w:hAnsi="Times New Roman" w:cs="Times New Roman"/>
                <w:color w:val="auto"/>
              </w:rPr>
              <w:t>，</w:t>
            </w:r>
            <w:r>
              <w:rPr>
                <w:rFonts w:hint="default" w:ascii="Times New Roman" w:hAnsi="Times New Roman" w:cs="Times New Roman"/>
                <w:color w:val="auto"/>
                <w:lang w:val="en-US" w:eastAsia="zh-CN"/>
              </w:rPr>
              <w:t>项目预计于202</w:t>
            </w:r>
            <w:r>
              <w:rPr>
                <w:rFonts w:hint="eastAsia" w:cs="Times New Roman"/>
                <w:color w:val="auto"/>
                <w:lang w:val="en-US" w:eastAsia="zh-CN"/>
              </w:rPr>
              <w:t>5</w:t>
            </w:r>
            <w:r>
              <w:rPr>
                <w:rFonts w:hint="default" w:ascii="Times New Roman" w:hAnsi="Times New Roman" w:cs="Times New Roman"/>
                <w:color w:val="auto"/>
                <w:lang w:val="en-US" w:eastAsia="zh-CN"/>
              </w:rPr>
              <w:t>年1月开始进行设备等安装，于2025年</w:t>
            </w:r>
            <w:r>
              <w:rPr>
                <w:rFonts w:hint="eastAsia" w:cs="Times New Roman"/>
                <w:color w:val="auto"/>
                <w:lang w:val="en-US" w:eastAsia="zh-CN"/>
              </w:rPr>
              <w:t>2</w:t>
            </w:r>
            <w:r>
              <w:rPr>
                <w:rFonts w:hint="default" w:ascii="Times New Roman" w:hAnsi="Times New Roman" w:cs="Times New Roman"/>
                <w:color w:val="auto"/>
                <w:lang w:val="en-US" w:eastAsia="zh-CN"/>
              </w:rPr>
              <w:t>月底建设完成，建设周期2个月。</w:t>
            </w:r>
          </w:p>
          <w:p w14:paraId="4DF51794">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13、项目平面布局</w:t>
            </w:r>
          </w:p>
          <w:p w14:paraId="0D4020FD">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区呈不规则矩形，北侧布置有生产厂房，南侧为办公区，中部主要为绿化及通道，生产厂房内由西至东分别布置有喷漆房、晾干区、产品及原料堆放区，生产厂房按照工艺流程依次布置，分区合理、流程通畅。</w:t>
            </w:r>
          </w:p>
          <w:p w14:paraId="58A14FB8">
            <w:pPr>
              <w:bidi w:val="0"/>
              <w:rPr>
                <w:rFonts w:hint="default" w:ascii="Times New Roman" w:hAnsi="Times New Roman" w:cs="Times New Roman"/>
                <w:color w:val="auto"/>
                <w:lang w:val="en-US" w:eastAsia="zh-CN"/>
              </w:rPr>
            </w:pPr>
          </w:p>
          <w:p w14:paraId="61D4FE73">
            <w:pPr>
              <w:bidi w:val="0"/>
              <w:rPr>
                <w:rFonts w:hint="default" w:ascii="Times New Roman" w:hAnsi="Times New Roman" w:cs="Times New Roman"/>
                <w:color w:val="auto"/>
                <w:lang w:val="en-US" w:eastAsia="zh-CN"/>
              </w:rPr>
            </w:pPr>
          </w:p>
          <w:p w14:paraId="664D10F3">
            <w:pPr>
              <w:bidi w:val="0"/>
              <w:rPr>
                <w:rFonts w:hint="default" w:ascii="Times New Roman" w:hAnsi="Times New Roman" w:cs="Times New Roman"/>
                <w:color w:val="auto"/>
                <w:lang w:val="en-US" w:eastAsia="zh-CN"/>
              </w:rPr>
            </w:pPr>
          </w:p>
          <w:p w14:paraId="7D0D084D">
            <w:pPr>
              <w:bidi w:val="0"/>
              <w:rPr>
                <w:rFonts w:hint="default" w:ascii="Times New Roman" w:hAnsi="Times New Roman" w:cs="Times New Roman"/>
                <w:color w:val="auto"/>
                <w:lang w:val="en-US" w:eastAsia="zh-CN"/>
              </w:rPr>
            </w:pPr>
          </w:p>
          <w:p w14:paraId="46EC1EA0">
            <w:pPr>
              <w:bidi w:val="0"/>
              <w:rPr>
                <w:rFonts w:hint="default" w:ascii="Times New Roman" w:hAnsi="Times New Roman" w:cs="Times New Roman"/>
                <w:color w:val="auto"/>
                <w:lang w:val="en-US" w:eastAsia="zh-CN"/>
              </w:rPr>
            </w:pPr>
          </w:p>
          <w:p w14:paraId="3F2E3A94">
            <w:pPr>
              <w:bidi w:val="0"/>
              <w:rPr>
                <w:rFonts w:hint="default" w:ascii="Times New Roman" w:hAnsi="Times New Roman" w:cs="Times New Roman"/>
                <w:color w:val="auto"/>
                <w:lang w:val="en-US" w:eastAsia="zh-CN"/>
              </w:rPr>
            </w:pPr>
          </w:p>
          <w:p w14:paraId="503BEB0E">
            <w:pPr>
              <w:bidi w:val="0"/>
              <w:rPr>
                <w:rFonts w:hint="default" w:ascii="Times New Roman" w:hAnsi="Times New Roman" w:cs="Times New Roman"/>
                <w:color w:val="auto"/>
                <w:lang w:val="en-US" w:eastAsia="zh-CN"/>
              </w:rPr>
            </w:pPr>
          </w:p>
          <w:p w14:paraId="1CE5BDF7">
            <w:pPr>
              <w:bidi w:val="0"/>
              <w:rPr>
                <w:rFonts w:hint="default" w:ascii="Times New Roman" w:hAnsi="Times New Roman" w:cs="Times New Roman"/>
                <w:color w:val="auto"/>
                <w:lang w:val="en-US" w:eastAsia="zh-CN"/>
              </w:rPr>
            </w:pPr>
          </w:p>
          <w:p w14:paraId="62438BDB">
            <w:pPr>
              <w:bidi w:val="0"/>
              <w:rPr>
                <w:rFonts w:hint="default" w:ascii="Times New Roman" w:hAnsi="Times New Roman" w:cs="Times New Roman"/>
                <w:color w:val="auto"/>
                <w:lang w:val="en-US" w:eastAsia="zh-CN"/>
              </w:rPr>
            </w:pPr>
          </w:p>
          <w:p w14:paraId="2BE4C65A">
            <w:pPr>
              <w:bidi w:val="0"/>
              <w:rPr>
                <w:rFonts w:hint="default" w:ascii="Times New Roman" w:hAnsi="Times New Roman" w:cs="Times New Roman"/>
                <w:color w:val="auto"/>
                <w:lang w:val="en-US" w:eastAsia="zh-CN"/>
              </w:rPr>
            </w:pPr>
          </w:p>
          <w:p w14:paraId="46EADE34">
            <w:pPr>
              <w:bidi w:val="0"/>
              <w:rPr>
                <w:rFonts w:hint="default" w:ascii="Times New Roman" w:hAnsi="Times New Roman" w:cs="Times New Roman"/>
                <w:color w:val="auto"/>
                <w:lang w:val="en-US" w:eastAsia="zh-CN"/>
              </w:rPr>
            </w:pPr>
          </w:p>
          <w:p w14:paraId="28DA0ABA">
            <w:pPr>
              <w:bidi w:val="0"/>
              <w:rPr>
                <w:rFonts w:hint="default" w:ascii="Times New Roman" w:hAnsi="Times New Roman" w:cs="Times New Roman"/>
                <w:color w:val="auto"/>
                <w:lang w:val="en-US" w:eastAsia="zh-CN"/>
              </w:rPr>
            </w:pPr>
          </w:p>
          <w:p w14:paraId="1E6DE7FA">
            <w:pPr>
              <w:bidi w:val="0"/>
              <w:rPr>
                <w:rFonts w:hint="default" w:ascii="Times New Roman" w:hAnsi="Times New Roman" w:cs="Times New Roman"/>
                <w:color w:val="auto"/>
                <w:lang w:val="en-US" w:eastAsia="zh-CN"/>
              </w:rPr>
            </w:pPr>
          </w:p>
          <w:p w14:paraId="4F81A71E">
            <w:pPr>
              <w:bidi w:val="0"/>
              <w:rPr>
                <w:rFonts w:hint="default" w:ascii="Times New Roman" w:hAnsi="Times New Roman" w:cs="Times New Roman"/>
                <w:color w:val="auto"/>
                <w:lang w:val="en-US" w:eastAsia="zh-CN"/>
              </w:rPr>
            </w:pPr>
          </w:p>
          <w:p w14:paraId="26292DF1">
            <w:pPr>
              <w:bidi w:val="0"/>
              <w:rPr>
                <w:rFonts w:hint="default" w:ascii="Times New Roman" w:hAnsi="Times New Roman" w:cs="Times New Roman"/>
                <w:color w:val="auto"/>
                <w:lang w:val="en-US" w:eastAsia="zh-CN"/>
              </w:rPr>
            </w:pPr>
          </w:p>
          <w:p w14:paraId="0D822F92">
            <w:pPr>
              <w:bidi w:val="0"/>
              <w:rPr>
                <w:rFonts w:hint="default" w:ascii="Times New Roman" w:hAnsi="Times New Roman" w:cs="Times New Roman"/>
                <w:color w:val="auto"/>
                <w:lang w:val="en-US" w:eastAsia="zh-CN"/>
              </w:rPr>
            </w:pPr>
          </w:p>
          <w:p w14:paraId="10ADCCD3">
            <w:pPr>
              <w:bidi w:val="0"/>
              <w:rPr>
                <w:rFonts w:hint="default" w:ascii="Times New Roman" w:hAnsi="Times New Roman" w:cs="Times New Roman"/>
                <w:color w:val="auto"/>
                <w:lang w:val="en-US" w:eastAsia="zh-CN"/>
              </w:rPr>
            </w:pPr>
          </w:p>
          <w:p w14:paraId="1C8FE27E">
            <w:pPr>
              <w:bidi w:val="0"/>
              <w:rPr>
                <w:rFonts w:hint="default" w:ascii="Times New Roman" w:hAnsi="Times New Roman" w:cs="Times New Roman"/>
                <w:color w:val="auto"/>
                <w:lang w:val="en-US" w:eastAsia="zh-CN"/>
              </w:rPr>
            </w:pPr>
          </w:p>
          <w:p w14:paraId="07C9F29B">
            <w:pPr>
              <w:bidi w:val="0"/>
              <w:rPr>
                <w:rFonts w:hint="default" w:ascii="Times New Roman" w:hAnsi="Times New Roman" w:cs="Times New Roman"/>
                <w:color w:val="auto"/>
                <w:lang w:val="en-US" w:eastAsia="zh-CN"/>
              </w:rPr>
            </w:pPr>
          </w:p>
          <w:p w14:paraId="016EA08C">
            <w:pPr>
              <w:bidi w:val="0"/>
              <w:rPr>
                <w:rFonts w:hint="default" w:ascii="Times New Roman" w:hAnsi="Times New Roman" w:cs="Times New Roman"/>
                <w:color w:val="auto"/>
                <w:lang w:val="en-US" w:eastAsia="zh-CN"/>
              </w:rPr>
            </w:pPr>
          </w:p>
          <w:p w14:paraId="1E9793EA">
            <w:pPr>
              <w:bidi w:val="0"/>
              <w:rPr>
                <w:rFonts w:hint="default" w:ascii="Times New Roman" w:hAnsi="Times New Roman" w:cs="Times New Roman"/>
                <w:color w:val="auto"/>
                <w:lang w:val="en-US" w:eastAsia="zh-CN"/>
              </w:rPr>
            </w:pPr>
          </w:p>
        </w:tc>
      </w:tr>
      <w:tr w14:paraId="43ED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9" w:hRule="atLeast"/>
          <w:jc w:val="center"/>
        </w:trPr>
        <w:tc>
          <w:tcPr>
            <w:tcW w:w="879" w:type="dxa"/>
            <w:vAlign w:val="center"/>
          </w:tcPr>
          <w:p w14:paraId="764641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vertAlign w:val="baseline"/>
              </w:rPr>
              <w:t>工艺流程和产排污环节</w:t>
            </w:r>
          </w:p>
        </w:tc>
        <w:tc>
          <w:tcPr>
            <w:tcW w:w="7643" w:type="dxa"/>
            <w:vAlign w:val="center"/>
          </w:tcPr>
          <w:p w14:paraId="0CF4831B">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1、施工期工艺流程及产污环节</w:t>
            </w:r>
          </w:p>
          <w:p w14:paraId="3FC1169F">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项目施工期主要生产设备和环保设备安装，施工期为2个月，施工人员为8人。</w:t>
            </w:r>
          </w:p>
          <w:p w14:paraId="32189315">
            <w:pPr>
              <w:bidi w:val="0"/>
              <w:rPr>
                <w:rFonts w:hint="default" w:ascii="Times New Roman" w:hAnsi="Times New Roman" w:cs="Times New Roman"/>
                <w:color w:val="auto"/>
              </w:rPr>
            </w:pPr>
            <w:r>
              <w:rPr>
                <w:rFonts w:hint="default" w:ascii="Times New Roman" w:hAnsi="Times New Roman" w:cs="Times New Roman"/>
                <w:color w:val="auto"/>
              </w:rPr>
              <w:t>购进生产设备进行焊接安装，</w:t>
            </w:r>
            <w:r>
              <w:rPr>
                <w:rFonts w:hint="default" w:ascii="Times New Roman" w:hAnsi="Times New Roman" w:cs="Times New Roman"/>
                <w:color w:val="auto"/>
                <w:lang w:val="en-US" w:eastAsia="zh-CN"/>
              </w:rPr>
              <w:t>施工</w:t>
            </w:r>
            <w:r>
              <w:rPr>
                <w:rFonts w:hint="default" w:ascii="Times New Roman" w:hAnsi="Times New Roman" w:cs="Times New Roman"/>
                <w:color w:val="auto"/>
              </w:rPr>
              <w:t>过程会产生</w:t>
            </w:r>
            <w:r>
              <w:rPr>
                <w:rFonts w:hint="default" w:ascii="Times New Roman" w:hAnsi="Times New Roman" w:cs="Times New Roman"/>
                <w:color w:val="auto"/>
                <w:lang w:val="en-US" w:eastAsia="zh-CN"/>
              </w:rPr>
              <w:t>扬尘、</w:t>
            </w:r>
            <w:r>
              <w:rPr>
                <w:rFonts w:hint="default" w:ascii="Times New Roman" w:hAnsi="Times New Roman" w:cs="Times New Roman"/>
                <w:color w:val="auto"/>
              </w:rPr>
              <w:t>焊接烟尘、设备安装噪声、材料切割产生的</w:t>
            </w:r>
            <w:r>
              <w:rPr>
                <w:rFonts w:hint="default" w:ascii="Times New Roman" w:hAnsi="Times New Roman" w:cs="Times New Roman"/>
                <w:color w:val="auto"/>
                <w:lang w:val="en-US" w:eastAsia="zh-CN"/>
              </w:rPr>
              <w:t>固体废物，以及施工人员旱厕粪污</w:t>
            </w:r>
            <w:r>
              <w:rPr>
                <w:rFonts w:hint="eastAsia" w:cs="Times New Roman"/>
                <w:color w:val="auto"/>
                <w:lang w:val="en-US" w:eastAsia="zh-CN"/>
              </w:rPr>
              <w:t>。</w:t>
            </w:r>
          </w:p>
          <w:p w14:paraId="144AE089">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2、运营期工艺流程及产污环节</w:t>
            </w:r>
          </w:p>
          <w:p w14:paraId="26C2AA50">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项目运营期工艺流程及产污环节如下：</w:t>
            </w:r>
          </w:p>
          <w:p w14:paraId="015488A1">
            <w:pPr>
              <w:bidi w:val="0"/>
              <w:ind w:left="0" w:leftChars="0" w:firstLine="0" w:firstLineChars="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4713605" cy="5382895"/>
                  <wp:effectExtent l="0" t="0" r="10795" b="8255"/>
                  <wp:docPr id="3" name="图片 3" descr="吉步无打磨（评审后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吉步无打磨（评审后修改）"/>
                          <pic:cNvPicPr>
                            <a:picLocks noChangeAspect="1"/>
                          </pic:cNvPicPr>
                        </pic:nvPicPr>
                        <pic:blipFill>
                          <a:blip r:embed="rId14"/>
                          <a:stretch>
                            <a:fillRect/>
                          </a:stretch>
                        </pic:blipFill>
                        <pic:spPr>
                          <a:xfrm>
                            <a:off x="0" y="0"/>
                            <a:ext cx="4713605" cy="5382895"/>
                          </a:xfrm>
                          <a:prstGeom prst="rect">
                            <a:avLst/>
                          </a:prstGeom>
                        </pic:spPr>
                      </pic:pic>
                    </a:graphicData>
                  </a:graphic>
                </wp:inline>
              </w:drawing>
            </w:r>
          </w:p>
          <w:p w14:paraId="0986F248">
            <w:pPr>
              <w:bidi w:val="0"/>
              <w:ind w:left="0" w:leftChars="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图2-1  项目生产工艺流程图及产污节点</w:t>
            </w:r>
          </w:p>
          <w:p w14:paraId="6C45FA4D">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工艺流程简述：</w:t>
            </w:r>
          </w:p>
          <w:p w14:paraId="4D310B5E">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①原件进场：</w:t>
            </w:r>
          </w:p>
          <w:p w14:paraId="65732B3C">
            <w:pPr>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本项目仅在项目区内对木楼梯立柱</w:t>
            </w:r>
            <w:r>
              <w:rPr>
                <w:rFonts w:hint="eastAsia" w:cs="Times New Roman"/>
                <w:color w:val="auto"/>
                <w:lang w:val="en-US" w:eastAsia="zh-CN"/>
              </w:rPr>
              <w:t>及大柱</w:t>
            </w:r>
            <w:r>
              <w:rPr>
                <w:rFonts w:hint="default" w:ascii="Times New Roman" w:hAnsi="Times New Roman" w:cs="Times New Roman"/>
                <w:color w:val="auto"/>
                <w:lang w:val="en-US" w:eastAsia="zh-CN"/>
              </w:rPr>
              <w:t>原件进行喷漆处理，不涉及原木下料木工加工、组装等，因此项目原料即为木楼梯立柱</w:t>
            </w:r>
            <w:r>
              <w:rPr>
                <w:rFonts w:hint="eastAsia" w:cs="Times New Roman"/>
                <w:color w:val="auto"/>
                <w:lang w:val="en-US" w:eastAsia="zh-CN"/>
              </w:rPr>
              <w:t>或大柱</w:t>
            </w:r>
            <w:r>
              <w:rPr>
                <w:rFonts w:hint="default" w:ascii="Times New Roman" w:hAnsi="Times New Roman" w:cs="Times New Roman"/>
                <w:color w:val="auto"/>
                <w:lang w:val="en-US" w:eastAsia="zh-CN"/>
              </w:rPr>
              <w:t>原件，经过装车运至厂房内原料区，采用叉车进行卸货。过程可能会产生叉车噪声、无组织颗粒物、破损原件等一般固废以及叉车维修产生机修危险废物。</w:t>
            </w:r>
          </w:p>
          <w:p w14:paraId="1301EC8C">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②喷漆</w:t>
            </w:r>
          </w:p>
          <w:p w14:paraId="71994F83">
            <w:pPr>
              <w:bidi w:val="0"/>
              <w:rPr>
                <w:rFonts w:hint="default" w:cs="Times New Roman"/>
                <w:color w:val="auto"/>
                <w:lang w:val="en-US" w:eastAsia="zh-CN"/>
              </w:rPr>
            </w:pPr>
            <w:r>
              <w:rPr>
                <w:rFonts w:hint="eastAsia" w:cs="Times New Roman"/>
                <w:color w:val="auto"/>
                <w:lang w:val="en-US" w:eastAsia="zh-CN"/>
              </w:rPr>
              <w:t>底漆喷漆：木楼梯原件</w:t>
            </w:r>
            <w:r>
              <w:rPr>
                <w:rFonts w:hint="default" w:ascii="Times New Roman" w:hAnsi="Times New Roman" w:cs="Times New Roman"/>
                <w:color w:val="auto"/>
                <w:lang w:val="en-US" w:eastAsia="zh-CN"/>
              </w:rPr>
              <w:t>经人工依次挂至喷漆流水线挂链上，通过输送带依次进入底漆</w:t>
            </w:r>
            <w:r>
              <w:rPr>
                <w:rFonts w:hint="eastAsia" w:cs="Times New Roman"/>
                <w:color w:val="auto"/>
                <w:lang w:val="en-US" w:eastAsia="zh-CN"/>
              </w:rPr>
              <w:t>喷漆</w:t>
            </w:r>
            <w:r>
              <w:rPr>
                <w:rFonts w:hint="default" w:ascii="Times New Roman" w:hAnsi="Times New Roman" w:cs="Times New Roman"/>
                <w:color w:val="auto"/>
                <w:lang w:val="en-US" w:eastAsia="zh-CN"/>
              </w:rPr>
              <w:t>房进行自动上漆处理</w:t>
            </w:r>
            <w:r>
              <w:rPr>
                <w:rFonts w:hint="eastAsia" w:cs="Times New Roman"/>
                <w:color w:val="auto"/>
                <w:lang w:val="en-US" w:eastAsia="zh-CN"/>
              </w:rPr>
              <w:t>；底漆</w:t>
            </w:r>
            <w:r>
              <w:rPr>
                <w:rFonts w:hint="default" w:ascii="Times New Roman" w:hAnsi="Times New Roman" w:cs="Times New Roman"/>
                <w:color w:val="auto"/>
                <w:lang w:val="en-US" w:eastAsia="zh-CN"/>
              </w:rPr>
              <w:t>喷漆完成后由输送挂链带出并经人工转移至晾干区挂晾，进行自然晾干，晾干过程会产生挥发性有机废气</w:t>
            </w:r>
            <w:r>
              <w:rPr>
                <w:rFonts w:hint="eastAsia" w:cs="Times New Roman"/>
                <w:color w:val="auto"/>
                <w:lang w:val="en-US" w:eastAsia="zh-CN"/>
              </w:rPr>
              <w:t>。</w:t>
            </w:r>
          </w:p>
          <w:p w14:paraId="5F90254B">
            <w:pPr>
              <w:bidi w:val="0"/>
              <w:rPr>
                <w:rFonts w:hint="eastAsia" w:cs="Times New Roman"/>
                <w:color w:val="auto"/>
                <w:lang w:val="en-US" w:eastAsia="zh-CN"/>
              </w:rPr>
            </w:pPr>
            <w:r>
              <w:rPr>
                <w:rFonts w:hint="eastAsia" w:cs="Times New Roman"/>
                <w:color w:val="auto"/>
                <w:lang w:val="en-US" w:eastAsia="zh-CN"/>
              </w:rPr>
              <w:t>喷面漆：喷完底漆的木楼梯采用车辆运输至距离项目2.2km的加工厂进行打磨，打磨后再经车辆运至项目内，</w:t>
            </w:r>
            <w:r>
              <w:rPr>
                <w:rFonts w:hint="default" w:ascii="Times New Roman" w:hAnsi="Times New Roman" w:cs="Times New Roman"/>
                <w:color w:val="auto"/>
                <w:lang w:val="en-US" w:eastAsia="zh-CN"/>
              </w:rPr>
              <w:t>经人工依次挂至喷漆流水线挂链上，通过输送带依次进入</w:t>
            </w:r>
            <w:r>
              <w:rPr>
                <w:rFonts w:hint="eastAsia" w:cs="Times New Roman"/>
                <w:color w:val="auto"/>
                <w:lang w:val="en-US" w:eastAsia="zh-CN"/>
              </w:rPr>
              <w:t>面漆喷漆</w:t>
            </w:r>
            <w:r>
              <w:rPr>
                <w:rFonts w:hint="default" w:ascii="Times New Roman" w:hAnsi="Times New Roman" w:cs="Times New Roman"/>
                <w:color w:val="auto"/>
                <w:lang w:val="en-US" w:eastAsia="zh-CN"/>
              </w:rPr>
              <w:t>房进行自动上漆处理</w:t>
            </w:r>
            <w:r>
              <w:rPr>
                <w:rFonts w:hint="eastAsia" w:cs="Times New Roman"/>
                <w:color w:val="auto"/>
                <w:lang w:val="en-US" w:eastAsia="zh-CN"/>
              </w:rPr>
              <w:t>。</w:t>
            </w:r>
          </w:p>
          <w:p w14:paraId="0E86B215">
            <w:pPr>
              <w:bidi w:val="0"/>
              <w:rPr>
                <w:rFonts w:hint="default" w:cs="Times New Roman"/>
                <w:b w:val="0"/>
                <w:bCs w:val="0"/>
                <w:color w:val="auto"/>
                <w:lang w:val="en-US" w:eastAsia="zh-CN"/>
              </w:rPr>
            </w:pPr>
            <w:r>
              <w:rPr>
                <w:rFonts w:hint="eastAsia" w:cs="Times New Roman"/>
                <w:b w:val="0"/>
                <w:bCs w:val="0"/>
                <w:color w:val="auto"/>
                <w:lang w:val="en-US" w:eastAsia="zh-CN"/>
              </w:rPr>
              <w:t>喷漆过程中产生的污染物主要为喷漆废气，喷漆废气经负压收集后经水帘+活性炭吸附装置进行处理，处理后由1根25m的排气筒进行排放。</w:t>
            </w:r>
          </w:p>
          <w:p w14:paraId="72C5703E">
            <w:pPr>
              <w:bidi w:val="0"/>
              <w:rPr>
                <w:rFonts w:hint="default" w:ascii="Times New Roman" w:hAnsi="Times New Roman" w:eastAsia="宋体" w:cs="Times New Roman"/>
                <w:color w:val="auto"/>
                <w:lang w:val="en-US" w:eastAsia="zh-CN"/>
              </w:rPr>
            </w:pPr>
            <w:r>
              <w:rPr>
                <w:rFonts w:hint="eastAsia" w:cs="Times New Roman"/>
                <w:b w:val="0"/>
                <w:bCs w:val="0"/>
                <w:color w:val="auto"/>
                <w:lang w:val="en-US" w:eastAsia="zh-CN"/>
              </w:rPr>
              <w:t>（注：</w:t>
            </w:r>
            <w:r>
              <w:rPr>
                <w:rFonts w:hint="eastAsia" w:cs="Times New Roman"/>
                <w:color w:val="auto"/>
                <w:lang w:val="en-US" w:eastAsia="zh-CN"/>
              </w:rPr>
              <w:t>喷完底漆，部分产品毛边需进行打磨处理，本项目不设打磨工段，需要打磨的物件采用车辆运输至距离项目2.2km的加工厂进行打磨，打磨后再经车辆运至项目内进行喷面漆，该加工厂与本项目为同一法人）。</w:t>
            </w:r>
          </w:p>
          <w:p w14:paraId="1EA58B98">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③自然晾干</w:t>
            </w:r>
          </w:p>
          <w:p w14:paraId="0741A6AE">
            <w:pPr>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喷漆完成后由输送挂链带出并经人工转移至晾干区挂晾，进行自然晾干，晾干过程会产生挥发性有机废气</w:t>
            </w:r>
            <w:r>
              <w:rPr>
                <w:rFonts w:hint="eastAsia" w:cs="Times New Roman"/>
                <w:color w:val="auto"/>
                <w:lang w:val="en-US" w:eastAsia="zh-CN"/>
              </w:rPr>
              <w:t>，晾干废气经空气稀释扩散后无组织排放</w:t>
            </w:r>
            <w:r>
              <w:rPr>
                <w:rFonts w:hint="default" w:ascii="Times New Roman" w:hAnsi="Times New Roman" w:cs="Times New Roman"/>
                <w:color w:val="auto"/>
                <w:lang w:val="en-US" w:eastAsia="zh-CN"/>
              </w:rPr>
              <w:t>。</w:t>
            </w:r>
          </w:p>
          <w:p w14:paraId="400981A0">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④成品包装</w:t>
            </w:r>
          </w:p>
          <w:p w14:paraId="4720655F">
            <w:pPr>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晾干后的</w:t>
            </w:r>
            <w:r>
              <w:rPr>
                <w:rFonts w:hint="eastAsia" w:cs="Times New Roman"/>
                <w:color w:val="auto"/>
                <w:lang w:val="en-US" w:eastAsia="zh-CN"/>
              </w:rPr>
              <w:t>产品</w:t>
            </w:r>
            <w:r>
              <w:rPr>
                <w:rFonts w:hint="default" w:ascii="Times New Roman" w:hAnsi="Times New Roman" w:cs="Times New Roman"/>
                <w:color w:val="auto"/>
                <w:lang w:val="en-US" w:eastAsia="zh-CN"/>
              </w:rPr>
              <w:t>经过人工堆码，采用叉车工具转移至产品区，采用塑料膜及包装带进行包装捆扎，装车出厂。该过程会产生少量包装废料。</w:t>
            </w:r>
          </w:p>
          <w:p w14:paraId="56689E22">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3、产排污环</w:t>
            </w:r>
            <w:r>
              <w:rPr>
                <w:rFonts w:hint="eastAsia" w:cs="Times New Roman"/>
                <w:b/>
                <w:bCs/>
                <w:color w:val="auto"/>
                <w:lang w:val="en-US" w:eastAsia="zh-CN"/>
              </w:rPr>
              <w:t>节</w:t>
            </w:r>
          </w:p>
          <w:p w14:paraId="27B59EDF">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项目污染物产排环节如下表所示：</w:t>
            </w:r>
          </w:p>
          <w:p w14:paraId="3CCD76C2">
            <w:pPr>
              <w:bidi w:val="0"/>
              <w:jc w:val="center"/>
              <w:rPr>
                <w:rFonts w:hint="default" w:ascii="Times New Roman" w:hAnsi="Times New Roman" w:cs="Times New Roman"/>
                <w:b/>
                <w:bCs/>
                <w:color w:val="auto"/>
                <w:lang w:val="en-US" w:eastAsia="zh-CN"/>
              </w:rPr>
            </w:pPr>
          </w:p>
          <w:p w14:paraId="35AD70C9">
            <w:pPr>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表2-6  项目污染物产排环节一览表</w:t>
            </w:r>
          </w:p>
          <w:tbl>
            <w:tblPr>
              <w:tblStyle w:val="8"/>
              <w:tblW w:w="7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4"/>
              <w:gridCol w:w="1228"/>
              <w:gridCol w:w="1686"/>
              <w:gridCol w:w="3869"/>
            </w:tblGrid>
            <w:tr w14:paraId="4AE60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634" w:type="dxa"/>
                  <w:noWrap/>
                  <w:tcMar>
                    <w:top w:w="10" w:type="dxa"/>
                    <w:left w:w="10" w:type="dxa"/>
                    <w:right w:w="10" w:type="dxa"/>
                  </w:tcMar>
                  <w:vAlign w:val="center"/>
                </w:tcPr>
                <w:p w14:paraId="54ACEAF0">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时期</w:t>
                  </w:r>
                </w:p>
              </w:tc>
              <w:tc>
                <w:tcPr>
                  <w:tcW w:w="1228" w:type="dxa"/>
                  <w:noWrap/>
                  <w:tcMar>
                    <w:top w:w="10" w:type="dxa"/>
                    <w:left w:w="10" w:type="dxa"/>
                    <w:right w:w="10" w:type="dxa"/>
                  </w:tcMar>
                  <w:vAlign w:val="center"/>
                </w:tcPr>
                <w:p w14:paraId="4B2F0254">
                  <w:pPr>
                    <w:pStyle w:val="14"/>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污染物分类</w:t>
                  </w:r>
                </w:p>
              </w:tc>
              <w:tc>
                <w:tcPr>
                  <w:tcW w:w="1686" w:type="dxa"/>
                  <w:noWrap/>
                  <w:tcMar>
                    <w:top w:w="10" w:type="dxa"/>
                    <w:left w:w="10" w:type="dxa"/>
                    <w:right w:w="10" w:type="dxa"/>
                  </w:tcMar>
                  <w:vAlign w:val="center"/>
                </w:tcPr>
                <w:p w14:paraId="5193DC3A">
                  <w:pPr>
                    <w:pStyle w:val="14"/>
                    <w:bidi w:val="0"/>
                    <w:rPr>
                      <w:rFonts w:hint="default" w:ascii="Times New Roman" w:hAnsi="Times New Roman" w:cs="Times New Roman"/>
                      <w:b/>
                      <w:bCs/>
                      <w:color w:val="auto"/>
                      <w:lang w:val="en-US"/>
                    </w:rPr>
                  </w:pPr>
                  <w:r>
                    <w:rPr>
                      <w:rFonts w:hint="default" w:ascii="Times New Roman" w:hAnsi="Times New Roman" w:cs="Times New Roman"/>
                      <w:b/>
                      <w:bCs/>
                      <w:color w:val="auto"/>
                      <w:lang w:val="en-US" w:eastAsia="zh-CN"/>
                    </w:rPr>
                    <w:t>主要生产工艺</w:t>
                  </w:r>
                </w:p>
              </w:tc>
              <w:tc>
                <w:tcPr>
                  <w:tcW w:w="3869" w:type="dxa"/>
                  <w:noWrap/>
                  <w:tcMar>
                    <w:top w:w="10" w:type="dxa"/>
                    <w:left w:w="10" w:type="dxa"/>
                    <w:right w:w="10" w:type="dxa"/>
                  </w:tcMar>
                  <w:vAlign w:val="center"/>
                </w:tcPr>
                <w:p w14:paraId="632E8E05">
                  <w:pPr>
                    <w:pStyle w:val="14"/>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污染物项目</w:t>
                  </w:r>
                </w:p>
              </w:tc>
            </w:tr>
            <w:tr w14:paraId="1C64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34" w:type="dxa"/>
                  <w:vMerge w:val="restart"/>
                  <w:noWrap/>
                  <w:tcMar>
                    <w:top w:w="10" w:type="dxa"/>
                    <w:left w:w="10" w:type="dxa"/>
                    <w:right w:w="10" w:type="dxa"/>
                  </w:tcMar>
                  <w:vAlign w:val="center"/>
                </w:tcPr>
                <w:p w14:paraId="6446DD70">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施工期</w:t>
                  </w:r>
                </w:p>
              </w:tc>
              <w:tc>
                <w:tcPr>
                  <w:tcW w:w="1228" w:type="dxa"/>
                  <w:noWrap/>
                  <w:tcMar>
                    <w:top w:w="10" w:type="dxa"/>
                    <w:left w:w="10" w:type="dxa"/>
                    <w:right w:w="10" w:type="dxa"/>
                  </w:tcMar>
                  <w:vAlign w:val="center"/>
                </w:tcPr>
                <w:p w14:paraId="1FB44765">
                  <w:pPr>
                    <w:pStyle w:val="14"/>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废气</w:t>
                  </w:r>
                </w:p>
              </w:tc>
              <w:tc>
                <w:tcPr>
                  <w:tcW w:w="1686" w:type="dxa"/>
                  <w:noWrap/>
                  <w:tcMar>
                    <w:top w:w="10" w:type="dxa"/>
                    <w:left w:w="10" w:type="dxa"/>
                    <w:right w:w="10" w:type="dxa"/>
                  </w:tcMar>
                  <w:vAlign w:val="center"/>
                </w:tcPr>
                <w:p w14:paraId="48826229">
                  <w:pPr>
                    <w:pStyle w:val="14"/>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设备安装</w:t>
                  </w:r>
                </w:p>
              </w:tc>
              <w:tc>
                <w:tcPr>
                  <w:tcW w:w="3869" w:type="dxa"/>
                  <w:noWrap/>
                  <w:tcMar>
                    <w:top w:w="10" w:type="dxa"/>
                    <w:left w:w="10" w:type="dxa"/>
                    <w:right w:w="10" w:type="dxa"/>
                  </w:tcMar>
                  <w:vAlign w:val="center"/>
                </w:tcPr>
                <w:p w14:paraId="105EE994">
                  <w:pPr>
                    <w:pStyle w:val="14"/>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焊接烟尘、扬尘</w:t>
                  </w:r>
                </w:p>
              </w:tc>
            </w:tr>
            <w:tr w14:paraId="6892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34" w:type="dxa"/>
                  <w:vMerge w:val="continue"/>
                  <w:noWrap/>
                  <w:tcMar>
                    <w:top w:w="10" w:type="dxa"/>
                    <w:left w:w="10" w:type="dxa"/>
                    <w:right w:w="10" w:type="dxa"/>
                  </w:tcMar>
                  <w:vAlign w:val="center"/>
                </w:tcPr>
                <w:p w14:paraId="70F498A1">
                  <w:pPr>
                    <w:pStyle w:val="14"/>
                    <w:bidi w:val="0"/>
                    <w:rPr>
                      <w:rFonts w:hint="default" w:ascii="Times New Roman" w:hAnsi="Times New Roman" w:cs="Times New Roman"/>
                      <w:color w:val="auto"/>
                      <w:lang w:val="en-US" w:eastAsia="zh-CN"/>
                    </w:rPr>
                  </w:pPr>
                </w:p>
              </w:tc>
              <w:tc>
                <w:tcPr>
                  <w:tcW w:w="1228" w:type="dxa"/>
                  <w:noWrap/>
                  <w:tcMar>
                    <w:top w:w="10" w:type="dxa"/>
                    <w:left w:w="10" w:type="dxa"/>
                    <w:right w:w="10" w:type="dxa"/>
                  </w:tcMar>
                  <w:vAlign w:val="center"/>
                </w:tcPr>
                <w:p w14:paraId="37D01B8D">
                  <w:pPr>
                    <w:pStyle w:val="14"/>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噪声</w:t>
                  </w:r>
                </w:p>
              </w:tc>
              <w:tc>
                <w:tcPr>
                  <w:tcW w:w="1686" w:type="dxa"/>
                  <w:noWrap/>
                  <w:tcMar>
                    <w:top w:w="10" w:type="dxa"/>
                    <w:left w:w="10" w:type="dxa"/>
                    <w:right w:w="10" w:type="dxa"/>
                  </w:tcMar>
                  <w:vAlign w:val="center"/>
                </w:tcPr>
                <w:p w14:paraId="7FC1C914">
                  <w:pPr>
                    <w:pStyle w:val="14"/>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设备安装</w:t>
                  </w:r>
                </w:p>
              </w:tc>
              <w:tc>
                <w:tcPr>
                  <w:tcW w:w="3869" w:type="dxa"/>
                  <w:noWrap/>
                  <w:tcMar>
                    <w:top w:w="10" w:type="dxa"/>
                    <w:left w:w="10" w:type="dxa"/>
                    <w:right w:w="10" w:type="dxa"/>
                  </w:tcMar>
                  <w:vAlign w:val="center"/>
                </w:tcPr>
                <w:p w14:paraId="2415DD14">
                  <w:pPr>
                    <w:pStyle w:val="14"/>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设备安装机械噪声</w:t>
                  </w:r>
                </w:p>
              </w:tc>
            </w:tr>
            <w:tr w14:paraId="1741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34" w:type="dxa"/>
                  <w:vMerge w:val="continue"/>
                  <w:noWrap/>
                  <w:tcMar>
                    <w:top w:w="10" w:type="dxa"/>
                    <w:left w:w="10" w:type="dxa"/>
                    <w:right w:w="10" w:type="dxa"/>
                  </w:tcMar>
                  <w:vAlign w:val="center"/>
                </w:tcPr>
                <w:p w14:paraId="5D936C60">
                  <w:pPr>
                    <w:pStyle w:val="14"/>
                    <w:bidi w:val="0"/>
                    <w:rPr>
                      <w:rFonts w:hint="default" w:ascii="Times New Roman" w:hAnsi="Times New Roman" w:cs="Times New Roman"/>
                      <w:color w:val="auto"/>
                      <w:lang w:val="en-US" w:eastAsia="zh-CN"/>
                    </w:rPr>
                  </w:pPr>
                </w:p>
              </w:tc>
              <w:tc>
                <w:tcPr>
                  <w:tcW w:w="1228" w:type="dxa"/>
                  <w:noWrap/>
                  <w:tcMar>
                    <w:top w:w="10" w:type="dxa"/>
                    <w:left w:w="10" w:type="dxa"/>
                    <w:right w:w="10" w:type="dxa"/>
                  </w:tcMar>
                  <w:vAlign w:val="center"/>
                </w:tcPr>
                <w:p w14:paraId="2BD0A8B6">
                  <w:pPr>
                    <w:pStyle w:val="14"/>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固废</w:t>
                  </w:r>
                </w:p>
              </w:tc>
              <w:tc>
                <w:tcPr>
                  <w:tcW w:w="1686" w:type="dxa"/>
                  <w:noWrap/>
                  <w:tcMar>
                    <w:top w:w="10" w:type="dxa"/>
                    <w:left w:w="10" w:type="dxa"/>
                    <w:right w:w="10" w:type="dxa"/>
                  </w:tcMar>
                  <w:vAlign w:val="center"/>
                </w:tcPr>
                <w:p w14:paraId="573A353B">
                  <w:pPr>
                    <w:pStyle w:val="14"/>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设备安装</w:t>
                  </w:r>
                </w:p>
              </w:tc>
              <w:tc>
                <w:tcPr>
                  <w:tcW w:w="3869" w:type="dxa"/>
                  <w:noWrap/>
                  <w:tcMar>
                    <w:top w:w="10" w:type="dxa"/>
                    <w:left w:w="10" w:type="dxa"/>
                    <w:right w:w="10" w:type="dxa"/>
                  </w:tcMar>
                  <w:vAlign w:val="center"/>
                </w:tcPr>
                <w:p w14:paraId="16F14F64">
                  <w:pPr>
                    <w:pStyle w:val="14"/>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rPr>
                    <w:t>材料切割产生的</w:t>
                  </w:r>
                  <w:r>
                    <w:rPr>
                      <w:rFonts w:hint="default" w:ascii="Times New Roman" w:hAnsi="Times New Roman" w:cs="Times New Roman"/>
                      <w:color w:val="auto"/>
                      <w:lang w:val="en-US" w:eastAsia="zh-CN"/>
                    </w:rPr>
                    <w:t>固体废物、施工人员旱厕粪污等</w:t>
                  </w:r>
                </w:p>
              </w:tc>
            </w:tr>
            <w:tr w14:paraId="742A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34" w:type="dxa"/>
                  <w:vMerge w:val="restart"/>
                  <w:noWrap/>
                  <w:tcMar>
                    <w:top w:w="10" w:type="dxa"/>
                    <w:left w:w="10" w:type="dxa"/>
                    <w:right w:w="10" w:type="dxa"/>
                  </w:tcMar>
                  <w:vAlign w:val="center"/>
                </w:tcPr>
                <w:p w14:paraId="1B0A9B1A">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运营期</w:t>
                  </w:r>
                </w:p>
              </w:tc>
              <w:tc>
                <w:tcPr>
                  <w:tcW w:w="1228" w:type="dxa"/>
                  <w:vMerge w:val="restart"/>
                  <w:noWrap/>
                  <w:tcMar>
                    <w:top w:w="10" w:type="dxa"/>
                    <w:left w:w="10" w:type="dxa"/>
                    <w:right w:w="10" w:type="dxa"/>
                  </w:tcMar>
                  <w:vAlign w:val="center"/>
                </w:tcPr>
                <w:p w14:paraId="52713330">
                  <w:pPr>
                    <w:pStyle w:val="14"/>
                    <w:bidi w:val="0"/>
                    <w:rPr>
                      <w:rFonts w:hint="default" w:ascii="Times New Roman" w:hAnsi="Times New Roman" w:cs="Times New Roman"/>
                      <w:color w:val="auto"/>
                    </w:rPr>
                  </w:pPr>
                  <w:r>
                    <w:rPr>
                      <w:rFonts w:hint="default" w:ascii="Times New Roman" w:hAnsi="Times New Roman" w:cs="Times New Roman"/>
                      <w:color w:val="auto"/>
                      <w:lang w:val="en-US" w:eastAsia="zh-CN"/>
                    </w:rPr>
                    <w:t>废气</w:t>
                  </w:r>
                </w:p>
              </w:tc>
              <w:tc>
                <w:tcPr>
                  <w:tcW w:w="1686" w:type="dxa"/>
                  <w:noWrap/>
                  <w:tcMar>
                    <w:top w:w="10" w:type="dxa"/>
                    <w:left w:w="10" w:type="dxa"/>
                    <w:right w:w="10" w:type="dxa"/>
                  </w:tcMar>
                  <w:vAlign w:val="center"/>
                </w:tcPr>
                <w:p w14:paraId="302FE84B">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原料卸货</w:t>
                  </w:r>
                </w:p>
              </w:tc>
              <w:tc>
                <w:tcPr>
                  <w:tcW w:w="3869" w:type="dxa"/>
                  <w:noWrap/>
                  <w:tcMar>
                    <w:top w:w="10" w:type="dxa"/>
                    <w:left w:w="10" w:type="dxa"/>
                    <w:right w:w="10" w:type="dxa"/>
                  </w:tcMar>
                  <w:vAlign w:val="center"/>
                </w:tcPr>
                <w:p w14:paraId="5236DD7F">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r>
            <w:tr w14:paraId="68FB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34" w:type="dxa"/>
                  <w:vMerge w:val="continue"/>
                  <w:noWrap/>
                  <w:tcMar>
                    <w:top w:w="10" w:type="dxa"/>
                    <w:left w:w="10" w:type="dxa"/>
                    <w:right w:w="10" w:type="dxa"/>
                  </w:tcMar>
                  <w:vAlign w:val="center"/>
                </w:tcPr>
                <w:p w14:paraId="0D4B07F5">
                  <w:pPr>
                    <w:pStyle w:val="14"/>
                    <w:bidi w:val="0"/>
                    <w:rPr>
                      <w:rFonts w:hint="default" w:ascii="Times New Roman" w:hAnsi="Times New Roman" w:cs="Times New Roman"/>
                      <w:color w:val="auto"/>
                      <w:lang w:val="en-US" w:eastAsia="zh-CN"/>
                    </w:rPr>
                  </w:pPr>
                </w:p>
              </w:tc>
              <w:tc>
                <w:tcPr>
                  <w:tcW w:w="1228" w:type="dxa"/>
                  <w:vMerge w:val="continue"/>
                  <w:noWrap/>
                  <w:tcMar>
                    <w:top w:w="10" w:type="dxa"/>
                    <w:left w:w="10" w:type="dxa"/>
                    <w:right w:w="10" w:type="dxa"/>
                  </w:tcMar>
                  <w:vAlign w:val="center"/>
                </w:tcPr>
                <w:p w14:paraId="7F12DC63">
                  <w:pPr>
                    <w:pStyle w:val="14"/>
                    <w:bidi w:val="0"/>
                    <w:rPr>
                      <w:rFonts w:hint="default" w:ascii="Times New Roman" w:hAnsi="Times New Roman" w:cs="Times New Roman"/>
                      <w:color w:val="auto"/>
                      <w:lang w:val="en-US" w:eastAsia="zh-CN"/>
                    </w:rPr>
                  </w:pPr>
                </w:p>
              </w:tc>
              <w:tc>
                <w:tcPr>
                  <w:tcW w:w="1686" w:type="dxa"/>
                  <w:noWrap/>
                  <w:tcMar>
                    <w:top w:w="10" w:type="dxa"/>
                    <w:left w:w="10" w:type="dxa"/>
                    <w:right w:w="10" w:type="dxa"/>
                  </w:tcMar>
                  <w:vAlign w:val="center"/>
                </w:tcPr>
                <w:p w14:paraId="58DDD364">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w:t>
                  </w:r>
                  <w:r>
                    <w:rPr>
                      <w:rFonts w:hint="eastAsia" w:cs="Times New Roman"/>
                      <w:color w:val="auto"/>
                      <w:lang w:val="en-US" w:eastAsia="zh-CN"/>
                    </w:rPr>
                    <w:t>（喷底漆、面漆）</w:t>
                  </w:r>
                </w:p>
              </w:tc>
              <w:tc>
                <w:tcPr>
                  <w:tcW w:w="3869" w:type="dxa"/>
                  <w:noWrap/>
                  <w:tcMar>
                    <w:top w:w="10" w:type="dxa"/>
                    <w:left w:w="10" w:type="dxa"/>
                    <w:right w:w="10" w:type="dxa"/>
                  </w:tcMar>
                  <w:vAlign w:val="center"/>
                </w:tcPr>
                <w:p w14:paraId="33FCC9B6">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漆雾、非甲烷总烃、二甲苯</w:t>
                  </w:r>
                </w:p>
              </w:tc>
            </w:tr>
            <w:tr w14:paraId="0355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34" w:type="dxa"/>
                  <w:vMerge w:val="continue"/>
                  <w:noWrap/>
                  <w:tcMar>
                    <w:top w:w="10" w:type="dxa"/>
                    <w:left w:w="10" w:type="dxa"/>
                    <w:right w:w="10" w:type="dxa"/>
                  </w:tcMar>
                  <w:vAlign w:val="center"/>
                </w:tcPr>
                <w:p w14:paraId="2D17DF39">
                  <w:pPr>
                    <w:pStyle w:val="14"/>
                    <w:bidi w:val="0"/>
                    <w:rPr>
                      <w:rFonts w:hint="default" w:ascii="Times New Roman" w:hAnsi="Times New Roman" w:cs="Times New Roman"/>
                      <w:color w:val="auto"/>
                      <w:lang w:val="en-US" w:eastAsia="zh-CN"/>
                    </w:rPr>
                  </w:pPr>
                </w:p>
              </w:tc>
              <w:tc>
                <w:tcPr>
                  <w:tcW w:w="1228" w:type="dxa"/>
                  <w:vMerge w:val="continue"/>
                  <w:noWrap/>
                  <w:tcMar>
                    <w:top w:w="10" w:type="dxa"/>
                    <w:left w:w="10" w:type="dxa"/>
                    <w:right w:w="10" w:type="dxa"/>
                  </w:tcMar>
                  <w:vAlign w:val="center"/>
                </w:tcPr>
                <w:p w14:paraId="370FDBAB">
                  <w:pPr>
                    <w:pStyle w:val="14"/>
                    <w:bidi w:val="0"/>
                    <w:rPr>
                      <w:rFonts w:hint="default" w:ascii="Times New Roman" w:hAnsi="Times New Roman" w:cs="Times New Roman"/>
                      <w:color w:val="auto"/>
                      <w:lang w:val="en-US" w:eastAsia="zh-CN"/>
                    </w:rPr>
                  </w:pPr>
                </w:p>
              </w:tc>
              <w:tc>
                <w:tcPr>
                  <w:tcW w:w="1686" w:type="dxa"/>
                  <w:noWrap/>
                  <w:tcMar>
                    <w:top w:w="10" w:type="dxa"/>
                    <w:left w:w="10" w:type="dxa"/>
                    <w:right w:w="10" w:type="dxa"/>
                  </w:tcMar>
                  <w:vAlign w:val="center"/>
                </w:tcPr>
                <w:p w14:paraId="50FE9E88">
                  <w:pPr>
                    <w:pStyle w:val="14"/>
                    <w:bidi w:val="0"/>
                    <w:rPr>
                      <w:rFonts w:hint="default" w:ascii="Times New Roman" w:hAnsi="Times New Roman" w:cs="Times New Roman"/>
                      <w:color w:val="auto"/>
                      <w:lang w:val="en-US" w:eastAsia="zh-CN"/>
                    </w:rPr>
                  </w:pPr>
                  <w:r>
                    <w:rPr>
                      <w:rFonts w:hint="eastAsia" w:cs="Times New Roman"/>
                      <w:color w:val="auto"/>
                      <w:lang w:val="en-US" w:eastAsia="zh-CN"/>
                    </w:rPr>
                    <w:t>自然</w:t>
                  </w:r>
                  <w:r>
                    <w:rPr>
                      <w:rFonts w:hint="default" w:ascii="Times New Roman" w:hAnsi="Times New Roman" w:cs="Times New Roman"/>
                      <w:color w:val="auto"/>
                      <w:lang w:val="en-US" w:eastAsia="zh-CN"/>
                    </w:rPr>
                    <w:t>晾干</w:t>
                  </w:r>
                </w:p>
              </w:tc>
              <w:tc>
                <w:tcPr>
                  <w:tcW w:w="3869" w:type="dxa"/>
                  <w:noWrap/>
                  <w:tcMar>
                    <w:top w:w="10" w:type="dxa"/>
                    <w:left w:w="10" w:type="dxa"/>
                    <w:right w:w="10" w:type="dxa"/>
                  </w:tcMar>
                  <w:vAlign w:val="center"/>
                </w:tcPr>
                <w:p w14:paraId="73E67376">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非甲烷总烃、二甲苯</w:t>
                  </w:r>
                </w:p>
              </w:tc>
            </w:tr>
            <w:tr w14:paraId="6ADF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34" w:type="dxa"/>
                  <w:vMerge w:val="continue"/>
                  <w:noWrap/>
                  <w:tcMar>
                    <w:top w:w="10" w:type="dxa"/>
                    <w:left w:w="10" w:type="dxa"/>
                    <w:right w:w="10" w:type="dxa"/>
                  </w:tcMar>
                  <w:vAlign w:val="center"/>
                </w:tcPr>
                <w:p w14:paraId="0219B506">
                  <w:pPr>
                    <w:pStyle w:val="14"/>
                    <w:bidi w:val="0"/>
                    <w:rPr>
                      <w:rFonts w:hint="default" w:ascii="Times New Roman" w:hAnsi="Times New Roman" w:cs="Times New Roman"/>
                      <w:color w:val="auto"/>
                      <w:lang w:val="en-US" w:eastAsia="zh-CN"/>
                    </w:rPr>
                  </w:pPr>
                </w:p>
              </w:tc>
              <w:tc>
                <w:tcPr>
                  <w:tcW w:w="1228" w:type="dxa"/>
                  <w:vMerge w:val="continue"/>
                  <w:noWrap/>
                  <w:tcMar>
                    <w:top w:w="10" w:type="dxa"/>
                    <w:left w:w="10" w:type="dxa"/>
                    <w:right w:w="10" w:type="dxa"/>
                  </w:tcMar>
                  <w:vAlign w:val="center"/>
                </w:tcPr>
                <w:p w14:paraId="4553656D">
                  <w:pPr>
                    <w:pStyle w:val="14"/>
                    <w:bidi w:val="0"/>
                    <w:rPr>
                      <w:rFonts w:hint="default" w:ascii="Times New Roman" w:hAnsi="Times New Roman" w:cs="Times New Roman"/>
                      <w:color w:val="auto"/>
                      <w:lang w:val="en-US" w:eastAsia="zh-CN"/>
                    </w:rPr>
                  </w:pPr>
                </w:p>
              </w:tc>
              <w:tc>
                <w:tcPr>
                  <w:tcW w:w="1686" w:type="dxa"/>
                  <w:noWrap/>
                  <w:tcMar>
                    <w:top w:w="10" w:type="dxa"/>
                    <w:left w:w="10" w:type="dxa"/>
                    <w:right w:w="10" w:type="dxa"/>
                  </w:tcMar>
                  <w:vAlign w:val="center"/>
                </w:tcPr>
                <w:p w14:paraId="2C746735">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厂界</w:t>
                  </w:r>
                </w:p>
              </w:tc>
              <w:tc>
                <w:tcPr>
                  <w:tcW w:w="3869" w:type="dxa"/>
                  <w:noWrap/>
                  <w:tcMar>
                    <w:top w:w="10" w:type="dxa"/>
                    <w:left w:w="10" w:type="dxa"/>
                    <w:right w:w="10" w:type="dxa"/>
                  </w:tcMar>
                  <w:vAlign w:val="center"/>
                </w:tcPr>
                <w:p w14:paraId="4599B704">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颗粒物、非甲烷总烃、二甲苯</w:t>
                  </w:r>
                  <w:r>
                    <w:rPr>
                      <w:rFonts w:hint="eastAsia" w:cs="Times New Roman"/>
                      <w:color w:val="auto"/>
                      <w:lang w:val="en-US" w:eastAsia="zh-CN"/>
                    </w:rPr>
                    <w:t>、臭气浓度</w:t>
                  </w:r>
                </w:p>
              </w:tc>
            </w:tr>
            <w:tr w14:paraId="360D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34" w:type="dxa"/>
                  <w:vMerge w:val="continue"/>
                  <w:noWrap/>
                  <w:tcMar>
                    <w:top w:w="10" w:type="dxa"/>
                    <w:left w:w="10" w:type="dxa"/>
                    <w:right w:w="10" w:type="dxa"/>
                  </w:tcMar>
                  <w:vAlign w:val="center"/>
                </w:tcPr>
                <w:p w14:paraId="151B4047">
                  <w:pPr>
                    <w:pStyle w:val="14"/>
                    <w:bidi w:val="0"/>
                    <w:rPr>
                      <w:rFonts w:hint="default" w:ascii="Times New Roman" w:hAnsi="Times New Roman" w:cs="Times New Roman"/>
                      <w:color w:val="auto"/>
                      <w:lang w:val="en-US" w:eastAsia="zh-CN"/>
                    </w:rPr>
                  </w:pPr>
                </w:p>
              </w:tc>
              <w:tc>
                <w:tcPr>
                  <w:tcW w:w="1228" w:type="dxa"/>
                  <w:noWrap/>
                  <w:tcMar>
                    <w:top w:w="10" w:type="dxa"/>
                    <w:left w:w="10" w:type="dxa"/>
                    <w:right w:w="10" w:type="dxa"/>
                  </w:tcMar>
                  <w:vAlign w:val="center"/>
                </w:tcPr>
                <w:p w14:paraId="56954125">
                  <w:pPr>
                    <w:pStyle w:val="14"/>
                    <w:bidi w:val="0"/>
                    <w:rPr>
                      <w:rFonts w:hint="default" w:ascii="Times New Roman" w:hAnsi="Times New Roman" w:cs="Times New Roman"/>
                      <w:color w:val="auto"/>
                    </w:rPr>
                  </w:pPr>
                  <w:r>
                    <w:rPr>
                      <w:rFonts w:hint="default" w:ascii="Times New Roman" w:hAnsi="Times New Roman" w:cs="Times New Roman"/>
                      <w:color w:val="auto"/>
                      <w:lang w:val="en-US" w:eastAsia="zh-CN"/>
                    </w:rPr>
                    <w:t>废水</w:t>
                  </w:r>
                </w:p>
              </w:tc>
              <w:tc>
                <w:tcPr>
                  <w:tcW w:w="1686" w:type="dxa"/>
                  <w:noWrap/>
                  <w:tcMar>
                    <w:top w:w="10" w:type="dxa"/>
                    <w:left w:w="10" w:type="dxa"/>
                    <w:right w:w="10" w:type="dxa"/>
                  </w:tcMar>
                  <w:vAlign w:val="center"/>
                </w:tcPr>
                <w:p w14:paraId="2A107223">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办公废水</w:t>
                  </w:r>
                </w:p>
              </w:tc>
              <w:tc>
                <w:tcPr>
                  <w:tcW w:w="3869" w:type="dxa"/>
                  <w:noWrap/>
                  <w:tcMar>
                    <w:top w:w="10" w:type="dxa"/>
                    <w:left w:w="10" w:type="dxa"/>
                    <w:right w:w="10" w:type="dxa"/>
                  </w:tcMar>
                  <w:vAlign w:val="center"/>
                </w:tcPr>
                <w:p w14:paraId="5DFBA7C8">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SS</w:t>
                  </w:r>
                </w:p>
              </w:tc>
            </w:tr>
            <w:tr w14:paraId="3ABD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34" w:type="dxa"/>
                  <w:vMerge w:val="continue"/>
                  <w:noWrap/>
                  <w:tcMar>
                    <w:top w:w="10" w:type="dxa"/>
                    <w:left w:w="10" w:type="dxa"/>
                    <w:right w:w="10" w:type="dxa"/>
                  </w:tcMar>
                  <w:vAlign w:val="center"/>
                </w:tcPr>
                <w:p w14:paraId="66ED91B6">
                  <w:pPr>
                    <w:pStyle w:val="14"/>
                    <w:bidi w:val="0"/>
                    <w:rPr>
                      <w:rFonts w:hint="default" w:ascii="Times New Roman" w:hAnsi="Times New Roman" w:cs="Times New Roman"/>
                      <w:color w:val="auto"/>
                      <w:lang w:val="en-US" w:eastAsia="zh-CN"/>
                    </w:rPr>
                  </w:pPr>
                </w:p>
              </w:tc>
              <w:tc>
                <w:tcPr>
                  <w:tcW w:w="1228" w:type="dxa"/>
                  <w:vMerge w:val="restart"/>
                  <w:noWrap/>
                  <w:tcMar>
                    <w:top w:w="10" w:type="dxa"/>
                    <w:left w:w="10" w:type="dxa"/>
                    <w:right w:w="10" w:type="dxa"/>
                  </w:tcMar>
                  <w:vAlign w:val="center"/>
                </w:tcPr>
                <w:p w14:paraId="0906A997">
                  <w:pPr>
                    <w:pStyle w:val="14"/>
                    <w:bidi w:val="0"/>
                    <w:rPr>
                      <w:rFonts w:hint="default" w:ascii="Times New Roman" w:hAnsi="Times New Roman" w:cs="Times New Roman"/>
                      <w:color w:val="auto"/>
                    </w:rPr>
                  </w:pPr>
                  <w:r>
                    <w:rPr>
                      <w:rFonts w:hint="default" w:ascii="Times New Roman" w:hAnsi="Times New Roman" w:cs="Times New Roman"/>
                      <w:color w:val="auto"/>
                      <w:lang w:val="en-US" w:eastAsia="zh-CN"/>
                    </w:rPr>
                    <w:t>固废</w:t>
                  </w:r>
                </w:p>
              </w:tc>
              <w:tc>
                <w:tcPr>
                  <w:tcW w:w="1686" w:type="dxa"/>
                  <w:noWrap/>
                  <w:tcMar>
                    <w:top w:w="10" w:type="dxa"/>
                    <w:left w:w="10" w:type="dxa"/>
                    <w:right w:w="10" w:type="dxa"/>
                  </w:tcMar>
                  <w:vAlign w:val="center"/>
                </w:tcPr>
                <w:p w14:paraId="3642817F">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原料卸货</w:t>
                  </w:r>
                </w:p>
              </w:tc>
              <w:tc>
                <w:tcPr>
                  <w:tcW w:w="3869" w:type="dxa"/>
                  <w:noWrap w:val="0"/>
                  <w:tcMar>
                    <w:top w:w="10" w:type="dxa"/>
                    <w:left w:w="10" w:type="dxa"/>
                    <w:right w:w="10" w:type="dxa"/>
                  </w:tcMar>
                  <w:vAlign w:val="center"/>
                </w:tcPr>
                <w:p w14:paraId="76288581">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残次品</w:t>
                  </w:r>
                </w:p>
              </w:tc>
            </w:tr>
            <w:tr w14:paraId="52E22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34" w:type="dxa"/>
                  <w:vMerge w:val="continue"/>
                  <w:noWrap/>
                  <w:tcMar>
                    <w:top w:w="10" w:type="dxa"/>
                    <w:left w:w="10" w:type="dxa"/>
                    <w:right w:w="10" w:type="dxa"/>
                  </w:tcMar>
                  <w:vAlign w:val="center"/>
                </w:tcPr>
                <w:p w14:paraId="3AE00337">
                  <w:pPr>
                    <w:pStyle w:val="14"/>
                    <w:bidi w:val="0"/>
                    <w:rPr>
                      <w:rFonts w:hint="default" w:ascii="Times New Roman" w:hAnsi="Times New Roman" w:cs="Times New Roman"/>
                      <w:color w:val="auto"/>
                      <w:lang w:val="en-US" w:eastAsia="zh-CN"/>
                    </w:rPr>
                  </w:pPr>
                </w:p>
              </w:tc>
              <w:tc>
                <w:tcPr>
                  <w:tcW w:w="1228" w:type="dxa"/>
                  <w:vMerge w:val="continue"/>
                  <w:noWrap/>
                  <w:tcMar>
                    <w:top w:w="10" w:type="dxa"/>
                    <w:left w:w="10" w:type="dxa"/>
                    <w:right w:w="10" w:type="dxa"/>
                  </w:tcMar>
                  <w:vAlign w:val="center"/>
                </w:tcPr>
                <w:p w14:paraId="6428875B">
                  <w:pPr>
                    <w:pStyle w:val="14"/>
                    <w:bidi w:val="0"/>
                    <w:rPr>
                      <w:rFonts w:hint="default" w:ascii="Times New Roman" w:hAnsi="Times New Roman" w:cs="Times New Roman"/>
                      <w:color w:val="auto"/>
                      <w:lang w:val="en-US" w:eastAsia="zh-CN"/>
                    </w:rPr>
                  </w:pPr>
                </w:p>
              </w:tc>
              <w:tc>
                <w:tcPr>
                  <w:tcW w:w="1686" w:type="dxa"/>
                  <w:noWrap/>
                  <w:tcMar>
                    <w:top w:w="10" w:type="dxa"/>
                    <w:left w:w="10" w:type="dxa"/>
                    <w:right w:w="10" w:type="dxa"/>
                  </w:tcMar>
                  <w:vAlign w:val="center"/>
                </w:tcPr>
                <w:p w14:paraId="006739B9">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w:t>
                  </w:r>
                </w:p>
              </w:tc>
              <w:tc>
                <w:tcPr>
                  <w:tcW w:w="3869" w:type="dxa"/>
                  <w:noWrap w:val="0"/>
                  <w:tcMar>
                    <w:top w:w="10" w:type="dxa"/>
                    <w:left w:w="10" w:type="dxa"/>
                    <w:right w:w="10" w:type="dxa"/>
                  </w:tcMar>
                  <w:vAlign w:val="center"/>
                </w:tcPr>
                <w:p w14:paraId="3B03F1FC">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漆渣、油漆和稀释剂等包装桶，废气处理系统中定期更换的废弃活性炭、</w:t>
                  </w:r>
                  <w:r>
                    <w:rPr>
                      <w:rFonts w:hint="eastAsia" w:cs="Times New Roman"/>
                      <w:color w:val="auto"/>
                      <w:lang w:val="en-US" w:eastAsia="zh-CN"/>
                    </w:rPr>
                    <w:t>水帘废液</w:t>
                  </w:r>
                </w:p>
              </w:tc>
            </w:tr>
            <w:tr w14:paraId="43D36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34" w:type="dxa"/>
                  <w:vMerge w:val="continue"/>
                  <w:noWrap/>
                  <w:tcMar>
                    <w:top w:w="10" w:type="dxa"/>
                    <w:left w:w="10" w:type="dxa"/>
                    <w:right w:w="10" w:type="dxa"/>
                  </w:tcMar>
                  <w:vAlign w:val="center"/>
                </w:tcPr>
                <w:p w14:paraId="7E5E6E02">
                  <w:pPr>
                    <w:pStyle w:val="14"/>
                    <w:bidi w:val="0"/>
                    <w:rPr>
                      <w:rFonts w:hint="default" w:ascii="Times New Roman" w:hAnsi="Times New Roman" w:cs="Times New Roman"/>
                      <w:color w:val="auto"/>
                      <w:lang w:val="en-US" w:eastAsia="zh-CN"/>
                    </w:rPr>
                  </w:pPr>
                </w:p>
              </w:tc>
              <w:tc>
                <w:tcPr>
                  <w:tcW w:w="1228" w:type="dxa"/>
                  <w:vMerge w:val="continue"/>
                  <w:noWrap/>
                  <w:tcMar>
                    <w:top w:w="10" w:type="dxa"/>
                    <w:left w:w="10" w:type="dxa"/>
                    <w:right w:w="10" w:type="dxa"/>
                  </w:tcMar>
                  <w:vAlign w:val="center"/>
                </w:tcPr>
                <w:p w14:paraId="47C095EA">
                  <w:pPr>
                    <w:pStyle w:val="14"/>
                    <w:bidi w:val="0"/>
                    <w:rPr>
                      <w:rFonts w:hint="default" w:ascii="Times New Roman" w:hAnsi="Times New Roman" w:cs="Times New Roman"/>
                      <w:color w:val="auto"/>
                      <w:lang w:val="en-US" w:eastAsia="zh-CN"/>
                    </w:rPr>
                  </w:pPr>
                </w:p>
              </w:tc>
              <w:tc>
                <w:tcPr>
                  <w:tcW w:w="1686" w:type="dxa"/>
                  <w:noWrap/>
                  <w:tcMar>
                    <w:top w:w="10" w:type="dxa"/>
                    <w:left w:w="10" w:type="dxa"/>
                    <w:right w:w="10" w:type="dxa"/>
                  </w:tcMar>
                  <w:vAlign w:val="center"/>
                </w:tcPr>
                <w:p w14:paraId="54D2BC35">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化粪池</w:t>
                  </w:r>
                </w:p>
              </w:tc>
              <w:tc>
                <w:tcPr>
                  <w:tcW w:w="3869" w:type="dxa"/>
                  <w:noWrap w:val="0"/>
                  <w:tcMar>
                    <w:top w:w="10" w:type="dxa"/>
                    <w:left w:w="10" w:type="dxa"/>
                    <w:right w:w="10" w:type="dxa"/>
                  </w:tcMar>
                  <w:vAlign w:val="center"/>
                </w:tcPr>
                <w:p w14:paraId="6AF1DB78">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旱厕粪污</w:t>
                  </w:r>
                </w:p>
              </w:tc>
            </w:tr>
            <w:tr w14:paraId="13F8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34" w:type="dxa"/>
                  <w:vMerge w:val="continue"/>
                  <w:noWrap/>
                  <w:tcMar>
                    <w:top w:w="10" w:type="dxa"/>
                    <w:left w:w="10" w:type="dxa"/>
                    <w:right w:w="10" w:type="dxa"/>
                  </w:tcMar>
                  <w:vAlign w:val="center"/>
                </w:tcPr>
                <w:p w14:paraId="2A3AE445">
                  <w:pPr>
                    <w:pStyle w:val="14"/>
                    <w:bidi w:val="0"/>
                    <w:rPr>
                      <w:rFonts w:hint="default" w:ascii="Times New Roman" w:hAnsi="Times New Roman" w:cs="Times New Roman"/>
                      <w:color w:val="auto"/>
                      <w:lang w:val="en-US" w:eastAsia="zh-CN"/>
                    </w:rPr>
                  </w:pPr>
                </w:p>
              </w:tc>
              <w:tc>
                <w:tcPr>
                  <w:tcW w:w="1228" w:type="dxa"/>
                  <w:vMerge w:val="continue"/>
                  <w:noWrap/>
                  <w:tcMar>
                    <w:top w:w="10" w:type="dxa"/>
                    <w:left w:w="10" w:type="dxa"/>
                    <w:right w:w="10" w:type="dxa"/>
                  </w:tcMar>
                  <w:vAlign w:val="center"/>
                </w:tcPr>
                <w:p w14:paraId="6E2D6629">
                  <w:pPr>
                    <w:pStyle w:val="14"/>
                    <w:bidi w:val="0"/>
                    <w:rPr>
                      <w:rFonts w:hint="default" w:ascii="Times New Roman" w:hAnsi="Times New Roman" w:cs="Times New Roman"/>
                      <w:color w:val="auto"/>
                      <w:lang w:val="en-US" w:eastAsia="zh-CN"/>
                    </w:rPr>
                  </w:pPr>
                </w:p>
              </w:tc>
              <w:tc>
                <w:tcPr>
                  <w:tcW w:w="1686" w:type="dxa"/>
                  <w:noWrap/>
                  <w:tcMar>
                    <w:top w:w="10" w:type="dxa"/>
                    <w:left w:w="10" w:type="dxa"/>
                    <w:right w:w="10" w:type="dxa"/>
                  </w:tcMar>
                  <w:vAlign w:val="center"/>
                </w:tcPr>
                <w:p w14:paraId="770B03D6">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员工</w:t>
                  </w:r>
                </w:p>
              </w:tc>
              <w:tc>
                <w:tcPr>
                  <w:tcW w:w="3869" w:type="dxa"/>
                  <w:noWrap w:val="0"/>
                  <w:tcMar>
                    <w:top w:w="10" w:type="dxa"/>
                    <w:left w:w="10" w:type="dxa"/>
                    <w:right w:w="10" w:type="dxa"/>
                  </w:tcMar>
                  <w:vAlign w:val="center"/>
                </w:tcPr>
                <w:p w14:paraId="76E69A26">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生活垃圾</w:t>
                  </w:r>
                </w:p>
              </w:tc>
            </w:tr>
            <w:tr w14:paraId="5CF5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34" w:type="dxa"/>
                  <w:vMerge w:val="continue"/>
                  <w:noWrap/>
                  <w:tcMar>
                    <w:top w:w="10" w:type="dxa"/>
                    <w:left w:w="10" w:type="dxa"/>
                    <w:right w:w="10" w:type="dxa"/>
                  </w:tcMar>
                  <w:vAlign w:val="center"/>
                </w:tcPr>
                <w:p w14:paraId="389EA5F1">
                  <w:pPr>
                    <w:pStyle w:val="14"/>
                    <w:bidi w:val="0"/>
                    <w:rPr>
                      <w:rFonts w:hint="default" w:ascii="Times New Roman" w:hAnsi="Times New Roman" w:cs="Times New Roman"/>
                      <w:color w:val="auto"/>
                      <w:lang w:eastAsia="zh-CN"/>
                    </w:rPr>
                  </w:pPr>
                </w:p>
              </w:tc>
              <w:tc>
                <w:tcPr>
                  <w:tcW w:w="1228" w:type="dxa"/>
                  <w:noWrap/>
                  <w:tcMar>
                    <w:top w:w="10" w:type="dxa"/>
                    <w:left w:w="10" w:type="dxa"/>
                    <w:right w:w="10" w:type="dxa"/>
                  </w:tcMar>
                  <w:vAlign w:val="center"/>
                </w:tcPr>
                <w:p w14:paraId="2B35FFF8">
                  <w:pPr>
                    <w:pStyle w:val="14"/>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噪声</w:t>
                  </w:r>
                </w:p>
              </w:tc>
              <w:tc>
                <w:tcPr>
                  <w:tcW w:w="1686" w:type="dxa"/>
                  <w:noWrap/>
                  <w:tcMar>
                    <w:top w:w="10" w:type="dxa"/>
                    <w:left w:w="10" w:type="dxa"/>
                    <w:right w:w="10" w:type="dxa"/>
                  </w:tcMar>
                  <w:vAlign w:val="center"/>
                </w:tcPr>
                <w:p w14:paraId="76A015BF">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喷漆自动输送链条、叉车等</w:t>
                  </w:r>
                </w:p>
              </w:tc>
              <w:tc>
                <w:tcPr>
                  <w:tcW w:w="3869" w:type="dxa"/>
                  <w:noWrap w:val="0"/>
                  <w:tcMar>
                    <w:top w:w="10" w:type="dxa"/>
                    <w:left w:w="10" w:type="dxa"/>
                    <w:right w:w="10" w:type="dxa"/>
                  </w:tcMar>
                  <w:vAlign w:val="center"/>
                </w:tcPr>
                <w:p w14:paraId="7BA57787">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设备噪声</w:t>
                  </w:r>
                </w:p>
              </w:tc>
            </w:tr>
          </w:tbl>
          <w:p w14:paraId="6F022A4E">
            <w:pPr>
              <w:bidi w:val="0"/>
              <w:ind w:left="0" w:leftChars="0" w:firstLine="0" w:firstLineChars="0"/>
              <w:rPr>
                <w:rFonts w:hint="default" w:ascii="Times New Roman" w:hAnsi="Times New Roman" w:eastAsia="宋体" w:cs="Times New Roman"/>
                <w:color w:val="auto"/>
                <w:lang w:val="en-US" w:eastAsia="zh-CN"/>
              </w:rPr>
            </w:pPr>
          </w:p>
        </w:tc>
      </w:tr>
      <w:tr w14:paraId="1BF5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9" w:type="dxa"/>
            <w:vAlign w:val="center"/>
          </w:tcPr>
          <w:p w14:paraId="7D8261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vertAlign w:val="baseline"/>
              </w:rPr>
              <w:t>与项目有关的原有环境污染问题</w:t>
            </w:r>
          </w:p>
        </w:tc>
        <w:tc>
          <w:tcPr>
            <w:tcW w:w="7643" w:type="dxa"/>
            <w:vAlign w:val="center"/>
          </w:tcPr>
          <w:p w14:paraId="1E7C1812">
            <w:pPr>
              <w:bidi w:val="0"/>
              <w:rPr>
                <w:rFonts w:hint="default" w:ascii="Times New Roman" w:hAnsi="Times New Roman" w:eastAsia="宋体" w:cs="Times New Roman"/>
                <w:color w:val="auto"/>
                <w:lang w:val="en-US" w:eastAsia="zh-CN"/>
              </w:rPr>
            </w:pPr>
            <w:r>
              <w:rPr>
                <w:rFonts w:hint="eastAsia" w:cs="Times New Roman"/>
                <w:color w:val="auto"/>
                <w:lang w:val="en-US" w:eastAsia="zh-CN"/>
              </w:rPr>
              <w:t>根据建设单位提供资料及咨询生态主管部门</w:t>
            </w:r>
            <w:r>
              <w:rPr>
                <w:rFonts w:hint="default" w:ascii="Times New Roman" w:hAnsi="Times New Roman" w:cs="Times New Roman"/>
                <w:color w:val="auto"/>
                <w:lang w:val="en-US" w:eastAsia="zh-CN"/>
              </w:rPr>
              <w:t>，本项目主要租用云南澄江县德安磷化工有限责任公司原有厂房及空地，</w:t>
            </w:r>
            <w:r>
              <w:rPr>
                <w:rFonts w:hint="eastAsia" w:cs="Times New Roman"/>
                <w:color w:val="auto"/>
                <w:lang w:val="en-US" w:eastAsia="zh-CN"/>
              </w:rPr>
              <w:t>项目租用用地为工业用地，项目租用的闲置厂房原为德安磷化工仓库，已闲置多年，根据现场调查，用地不存在污染情况，</w:t>
            </w:r>
            <w:r>
              <w:rPr>
                <w:rFonts w:hint="default" w:ascii="Times New Roman" w:hAnsi="Times New Roman" w:cs="Times New Roman"/>
                <w:color w:val="auto"/>
                <w:lang w:val="en-US" w:eastAsia="zh-CN"/>
              </w:rPr>
              <w:t>项目租用其闲置场地及部分厂房不存在原有环境污染问题。</w:t>
            </w:r>
          </w:p>
          <w:p w14:paraId="439B76AB">
            <w:pPr>
              <w:bidi w:val="0"/>
              <w:rPr>
                <w:rFonts w:hint="default" w:ascii="Times New Roman" w:hAnsi="Times New Roman" w:cs="Times New Roman"/>
                <w:color w:val="auto"/>
              </w:rPr>
            </w:pPr>
          </w:p>
          <w:p w14:paraId="5EB71D49">
            <w:pPr>
              <w:bidi w:val="0"/>
              <w:rPr>
                <w:rFonts w:hint="default" w:ascii="Times New Roman" w:hAnsi="Times New Roman" w:cs="Times New Roman"/>
                <w:color w:val="auto"/>
              </w:rPr>
            </w:pPr>
          </w:p>
          <w:p w14:paraId="31C96F35">
            <w:pPr>
              <w:bidi w:val="0"/>
              <w:ind w:left="0" w:leftChars="0" w:firstLine="0" w:firstLineChars="0"/>
              <w:rPr>
                <w:rFonts w:hint="default" w:ascii="Times New Roman" w:hAnsi="Times New Roman" w:eastAsia="宋体" w:cs="Times New Roman"/>
                <w:color w:val="auto"/>
                <w:lang w:val="en-US" w:eastAsia="zh-CN"/>
              </w:rPr>
            </w:pPr>
          </w:p>
          <w:p w14:paraId="28111406">
            <w:pPr>
              <w:bidi w:val="0"/>
              <w:ind w:left="0" w:leftChars="0" w:firstLine="0" w:firstLineChars="0"/>
              <w:rPr>
                <w:rFonts w:hint="default" w:ascii="Times New Roman" w:hAnsi="Times New Roman" w:eastAsia="宋体" w:cs="Times New Roman"/>
                <w:color w:val="auto"/>
                <w:lang w:val="en-US" w:eastAsia="zh-CN"/>
              </w:rPr>
            </w:pPr>
          </w:p>
          <w:p w14:paraId="7C271D4B">
            <w:pPr>
              <w:bidi w:val="0"/>
              <w:ind w:left="0" w:leftChars="0" w:firstLine="0" w:firstLineChars="0"/>
              <w:rPr>
                <w:rFonts w:hint="default" w:ascii="Times New Roman" w:hAnsi="Times New Roman" w:eastAsia="宋体" w:cs="Times New Roman"/>
                <w:color w:val="auto"/>
                <w:lang w:val="en-US" w:eastAsia="zh-CN"/>
              </w:rPr>
            </w:pPr>
          </w:p>
          <w:p w14:paraId="2246345B">
            <w:pPr>
              <w:bidi w:val="0"/>
              <w:ind w:left="0" w:leftChars="0" w:firstLine="0" w:firstLineChars="0"/>
              <w:rPr>
                <w:rFonts w:hint="default" w:ascii="Times New Roman" w:hAnsi="Times New Roman" w:eastAsia="宋体" w:cs="Times New Roman"/>
                <w:color w:val="auto"/>
                <w:lang w:val="en-US" w:eastAsia="zh-CN"/>
              </w:rPr>
            </w:pPr>
          </w:p>
          <w:p w14:paraId="188762C7">
            <w:pPr>
              <w:bidi w:val="0"/>
              <w:ind w:left="0" w:leftChars="0" w:firstLine="0" w:firstLineChars="0"/>
              <w:rPr>
                <w:rFonts w:hint="default" w:ascii="Times New Roman" w:hAnsi="Times New Roman" w:eastAsia="宋体" w:cs="Times New Roman"/>
                <w:color w:val="auto"/>
                <w:lang w:val="en-US" w:eastAsia="zh-CN"/>
              </w:rPr>
            </w:pPr>
          </w:p>
          <w:p w14:paraId="3CBA33ED">
            <w:pPr>
              <w:bidi w:val="0"/>
              <w:ind w:left="0" w:leftChars="0" w:firstLine="0" w:firstLineChars="0"/>
              <w:rPr>
                <w:rFonts w:hint="default" w:ascii="Times New Roman" w:hAnsi="Times New Roman" w:eastAsia="宋体" w:cs="Times New Roman"/>
                <w:color w:val="auto"/>
                <w:lang w:val="en-US" w:eastAsia="zh-CN"/>
              </w:rPr>
            </w:pPr>
          </w:p>
          <w:p w14:paraId="7EC0D1F1">
            <w:pPr>
              <w:bidi w:val="0"/>
              <w:ind w:left="0" w:leftChars="0" w:firstLine="0" w:firstLineChars="0"/>
              <w:rPr>
                <w:rFonts w:hint="default" w:ascii="Times New Roman" w:hAnsi="Times New Roman" w:eastAsia="宋体" w:cs="Times New Roman"/>
                <w:color w:val="auto"/>
                <w:lang w:val="en-US" w:eastAsia="zh-CN"/>
              </w:rPr>
            </w:pPr>
          </w:p>
          <w:p w14:paraId="6B2685B5">
            <w:pPr>
              <w:bidi w:val="0"/>
              <w:ind w:left="0" w:leftChars="0" w:firstLine="0" w:firstLineChars="0"/>
              <w:rPr>
                <w:rFonts w:hint="default" w:ascii="Times New Roman" w:hAnsi="Times New Roman" w:eastAsia="宋体" w:cs="Times New Roman"/>
                <w:color w:val="auto"/>
                <w:lang w:val="en-US" w:eastAsia="zh-CN"/>
              </w:rPr>
            </w:pPr>
          </w:p>
        </w:tc>
      </w:tr>
    </w:tbl>
    <w:p w14:paraId="718BBD83">
      <w:pPr>
        <w:pStyle w:val="2"/>
        <w:bidi w:val="0"/>
        <w:rPr>
          <w:rFonts w:hint="default" w:ascii="Times New Roman" w:hAnsi="Times New Roman" w:cs="Times New Roman"/>
          <w:color w:val="auto"/>
          <w:lang w:val="en-US" w:eastAsia="zh-CN"/>
        </w:rPr>
      </w:pPr>
      <w:bookmarkStart w:id="3" w:name="_Toc29908"/>
      <w:r>
        <w:rPr>
          <w:rFonts w:hint="default" w:ascii="Times New Roman" w:hAnsi="Times New Roman" w:cs="Times New Roman"/>
          <w:color w:val="auto"/>
          <w:lang w:val="en-US" w:eastAsia="zh-CN"/>
        </w:rPr>
        <w:t>三、区域环境质量现状、环境保护目标及评价标准</w:t>
      </w:r>
      <w:bookmarkEnd w:id="3"/>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7676"/>
      </w:tblGrid>
      <w:tr w14:paraId="14888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6F62A3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区域环境质量现状</w:t>
            </w:r>
          </w:p>
        </w:tc>
        <w:tc>
          <w:tcPr>
            <w:tcW w:w="7676" w:type="dxa"/>
            <w:vAlign w:val="center"/>
          </w:tcPr>
          <w:p w14:paraId="68775C50">
            <w:pPr>
              <w:bidi w:val="0"/>
              <w:rPr>
                <w:rFonts w:hint="default" w:ascii="Times New Roman" w:hAnsi="Times New Roman" w:cs="Times New Roman"/>
                <w:b/>
                <w:bCs/>
                <w:color w:val="auto"/>
              </w:rPr>
            </w:pPr>
            <w:r>
              <w:rPr>
                <w:rFonts w:hint="default" w:ascii="Times New Roman" w:hAnsi="Times New Roman" w:cs="Times New Roman"/>
                <w:b/>
                <w:bCs/>
                <w:color w:val="auto"/>
              </w:rPr>
              <w:t>1、环境空气质量现状</w:t>
            </w:r>
          </w:p>
          <w:p w14:paraId="38CBE347">
            <w:pPr>
              <w:bidi w:val="0"/>
              <w:rPr>
                <w:rFonts w:hint="default" w:ascii="Times New Roman" w:hAnsi="Times New Roman" w:cs="Times New Roman"/>
                <w:color w:val="auto"/>
              </w:rPr>
            </w:pPr>
            <w:r>
              <w:rPr>
                <w:rFonts w:hint="default" w:ascii="Times New Roman" w:hAnsi="Times New Roman" w:cs="Times New Roman"/>
                <w:color w:val="auto"/>
              </w:rPr>
              <w:t>项目位于</w:t>
            </w:r>
            <w:r>
              <w:rPr>
                <w:rFonts w:hint="default" w:ascii="Times New Roman" w:hAnsi="Times New Roman" w:cs="Times New Roman"/>
                <w:color w:val="auto"/>
                <w:lang w:val="en-US" w:eastAsia="zh-CN"/>
              </w:rPr>
              <w:t>云南省玉溪市澄江市右所镇右所社区大坡头</w:t>
            </w:r>
            <w:r>
              <w:rPr>
                <w:rFonts w:hint="default" w:ascii="Times New Roman" w:hAnsi="Times New Roman" w:cs="Times New Roman"/>
                <w:color w:val="auto"/>
              </w:rPr>
              <w:t>，项目区域环境空气质量执行《环境空气质量标准》</w:t>
            </w:r>
            <w:r>
              <w:rPr>
                <w:rFonts w:hint="default" w:ascii="Times New Roman" w:hAnsi="Times New Roman" w:cs="Times New Roman"/>
                <w:color w:val="auto"/>
                <w:lang w:eastAsia="zh-CN"/>
              </w:rPr>
              <w:t>（</w:t>
            </w:r>
            <w:r>
              <w:rPr>
                <w:rFonts w:hint="default" w:ascii="Times New Roman" w:hAnsi="Times New Roman" w:cs="Times New Roman"/>
                <w:color w:val="auto"/>
              </w:rPr>
              <w:t>GB3095-2012）二级标准。</w:t>
            </w:r>
          </w:p>
          <w:p w14:paraId="5D67E9FA">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根据《2023年度玉溪市环境空气质量状况统计分析报告》，2023年国家环境监测网络城市空气自动监测站点——澄江环保局子站监测数据：空气可吸入颗粒物（PM</w:t>
            </w:r>
            <w:r>
              <w:rPr>
                <w:rFonts w:hint="default" w:ascii="Times New Roman" w:hAnsi="Times New Roman" w:cs="Times New Roman"/>
                <w:color w:val="auto"/>
                <w:vertAlign w:val="subscript"/>
                <w:lang w:val="en-US" w:eastAsia="zh-CN"/>
              </w:rPr>
              <w:t>10</w:t>
            </w:r>
            <w:r>
              <w:rPr>
                <w:rFonts w:hint="default" w:ascii="Times New Roman" w:hAnsi="Times New Roman" w:cs="Times New Roman"/>
                <w:color w:val="auto"/>
                <w:lang w:val="en-US" w:eastAsia="zh-CN"/>
              </w:rPr>
              <w:t>）、细颗粒物（PM</w:t>
            </w:r>
            <w:r>
              <w:rPr>
                <w:rFonts w:hint="default" w:ascii="Times New Roman" w:hAnsi="Times New Roman" w:cs="Times New Roman"/>
                <w:color w:val="auto"/>
                <w:vertAlign w:val="subscript"/>
                <w:lang w:val="en-US" w:eastAsia="zh-CN"/>
              </w:rPr>
              <w:t>2.5</w:t>
            </w:r>
            <w:r>
              <w:rPr>
                <w:rFonts w:hint="default" w:ascii="Times New Roman" w:hAnsi="Times New Roman" w:cs="Times New Roman"/>
                <w:color w:val="auto"/>
                <w:lang w:val="en-US" w:eastAsia="zh-CN"/>
              </w:rPr>
              <w:t>）、二氧化硫（SO</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）、二氧化氮（NO</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）、一氧化碳（CO）、臭氧（O</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）年平均浓度满足《环境空气质量标准》（GB3095-2012）中二级标准，为达标区。该</w:t>
            </w:r>
            <w:r>
              <w:rPr>
                <w:rFonts w:hint="default" w:ascii="Times New Roman" w:hAnsi="Times New Roman" w:cs="Times New Roman"/>
                <w:color w:val="auto"/>
              </w:rPr>
              <w:t>点位设置在玉溪市生态环境局澄江分局办公楼楼顶</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位于项目区西北侧5.8km处），具体监测数据达标情况如下表：</w:t>
            </w:r>
          </w:p>
          <w:p w14:paraId="35895DB1">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表3-1  2023年玉溪市空气质量现状达标情况表 单位μg/m³</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501"/>
              <w:gridCol w:w="854"/>
              <w:gridCol w:w="1731"/>
              <w:gridCol w:w="749"/>
              <w:gridCol w:w="474"/>
              <w:gridCol w:w="923"/>
              <w:gridCol w:w="565"/>
            </w:tblGrid>
            <w:tr w14:paraId="5C77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dxa"/>
                  <w:noWrap w:val="0"/>
                  <w:tcMar>
                    <w:top w:w="0" w:type="dxa"/>
                    <w:left w:w="0" w:type="dxa"/>
                    <w:bottom w:w="0" w:type="dxa"/>
                    <w:right w:w="0" w:type="dxa"/>
                  </w:tcMar>
                  <w:vAlign w:val="center"/>
                </w:tcPr>
                <w:p w14:paraId="4C956BF3">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监测点位</w:t>
                  </w:r>
                </w:p>
              </w:tc>
              <w:tc>
                <w:tcPr>
                  <w:tcW w:w="1501" w:type="dxa"/>
                  <w:noWrap w:val="0"/>
                  <w:tcMar>
                    <w:top w:w="0" w:type="dxa"/>
                    <w:left w:w="0" w:type="dxa"/>
                    <w:bottom w:w="0" w:type="dxa"/>
                    <w:right w:w="0" w:type="dxa"/>
                  </w:tcMar>
                  <w:vAlign w:val="center"/>
                </w:tcPr>
                <w:p w14:paraId="6F63EFDD">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坐标</w:t>
                  </w:r>
                </w:p>
              </w:tc>
              <w:tc>
                <w:tcPr>
                  <w:tcW w:w="854" w:type="dxa"/>
                  <w:noWrap w:val="0"/>
                  <w:tcMar>
                    <w:top w:w="0" w:type="dxa"/>
                    <w:left w:w="0" w:type="dxa"/>
                    <w:bottom w:w="0" w:type="dxa"/>
                    <w:right w:w="0" w:type="dxa"/>
                  </w:tcMar>
                  <w:vAlign w:val="center"/>
                </w:tcPr>
                <w:p w14:paraId="104F1E69">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污染物</w:t>
                  </w:r>
                </w:p>
              </w:tc>
              <w:tc>
                <w:tcPr>
                  <w:tcW w:w="1731" w:type="dxa"/>
                  <w:noWrap w:val="0"/>
                  <w:tcMar>
                    <w:top w:w="0" w:type="dxa"/>
                    <w:left w:w="0" w:type="dxa"/>
                    <w:bottom w:w="0" w:type="dxa"/>
                    <w:right w:w="0" w:type="dxa"/>
                  </w:tcMar>
                  <w:vAlign w:val="center"/>
                </w:tcPr>
                <w:p w14:paraId="76A7AD57">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评价指标</w:t>
                  </w:r>
                </w:p>
              </w:tc>
              <w:tc>
                <w:tcPr>
                  <w:tcW w:w="749" w:type="dxa"/>
                  <w:noWrap w:val="0"/>
                  <w:tcMar>
                    <w:top w:w="0" w:type="dxa"/>
                    <w:left w:w="0" w:type="dxa"/>
                    <w:bottom w:w="0" w:type="dxa"/>
                    <w:right w:w="0" w:type="dxa"/>
                  </w:tcMar>
                  <w:vAlign w:val="center"/>
                </w:tcPr>
                <w:p w14:paraId="0FD29CBC">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现状浓度</w:t>
                  </w:r>
                </w:p>
              </w:tc>
              <w:tc>
                <w:tcPr>
                  <w:tcW w:w="474" w:type="dxa"/>
                  <w:noWrap w:val="0"/>
                  <w:tcMar>
                    <w:top w:w="0" w:type="dxa"/>
                    <w:left w:w="0" w:type="dxa"/>
                    <w:bottom w:w="0" w:type="dxa"/>
                    <w:right w:w="0" w:type="dxa"/>
                  </w:tcMar>
                  <w:vAlign w:val="center"/>
                </w:tcPr>
                <w:p w14:paraId="04987D2B">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标准值</w:t>
                  </w:r>
                </w:p>
              </w:tc>
              <w:tc>
                <w:tcPr>
                  <w:tcW w:w="923" w:type="dxa"/>
                  <w:noWrap w:val="0"/>
                  <w:tcMar>
                    <w:top w:w="0" w:type="dxa"/>
                    <w:left w:w="0" w:type="dxa"/>
                    <w:bottom w:w="0" w:type="dxa"/>
                    <w:right w:w="0" w:type="dxa"/>
                  </w:tcMar>
                  <w:vAlign w:val="center"/>
                </w:tcPr>
                <w:p w14:paraId="71B94782">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占标率/%</w:t>
                  </w:r>
                </w:p>
              </w:tc>
              <w:tc>
                <w:tcPr>
                  <w:tcW w:w="565" w:type="dxa"/>
                  <w:noWrap w:val="0"/>
                  <w:tcMar>
                    <w:top w:w="0" w:type="dxa"/>
                    <w:left w:w="0" w:type="dxa"/>
                    <w:bottom w:w="0" w:type="dxa"/>
                    <w:right w:w="0" w:type="dxa"/>
                  </w:tcMar>
                  <w:vAlign w:val="center"/>
                </w:tcPr>
                <w:p w14:paraId="6DD39383">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达标情况</w:t>
                  </w:r>
                </w:p>
              </w:tc>
            </w:tr>
            <w:tr w14:paraId="530C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dxa"/>
                  <w:vMerge w:val="restart"/>
                  <w:noWrap w:val="0"/>
                  <w:tcMar>
                    <w:top w:w="0" w:type="dxa"/>
                    <w:left w:w="0" w:type="dxa"/>
                    <w:bottom w:w="0" w:type="dxa"/>
                    <w:right w:w="0" w:type="dxa"/>
                  </w:tcMar>
                  <w:vAlign w:val="center"/>
                </w:tcPr>
                <w:p w14:paraId="27B38358">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玉溪市生态环境局澄江分局</w:t>
                  </w:r>
                </w:p>
              </w:tc>
              <w:tc>
                <w:tcPr>
                  <w:tcW w:w="1501" w:type="dxa"/>
                  <w:vMerge w:val="restart"/>
                  <w:noWrap w:val="0"/>
                  <w:tcMar>
                    <w:top w:w="0" w:type="dxa"/>
                    <w:left w:w="0" w:type="dxa"/>
                    <w:bottom w:w="0" w:type="dxa"/>
                    <w:right w:w="0" w:type="dxa"/>
                  </w:tcMar>
                  <w:vAlign w:val="center"/>
                </w:tcPr>
                <w:p w14:paraId="36B43E99">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102°54′14.005″</w:t>
                  </w:r>
                </w:p>
                <w:p w14:paraId="186E534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24°40′29.082″</w:t>
                  </w:r>
                </w:p>
              </w:tc>
              <w:tc>
                <w:tcPr>
                  <w:tcW w:w="854" w:type="dxa"/>
                  <w:noWrap w:val="0"/>
                  <w:tcMar>
                    <w:top w:w="0" w:type="dxa"/>
                    <w:left w:w="0" w:type="dxa"/>
                    <w:bottom w:w="0" w:type="dxa"/>
                    <w:right w:w="0" w:type="dxa"/>
                  </w:tcMar>
                  <w:vAlign w:val="center"/>
                </w:tcPr>
                <w:p w14:paraId="52088ECC">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SO</w:t>
                  </w:r>
                  <w:r>
                    <w:rPr>
                      <w:rFonts w:hint="default" w:ascii="Times New Roman" w:hAnsi="Times New Roman" w:cs="Times New Roman"/>
                      <w:color w:val="auto"/>
                      <w:vertAlign w:val="subscript"/>
                      <w:lang w:val="en-US" w:eastAsia="zh-CN"/>
                    </w:rPr>
                    <w:t>2</w:t>
                  </w:r>
                </w:p>
              </w:tc>
              <w:tc>
                <w:tcPr>
                  <w:tcW w:w="1731" w:type="dxa"/>
                  <w:noWrap w:val="0"/>
                  <w:tcMar>
                    <w:top w:w="0" w:type="dxa"/>
                    <w:left w:w="0" w:type="dxa"/>
                    <w:bottom w:w="0" w:type="dxa"/>
                    <w:right w:w="0" w:type="dxa"/>
                  </w:tcMar>
                  <w:vAlign w:val="center"/>
                </w:tcPr>
                <w:p w14:paraId="464C16A4">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年平均质量浓度</w:t>
                  </w:r>
                </w:p>
              </w:tc>
              <w:tc>
                <w:tcPr>
                  <w:tcW w:w="749" w:type="dxa"/>
                  <w:noWrap w:val="0"/>
                  <w:tcMar>
                    <w:top w:w="0" w:type="dxa"/>
                    <w:left w:w="0" w:type="dxa"/>
                    <w:bottom w:w="0" w:type="dxa"/>
                    <w:right w:w="0" w:type="dxa"/>
                  </w:tcMar>
                  <w:vAlign w:val="center"/>
                </w:tcPr>
                <w:p w14:paraId="6FE87B2C">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w:t>
                  </w:r>
                </w:p>
              </w:tc>
              <w:tc>
                <w:tcPr>
                  <w:tcW w:w="474" w:type="dxa"/>
                  <w:noWrap w:val="0"/>
                  <w:tcMar>
                    <w:top w:w="0" w:type="dxa"/>
                    <w:left w:w="0" w:type="dxa"/>
                    <w:bottom w:w="0" w:type="dxa"/>
                    <w:right w:w="0" w:type="dxa"/>
                  </w:tcMar>
                  <w:vAlign w:val="center"/>
                </w:tcPr>
                <w:p w14:paraId="2B061FE5">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60</w:t>
                  </w:r>
                </w:p>
              </w:tc>
              <w:tc>
                <w:tcPr>
                  <w:tcW w:w="923" w:type="dxa"/>
                  <w:noWrap w:val="0"/>
                  <w:tcMar>
                    <w:top w:w="0" w:type="dxa"/>
                    <w:left w:w="0" w:type="dxa"/>
                    <w:bottom w:w="0" w:type="dxa"/>
                    <w:right w:w="0" w:type="dxa"/>
                  </w:tcMar>
                  <w:vAlign w:val="center"/>
                </w:tcPr>
                <w:p w14:paraId="2C4214EC">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565" w:type="dxa"/>
                  <w:noWrap w:val="0"/>
                  <w:tcMar>
                    <w:top w:w="0" w:type="dxa"/>
                    <w:left w:w="0" w:type="dxa"/>
                    <w:bottom w:w="0" w:type="dxa"/>
                    <w:right w:w="0" w:type="dxa"/>
                  </w:tcMar>
                  <w:vAlign w:val="center"/>
                </w:tcPr>
                <w:p w14:paraId="6AD2BD22">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r>
            <w:tr w14:paraId="4D72A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dxa"/>
                  <w:vMerge w:val="continue"/>
                  <w:noWrap w:val="0"/>
                  <w:tcMar>
                    <w:top w:w="0" w:type="dxa"/>
                    <w:left w:w="0" w:type="dxa"/>
                    <w:bottom w:w="0" w:type="dxa"/>
                    <w:right w:w="0" w:type="dxa"/>
                  </w:tcMar>
                  <w:vAlign w:val="center"/>
                </w:tcPr>
                <w:p w14:paraId="09942413">
                  <w:pPr>
                    <w:pStyle w:val="14"/>
                    <w:widowControl w:val="0"/>
                    <w:bidi w:val="0"/>
                    <w:rPr>
                      <w:rFonts w:hint="default" w:ascii="Times New Roman" w:hAnsi="Times New Roman" w:cs="Times New Roman"/>
                      <w:color w:val="auto"/>
                      <w:lang w:val="en-US" w:eastAsia="zh-CN"/>
                    </w:rPr>
                  </w:pPr>
                </w:p>
              </w:tc>
              <w:tc>
                <w:tcPr>
                  <w:tcW w:w="1501" w:type="dxa"/>
                  <w:vMerge w:val="continue"/>
                  <w:noWrap w:val="0"/>
                  <w:tcMar>
                    <w:top w:w="0" w:type="dxa"/>
                    <w:left w:w="0" w:type="dxa"/>
                    <w:bottom w:w="0" w:type="dxa"/>
                    <w:right w:w="0" w:type="dxa"/>
                  </w:tcMar>
                  <w:vAlign w:val="center"/>
                </w:tcPr>
                <w:p w14:paraId="7141A5DA">
                  <w:pPr>
                    <w:pStyle w:val="14"/>
                    <w:widowControl w:val="0"/>
                    <w:bidi w:val="0"/>
                    <w:rPr>
                      <w:rFonts w:hint="default" w:ascii="Times New Roman" w:hAnsi="Times New Roman" w:cs="Times New Roman"/>
                      <w:color w:val="auto"/>
                      <w:lang w:val="en-US" w:eastAsia="zh-CN"/>
                    </w:rPr>
                  </w:pPr>
                </w:p>
              </w:tc>
              <w:tc>
                <w:tcPr>
                  <w:tcW w:w="854" w:type="dxa"/>
                  <w:noWrap w:val="0"/>
                  <w:tcMar>
                    <w:top w:w="0" w:type="dxa"/>
                    <w:left w:w="0" w:type="dxa"/>
                    <w:bottom w:w="0" w:type="dxa"/>
                    <w:right w:w="0" w:type="dxa"/>
                  </w:tcMar>
                  <w:vAlign w:val="center"/>
                </w:tcPr>
                <w:p w14:paraId="52FCCD98">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NO</w:t>
                  </w:r>
                  <w:r>
                    <w:rPr>
                      <w:rFonts w:hint="default" w:ascii="Times New Roman" w:hAnsi="Times New Roman" w:cs="Times New Roman"/>
                      <w:color w:val="auto"/>
                      <w:vertAlign w:val="subscript"/>
                      <w:lang w:val="en-US" w:eastAsia="zh-CN"/>
                    </w:rPr>
                    <w:t>2</w:t>
                  </w:r>
                </w:p>
              </w:tc>
              <w:tc>
                <w:tcPr>
                  <w:tcW w:w="1731" w:type="dxa"/>
                  <w:noWrap w:val="0"/>
                  <w:tcMar>
                    <w:top w:w="0" w:type="dxa"/>
                    <w:left w:w="0" w:type="dxa"/>
                    <w:bottom w:w="0" w:type="dxa"/>
                    <w:right w:w="0" w:type="dxa"/>
                  </w:tcMar>
                  <w:vAlign w:val="center"/>
                </w:tcPr>
                <w:p w14:paraId="78059539">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年平均质量浓度</w:t>
                  </w:r>
                </w:p>
              </w:tc>
              <w:tc>
                <w:tcPr>
                  <w:tcW w:w="749" w:type="dxa"/>
                  <w:noWrap w:val="0"/>
                  <w:tcMar>
                    <w:top w:w="0" w:type="dxa"/>
                    <w:left w:w="0" w:type="dxa"/>
                    <w:bottom w:w="0" w:type="dxa"/>
                    <w:right w:w="0" w:type="dxa"/>
                  </w:tcMar>
                  <w:vAlign w:val="center"/>
                </w:tcPr>
                <w:p w14:paraId="35D97277">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w:t>
                  </w:r>
                </w:p>
              </w:tc>
              <w:tc>
                <w:tcPr>
                  <w:tcW w:w="474" w:type="dxa"/>
                  <w:noWrap w:val="0"/>
                  <w:tcMar>
                    <w:top w:w="0" w:type="dxa"/>
                    <w:left w:w="0" w:type="dxa"/>
                    <w:bottom w:w="0" w:type="dxa"/>
                    <w:right w:w="0" w:type="dxa"/>
                  </w:tcMar>
                  <w:vAlign w:val="center"/>
                </w:tcPr>
                <w:p w14:paraId="6244C4D6">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w:t>
                  </w:r>
                </w:p>
              </w:tc>
              <w:tc>
                <w:tcPr>
                  <w:tcW w:w="923" w:type="dxa"/>
                  <w:noWrap w:val="0"/>
                  <w:tcMar>
                    <w:top w:w="0" w:type="dxa"/>
                    <w:left w:w="0" w:type="dxa"/>
                    <w:bottom w:w="0" w:type="dxa"/>
                    <w:right w:w="0" w:type="dxa"/>
                  </w:tcMar>
                  <w:vAlign w:val="center"/>
                </w:tcPr>
                <w:p w14:paraId="1D5E98E1">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22.5</w:t>
                  </w:r>
                </w:p>
              </w:tc>
              <w:tc>
                <w:tcPr>
                  <w:tcW w:w="565" w:type="dxa"/>
                  <w:noWrap w:val="0"/>
                  <w:tcMar>
                    <w:top w:w="0" w:type="dxa"/>
                    <w:left w:w="0" w:type="dxa"/>
                    <w:bottom w:w="0" w:type="dxa"/>
                    <w:right w:w="0" w:type="dxa"/>
                  </w:tcMar>
                  <w:vAlign w:val="center"/>
                </w:tcPr>
                <w:p w14:paraId="73BC1D2B">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r>
            <w:tr w14:paraId="4F88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dxa"/>
                  <w:vMerge w:val="continue"/>
                  <w:noWrap w:val="0"/>
                  <w:tcMar>
                    <w:top w:w="0" w:type="dxa"/>
                    <w:left w:w="0" w:type="dxa"/>
                    <w:bottom w:w="0" w:type="dxa"/>
                    <w:right w:w="0" w:type="dxa"/>
                  </w:tcMar>
                  <w:vAlign w:val="center"/>
                </w:tcPr>
                <w:p w14:paraId="7B805BFC">
                  <w:pPr>
                    <w:pStyle w:val="14"/>
                    <w:widowControl w:val="0"/>
                    <w:bidi w:val="0"/>
                    <w:rPr>
                      <w:rFonts w:hint="default" w:ascii="Times New Roman" w:hAnsi="Times New Roman" w:cs="Times New Roman"/>
                      <w:color w:val="auto"/>
                      <w:lang w:val="en-US" w:eastAsia="zh-CN"/>
                    </w:rPr>
                  </w:pPr>
                </w:p>
              </w:tc>
              <w:tc>
                <w:tcPr>
                  <w:tcW w:w="1501" w:type="dxa"/>
                  <w:vMerge w:val="continue"/>
                  <w:noWrap w:val="0"/>
                  <w:tcMar>
                    <w:top w:w="0" w:type="dxa"/>
                    <w:left w:w="0" w:type="dxa"/>
                    <w:bottom w:w="0" w:type="dxa"/>
                    <w:right w:w="0" w:type="dxa"/>
                  </w:tcMar>
                  <w:vAlign w:val="center"/>
                </w:tcPr>
                <w:p w14:paraId="5754FDF1">
                  <w:pPr>
                    <w:pStyle w:val="14"/>
                    <w:widowControl w:val="0"/>
                    <w:bidi w:val="0"/>
                    <w:rPr>
                      <w:rFonts w:hint="default" w:ascii="Times New Roman" w:hAnsi="Times New Roman" w:cs="Times New Roman"/>
                      <w:color w:val="auto"/>
                      <w:lang w:val="en-US" w:eastAsia="zh-CN"/>
                    </w:rPr>
                  </w:pPr>
                </w:p>
              </w:tc>
              <w:tc>
                <w:tcPr>
                  <w:tcW w:w="854" w:type="dxa"/>
                  <w:noWrap w:val="0"/>
                  <w:tcMar>
                    <w:top w:w="0" w:type="dxa"/>
                    <w:left w:w="0" w:type="dxa"/>
                    <w:bottom w:w="0" w:type="dxa"/>
                    <w:right w:w="0" w:type="dxa"/>
                  </w:tcMar>
                  <w:vAlign w:val="center"/>
                </w:tcPr>
                <w:p w14:paraId="38447ADC">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PM</w:t>
                  </w:r>
                  <w:r>
                    <w:rPr>
                      <w:rFonts w:hint="default" w:ascii="Times New Roman" w:hAnsi="Times New Roman" w:cs="Times New Roman"/>
                      <w:color w:val="auto"/>
                      <w:vertAlign w:val="subscript"/>
                      <w:lang w:val="en-US" w:eastAsia="zh-CN"/>
                    </w:rPr>
                    <w:t>10</w:t>
                  </w:r>
                </w:p>
              </w:tc>
              <w:tc>
                <w:tcPr>
                  <w:tcW w:w="1731" w:type="dxa"/>
                  <w:noWrap w:val="0"/>
                  <w:tcMar>
                    <w:top w:w="0" w:type="dxa"/>
                    <w:left w:w="0" w:type="dxa"/>
                    <w:bottom w:w="0" w:type="dxa"/>
                    <w:right w:w="0" w:type="dxa"/>
                  </w:tcMar>
                  <w:vAlign w:val="center"/>
                </w:tcPr>
                <w:p w14:paraId="5315F2C7">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年平均质量浓度</w:t>
                  </w:r>
                </w:p>
              </w:tc>
              <w:tc>
                <w:tcPr>
                  <w:tcW w:w="749" w:type="dxa"/>
                  <w:noWrap w:val="0"/>
                  <w:tcMar>
                    <w:top w:w="0" w:type="dxa"/>
                    <w:left w:w="0" w:type="dxa"/>
                    <w:bottom w:w="0" w:type="dxa"/>
                    <w:right w:w="0" w:type="dxa"/>
                  </w:tcMar>
                  <w:vAlign w:val="center"/>
                </w:tcPr>
                <w:p w14:paraId="60FF45AB">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w:t>
                  </w:r>
                </w:p>
              </w:tc>
              <w:tc>
                <w:tcPr>
                  <w:tcW w:w="474" w:type="dxa"/>
                  <w:noWrap w:val="0"/>
                  <w:tcMar>
                    <w:top w:w="0" w:type="dxa"/>
                    <w:left w:w="0" w:type="dxa"/>
                    <w:bottom w:w="0" w:type="dxa"/>
                    <w:right w:w="0" w:type="dxa"/>
                  </w:tcMar>
                  <w:vAlign w:val="center"/>
                </w:tcPr>
                <w:p w14:paraId="3A23E047">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70</w:t>
                  </w:r>
                </w:p>
              </w:tc>
              <w:tc>
                <w:tcPr>
                  <w:tcW w:w="923" w:type="dxa"/>
                  <w:noWrap w:val="0"/>
                  <w:tcMar>
                    <w:top w:w="0" w:type="dxa"/>
                    <w:left w:w="0" w:type="dxa"/>
                    <w:bottom w:w="0" w:type="dxa"/>
                    <w:right w:w="0" w:type="dxa"/>
                  </w:tcMar>
                  <w:vAlign w:val="center"/>
                </w:tcPr>
                <w:p w14:paraId="24D588F5">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42.86</w:t>
                  </w:r>
                </w:p>
              </w:tc>
              <w:tc>
                <w:tcPr>
                  <w:tcW w:w="565" w:type="dxa"/>
                  <w:noWrap w:val="0"/>
                  <w:tcMar>
                    <w:top w:w="0" w:type="dxa"/>
                    <w:left w:w="0" w:type="dxa"/>
                    <w:bottom w:w="0" w:type="dxa"/>
                    <w:right w:w="0" w:type="dxa"/>
                  </w:tcMar>
                  <w:vAlign w:val="center"/>
                </w:tcPr>
                <w:p w14:paraId="62FE658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r>
            <w:tr w14:paraId="0252B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dxa"/>
                  <w:vMerge w:val="continue"/>
                  <w:noWrap w:val="0"/>
                  <w:tcMar>
                    <w:top w:w="0" w:type="dxa"/>
                    <w:left w:w="0" w:type="dxa"/>
                    <w:bottom w:w="0" w:type="dxa"/>
                    <w:right w:w="0" w:type="dxa"/>
                  </w:tcMar>
                  <w:vAlign w:val="center"/>
                </w:tcPr>
                <w:p w14:paraId="25506B62">
                  <w:pPr>
                    <w:pStyle w:val="14"/>
                    <w:widowControl w:val="0"/>
                    <w:bidi w:val="0"/>
                    <w:rPr>
                      <w:rFonts w:hint="default" w:ascii="Times New Roman" w:hAnsi="Times New Roman" w:cs="Times New Roman"/>
                      <w:color w:val="auto"/>
                      <w:lang w:val="en-US" w:eastAsia="zh-CN"/>
                    </w:rPr>
                  </w:pPr>
                </w:p>
              </w:tc>
              <w:tc>
                <w:tcPr>
                  <w:tcW w:w="1501" w:type="dxa"/>
                  <w:vMerge w:val="continue"/>
                  <w:noWrap w:val="0"/>
                  <w:tcMar>
                    <w:top w:w="0" w:type="dxa"/>
                    <w:left w:w="0" w:type="dxa"/>
                    <w:bottom w:w="0" w:type="dxa"/>
                    <w:right w:w="0" w:type="dxa"/>
                  </w:tcMar>
                  <w:vAlign w:val="center"/>
                </w:tcPr>
                <w:p w14:paraId="1AEDFF7C">
                  <w:pPr>
                    <w:pStyle w:val="14"/>
                    <w:widowControl w:val="0"/>
                    <w:bidi w:val="0"/>
                    <w:rPr>
                      <w:rFonts w:hint="default" w:ascii="Times New Roman" w:hAnsi="Times New Roman" w:cs="Times New Roman"/>
                      <w:color w:val="auto"/>
                      <w:lang w:val="en-US" w:eastAsia="zh-CN"/>
                    </w:rPr>
                  </w:pPr>
                </w:p>
              </w:tc>
              <w:tc>
                <w:tcPr>
                  <w:tcW w:w="854" w:type="dxa"/>
                  <w:noWrap w:val="0"/>
                  <w:tcMar>
                    <w:top w:w="0" w:type="dxa"/>
                    <w:left w:w="0" w:type="dxa"/>
                    <w:bottom w:w="0" w:type="dxa"/>
                    <w:right w:w="0" w:type="dxa"/>
                  </w:tcMar>
                  <w:vAlign w:val="center"/>
                </w:tcPr>
                <w:p w14:paraId="4FC4003B">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PM</w:t>
                  </w:r>
                  <w:r>
                    <w:rPr>
                      <w:rFonts w:hint="default" w:ascii="Times New Roman" w:hAnsi="Times New Roman" w:cs="Times New Roman"/>
                      <w:color w:val="auto"/>
                      <w:vertAlign w:val="subscript"/>
                      <w:lang w:val="en-US" w:eastAsia="zh-CN"/>
                    </w:rPr>
                    <w:t>2.5</w:t>
                  </w:r>
                </w:p>
              </w:tc>
              <w:tc>
                <w:tcPr>
                  <w:tcW w:w="1731" w:type="dxa"/>
                  <w:noWrap w:val="0"/>
                  <w:tcMar>
                    <w:top w:w="0" w:type="dxa"/>
                    <w:left w:w="0" w:type="dxa"/>
                    <w:bottom w:w="0" w:type="dxa"/>
                    <w:right w:w="0" w:type="dxa"/>
                  </w:tcMar>
                  <w:vAlign w:val="center"/>
                </w:tcPr>
                <w:p w14:paraId="0753199E">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年平均质量浓度</w:t>
                  </w:r>
                </w:p>
              </w:tc>
              <w:tc>
                <w:tcPr>
                  <w:tcW w:w="749" w:type="dxa"/>
                  <w:noWrap w:val="0"/>
                  <w:tcMar>
                    <w:top w:w="0" w:type="dxa"/>
                    <w:left w:w="0" w:type="dxa"/>
                    <w:bottom w:w="0" w:type="dxa"/>
                    <w:right w:w="0" w:type="dxa"/>
                  </w:tcMar>
                  <w:vAlign w:val="center"/>
                </w:tcPr>
                <w:p w14:paraId="588CEFD4">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w:t>
                  </w:r>
                </w:p>
              </w:tc>
              <w:tc>
                <w:tcPr>
                  <w:tcW w:w="474" w:type="dxa"/>
                  <w:noWrap w:val="0"/>
                  <w:tcMar>
                    <w:top w:w="0" w:type="dxa"/>
                    <w:left w:w="0" w:type="dxa"/>
                    <w:bottom w:w="0" w:type="dxa"/>
                    <w:right w:w="0" w:type="dxa"/>
                  </w:tcMar>
                  <w:vAlign w:val="center"/>
                </w:tcPr>
                <w:p w14:paraId="1AF6957C">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35</w:t>
                  </w:r>
                </w:p>
              </w:tc>
              <w:tc>
                <w:tcPr>
                  <w:tcW w:w="923" w:type="dxa"/>
                  <w:noWrap w:val="0"/>
                  <w:tcMar>
                    <w:top w:w="0" w:type="dxa"/>
                    <w:left w:w="0" w:type="dxa"/>
                    <w:bottom w:w="0" w:type="dxa"/>
                    <w:right w:w="0" w:type="dxa"/>
                  </w:tcMar>
                  <w:vAlign w:val="center"/>
                </w:tcPr>
                <w:p w14:paraId="68F83EF9">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51.43</w:t>
                  </w:r>
                </w:p>
              </w:tc>
              <w:tc>
                <w:tcPr>
                  <w:tcW w:w="565" w:type="dxa"/>
                  <w:noWrap w:val="0"/>
                  <w:tcMar>
                    <w:top w:w="0" w:type="dxa"/>
                    <w:left w:w="0" w:type="dxa"/>
                    <w:bottom w:w="0" w:type="dxa"/>
                    <w:right w:w="0" w:type="dxa"/>
                  </w:tcMar>
                  <w:vAlign w:val="center"/>
                </w:tcPr>
                <w:p w14:paraId="183ED85F">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r>
            <w:tr w14:paraId="7948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dxa"/>
                  <w:vMerge w:val="continue"/>
                  <w:noWrap w:val="0"/>
                  <w:tcMar>
                    <w:top w:w="0" w:type="dxa"/>
                    <w:left w:w="0" w:type="dxa"/>
                    <w:bottom w:w="0" w:type="dxa"/>
                    <w:right w:w="0" w:type="dxa"/>
                  </w:tcMar>
                  <w:vAlign w:val="center"/>
                </w:tcPr>
                <w:p w14:paraId="197B560A">
                  <w:pPr>
                    <w:pStyle w:val="14"/>
                    <w:widowControl w:val="0"/>
                    <w:bidi w:val="0"/>
                    <w:rPr>
                      <w:rFonts w:hint="default" w:ascii="Times New Roman" w:hAnsi="Times New Roman" w:cs="Times New Roman"/>
                      <w:color w:val="auto"/>
                      <w:lang w:val="en-US" w:eastAsia="zh-CN"/>
                    </w:rPr>
                  </w:pPr>
                </w:p>
              </w:tc>
              <w:tc>
                <w:tcPr>
                  <w:tcW w:w="1501" w:type="dxa"/>
                  <w:vMerge w:val="continue"/>
                  <w:noWrap w:val="0"/>
                  <w:tcMar>
                    <w:top w:w="0" w:type="dxa"/>
                    <w:left w:w="0" w:type="dxa"/>
                    <w:bottom w:w="0" w:type="dxa"/>
                    <w:right w:w="0" w:type="dxa"/>
                  </w:tcMar>
                  <w:vAlign w:val="center"/>
                </w:tcPr>
                <w:p w14:paraId="1B8EBE4E">
                  <w:pPr>
                    <w:pStyle w:val="14"/>
                    <w:widowControl w:val="0"/>
                    <w:bidi w:val="0"/>
                    <w:rPr>
                      <w:rFonts w:hint="default" w:ascii="Times New Roman" w:hAnsi="Times New Roman" w:cs="Times New Roman"/>
                      <w:color w:val="auto"/>
                      <w:lang w:val="en-US" w:eastAsia="zh-CN"/>
                    </w:rPr>
                  </w:pPr>
                </w:p>
              </w:tc>
              <w:tc>
                <w:tcPr>
                  <w:tcW w:w="854" w:type="dxa"/>
                  <w:noWrap w:val="0"/>
                  <w:tcMar>
                    <w:top w:w="0" w:type="dxa"/>
                    <w:left w:w="0" w:type="dxa"/>
                    <w:bottom w:w="0" w:type="dxa"/>
                    <w:right w:w="0" w:type="dxa"/>
                  </w:tcMar>
                  <w:vAlign w:val="center"/>
                </w:tcPr>
                <w:p w14:paraId="745D78F3">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CO</w:t>
                  </w:r>
                </w:p>
              </w:tc>
              <w:tc>
                <w:tcPr>
                  <w:tcW w:w="1731" w:type="dxa"/>
                  <w:noWrap w:val="0"/>
                  <w:tcMar>
                    <w:top w:w="0" w:type="dxa"/>
                    <w:left w:w="0" w:type="dxa"/>
                    <w:bottom w:w="0" w:type="dxa"/>
                    <w:right w:w="0" w:type="dxa"/>
                  </w:tcMar>
                  <w:vAlign w:val="center"/>
                </w:tcPr>
                <w:p w14:paraId="4253331D">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日平均质量浓度</w:t>
                  </w:r>
                </w:p>
              </w:tc>
              <w:tc>
                <w:tcPr>
                  <w:tcW w:w="749" w:type="dxa"/>
                  <w:noWrap w:val="0"/>
                  <w:tcMar>
                    <w:top w:w="0" w:type="dxa"/>
                    <w:left w:w="0" w:type="dxa"/>
                    <w:bottom w:w="0" w:type="dxa"/>
                    <w:right w:w="0" w:type="dxa"/>
                  </w:tcMar>
                  <w:vAlign w:val="center"/>
                </w:tcPr>
                <w:p w14:paraId="4E1CB266">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900</w:t>
                  </w:r>
                </w:p>
              </w:tc>
              <w:tc>
                <w:tcPr>
                  <w:tcW w:w="474" w:type="dxa"/>
                  <w:noWrap w:val="0"/>
                  <w:tcMar>
                    <w:top w:w="0" w:type="dxa"/>
                    <w:left w:w="0" w:type="dxa"/>
                    <w:bottom w:w="0" w:type="dxa"/>
                    <w:right w:w="0" w:type="dxa"/>
                  </w:tcMar>
                  <w:vAlign w:val="center"/>
                </w:tcPr>
                <w:p w14:paraId="4D48478E">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4000</w:t>
                  </w:r>
                </w:p>
              </w:tc>
              <w:tc>
                <w:tcPr>
                  <w:tcW w:w="923" w:type="dxa"/>
                  <w:noWrap w:val="0"/>
                  <w:tcMar>
                    <w:top w:w="0" w:type="dxa"/>
                    <w:left w:w="0" w:type="dxa"/>
                    <w:bottom w:w="0" w:type="dxa"/>
                    <w:right w:w="0" w:type="dxa"/>
                  </w:tcMar>
                  <w:vAlign w:val="center"/>
                </w:tcPr>
                <w:p w14:paraId="767020A1">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22.5</w:t>
                  </w:r>
                </w:p>
              </w:tc>
              <w:tc>
                <w:tcPr>
                  <w:tcW w:w="565" w:type="dxa"/>
                  <w:noWrap w:val="0"/>
                  <w:tcMar>
                    <w:top w:w="0" w:type="dxa"/>
                    <w:left w:w="0" w:type="dxa"/>
                    <w:bottom w:w="0" w:type="dxa"/>
                    <w:right w:w="0" w:type="dxa"/>
                  </w:tcMar>
                  <w:vAlign w:val="center"/>
                </w:tcPr>
                <w:p w14:paraId="50A0A055">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r>
            <w:tr w14:paraId="5D580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dxa"/>
                  <w:vMerge w:val="continue"/>
                  <w:noWrap w:val="0"/>
                  <w:tcMar>
                    <w:top w:w="0" w:type="dxa"/>
                    <w:left w:w="0" w:type="dxa"/>
                    <w:bottom w:w="0" w:type="dxa"/>
                    <w:right w:w="0" w:type="dxa"/>
                  </w:tcMar>
                  <w:vAlign w:val="center"/>
                </w:tcPr>
                <w:p w14:paraId="691B6DAC">
                  <w:pPr>
                    <w:pStyle w:val="14"/>
                    <w:widowControl w:val="0"/>
                    <w:bidi w:val="0"/>
                    <w:rPr>
                      <w:rFonts w:hint="default" w:ascii="Times New Roman" w:hAnsi="Times New Roman" w:cs="Times New Roman"/>
                      <w:color w:val="auto"/>
                      <w:lang w:val="en-US" w:eastAsia="zh-CN"/>
                    </w:rPr>
                  </w:pPr>
                </w:p>
              </w:tc>
              <w:tc>
                <w:tcPr>
                  <w:tcW w:w="1501" w:type="dxa"/>
                  <w:vMerge w:val="continue"/>
                  <w:noWrap w:val="0"/>
                  <w:tcMar>
                    <w:top w:w="0" w:type="dxa"/>
                    <w:left w:w="0" w:type="dxa"/>
                    <w:bottom w:w="0" w:type="dxa"/>
                    <w:right w:w="0" w:type="dxa"/>
                  </w:tcMar>
                  <w:vAlign w:val="center"/>
                </w:tcPr>
                <w:p w14:paraId="6FD11C62">
                  <w:pPr>
                    <w:pStyle w:val="14"/>
                    <w:widowControl w:val="0"/>
                    <w:bidi w:val="0"/>
                    <w:rPr>
                      <w:rFonts w:hint="default" w:ascii="Times New Roman" w:hAnsi="Times New Roman" w:cs="Times New Roman"/>
                      <w:color w:val="auto"/>
                      <w:lang w:val="en-US" w:eastAsia="zh-CN"/>
                    </w:rPr>
                  </w:pPr>
                </w:p>
              </w:tc>
              <w:tc>
                <w:tcPr>
                  <w:tcW w:w="854" w:type="dxa"/>
                  <w:noWrap w:val="0"/>
                  <w:tcMar>
                    <w:top w:w="0" w:type="dxa"/>
                    <w:left w:w="0" w:type="dxa"/>
                    <w:bottom w:w="0" w:type="dxa"/>
                    <w:right w:w="0" w:type="dxa"/>
                  </w:tcMar>
                  <w:vAlign w:val="center"/>
                </w:tcPr>
                <w:p w14:paraId="5998CEA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O</w:t>
                  </w:r>
                  <w:r>
                    <w:rPr>
                      <w:rFonts w:hint="default" w:ascii="Times New Roman" w:hAnsi="Times New Roman" w:cs="Times New Roman"/>
                      <w:color w:val="auto"/>
                      <w:vertAlign w:val="subscript"/>
                      <w:lang w:val="en-US" w:eastAsia="zh-CN"/>
                    </w:rPr>
                    <w:t>3</w:t>
                  </w:r>
                </w:p>
              </w:tc>
              <w:tc>
                <w:tcPr>
                  <w:tcW w:w="1731" w:type="dxa"/>
                  <w:noWrap w:val="0"/>
                  <w:tcMar>
                    <w:top w:w="0" w:type="dxa"/>
                    <w:left w:w="0" w:type="dxa"/>
                    <w:bottom w:w="0" w:type="dxa"/>
                    <w:right w:w="0" w:type="dxa"/>
                  </w:tcMar>
                  <w:vAlign w:val="center"/>
                </w:tcPr>
                <w:p w14:paraId="06F2F013">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日最大8小时平均质量浓度</w:t>
                  </w:r>
                </w:p>
              </w:tc>
              <w:tc>
                <w:tcPr>
                  <w:tcW w:w="749" w:type="dxa"/>
                  <w:noWrap w:val="0"/>
                  <w:tcMar>
                    <w:top w:w="0" w:type="dxa"/>
                    <w:left w:w="0" w:type="dxa"/>
                    <w:bottom w:w="0" w:type="dxa"/>
                    <w:right w:w="0" w:type="dxa"/>
                  </w:tcMar>
                  <w:vAlign w:val="center"/>
                </w:tcPr>
                <w:p w14:paraId="1C234241">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114</w:t>
                  </w:r>
                </w:p>
              </w:tc>
              <w:tc>
                <w:tcPr>
                  <w:tcW w:w="474" w:type="dxa"/>
                  <w:noWrap w:val="0"/>
                  <w:tcMar>
                    <w:top w:w="0" w:type="dxa"/>
                    <w:left w:w="0" w:type="dxa"/>
                    <w:bottom w:w="0" w:type="dxa"/>
                    <w:right w:w="0" w:type="dxa"/>
                  </w:tcMar>
                  <w:vAlign w:val="center"/>
                </w:tcPr>
                <w:p w14:paraId="0498142D">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160</w:t>
                  </w:r>
                </w:p>
              </w:tc>
              <w:tc>
                <w:tcPr>
                  <w:tcW w:w="923" w:type="dxa"/>
                  <w:noWrap w:val="0"/>
                  <w:tcMar>
                    <w:top w:w="0" w:type="dxa"/>
                    <w:left w:w="0" w:type="dxa"/>
                    <w:bottom w:w="0" w:type="dxa"/>
                    <w:right w:w="0" w:type="dxa"/>
                  </w:tcMar>
                  <w:vAlign w:val="center"/>
                </w:tcPr>
                <w:p w14:paraId="3583590F">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71.25</w:t>
                  </w:r>
                </w:p>
              </w:tc>
              <w:tc>
                <w:tcPr>
                  <w:tcW w:w="565" w:type="dxa"/>
                  <w:noWrap w:val="0"/>
                  <w:tcMar>
                    <w:top w:w="0" w:type="dxa"/>
                    <w:left w:w="0" w:type="dxa"/>
                    <w:bottom w:w="0" w:type="dxa"/>
                    <w:right w:w="0" w:type="dxa"/>
                  </w:tcMar>
                  <w:vAlign w:val="center"/>
                </w:tcPr>
                <w:p w14:paraId="7224BBC5">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r>
          </w:tbl>
          <w:p w14:paraId="012C93A8">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综上，项目区属达标区。</w:t>
            </w:r>
          </w:p>
          <w:p w14:paraId="60A2D805">
            <w:pPr>
              <w:bidi w:val="0"/>
              <w:rPr>
                <w:rFonts w:hint="default" w:ascii="Times New Roman" w:hAnsi="Times New Roman" w:cs="Times New Roman"/>
                <w:color w:val="auto"/>
                <w:sz w:val="24"/>
              </w:rPr>
            </w:pPr>
            <w:r>
              <w:rPr>
                <w:rFonts w:hint="default" w:ascii="Times New Roman" w:hAnsi="Times New Roman" w:cs="Times New Roman"/>
                <w:color w:val="auto"/>
                <w:lang w:val="en-US" w:eastAsia="zh-CN"/>
              </w:rPr>
              <w:t>项目特征污染物为TSP、二甲苯、非甲烷总烃。根据《建设项目环境影响报告表编制技术指南（污染影响类）》，本次评价</w:t>
            </w:r>
            <w:r>
              <w:rPr>
                <w:rFonts w:hint="eastAsia" w:cs="Times New Roman"/>
                <w:color w:val="auto"/>
                <w:lang w:val="en-US" w:eastAsia="zh-CN"/>
              </w:rPr>
              <w:t>委托云南泰义检测技术有限公司于2024年10月17日至19日对</w:t>
            </w:r>
            <w:r>
              <w:rPr>
                <w:rFonts w:hint="default" w:ascii="Times New Roman" w:hAnsi="Times New Roman" w:cs="Times New Roman"/>
                <w:color w:val="auto"/>
                <w:lang w:val="en-US" w:eastAsia="zh-CN"/>
              </w:rPr>
              <w:t>项目区下风向</w:t>
            </w:r>
            <w:r>
              <w:rPr>
                <w:rFonts w:hint="eastAsia" w:cs="Times New Roman"/>
                <w:color w:val="auto"/>
                <w:lang w:val="en-US" w:eastAsia="zh-CN"/>
              </w:rPr>
              <w:t>的特征污染物现状进行了监测，监测结果见下表</w:t>
            </w:r>
            <w:r>
              <w:rPr>
                <w:rFonts w:hint="default" w:ascii="Times New Roman" w:hAnsi="Times New Roman" w:cs="Times New Roman"/>
                <w:color w:val="auto"/>
                <w:sz w:val="24"/>
                <w:lang w:val="zh-CN"/>
              </w:rPr>
              <w:t>。</w:t>
            </w:r>
          </w:p>
          <w:p w14:paraId="70A19E09">
            <w:pPr>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sz w:val="24"/>
                <w:szCs w:val="24"/>
              </w:rPr>
              <w:t>表3</w:t>
            </w:r>
            <w:r>
              <w:rPr>
                <w:rFonts w:hint="default" w:ascii="Times New Roman" w:hAnsi="Times New Roman" w:cs="Times New Roman"/>
                <w:b/>
                <w:bCs/>
                <w:color w:val="auto"/>
                <w:sz w:val="24"/>
                <w:szCs w:val="24"/>
              </w:rPr>
              <w:noBreakHyphen/>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 xml:space="preserve">  TSP监测结果一览表  </w:t>
            </w:r>
            <w:r>
              <w:rPr>
                <w:rFonts w:hint="default" w:ascii="Times New Roman" w:hAnsi="Times New Roman" w:cs="Times New Roman"/>
                <w:b/>
                <w:bCs/>
                <w:color w:val="auto"/>
                <w:sz w:val="24"/>
                <w:szCs w:val="24"/>
                <w:lang w:eastAsia="zh-CN"/>
              </w:rPr>
              <w:t>μg/m</w:t>
            </w:r>
            <w:r>
              <w:rPr>
                <w:rFonts w:hint="default" w:ascii="Times New Roman" w:hAnsi="Times New Roman" w:cs="Times New Roman"/>
                <w:b/>
                <w:bCs/>
                <w:color w:val="auto"/>
                <w:sz w:val="24"/>
                <w:szCs w:val="24"/>
                <w:vertAlign w:val="superscript"/>
                <w:lang w:eastAsia="zh-CN"/>
              </w:rPr>
              <w:t>3</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4"/>
              <w:gridCol w:w="3726"/>
            </w:tblGrid>
            <w:tr w14:paraId="642D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blHeader/>
                <w:jc w:val="center"/>
              </w:trPr>
              <w:tc>
                <w:tcPr>
                  <w:tcW w:w="2499" w:type="pct"/>
                  <w:noWrap w:val="0"/>
                  <w:vAlign w:val="center"/>
                </w:tcPr>
                <w:p w14:paraId="263ACB59">
                  <w:pPr>
                    <w:pStyle w:val="14"/>
                    <w:bidi w:val="0"/>
                    <w:rPr>
                      <w:rFonts w:hint="default"/>
                      <w:b/>
                      <w:bCs/>
                      <w:color w:val="auto"/>
                    </w:rPr>
                  </w:pPr>
                  <w:r>
                    <w:rPr>
                      <w:rFonts w:hint="default"/>
                      <w:b/>
                      <w:bCs/>
                      <w:color w:val="auto"/>
                    </w:rPr>
                    <w:t>检测时间</w:t>
                  </w:r>
                </w:p>
              </w:tc>
              <w:tc>
                <w:tcPr>
                  <w:tcW w:w="2500" w:type="pct"/>
                  <w:noWrap w:val="0"/>
                  <w:vAlign w:val="center"/>
                </w:tcPr>
                <w:p w14:paraId="0222261D">
                  <w:pPr>
                    <w:pStyle w:val="14"/>
                    <w:bidi w:val="0"/>
                    <w:rPr>
                      <w:rFonts w:hint="default"/>
                      <w:b/>
                      <w:bCs/>
                      <w:color w:val="auto"/>
                      <w:lang w:val="en-US" w:eastAsia="zh-CN"/>
                    </w:rPr>
                  </w:pPr>
                  <w:r>
                    <w:rPr>
                      <w:rFonts w:hint="default"/>
                      <w:b/>
                      <w:bCs/>
                      <w:color w:val="auto"/>
                      <w:lang w:val="en-US" w:eastAsia="zh-CN"/>
                    </w:rPr>
                    <w:t>TSP</w:t>
                  </w:r>
                </w:p>
              </w:tc>
            </w:tr>
            <w:tr w14:paraId="2A5E9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9" w:type="pct"/>
                  <w:noWrap w:val="0"/>
                  <w:vAlign w:val="center"/>
                </w:tcPr>
                <w:p w14:paraId="0BC370A2">
                  <w:pPr>
                    <w:pStyle w:val="14"/>
                    <w:bidi w:val="0"/>
                    <w:rPr>
                      <w:rFonts w:hint="default"/>
                      <w:color w:val="auto"/>
                      <w:lang w:val="en-US" w:eastAsia="zh-CN"/>
                    </w:rPr>
                  </w:pPr>
                  <w:r>
                    <w:rPr>
                      <w:rFonts w:hint="default"/>
                      <w:color w:val="auto"/>
                      <w:lang w:val="en-US" w:eastAsia="zh-CN"/>
                    </w:rPr>
                    <w:t>2024.10.17</w:t>
                  </w:r>
                </w:p>
              </w:tc>
              <w:tc>
                <w:tcPr>
                  <w:tcW w:w="2500" w:type="pct"/>
                  <w:noWrap w:val="0"/>
                  <w:vAlign w:val="center"/>
                </w:tcPr>
                <w:p w14:paraId="52E46E8D">
                  <w:pPr>
                    <w:pStyle w:val="14"/>
                    <w:bidi w:val="0"/>
                    <w:rPr>
                      <w:rFonts w:hint="default"/>
                      <w:color w:val="auto"/>
                      <w:lang w:val="en-US" w:eastAsia="zh-CN"/>
                    </w:rPr>
                  </w:pPr>
                  <w:r>
                    <w:rPr>
                      <w:rFonts w:hint="default"/>
                      <w:color w:val="auto"/>
                      <w:lang w:val="en-US" w:eastAsia="zh-CN"/>
                    </w:rPr>
                    <w:t>247</w:t>
                  </w:r>
                </w:p>
              </w:tc>
            </w:tr>
            <w:tr w14:paraId="3AE5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9" w:type="pct"/>
                  <w:noWrap w:val="0"/>
                  <w:vAlign w:val="center"/>
                </w:tcPr>
                <w:p w14:paraId="401DB613">
                  <w:pPr>
                    <w:pStyle w:val="14"/>
                    <w:bidi w:val="0"/>
                    <w:rPr>
                      <w:rFonts w:hint="default"/>
                      <w:color w:val="auto"/>
                      <w:lang w:val="en-US" w:eastAsia="zh-CN"/>
                    </w:rPr>
                  </w:pPr>
                  <w:r>
                    <w:rPr>
                      <w:rFonts w:hint="default"/>
                      <w:color w:val="auto"/>
                      <w:lang w:val="en-US" w:eastAsia="zh-CN"/>
                    </w:rPr>
                    <w:t>2024.10.18</w:t>
                  </w:r>
                </w:p>
              </w:tc>
              <w:tc>
                <w:tcPr>
                  <w:tcW w:w="2500" w:type="pct"/>
                  <w:noWrap w:val="0"/>
                  <w:vAlign w:val="center"/>
                </w:tcPr>
                <w:p w14:paraId="42F4EFE4">
                  <w:pPr>
                    <w:pStyle w:val="14"/>
                    <w:bidi w:val="0"/>
                    <w:rPr>
                      <w:rFonts w:hint="default"/>
                      <w:color w:val="auto"/>
                      <w:lang w:val="en-US" w:eastAsia="zh-CN"/>
                    </w:rPr>
                  </w:pPr>
                  <w:r>
                    <w:rPr>
                      <w:rFonts w:hint="default"/>
                      <w:color w:val="auto"/>
                      <w:lang w:val="en-US" w:eastAsia="zh-CN"/>
                    </w:rPr>
                    <w:t>244</w:t>
                  </w:r>
                </w:p>
              </w:tc>
            </w:tr>
            <w:tr w14:paraId="4390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9" w:type="pct"/>
                  <w:noWrap w:val="0"/>
                  <w:vAlign w:val="center"/>
                </w:tcPr>
                <w:p w14:paraId="765EA272">
                  <w:pPr>
                    <w:pStyle w:val="14"/>
                    <w:bidi w:val="0"/>
                    <w:rPr>
                      <w:rFonts w:hint="default"/>
                      <w:color w:val="auto"/>
                      <w:lang w:val="en-US" w:eastAsia="zh-CN"/>
                    </w:rPr>
                  </w:pPr>
                  <w:r>
                    <w:rPr>
                      <w:rFonts w:hint="default"/>
                      <w:color w:val="auto"/>
                      <w:lang w:val="en-US" w:eastAsia="zh-CN"/>
                    </w:rPr>
                    <w:t>2024.10.19</w:t>
                  </w:r>
                </w:p>
              </w:tc>
              <w:tc>
                <w:tcPr>
                  <w:tcW w:w="2500" w:type="pct"/>
                  <w:noWrap w:val="0"/>
                  <w:vAlign w:val="center"/>
                </w:tcPr>
                <w:p w14:paraId="33352503">
                  <w:pPr>
                    <w:pStyle w:val="14"/>
                    <w:bidi w:val="0"/>
                    <w:rPr>
                      <w:rFonts w:hint="default"/>
                      <w:color w:val="auto"/>
                      <w:lang w:val="en-US" w:eastAsia="zh-CN"/>
                    </w:rPr>
                  </w:pPr>
                  <w:r>
                    <w:rPr>
                      <w:rFonts w:hint="default"/>
                      <w:color w:val="auto"/>
                      <w:lang w:val="en-US" w:eastAsia="zh-CN"/>
                    </w:rPr>
                    <w:t>263</w:t>
                  </w:r>
                </w:p>
              </w:tc>
            </w:tr>
            <w:tr w14:paraId="37B8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9" w:type="pct"/>
                  <w:noWrap w:val="0"/>
                  <w:vAlign w:val="center"/>
                </w:tcPr>
                <w:p w14:paraId="78D9FD68">
                  <w:pPr>
                    <w:pStyle w:val="14"/>
                    <w:bidi w:val="0"/>
                    <w:rPr>
                      <w:rFonts w:hint="default"/>
                      <w:color w:val="auto"/>
                    </w:rPr>
                  </w:pPr>
                  <w:r>
                    <w:rPr>
                      <w:rFonts w:hint="default"/>
                      <w:color w:val="auto"/>
                    </w:rPr>
                    <w:t>GB3095-2012：二级标准</w:t>
                  </w:r>
                </w:p>
              </w:tc>
              <w:tc>
                <w:tcPr>
                  <w:tcW w:w="2500" w:type="pct"/>
                  <w:noWrap w:val="0"/>
                  <w:vAlign w:val="center"/>
                </w:tcPr>
                <w:p w14:paraId="456DB1DB">
                  <w:pPr>
                    <w:pStyle w:val="14"/>
                    <w:bidi w:val="0"/>
                    <w:rPr>
                      <w:rFonts w:hint="default"/>
                      <w:color w:val="auto"/>
                      <w:lang w:val="en-US" w:eastAsia="zh-CN"/>
                    </w:rPr>
                  </w:pPr>
                  <w:r>
                    <w:rPr>
                      <w:rFonts w:hint="default"/>
                      <w:color w:val="auto"/>
                      <w:lang w:val="en-US" w:eastAsia="zh-CN"/>
                    </w:rPr>
                    <w:t>300</w:t>
                  </w:r>
                </w:p>
              </w:tc>
            </w:tr>
            <w:tr w14:paraId="114AA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9" w:type="pct"/>
                  <w:noWrap w:val="0"/>
                  <w:vAlign w:val="center"/>
                </w:tcPr>
                <w:p w14:paraId="2ADF3C52">
                  <w:pPr>
                    <w:pStyle w:val="14"/>
                    <w:bidi w:val="0"/>
                    <w:rPr>
                      <w:rFonts w:hint="default"/>
                      <w:color w:val="auto"/>
                    </w:rPr>
                  </w:pPr>
                  <w:r>
                    <w:rPr>
                      <w:rFonts w:hint="default"/>
                      <w:color w:val="auto"/>
                    </w:rPr>
                    <w:t>评价结果</w:t>
                  </w:r>
                </w:p>
              </w:tc>
              <w:tc>
                <w:tcPr>
                  <w:tcW w:w="2500" w:type="pct"/>
                  <w:noWrap w:val="0"/>
                  <w:vAlign w:val="center"/>
                </w:tcPr>
                <w:p w14:paraId="439733E6">
                  <w:pPr>
                    <w:pStyle w:val="14"/>
                    <w:bidi w:val="0"/>
                    <w:rPr>
                      <w:rFonts w:hint="default"/>
                      <w:color w:val="auto"/>
                      <w:lang w:val="en-US" w:eastAsia="zh-CN"/>
                    </w:rPr>
                  </w:pPr>
                  <w:r>
                    <w:rPr>
                      <w:rFonts w:hint="default"/>
                      <w:color w:val="auto"/>
                      <w:lang w:val="en-US" w:eastAsia="zh-CN"/>
                    </w:rPr>
                    <w:t>达标</w:t>
                  </w:r>
                </w:p>
              </w:tc>
            </w:tr>
          </w:tbl>
          <w:p w14:paraId="1821BDBF">
            <w:pPr>
              <w:spacing w:line="240" w:lineRule="auto"/>
              <w:rPr>
                <w:rFonts w:hint="default" w:ascii="Times New Roman" w:hAnsi="Times New Roman" w:cs="Times New Roman"/>
                <w:color w:val="auto"/>
                <w:sz w:val="24"/>
                <w:szCs w:val="24"/>
              </w:rPr>
            </w:pPr>
          </w:p>
          <w:p w14:paraId="30EF09AF">
            <w:pPr>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sz w:val="24"/>
                <w:szCs w:val="24"/>
              </w:rPr>
              <w:t>表3</w:t>
            </w:r>
            <w:r>
              <w:rPr>
                <w:rFonts w:hint="default" w:ascii="Times New Roman" w:hAnsi="Times New Roman" w:cs="Times New Roman"/>
                <w:b/>
                <w:bCs/>
                <w:color w:val="auto"/>
                <w:sz w:val="24"/>
                <w:szCs w:val="24"/>
              </w:rPr>
              <w:noBreakHyphen/>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 xml:space="preserve">  </w:t>
            </w:r>
            <w:r>
              <w:rPr>
                <w:rFonts w:hint="default" w:ascii="Times New Roman" w:hAnsi="Times New Roman" w:cs="Times New Roman"/>
                <w:b/>
                <w:bCs/>
                <w:color w:val="auto"/>
                <w:sz w:val="24"/>
                <w:szCs w:val="24"/>
                <w:lang w:val="en-US" w:eastAsia="zh-CN"/>
              </w:rPr>
              <w:t>二甲苯、非甲烷总烃</w:t>
            </w:r>
            <w:r>
              <w:rPr>
                <w:rFonts w:hint="default" w:ascii="Times New Roman" w:hAnsi="Times New Roman" w:cs="Times New Roman"/>
                <w:b/>
                <w:bCs/>
                <w:color w:val="auto"/>
                <w:sz w:val="24"/>
                <w:szCs w:val="24"/>
              </w:rPr>
              <w:t xml:space="preserve">监测结果一览表  </w:t>
            </w:r>
            <w:r>
              <w:rPr>
                <w:rFonts w:hint="default" w:ascii="Times New Roman" w:hAnsi="Times New Roman" w:cs="Times New Roman"/>
                <w:b/>
                <w:bCs/>
                <w:color w:val="auto"/>
                <w:sz w:val="24"/>
                <w:szCs w:val="24"/>
                <w:lang w:val="en-US" w:eastAsia="zh-CN"/>
              </w:rPr>
              <w:t>m</w:t>
            </w:r>
            <w:r>
              <w:rPr>
                <w:rFonts w:hint="default" w:ascii="Times New Roman" w:hAnsi="Times New Roman" w:cs="Times New Roman"/>
                <w:b/>
                <w:bCs/>
                <w:color w:val="auto"/>
                <w:sz w:val="24"/>
                <w:szCs w:val="24"/>
              </w:rPr>
              <w:t>g/m</w:t>
            </w:r>
            <w:r>
              <w:rPr>
                <w:rFonts w:hint="default" w:ascii="Times New Roman" w:hAnsi="Times New Roman" w:cs="Times New Roman"/>
                <w:b/>
                <w:bCs/>
                <w:color w:val="auto"/>
                <w:sz w:val="24"/>
                <w:szCs w:val="24"/>
                <w:vertAlign w:val="superscript"/>
              </w:rPr>
              <w:t>3</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0"/>
              <w:gridCol w:w="2484"/>
              <w:gridCol w:w="2486"/>
            </w:tblGrid>
            <w:tr w14:paraId="7C5E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blHeader/>
                <w:jc w:val="center"/>
              </w:trPr>
              <w:tc>
                <w:tcPr>
                  <w:tcW w:w="1664" w:type="pct"/>
                  <w:noWrap w:val="0"/>
                  <w:vAlign w:val="center"/>
                </w:tcPr>
                <w:p w14:paraId="1733DB85">
                  <w:pPr>
                    <w:pStyle w:val="14"/>
                    <w:bidi w:val="0"/>
                    <w:rPr>
                      <w:rFonts w:hint="default"/>
                      <w:color w:val="auto"/>
                    </w:rPr>
                  </w:pPr>
                  <w:r>
                    <w:rPr>
                      <w:rFonts w:hint="default"/>
                      <w:color w:val="auto"/>
                    </w:rPr>
                    <w:t>检测时间</w:t>
                  </w:r>
                </w:p>
              </w:tc>
              <w:tc>
                <w:tcPr>
                  <w:tcW w:w="1667" w:type="pct"/>
                  <w:noWrap w:val="0"/>
                  <w:vAlign w:val="center"/>
                </w:tcPr>
                <w:p w14:paraId="22E0031E">
                  <w:pPr>
                    <w:pStyle w:val="14"/>
                    <w:bidi w:val="0"/>
                    <w:rPr>
                      <w:rFonts w:hint="default"/>
                      <w:color w:val="auto"/>
                      <w:lang w:val="en-US" w:eastAsia="zh-CN"/>
                    </w:rPr>
                  </w:pPr>
                  <w:r>
                    <w:rPr>
                      <w:rFonts w:hint="default"/>
                      <w:color w:val="auto"/>
                      <w:lang w:val="en-US" w:eastAsia="zh-CN"/>
                    </w:rPr>
                    <w:t>非甲烷总烃</w:t>
                  </w:r>
                </w:p>
              </w:tc>
              <w:tc>
                <w:tcPr>
                  <w:tcW w:w="1668" w:type="pct"/>
                  <w:noWrap w:val="0"/>
                  <w:vAlign w:val="center"/>
                </w:tcPr>
                <w:p w14:paraId="2F333C6A">
                  <w:pPr>
                    <w:pStyle w:val="14"/>
                    <w:bidi w:val="0"/>
                    <w:rPr>
                      <w:rFonts w:hint="default"/>
                      <w:color w:val="auto"/>
                      <w:lang w:val="en-US" w:eastAsia="zh-CN"/>
                    </w:rPr>
                  </w:pPr>
                  <w:r>
                    <w:rPr>
                      <w:rFonts w:hint="default"/>
                      <w:color w:val="auto"/>
                      <w:lang w:val="en-US" w:eastAsia="zh-CN"/>
                    </w:rPr>
                    <w:t>二甲苯</w:t>
                  </w:r>
                </w:p>
              </w:tc>
            </w:tr>
            <w:tr w14:paraId="3D8C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4" w:type="pct"/>
                  <w:vMerge w:val="restart"/>
                  <w:noWrap w:val="0"/>
                  <w:vAlign w:val="center"/>
                </w:tcPr>
                <w:p w14:paraId="3CCCDE39">
                  <w:pPr>
                    <w:pStyle w:val="14"/>
                    <w:bidi w:val="0"/>
                    <w:rPr>
                      <w:rFonts w:hint="default"/>
                      <w:color w:val="auto"/>
                      <w:lang w:val="en-US" w:eastAsia="zh-CN"/>
                    </w:rPr>
                  </w:pPr>
                  <w:r>
                    <w:rPr>
                      <w:rFonts w:hint="default"/>
                      <w:color w:val="auto"/>
                      <w:lang w:val="en-US" w:eastAsia="zh-CN"/>
                    </w:rPr>
                    <w:t>2024.10.17</w:t>
                  </w:r>
                </w:p>
              </w:tc>
              <w:tc>
                <w:tcPr>
                  <w:tcW w:w="2647" w:type="dxa"/>
                  <w:noWrap w:val="0"/>
                  <w:vAlign w:val="center"/>
                </w:tcPr>
                <w:p w14:paraId="216AA484">
                  <w:pPr>
                    <w:pStyle w:val="14"/>
                    <w:bidi w:val="0"/>
                    <w:rPr>
                      <w:rFonts w:hint="default"/>
                      <w:color w:val="auto"/>
                      <w:lang w:val="en-US" w:eastAsia="zh-CN"/>
                    </w:rPr>
                  </w:pPr>
                  <w:r>
                    <w:rPr>
                      <w:rFonts w:hint="default"/>
                      <w:color w:val="auto"/>
                      <w:lang w:val="en-US" w:eastAsia="zh-CN"/>
                    </w:rPr>
                    <w:t>0.38</w:t>
                  </w:r>
                </w:p>
              </w:tc>
              <w:tc>
                <w:tcPr>
                  <w:tcW w:w="2648" w:type="dxa"/>
                  <w:noWrap w:val="0"/>
                  <w:vAlign w:val="bottom"/>
                </w:tcPr>
                <w:p w14:paraId="68E63EA3">
                  <w:pPr>
                    <w:pStyle w:val="14"/>
                    <w:bidi w:val="0"/>
                    <w:rPr>
                      <w:rFonts w:hint="default"/>
                      <w:color w:val="auto"/>
                      <w:lang w:val="en-US" w:eastAsia="zh-CN"/>
                    </w:rPr>
                  </w:pPr>
                  <w:r>
                    <w:rPr>
                      <w:rFonts w:hint="default"/>
                      <w:color w:val="auto"/>
                      <w:lang w:eastAsia="zh-CN"/>
                    </w:rPr>
                    <w:t>1.5×10</w:t>
                  </w:r>
                  <w:r>
                    <w:rPr>
                      <w:rFonts w:hint="default"/>
                      <w:color w:val="auto"/>
                      <w:vertAlign w:val="superscript"/>
                      <w:lang w:eastAsia="zh-CN"/>
                    </w:rPr>
                    <w:t>-3</w:t>
                  </w:r>
                  <w:r>
                    <w:rPr>
                      <w:rFonts w:hint="default"/>
                      <w:color w:val="auto"/>
                      <w:lang w:val="en-US" w:eastAsia="zh-CN"/>
                    </w:rPr>
                    <w:t>L</w:t>
                  </w:r>
                </w:p>
              </w:tc>
            </w:tr>
            <w:tr w14:paraId="213E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4" w:type="pct"/>
                  <w:vMerge w:val="continue"/>
                  <w:noWrap w:val="0"/>
                  <w:vAlign w:val="center"/>
                </w:tcPr>
                <w:p w14:paraId="75BF9DC7">
                  <w:pPr>
                    <w:pStyle w:val="14"/>
                    <w:bidi w:val="0"/>
                    <w:rPr>
                      <w:rFonts w:hint="default"/>
                      <w:color w:val="auto"/>
                      <w:lang w:val="en-US" w:eastAsia="zh-CN"/>
                    </w:rPr>
                  </w:pPr>
                </w:p>
              </w:tc>
              <w:tc>
                <w:tcPr>
                  <w:tcW w:w="2647" w:type="dxa"/>
                  <w:noWrap w:val="0"/>
                  <w:vAlign w:val="center"/>
                </w:tcPr>
                <w:p w14:paraId="2E46034E">
                  <w:pPr>
                    <w:pStyle w:val="14"/>
                    <w:bidi w:val="0"/>
                    <w:rPr>
                      <w:rFonts w:hint="default"/>
                      <w:color w:val="auto"/>
                      <w:lang w:val="en-US" w:eastAsia="zh-CN"/>
                    </w:rPr>
                  </w:pPr>
                  <w:r>
                    <w:rPr>
                      <w:rFonts w:hint="default"/>
                      <w:color w:val="auto"/>
                      <w:lang w:val="en-US" w:eastAsia="zh-CN"/>
                    </w:rPr>
                    <w:t>0.40</w:t>
                  </w:r>
                </w:p>
              </w:tc>
              <w:tc>
                <w:tcPr>
                  <w:tcW w:w="2648" w:type="dxa"/>
                  <w:noWrap w:val="0"/>
                  <w:vAlign w:val="bottom"/>
                </w:tcPr>
                <w:p w14:paraId="6BC36663">
                  <w:pPr>
                    <w:pStyle w:val="14"/>
                    <w:bidi w:val="0"/>
                    <w:rPr>
                      <w:rFonts w:hint="default"/>
                      <w:color w:val="auto"/>
                      <w:lang w:val="en-US" w:eastAsia="zh-CN"/>
                    </w:rPr>
                  </w:pPr>
                  <w:r>
                    <w:rPr>
                      <w:rFonts w:hint="default"/>
                      <w:color w:val="auto"/>
                      <w:lang w:eastAsia="zh-CN"/>
                    </w:rPr>
                    <w:t>1.5×10</w:t>
                  </w:r>
                  <w:r>
                    <w:rPr>
                      <w:rFonts w:hint="default"/>
                      <w:color w:val="auto"/>
                      <w:vertAlign w:val="superscript"/>
                      <w:lang w:eastAsia="zh-CN"/>
                    </w:rPr>
                    <w:t>-3</w:t>
                  </w:r>
                  <w:r>
                    <w:rPr>
                      <w:rFonts w:hint="default"/>
                      <w:color w:val="auto"/>
                      <w:lang w:val="en-US" w:eastAsia="zh-CN"/>
                    </w:rPr>
                    <w:t>L</w:t>
                  </w:r>
                </w:p>
              </w:tc>
            </w:tr>
            <w:tr w14:paraId="0698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4" w:type="pct"/>
                  <w:vMerge w:val="continue"/>
                  <w:noWrap w:val="0"/>
                  <w:vAlign w:val="center"/>
                </w:tcPr>
                <w:p w14:paraId="781003D8">
                  <w:pPr>
                    <w:pStyle w:val="14"/>
                    <w:bidi w:val="0"/>
                    <w:rPr>
                      <w:rFonts w:hint="default"/>
                      <w:color w:val="auto"/>
                      <w:lang w:val="en-US" w:eastAsia="zh-CN"/>
                    </w:rPr>
                  </w:pPr>
                </w:p>
              </w:tc>
              <w:tc>
                <w:tcPr>
                  <w:tcW w:w="2647" w:type="dxa"/>
                  <w:noWrap w:val="0"/>
                  <w:vAlign w:val="center"/>
                </w:tcPr>
                <w:p w14:paraId="00590B98">
                  <w:pPr>
                    <w:pStyle w:val="14"/>
                    <w:bidi w:val="0"/>
                    <w:rPr>
                      <w:rFonts w:hint="default"/>
                      <w:color w:val="auto"/>
                      <w:lang w:val="en-US" w:eastAsia="zh-CN"/>
                    </w:rPr>
                  </w:pPr>
                  <w:r>
                    <w:rPr>
                      <w:rFonts w:hint="default"/>
                      <w:color w:val="auto"/>
                      <w:lang w:val="en-US" w:eastAsia="zh-CN"/>
                    </w:rPr>
                    <w:t>0.45</w:t>
                  </w:r>
                </w:p>
              </w:tc>
              <w:tc>
                <w:tcPr>
                  <w:tcW w:w="2648" w:type="dxa"/>
                  <w:noWrap w:val="0"/>
                  <w:vAlign w:val="bottom"/>
                </w:tcPr>
                <w:p w14:paraId="02776246">
                  <w:pPr>
                    <w:pStyle w:val="14"/>
                    <w:bidi w:val="0"/>
                    <w:rPr>
                      <w:rFonts w:hint="default"/>
                      <w:color w:val="auto"/>
                      <w:lang w:val="en-US" w:eastAsia="zh-CN"/>
                    </w:rPr>
                  </w:pPr>
                  <w:r>
                    <w:rPr>
                      <w:rFonts w:hint="default"/>
                      <w:color w:val="auto"/>
                      <w:lang w:eastAsia="zh-CN"/>
                    </w:rPr>
                    <w:t>1.5×10</w:t>
                  </w:r>
                  <w:r>
                    <w:rPr>
                      <w:rFonts w:hint="default"/>
                      <w:color w:val="auto"/>
                      <w:vertAlign w:val="superscript"/>
                      <w:lang w:eastAsia="zh-CN"/>
                    </w:rPr>
                    <w:t>-3</w:t>
                  </w:r>
                  <w:r>
                    <w:rPr>
                      <w:rFonts w:hint="default"/>
                      <w:color w:val="auto"/>
                      <w:lang w:val="en-US" w:eastAsia="zh-CN"/>
                    </w:rPr>
                    <w:t>L</w:t>
                  </w:r>
                </w:p>
              </w:tc>
            </w:tr>
            <w:tr w14:paraId="2E661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4" w:type="pct"/>
                  <w:vMerge w:val="continue"/>
                  <w:noWrap w:val="0"/>
                  <w:vAlign w:val="center"/>
                </w:tcPr>
                <w:p w14:paraId="4D5E078F">
                  <w:pPr>
                    <w:pStyle w:val="14"/>
                    <w:bidi w:val="0"/>
                    <w:rPr>
                      <w:rFonts w:hint="default"/>
                      <w:color w:val="auto"/>
                      <w:lang w:val="en-US" w:eastAsia="zh-CN"/>
                    </w:rPr>
                  </w:pPr>
                </w:p>
              </w:tc>
              <w:tc>
                <w:tcPr>
                  <w:tcW w:w="2647" w:type="dxa"/>
                  <w:noWrap w:val="0"/>
                  <w:vAlign w:val="center"/>
                </w:tcPr>
                <w:p w14:paraId="3ABFF74C">
                  <w:pPr>
                    <w:pStyle w:val="14"/>
                    <w:bidi w:val="0"/>
                    <w:rPr>
                      <w:rFonts w:hint="default"/>
                      <w:color w:val="auto"/>
                      <w:lang w:val="en-US" w:eastAsia="zh-CN"/>
                    </w:rPr>
                  </w:pPr>
                  <w:r>
                    <w:rPr>
                      <w:rFonts w:hint="default"/>
                      <w:color w:val="auto"/>
                      <w:lang w:val="en-US" w:eastAsia="zh-CN"/>
                    </w:rPr>
                    <w:t>0.42</w:t>
                  </w:r>
                </w:p>
              </w:tc>
              <w:tc>
                <w:tcPr>
                  <w:tcW w:w="2648" w:type="dxa"/>
                  <w:noWrap w:val="0"/>
                  <w:vAlign w:val="bottom"/>
                </w:tcPr>
                <w:p w14:paraId="007529E1">
                  <w:pPr>
                    <w:pStyle w:val="14"/>
                    <w:bidi w:val="0"/>
                    <w:rPr>
                      <w:rFonts w:hint="default"/>
                      <w:color w:val="auto"/>
                      <w:lang w:val="en-US" w:eastAsia="zh-CN"/>
                    </w:rPr>
                  </w:pPr>
                  <w:r>
                    <w:rPr>
                      <w:rFonts w:hint="default"/>
                      <w:color w:val="auto"/>
                      <w:lang w:eastAsia="zh-CN"/>
                    </w:rPr>
                    <w:t>1.5×10</w:t>
                  </w:r>
                  <w:r>
                    <w:rPr>
                      <w:rFonts w:hint="default"/>
                      <w:color w:val="auto"/>
                      <w:vertAlign w:val="superscript"/>
                      <w:lang w:eastAsia="zh-CN"/>
                    </w:rPr>
                    <w:t>-3</w:t>
                  </w:r>
                  <w:r>
                    <w:rPr>
                      <w:rFonts w:hint="default"/>
                      <w:color w:val="auto"/>
                      <w:lang w:val="en-US" w:eastAsia="zh-CN"/>
                    </w:rPr>
                    <w:t>L</w:t>
                  </w:r>
                </w:p>
              </w:tc>
            </w:tr>
            <w:tr w14:paraId="524D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4" w:type="pct"/>
                  <w:vMerge w:val="restart"/>
                  <w:noWrap w:val="0"/>
                  <w:vAlign w:val="center"/>
                </w:tcPr>
                <w:p w14:paraId="5255DB98">
                  <w:pPr>
                    <w:pStyle w:val="14"/>
                    <w:bidi w:val="0"/>
                    <w:rPr>
                      <w:rFonts w:hint="default"/>
                      <w:color w:val="auto"/>
                      <w:lang w:val="en-US" w:eastAsia="zh-CN"/>
                    </w:rPr>
                  </w:pPr>
                  <w:r>
                    <w:rPr>
                      <w:rFonts w:hint="default"/>
                      <w:color w:val="auto"/>
                      <w:lang w:val="en-US" w:eastAsia="zh-CN"/>
                    </w:rPr>
                    <w:t>2024.10.18</w:t>
                  </w:r>
                </w:p>
              </w:tc>
              <w:tc>
                <w:tcPr>
                  <w:tcW w:w="2647" w:type="dxa"/>
                  <w:noWrap w:val="0"/>
                  <w:vAlign w:val="center"/>
                </w:tcPr>
                <w:p w14:paraId="5E8366FC">
                  <w:pPr>
                    <w:pStyle w:val="14"/>
                    <w:bidi w:val="0"/>
                    <w:rPr>
                      <w:rFonts w:hint="default"/>
                      <w:color w:val="auto"/>
                      <w:lang w:val="en-US" w:eastAsia="zh-CN"/>
                    </w:rPr>
                  </w:pPr>
                  <w:r>
                    <w:rPr>
                      <w:rFonts w:hint="default"/>
                      <w:color w:val="auto"/>
                      <w:lang w:val="en-US" w:eastAsia="zh-CN"/>
                    </w:rPr>
                    <w:t>0.44</w:t>
                  </w:r>
                </w:p>
              </w:tc>
              <w:tc>
                <w:tcPr>
                  <w:tcW w:w="2648" w:type="dxa"/>
                  <w:noWrap w:val="0"/>
                  <w:vAlign w:val="bottom"/>
                </w:tcPr>
                <w:p w14:paraId="5ED97C67">
                  <w:pPr>
                    <w:pStyle w:val="14"/>
                    <w:bidi w:val="0"/>
                    <w:rPr>
                      <w:rFonts w:hint="default"/>
                      <w:color w:val="auto"/>
                      <w:lang w:val="en-US" w:eastAsia="zh-CN"/>
                    </w:rPr>
                  </w:pPr>
                  <w:r>
                    <w:rPr>
                      <w:rFonts w:hint="default"/>
                      <w:color w:val="auto"/>
                      <w:lang w:eastAsia="zh-CN"/>
                    </w:rPr>
                    <w:t>1.5×10</w:t>
                  </w:r>
                  <w:r>
                    <w:rPr>
                      <w:rFonts w:hint="default"/>
                      <w:color w:val="auto"/>
                      <w:vertAlign w:val="superscript"/>
                      <w:lang w:eastAsia="zh-CN"/>
                    </w:rPr>
                    <w:t>-3</w:t>
                  </w:r>
                  <w:r>
                    <w:rPr>
                      <w:rFonts w:hint="default"/>
                      <w:color w:val="auto"/>
                      <w:lang w:val="en-US" w:eastAsia="zh-CN"/>
                    </w:rPr>
                    <w:t>L</w:t>
                  </w:r>
                </w:p>
              </w:tc>
            </w:tr>
            <w:tr w14:paraId="1DFEE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4" w:type="pct"/>
                  <w:vMerge w:val="continue"/>
                  <w:noWrap w:val="0"/>
                  <w:vAlign w:val="center"/>
                </w:tcPr>
                <w:p w14:paraId="1990C757">
                  <w:pPr>
                    <w:pStyle w:val="14"/>
                    <w:bidi w:val="0"/>
                    <w:rPr>
                      <w:rFonts w:hint="default"/>
                      <w:color w:val="auto"/>
                      <w:lang w:val="en-US" w:eastAsia="zh-CN"/>
                    </w:rPr>
                  </w:pPr>
                </w:p>
              </w:tc>
              <w:tc>
                <w:tcPr>
                  <w:tcW w:w="2647" w:type="dxa"/>
                  <w:noWrap w:val="0"/>
                  <w:vAlign w:val="center"/>
                </w:tcPr>
                <w:p w14:paraId="0D140641">
                  <w:pPr>
                    <w:pStyle w:val="14"/>
                    <w:bidi w:val="0"/>
                    <w:rPr>
                      <w:rFonts w:hint="default"/>
                      <w:color w:val="auto"/>
                      <w:lang w:val="en-US" w:eastAsia="zh-CN"/>
                    </w:rPr>
                  </w:pPr>
                  <w:r>
                    <w:rPr>
                      <w:rFonts w:hint="default"/>
                      <w:color w:val="auto"/>
                      <w:lang w:val="en-US" w:eastAsia="zh-CN"/>
                    </w:rPr>
                    <w:t>0.36</w:t>
                  </w:r>
                </w:p>
              </w:tc>
              <w:tc>
                <w:tcPr>
                  <w:tcW w:w="2648" w:type="dxa"/>
                  <w:noWrap w:val="0"/>
                  <w:vAlign w:val="bottom"/>
                </w:tcPr>
                <w:p w14:paraId="59D09F84">
                  <w:pPr>
                    <w:pStyle w:val="14"/>
                    <w:bidi w:val="0"/>
                    <w:rPr>
                      <w:rFonts w:hint="default"/>
                      <w:color w:val="auto"/>
                      <w:lang w:val="en-US" w:eastAsia="zh-CN"/>
                    </w:rPr>
                  </w:pPr>
                  <w:r>
                    <w:rPr>
                      <w:rFonts w:hint="default"/>
                      <w:color w:val="auto"/>
                      <w:lang w:eastAsia="zh-CN"/>
                    </w:rPr>
                    <w:t>1.5×10</w:t>
                  </w:r>
                  <w:r>
                    <w:rPr>
                      <w:rFonts w:hint="default"/>
                      <w:color w:val="auto"/>
                      <w:vertAlign w:val="superscript"/>
                      <w:lang w:eastAsia="zh-CN"/>
                    </w:rPr>
                    <w:t>-3</w:t>
                  </w:r>
                  <w:r>
                    <w:rPr>
                      <w:rFonts w:hint="default"/>
                      <w:color w:val="auto"/>
                      <w:lang w:val="en-US" w:eastAsia="zh-CN"/>
                    </w:rPr>
                    <w:t>L</w:t>
                  </w:r>
                </w:p>
              </w:tc>
            </w:tr>
            <w:tr w14:paraId="2AFC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4" w:type="pct"/>
                  <w:vMerge w:val="continue"/>
                  <w:noWrap w:val="0"/>
                  <w:vAlign w:val="center"/>
                </w:tcPr>
                <w:p w14:paraId="4AE96271">
                  <w:pPr>
                    <w:pStyle w:val="14"/>
                    <w:bidi w:val="0"/>
                    <w:rPr>
                      <w:rFonts w:hint="default"/>
                      <w:color w:val="auto"/>
                      <w:lang w:val="en-US" w:eastAsia="zh-CN"/>
                    </w:rPr>
                  </w:pPr>
                </w:p>
              </w:tc>
              <w:tc>
                <w:tcPr>
                  <w:tcW w:w="2647" w:type="dxa"/>
                  <w:noWrap w:val="0"/>
                  <w:vAlign w:val="center"/>
                </w:tcPr>
                <w:p w14:paraId="6D77201B">
                  <w:pPr>
                    <w:pStyle w:val="14"/>
                    <w:bidi w:val="0"/>
                    <w:rPr>
                      <w:rFonts w:hint="default"/>
                      <w:color w:val="auto"/>
                      <w:lang w:val="en-US" w:eastAsia="zh-CN"/>
                    </w:rPr>
                  </w:pPr>
                  <w:r>
                    <w:rPr>
                      <w:rFonts w:hint="default"/>
                      <w:color w:val="auto"/>
                      <w:lang w:val="en-US" w:eastAsia="zh-CN"/>
                    </w:rPr>
                    <w:t>0.41</w:t>
                  </w:r>
                </w:p>
              </w:tc>
              <w:tc>
                <w:tcPr>
                  <w:tcW w:w="2648" w:type="dxa"/>
                  <w:noWrap w:val="0"/>
                  <w:vAlign w:val="bottom"/>
                </w:tcPr>
                <w:p w14:paraId="5423FB44">
                  <w:pPr>
                    <w:pStyle w:val="14"/>
                    <w:bidi w:val="0"/>
                    <w:rPr>
                      <w:rFonts w:hint="default"/>
                      <w:color w:val="auto"/>
                      <w:lang w:val="en-US" w:eastAsia="zh-CN"/>
                    </w:rPr>
                  </w:pPr>
                  <w:r>
                    <w:rPr>
                      <w:rFonts w:hint="default"/>
                      <w:color w:val="auto"/>
                      <w:lang w:eastAsia="zh-CN"/>
                    </w:rPr>
                    <w:t>1.5×10</w:t>
                  </w:r>
                  <w:r>
                    <w:rPr>
                      <w:rFonts w:hint="default"/>
                      <w:color w:val="auto"/>
                      <w:vertAlign w:val="superscript"/>
                      <w:lang w:eastAsia="zh-CN"/>
                    </w:rPr>
                    <w:t>-3</w:t>
                  </w:r>
                  <w:r>
                    <w:rPr>
                      <w:rFonts w:hint="default"/>
                      <w:color w:val="auto"/>
                      <w:lang w:val="en-US" w:eastAsia="zh-CN"/>
                    </w:rPr>
                    <w:t>L</w:t>
                  </w:r>
                </w:p>
              </w:tc>
            </w:tr>
            <w:tr w14:paraId="47E2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4" w:type="pct"/>
                  <w:vMerge w:val="continue"/>
                  <w:noWrap w:val="0"/>
                  <w:vAlign w:val="center"/>
                </w:tcPr>
                <w:p w14:paraId="02916F28">
                  <w:pPr>
                    <w:pStyle w:val="14"/>
                    <w:bidi w:val="0"/>
                    <w:rPr>
                      <w:rFonts w:hint="default"/>
                      <w:color w:val="auto"/>
                      <w:lang w:val="en-US" w:eastAsia="zh-CN"/>
                    </w:rPr>
                  </w:pPr>
                </w:p>
              </w:tc>
              <w:tc>
                <w:tcPr>
                  <w:tcW w:w="2647" w:type="dxa"/>
                  <w:noWrap w:val="0"/>
                  <w:vAlign w:val="center"/>
                </w:tcPr>
                <w:p w14:paraId="7272CEF9">
                  <w:pPr>
                    <w:pStyle w:val="14"/>
                    <w:bidi w:val="0"/>
                    <w:rPr>
                      <w:rFonts w:hint="default"/>
                      <w:color w:val="auto"/>
                      <w:lang w:val="en-US" w:eastAsia="zh-CN"/>
                    </w:rPr>
                  </w:pPr>
                  <w:r>
                    <w:rPr>
                      <w:rFonts w:hint="default"/>
                      <w:color w:val="auto"/>
                      <w:lang w:val="en-US" w:eastAsia="zh-CN"/>
                    </w:rPr>
                    <w:t>0.48</w:t>
                  </w:r>
                </w:p>
              </w:tc>
              <w:tc>
                <w:tcPr>
                  <w:tcW w:w="2648" w:type="dxa"/>
                  <w:noWrap w:val="0"/>
                  <w:vAlign w:val="bottom"/>
                </w:tcPr>
                <w:p w14:paraId="7C5CD3A8">
                  <w:pPr>
                    <w:pStyle w:val="14"/>
                    <w:bidi w:val="0"/>
                    <w:rPr>
                      <w:rFonts w:hint="default"/>
                      <w:color w:val="auto"/>
                      <w:lang w:val="en-US" w:eastAsia="zh-CN"/>
                    </w:rPr>
                  </w:pPr>
                  <w:r>
                    <w:rPr>
                      <w:rFonts w:hint="default"/>
                      <w:color w:val="auto"/>
                      <w:lang w:eastAsia="zh-CN"/>
                    </w:rPr>
                    <w:t>1.5×10</w:t>
                  </w:r>
                  <w:r>
                    <w:rPr>
                      <w:rFonts w:hint="default"/>
                      <w:color w:val="auto"/>
                      <w:vertAlign w:val="superscript"/>
                      <w:lang w:eastAsia="zh-CN"/>
                    </w:rPr>
                    <w:t>-3</w:t>
                  </w:r>
                  <w:r>
                    <w:rPr>
                      <w:rFonts w:hint="default"/>
                      <w:color w:val="auto"/>
                      <w:lang w:val="en-US" w:eastAsia="zh-CN"/>
                    </w:rPr>
                    <w:t>L</w:t>
                  </w:r>
                </w:p>
              </w:tc>
            </w:tr>
            <w:tr w14:paraId="5B24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4" w:type="pct"/>
                  <w:vMerge w:val="restart"/>
                  <w:noWrap w:val="0"/>
                  <w:vAlign w:val="center"/>
                </w:tcPr>
                <w:p w14:paraId="337BF6BF">
                  <w:pPr>
                    <w:pStyle w:val="14"/>
                    <w:bidi w:val="0"/>
                    <w:rPr>
                      <w:rFonts w:hint="default"/>
                      <w:color w:val="auto"/>
                      <w:lang w:val="en-US" w:eastAsia="zh-CN"/>
                    </w:rPr>
                  </w:pPr>
                  <w:r>
                    <w:rPr>
                      <w:rFonts w:hint="default"/>
                      <w:color w:val="auto"/>
                      <w:lang w:val="en-US" w:eastAsia="zh-CN"/>
                    </w:rPr>
                    <w:t>2024.10.19</w:t>
                  </w:r>
                </w:p>
              </w:tc>
              <w:tc>
                <w:tcPr>
                  <w:tcW w:w="2647" w:type="dxa"/>
                  <w:noWrap w:val="0"/>
                  <w:vAlign w:val="center"/>
                </w:tcPr>
                <w:p w14:paraId="7376259D">
                  <w:pPr>
                    <w:pStyle w:val="14"/>
                    <w:bidi w:val="0"/>
                    <w:rPr>
                      <w:rFonts w:hint="default"/>
                      <w:color w:val="auto"/>
                      <w:lang w:val="en-US" w:eastAsia="zh-CN"/>
                    </w:rPr>
                  </w:pPr>
                  <w:r>
                    <w:rPr>
                      <w:rFonts w:hint="default"/>
                      <w:color w:val="auto"/>
                      <w:lang w:val="en-US" w:eastAsia="zh-CN"/>
                    </w:rPr>
                    <w:t>0.37</w:t>
                  </w:r>
                </w:p>
              </w:tc>
              <w:tc>
                <w:tcPr>
                  <w:tcW w:w="2648" w:type="dxa"/>
                  <w:noWrap w:val="0"/>
                  <w:vAlign w:val="bottom"/>
                </w:tcPr>
                <w:p w14:paraId="76CD9C5B">
                  <w:pPr>
                    <w:pStyle w:val="14"/>
                    <w:bidi w:val="0"/>
                    <w:rPr>
                      <w:rFonts w:hint="default"/>
                      <w:color w:val="auto"/>
                      <w:lang w:val="en-US" w:eastAsia="zh-CN"/>
                    </w:rPr>
                  </w:pPr>
                  <w:r>
                    <w:rPr>
                      <w:rFonts w:hint="default"/>
                      <w:color w:val="auto"/>
                      <w:lang w:eastAsia="zh-CN"/>
                    </w:rPr>
                    <w:t>1.5×10</w:t>
                  </w:r>
                  <w:r>
                    <w:rPr>
                      <w:rFonts w:hint="default"/>
                      <w:color w:val="auto"/>
                      <w:vertAlign w:val="superscript"/>
                      <w:lang w:eastAsia="zh-CN"/>
                    </w:rPr>
                    <w:t>-3</w:t>
                  </w:r>
                  <w:r>
                    <w:rPr>
                      <w:rFonts w:hint="default"/>
                      <w:color w:val="auto"/>
                      <w:lang w:val="en-US" w:eastAsia="zh-CN"/>
                    </w:rPr>
                    <w:t>L</w:t>
                  </w:r>
                </w:p>
              </w:tc>
            </w:tr>
            <w:tr w14:paraId="6EA7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4" w:type="pct"/>
                  <w:vMerge w:val="continue"/>
                  <w:noWrap w:val="0"/>
                  <w:vAlign w:val="center"/>
                </w:tcPr>
                <w:p w14:paraId="708708C2">
                  <w:pPr>
                    <w:pStyle w:val="14"/>
                    <w:bidi w:val="0"/>
                    <w:rPr>
                      <w:rFonts w:hint="default"/>
                      <w:color w:val="auto"/>
                      <w:lang w:val="en-US" w:eastAsia="zh-CN"/>
                    </w:rPr>
                  </w:pPr>
                </w:p>
              </w:tc>
              <w:tc>
                <w:tcPr>
                  <w:tcW w:w="2647" w:type="dxa"/>
                  <w:noWrap w:val="0"/>
                  <w:vAlign w:val="center"/>
                </w:tcPr>
                <w:p w14:paraId="7E382812">
                  <w:pPr>
                    <w:pStyle w:val="14"/>
                    <w:bidi w:val="0"/>
                    <w:rPr>
                      <w:rFonts w:hint="default"/>
                      <w:color w:val="auto"/>
                      <w:lang w:val="en-US" w:eastAsia="zh-CN"/>
                    </w:rPr>
                  </w:pPr>
                  <w:r>
                    <w:rPr>
                      <w:rFonts w:hint="default"/>
                      <w:color w:val="auto"/>
                      <w:lang w:val="en-US" w:eastAsia="zh-CN"/>
                    </w:rPr>
                    <w:t>0.39</w:t>
                  </w:r>
                </w:p>
              </w:tc>
              <w:tc>
                <w:tcPr>
                  <w:tcW w:w="2648" w:type="dxa"/>
                  <w:noWrap w:val="0"/>
                  <w:vAlign w:val="bottom"/>
                </w:tcPr>
                <w:p w14:paraId="4D75A4F4">
                  <w:pPr>
                    <w:pStyle w:val="14"/>
                    <w:bidi w:val="0"/>
                    <w:rPr>
                      <w:rFonts w:hint="default"/>
                      <w:color w:val="auto"/>
                      <w:lang w:val="en-US" w:eastAsia="zh-CN"/>
                    </w:rPr>
                  </w:pPr>
                  <w:r>
                    <w:rPr>
                      <w:rFonts w:hint="default"/>
                      <w:color w:val="auto"/>
                      <w:lang w:eastAsia="zh-CN"/>
                    </w:rPr>
                    <w:t>1.5×10</w:t>
                  </w:r>
                  <w:r>
                    <w:rPr>
                      <w:rFonts w:hint="default"/>
                      <w:color w:val="auto"/>
                      <w:vertAlign w:val="superscript"/>
                      <w:lang w:eastAsia="zh-CN"/>
                    </w:rPr>
                    <w:t>-3</w:t>
                  </w:r>
                  <w:r>
                    <w:rPr>
                      <w:rFonts w:hint="default"/>
                      <w:color w:val="auto"/>
                      <w:lang w:val="en-US" w:eastAsia="zh-CN"/>
                    </w:rPr>
                    <w:t>L</w:t>
                  </w:r>
                </w:p>
              </w:tc>
            </w:tr>
            <w:tr w14:paraId="229A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4" w:type="pct"/>
                  <w:vMerge w:val="continue"/>
                  <w:noWrap w:val="0"/>
                  <w:vAlign w:val="center"/>
                </w:tcPr>
                <w:p w14:paraId="1CCE8BF4">
                  <w:pPr>
                    <w:pStyle w:val="14"/>
                    <w:bidi w:val="0"/>
                    <w:rPr>
                      <w:rFonts w:hint="default"/>
                      <w:color w:val="auto"/>
                      <w:lang w:val="en-US" w:eastAsia="zh-CN"/>
                    </w:rPr>
                  </w:pPr>
                </w:p>
              </w:tc>
              <w:tc>
                <w:tcPr>
                  <w:tcW w:w="2647" w:type="dxa"/>
                  <w:noWrap w:val="0"/>
                  <w:vAlign w:val="center"/>
                </w:tcPr>
                <w:p w14:paraId="3F2C5CBE">
                  <w:pPr>
                    <w:pStyle w:val="14"/>
                    <w:bidi w:val="0"/>
                    <w:rPr>
                      <w:rFonts w:hint="default"/>
                      <w:color w:val="auto"/>
                      <w:lang w:val="en-US" w:eastAsia="zh-CN"/>
                    </w:rPr>
                  </w:pPr>
                  <w:r>
                    <w:rPr>
                      <w:rFonts w:hint="default"/>
                      <w:color w:val="auto"/>
                      <w:lang w:val="en-US" w:eastAsia="zh-CN"/>
                    </w:rPr>
                    <w:t>0.44</w:t>
                  </w:r>
                </w:p>
              </w:tc>
              <w:tc>
                <w:tcPr>
                  <w:tcW w:w="2648" w:type="dxa"/>
                  <w:noWrap w:val="0"/>
                  <w:vAlign w:val="bottom"/>
                </w:tcPr>
                <w:p w14:paraId="5AB509F4">
                  <w:pPr>
                    <w:pStyle w:val="14"/>
                    <w:bidi w:val="0"/>
                    <w:rPr>
                      <w:rFonts w:hint="default"/>
                      <w:color w:val="auto"/>
                      <w:lang w:val="en-US" w:eastAsia="zh-CN"/>
                    </w:rPr>
                  </w:pPr>
                  <w:r>
                    <w:rPr>
                      <w:rFonts w:hint="default"/>
                      <w:color w:val="auto"/>
                      <w:lang w:eastAsia="zh-CN"/>
                    </w:rPr>
                    <w:t>1.5×10</w:t>
                  </w:r>
                  <w:r>
                    <w:rPr>
                      <w:rFonts w:hint="default"/>
                      <w:color w:val="auto"/>
                      <w:vertAlign w:val="superscript"/>
                      <w:lang w:eastAsia="zh-CN"/>
                    </w:rPr>
                    <w:t>-3</w:t>
                  </w:r>
                  <w:r>
                    <w:rPr>
                      <w:rFonts w:hint="default"/>
                      <w:color w:val="auto"/>
                      <w:lang w:val="en-US" w:eastAsia="zh-CN"/>
                    </w:rPr>
                    <w:t>L</w:t>
                  </w:r>
                </w:p>
              </w:tc>
            </w:tr>
            <w:tr w14:paraId="2712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4" w:type="pct"/>
                  <w:vMerge w:val="continue"/>
                  <w:noWrap w:val="0"/>
                  <w:vAlign w:val="center"/>
                </w:tcPr>
                <w:p w14:paraId="164AA42F">
                  <w:pPr>
                    <w:pStyle w:val="14"/>
                    <w:bidi w:val="0"/>
                    <w:rPr>
                      <w:rFonts w:hint="default"/>
                      <w:color w:val="auto"/>
                      <w:lang w:val="en-US" w:eastAsia="zh-CN"/>
                    </w:rPr>
                  </w:pPr>
                </w:p>
              </w:tc>
              <w:tc>
                <w:tcPr>
                  <w:tcW w:w="2647" w:type="dxa"/>
                  <w:noWrap w:val="0"/>
                  <w:vAlign w:val="center"/>
                </w:tcPr>
                <w:p w14:paraId="0C7ADECC">
                  <w:pPr>
                    <w:pStyle w:val="14"/>
                    <w:bidi w:val="0"/>
                    <w:rPr>
                      <w:rFonts w:hint="default"/>
                      <w:color w:val="auto"/>
                      <w:lang w:val="en-US" w:eastAsia="zh-CN"/>
                    </w:rPr>
                  </w:pPr>
                  <w:r>
                    <w:rPr>
                      <w:rFonts w:hint="default"/>
                      <w:color w:val="auto"/>
                      <w:lang w:val="en-US" w:eastAsia="zh-CN"/>
                    </w:rPr>
                    <w:t>0.42</w:t>
                  </w:r>
                </w:p>
              </w:tc>
              <w:tc>
                <w:tcPr>
                  <w:tcW w:w="2648" w:type="dxa"/>
                  <w:noWrap w:val="0"/>
                  <w:vAlign w:val="bottom"/>
                </w:tcPr>
                <w:p w14:paraId="0169A01D">
                  <w:pPr>
                    <w:pStyle w:val="14"/>
                    <w:bidi w:val="0"/>
                    <w:rPr>
                      <w:rFonts w:hint="default"/>
                      <w:color w:val="auto"/>
                      <w:lang w:val="en-US" w:eastAsia="zh-CN"/>
                    </w:rPr>
                  </w:pPr>
                  <w:r>
                    <w:rPr>
                      <w:rFonts w:hint="default"/>
                      <w:color w:val="auto"/>
                      <w:lang w:eastAsia="zh-CN"/>
                    </w:rPr>
                    <w:t>1.5×10</w:t>
                  </w:r>
                  <w:r>
                    <w:rPr>
                      <w:rFonts w:hint="default"/>
                      <w:color w:val="auto"/>
                      <w:vertAlign w:val="superscript"/>
                      <w:lang w:eastAsia="zh-CN"/>
                    </w:rPr>
                    <w:t>-3</w:t>
                  </w:r>
                  <w:r>
                    <w:rPr>
                      <w:rFonts w:hint="default"/>
                      <w:color w:val="auto"/>
                      <w:lang w:val="en-US" w:eastAsia="zh-CN"/>
                    </w:rPr>
                    <w:t>L</w:t>
                  </w:r>
                </w:p>
              </w:tc>
            </w:tr>
            <w:tr w14:paraId="7025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4" w:type="pct"/>
                  <w:noWrap w:val="0"/>
                  <w:vAlign w:val="center"/>
                </w:tcPr>
                <w:p w14:paraId="11E706DC">
                  <w:pPr>
                    <w:pStyle w:val="14"/>
                    <w:bidi w:val="0"/>
                    <w:rPr>
                      <w:rFonts w:hint="default"/>
                      <w:color w:val="auto"/>
                      <w:lang w:val="en-US" w:eastAsia="zh-CN"/>
                    </w:rPr>
                  </w:pPr>
                  <w:r>
                    <w:rPr>
                      <w:rFonts w:hint="default"/>
                      <w:color w:val="auto"/>
                      <w:lang w:val="en-US" w:eastAsia="zh-CN"/>
                    </w:rPr>
                    <w:t>评价标准</w:t>
                  </w:r>
                </w:p>
              </w:tc>
              <w:tc>
                <w:tcPr>
                  <w:tcW w:w="1667" w:type="pct"/>
                  <w:noWrap w:val="0"/>
                  <w:vAlign w:val="center"/>
                </w:tcPr>
                <w:p w14:paraId="292B2687">
                  <w:pPr>
                    <w:pStyle w:val="14"/>
                    <w:bidi w:val="0"/>
                    <w:rPr>
                      <w:rFonts w:hint="default"/>
                      <w:color w:val="auto"/>
                      <w:lang w:val="en-US" w:eastAsia="zh-CN"/>
                    </w:rPr>
                  </w:pPr>
                  <w:r>
                    <w:rPr>
                      <w:rFonts w:hint="default"/>
                      <w:color w:val="auto"/>
                      <w:lang w:val="en-US" w:eastAsia="zh-CN"/>
                    </w:rPr>
                    <w:t>2.0</w:t>
                  </w:r>
                </w:p>
              </w:tc>
              <w:tc>
                <w:tcPr>
                  <w:tcW w:w="1668" w:type="pct"/>
                  <w:noWrap w:val="0"/>
                  <w:vAlign w:val="center"/>
                </w:tcPr>
                <w:p w14:paraId="1B7995D1">
                  <w:pPr>
                    <w:pStyle w:val="14"/>
                    <w:bidi w:val="0"/>
                    <w:rPr>
                      <w:rFonts w:hint="default"/>
                      <w:color w:val="auto"/>
                      <w:lang w:val="en-US" w:eastAsia="zh-CN"/>
                    </w:rPr>
                  </w:pPr>
                  <w:r>
                    <w:rPr>
                      <w:rFonts w:hint="default"/>
                      <w:color w:val="auto"/>
                      <w:lang w:val="en-US" w:eastAsia="zh-CN"/>
                    </w:rPr>
                    <w:t>0.2</w:t>
                  </w:r>
                </w:p>
              </w:tc>
            </w:tr>
            <w:tr w14:paraId="458D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4" w:type="pct"/>
                  <w:noWrap w:val="0"/>
                  <w:vAlign w:val="center"/>
                </w:tcPr>
                <w:p w14:paraId="0A84BC20">
                  <w:pPr>
                    <w:pStyle w:val="14"/>
                    <w:bidi w:val="0"/>
                    <w:rPr>
                      <w:rFonts w:hint="default"/>
                      <w:color w:val="auto"/>
                    </w:rPr>
                  </w:pPr>
                  <w:r>
                    <w:rPr>
                      <w:rFonts w:hint="default"/>
                      <w:color w:val="auto"/>
                    </w:rPr>
                    <w:t>评价结果</w:t>
                  </w:r>
                </w:p>
              </w:tc>
              <w:tc>
                <w:tcPr>
                  <w:tcW w:w="1667" w:type="pct"/>
                  <w:noWrap w:val="0"/>
                  <w:vAlign w:val="center"/>
                </w:tcPr>
                <w:p w14:paraId="5890E002">
                  <w:pPr>
                    <w:pStyle w:val="14"/>
                    <w:bidi w:val="0"/>
                    <w:rPr>
                      <w:rFonts w:hint="default"/>
                      <w:color w:val="auto"/>
                      <w:lang w:val="en-US" w:eastAsia="zh-CN"/>
                    </w:rPr>
                  </w:pPr>
                  <w:r>
                    <w:rPr>
                      <w:rFonts w:hint="default"/>
                      <w:color w:val="auto"/>
                      <w:lang w:val="en-US" w:eastAsia="zh-CN"/>
                    </w:rPr>
                    <w:t>达标</w:t>
                  </w:r>
                </w:p>
              </w:tc>
              <w:tc>
                <w:tcPr>
                  <w:tcW w:w="1668" w:type="pct"/>
                  <w:noWrap w:val="0"/>
                  <w:vAlign w:val="center"/>
                </w:tcPr>
                <w:p w14:paraId="1D39D05B">
                  <w:pPr>
                    <w:pStyle w:val="14"/>
                    <w:bidi w:val="0"/>
                    <w:rPr>
                      <w:rFonts w:hint="default"/>
                      <w:color w:val="auto"/>
                      <w:lang w:val="en-US" w:eastAsia="zh-CN"/>
                    </w:rPr>
                  </w:pPr>
                  <w:r>
                    <w:rPr>
                      <w:rFonts w:hint="default"/>
                      <w:color w:val="auto"/>
                      <w:lang w:val="en-US" w:eastAsia="zh-CN"/>
                    </w:rPr>
                    <w:t>达标</w:t>
                  </w:r>
                </w:p>
              </w:tc>
            </w:tr>
          </w:tbl>
          <w:p w14:paraId="5B060434">
            <w:pPr>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rPr>
              <w:t>从</w:t>
            </w:r>
            <w:r>
              <w:rPr>
                <w:rFonts w:hint="default" w:ascii="Times New Roman" w:hAnsi="Times New Roman" w:eastAsia="宋体" w:cs="Times New Roman"/>
                <w:color w:val="auto"/>
                <w:sz w:val="24"/>
                <w:highlight w:val="none"/>
                <w:lang w:val="en-US" w:eastAsia="zh-CN"/>
              </w:rPr>
              <w:t>上表</w:t>
            </w:r>
            <w:r>
              <w:rPr>
                <w:rFonts w:hint="default" w:ascii="Times New Roman" w:hAnsi="Times New Roman" w:eastAsia="宋体" w:cs="Times New Roman"/>
                <w:color w:val="auto"/>
                <w:sz w:val="24"/>
                <w:highlight w:val="none"/>
              </w:rPr>
              <w:t>可以看出，TSP</w:t>
            </w:r>
            <w:r>
              <w:rPr>
                <w:rFonts w:hint="default" w:ascii="Times New Roman" w:hAnsi="Times New Roman" w:eastAsia="宋体" w:cs="Times New Roman"/>
                <w:color w:val="auto"/>
                <w:sz w:val="24"/>
                <w:highlight w:val="none"/>
                <w:lang w:val="en-US" w:eastAsia="zh-CN"/>
              </w:rPr>
              <w:t>满足</w:t>
            </w:r>
            <w:r>
              <w:rPr>
                <w:rFonts w:hint="default" w:ascii="Times New Roman" w:hAnsi="Times New Roman" w:eastAsia="宋体" w:cs="Times New Roman"/>
                <w:color w:val="auto"/>
                <w:sz w:val="24"/>
                <w:highlight w:val="none"/>
              </w:rPr>
              <w:t>GB3095-2012二级标准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非甲烷总烃满足《大气污染物综合排放标准详解》中限值要求，二甲苯满足HJ2.2-2018</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附录D 其他污染物空气质量浓度参考限值</w:t>
            </w:r>
            <w:r>
              <w:rPr>
                <w:rFonts w:hint="eastAsia" w:cs="Times New Roman"/>
                <w:color w:val="auto"/>
                <w:sz w:val="24"/>
                <w:highlight w:val="none"/>
                <w:lang w:val="en-US" w:eastAsia="zh-CN"/>
              </w:rPr>
              <w:t>”</w:t>
            </w:r>
            <w:r>
              <w:rPr>
                <w:rFonts w:hint="default" w:ascii="Times New Roman" w:hAnsi="Times New Roman" w:cs="Times New Roman"/>
                <w:color w:val="auto"/>
                <w:sz w:val="24"/>
                <w:lang w:eastAsia="zh-CN"/>
              </w:rPr>
              <w:t>。</w:t>
            </w:r>
          </w:p>
          <w:p w14:paraId="72424CDF">
            <w:pPr>
              <w:bidi w:val="0"/>
              <w:rPr>
                <w:rFonts w:hint="default" w:ascii="Times New Roman" w:hAnsi="Times New Roman" w:cs="Times New Roman"/>
                <w:b/>
                <w:bCs/>
                <w:color w:val="auto"/>
                <w:lang w:val="zh-CN"/>
              </w:rPr>
            </w:pPr>
            <w:r>
              <w:rPr>
                <w:rFonts w:hint="default" w:ascii="Times New Roman" w:hAnsi="Times New Roman" w:cs="Times New Roman"/>
                <w:b/>
                <w:bCs/>
                <w:color w:val="auto"/>
              </w:rPr>
              <w:t>2、地表水环境质量现状</w:t>
            </w:r>
          </w:p>
          <w:p w14:paraId="0F8C2DF6">
            <w:pPr>
              <w:bidi w:val="0"/>
              <w:rPr>
                <w:rFonts w:hint="default" w:ascii="Times New Roman" w:hAnsi="Times New Roman" w:cs="Times New Roman"/>
                <w:color w:val="auto"/>
                <w:lang w:eastAsia="zh-CN"/>
              </w:rPr>
            </w:pPr>
            <w:r>
              <w:rPr>
                <w:rFonts w:hint="default" w:ascii="Times New Roman" w:hAnsi="Times New Roman" w:cs="Times New Roman"/>
                <w:color w:val="auto"/>
              </w:rPr>
              <w:t>项目周围的地表水主要为</w:t>
            </w:r>
            <w:r>
              <w:rPr>
                <w:rFonts w:hint="default" w:ascii="Times New Roman" w:hAnsi="Times New Roman" w:cs="Times New Roman"/>
                <w:color w:val="auto"/>
                <w:lang w:val="en-US" w:eastAsia="zh-CN"/>
              </w:rPr>
              <w:t>北侧100m的东大沟，汇入西南方向东大</w:t>
            </w:r>
            <w:r>
              <w:rPr>
                <w:rFonts w:hint="eastAsia" w:cs="Times New Roman"/>
                <w:color w:val="auto"/>
                <w:lang w:val="en-US" w:eastAsia="zh-CN"/>
              </w:rPr>
              <w:t>河</w:t>
            </w:r>
            <w:r>
              <w:rPr>
                <w:rFonts w:hint="default" w:ascii="Times New Roman" w:hAnsi="Times New Roman" w:cs="Times New Roman"/>
                <w:color w:val="auto"/>
                <w:lang w:val="en-US" w:eastAsia="zh-CN"/>
              </w:rPr>
              <w:t>后进入抚仙湖</w:t>
            </w:r>
            <w:r>
              <w:rPr>
                <w:rFonts w:hint="default" w:ascii="Times New Roman" w:hAnsi="Times New Roman" w:cs="Times New Roman"/>
                <w:color w:val="auto"/>
              </w:rPr>
              <w:t>，</w:t>
            </w:r>
            <w:r>
              <w:rPr>
                <w:rFonts w:hint="default" w:ascii="Times New Roman" w:hAnsi="Times New Roman" w:cs="Times New Roman"/>
                <w:color w:val="auto"/>
                <w:lang w:val="zh-CN"/>
              </w:rPr>
              <w:t>根据《云南省水功能区划》（2014年版），</w:t>
            </w:r>
            <w:r>
              <w:rPr>
                <w:rFonts w:hint="default" w:ascii="Times New Roman" w:hAnsi="Times New Roman" w:cs="Times New Roman"/>
                <w:color w:val="auto"/>
                <w:lang w:val="en-US" w:eastAsia="zh-CN"/>
              </w:rPr>
              <w:t>抚仙湖</w:t>
            </w:r>
            <w:r>
              <w:rPr>
                <w:rFonts w:hint="default" w:ascii="Times New Roman" w:hAnsi="Times New Roman" w:cs="Times New Roman"/>
                <w:color w:val="auto"/>
              </w:rPr>
              <w:t>水环境执行《地表水环境质量标准》</w:t>
            </w:r>
            <w:r>
              <w:rPr>
                <w:rFonts w:hint="default" w:ascii="Times New Roman" w:hAnsi="Times New Roman" w:cs="Times New Roman"/>
                <w:color w:val="auto"/>
                <w:lang w:eastAsia="zh-CN"/>
              </w:rPr>
              <w:t>（</w:t>
            </w:r>
            <w:r>
              <w:rPr>
                <w:rFonts w:hint="default" w:ascii="Times New Roman" w:hAnsi="Times New Roman" w:cs="Times New Roman"/>
                <w:color w:val="auto"/>
              </w:rPr>
              <w:t>GB3838-2002）中</w:t>
            </w:r>
            <w:r>
              <w:rPr>
                <w:rFonts w:hint="default" w:ascii="Times New Roman" w:hAnsi="Times New Roman" w:eastAsia="微软雅黑" w:cs="Times New Roman"/>
                <w:color w:val="auto"/>
              </w:rPr>
              <w:t>Ⅰ</w:t>
            </w:r>
            <w:r>
              <w:rPr>
                <w:rFonts w:hint="default" w:ascii="Times New Roman" w:hAnsi="Times New Roman" w:cs="Times New Roman"/>
                <w:color w:val="auto"/>
              </w:rPr>
              <w:t>类水标准</w:t>
            </w:r>
            <w:r>
              <w:rPr>
                <w:rFonts w:hint="default" w:ascii="Times New Roman" w:hAnsi="Times New Roman" w:cs="Times New Roman"/>
                <w:color w:val="auto"/>
                <w:lang w:eastAsia="zh-CN"/>
              </w:rPr>
              <w:t>。</w:t>
            </w:r>
          </w:p>
          <w:p w14:paraId="08B5FD54">
            <w:pPr>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根据澄江市人民政府网站公开的《澄江市2024年9月抚仙湖入湖河道水质状况》显示</w:t>
            </w:r>
            <w:r>
              <w:rPr>
                <w:rFonts w:hint="default" w:ascii="Times New Roman" w:hAnsi="Times New Roman" w:cs="Times New Roman"/>
                <w:color w:val="auto"/>
              </w:rPr>
              <w:t>，</w:t>
            </w:r>
            <w:r>
              <w:rPr>
                <w:rFonts w:hint="default" w:ascii="Times New Roman" w:hAnsi="Times New Roman" w:cs="Times New Roman"/>
                <w:color w:val="auto"/>
                <w:lang w:val="en-US" w:eastAsia="zh-CN"/>
              </w:rPr>
              <w:t>东大河水质总体评价为</w:t>
            </w:r>
            <w:r>
              <w:rPr>
                <w:rFonts w:hint="default" w:ascii="Times New Roman" w:hAnsi="Times New Roman" w:eastAsia="微软雅黑" w:cs="Times New Roman"/>
                <w:color w:val="auto"/>
                <w:lang w:val="en-US" w:eastAsia="zh-CN"/>
              </w:rPr>
              <w:t>Ⅲ</w:t>
            </w:r>
            <w:r>
              <w:rPr>
                <w:rFonts w:hint="default" w:ascii="Times New Roman" w:hAnsi="Times New Roman" w:cs="Times New Roman"/>
                <w:color w:val="auto"/>
                <w:lang w:val="en-US" w:eastAsia="zh-CN"/>
              </w:rPr>
              <w:t>类。</w:t>
            </w:r>
          </w:p>
          <w:p w14:paraId="0C4F602C">
            <w:pPr>
              <w:bidi w:val="0"/>
              <w:rPr>
                <w:rFonts w:hint="default" w:ascii="Times New Roman" w:hAnsi="Times New Roman" w:cs="Times New Roman"/>
                <w:b/>
                <w:bCs/>
                <w:color w:val="auto"/>
              </w:rPr>
            </w:pPr>
            <w:r>
              <w:rPr>
                <w:rFonts w:hint="default" w:ascii="Times New Roman" w:hAnsi="Times New Roman" w:cs="Times New Roman"/>
                <w:b/>
                <w:bCs/>
                <w:color w:val="auto"/>
              </w:rPr>
              <w:t>3、声环境质量现状</w:t>
            </w:r>
          </w:p>
          <w:p w14:paraId="25220515">
            <w:pPr>
              <w:bidi w:val="0"/>
              <w:rPr>
                <w:rFonts w:hint="default" w:ascii="Times New Roman" w:hAnsi="Times New Roman" w:cs="Times New Roman"/>
                <w:color w:val="auto"/>
              </w:rPr>
            </w:pPr>
            <w:r>
              <w:rPr>
                <w:rFonts w:hint="eastAsia" w:cs="Times New Roman"/>
                <w:color w:val="auto"/>
                <w:lang w:val="en-US" w:eastAsia="zh-CN"/>
              </w:rPr>
              <w:t>根据澄江市声环境功能区划，项目区域未在主城区声环境功能区划范围内。区域目前以工业用地及仓储物流功能为主，参照执行</w:t>
            </w:r>
            <w:r>
              <w:rPr>
                <w:rFonts w:hint="default" w:ascii="Times New Roman" w:hAnsi="Times New Roman" w:cs="Times New Roman"/>
                <w:color w:val="auto"/>
              </w:rPr>
              <w:t>《声环境质量标准》</w:t>
            </w:r>
            <w:r>
              <w:rPr>
                <w:rFonts w:hint="default" w:ascii="Times New Roman" w:hAnsi="Times New Roman" w:cs="Times New Roman"/>
                <w:color w:val="auto"/>
                <w:lang w:eastAsia="zh-CN"/>
              </w:rPr>
              <w:t>（</w:t>
            </w:r>
            <w:r>
              <w:rPr>
                <w:rFonts w:hint="default" w:ascii="Times New Roman" w:hAnsi="Times New Roman" w:cs="Times New Roman"/>
                <w:color w:val="auto"/>
              </w:rPr>
              <w:t>GB3096-2008）</w:t>
            </w:r>
            <w:r>
              <w:rPr>
                <w:rFonts w:hint="eastAsia" w:cs="Times New Roman"/>
                <w:color w:val="auto"/>
                <w:lang w:val="en-US" w:eastAsia="zh-CN"/>
              </w:rPr>
              <w:t>3</w:t>
            </w:r>
            <w:r>
              <w:rPr>
                <w:rFonts w:hint="default" w:ascii="Times New Roman" w:hAnsi="Times New Roman" w:cs="Times New Roman"/>
                <w:color w:val="auto"/>
              </w:rPr>
              <w:t>类标准进行控制</w:t>
            </w:r>
            <w:r>
              <w:rPr>
                <w:rFonts w:hint="default" w:ascii="Times New Roman" w:hAnsi="Times New Roman" w:cs="Times New Roman"/>
                <w:color w:val="auto"/>
                <w:lang w:eastAsia="zh-CN"/>
              </w:rPr>
              <w:t>。根据现场勘查，项目周边50m范围内不存在声环境保护目标，可不开展声环境质量现状监测。</w:t>
            </w:r>
            <w:r>
              <w:rPr>
                <w:rFonts w:hint="default" w:ascii="Times New Roman" w:hAnsi="Times New Roman" w:cs="Times New Roman"/>
                <w:color w:val="auto"/>
                <w:lang w:val="en-US" w:eastAsia="zh-CN"/>
              </w:rPr>
              <w:t>项目区周边多为闲置厂房及自然山体，无较大噪声源，声环境质量</w:t>
            </w:r>
            <w:r>
              <w:rPr>
                <w:rFonts w:hint="eastAsia" w:cs="Times New Roman"/>
                <w:color w:val="auto"/>
                <w:lang w:val="en-US" w:eastAsia="zh-CN"/>
              </w:rPr>
              <w:t>较好</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rPr>
              <w:t>项目区域声环境质量能满足</w:t>
            </w:r>
            <w:r>
              <w:rPr>
                <w:rFonts w:hint="eastAsia" w:cs="Times New Roman"/>
                <w:color w:val="auto"/>
                <w:lang w:val="en-US" w:eastAsia="zh-CN"/>
              </w:rPr>
              <w:t>3</w:t>
            </w:r>
            <w:r>
              <w:rPr>
                <w:rFonts w:hint="default" w:ascii="Times New Roman" w:hAnsi="Times New Roman" w:cs="Times New Roman"/>
                <w:color w:val="auto"/>
              </w:rPr>
              <w:t>类标准。</w:t>
            </w:r>
          </w:p>
          <w:p w14:paraId="50D37B70">
            <w:pPr>
              <w:bidi w:val="0"/>
              <w:rPr>
                <w:rFonts w:hint="default" w:ascii="Times New Roman" w:hAnsi="Times New Roman" w:cs="Times New Roman"/>
                <w:b/>
                <w:bCs/>
                <w:color w:val="auto"/>
                <w:lang w:val="en-US" w:eastAsia="zh-CN"/>
              </w:rPr>
            </w:pPr>
          </w:p>
          <w:p w14:paraId="063F2F31">
            <w:pPr>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4、</w:t>
            </w:r>
            <w:r>
              <w:rPr>
                <w:rFonts w:hint="default" w:ascii="Times New Roman" w:hAnsi="Times New Roman" w:cs="Times New Roman"/>
                <w:b/>
                <w:bCs/>
                <w:color w:val="auto"/>
              </w:rPr>
              <w:t>生态环境现状</w:t>
            </w:r>
          </w:p>
          <w:p w14:paraId="775E58C0">
            <w:pPr>
              <w:bidi w:val="0"/>
              <w:rPr>
                <w:rFonts w:hint="default" w:ascii="Times New Roman" w:hAnsi="Times New Roman" w:cs="Times New Roman"/>
                <w:color w:val="auto"/>
                <w:lang w:val="zh-CN"/>
              </w:rPr>
            </w:pPr>
            <w:r>
              <w:rPr>
                <w:rFonts w:hint="default" w:ascii="Times New Roman" w:hAnsi="Times New Roman" w:cs="Times New Roman"/>
                <w:color w:val="auto"/>
                <w:lang w:val="en-US" w:eastAsia="zh-CN"/>
              </w:rPr>
              <w:t>项目区现状主要为闲置厂房及空地，项目周边多为自然植被，</w:t>
            </w:r>
            <w:r>
              <w:rPr>
                <w:rFonts w:hint="default" w:ascii="Times New Roman" w:hAnsi="Times New Roman" w:cs="Times New Roman"/>
                <w:color w:val="auto"/>
                <w:lang w:eastAsia="zh-CN"/>
              </w:rPr>
              <w:t>区域内的</w:t>
            </w:r>
            <w:r>
              <w:rPr>
                <w:rFonts w:hint="default" w:ascii="Times New Roman" w:hAnsi="Times New Roman" w:cs="Times New Roman"/>
                <w:color w:val="auto"/>
              </w:rPr>
              <w:t>人类活动</w:t>
            </w:r>
            <w:r>
              <w:rPr>
                <w:rFonts w:hint="default" w:ascii="Times New Roman" w:hAnsi="Times New Roman" w:cs="Times New Roman"/>
                <w:color w:val="auto"/>
                <w:lang w:val="en-US" w:eastAsia="zh-CN"/>
              </w:rPr>
              <w:t>较</w:t>
            </w:r>
            <w:r>
              <w:rPr>
                <w:rFonts w:hint="default" w:ascii="Times New Roman" w:hAnsi="Times New Roman" w:cs="Times New Roman"/>
                <w:color w:val="auto"/>
              </w:rPr>
              <w:t>频繁，</w:t>
            </w:r>
            <w:r>
              <w:rPr>
                <w:rFonts w:hint="default" w:ascii="Times New Roman" w:hAnsi="Times New Roman" w:cs="Times New Roman"/>
                <w:color w:val="auto"/>
                <w:lang w:eastAsia="zh-CN"/>
              </w:rPr>
              <w:t>动物</w:t>
            </w:r>
            <w:r>
              <w:rPr>
                <w:rFonts w:hint="default" w:ascii="Times New Roman" w:hAnsi="Times New Roman" w:cs="Times New Roman"/>
                <w:color w:val="auto"/>
              </w:rPr>
              <w:t>以小型哺乳动物、常见鸟类为主，小型哺乳动物主要为啮齿类动物，如松鼠、家鼠、草兔等，鸟类主要有麻雀、乌鸦、家燕、斑鸠等</w:t>
            </w:r>
            <w:r>
              <w:rPr>
                <w:rFonts w:hint="default" w:ascii="Times New Roman" w:hAnsi="Times New Roman" w:cs="Times New Roman"/>
                <w:color w:val="auto"/>
                <w:lang w:val="zh-CN"/>
              </w:rPr>
              <w:t>。调查范围内未涉及国家保护的珍贵野生动、植物。</w:t>
            </w:r>
          </w:p>
          <w:p w14:paraId="0D5906E4">
            <w:pPr>
              <w:bidi w:val="0"/>
              <w:rPr>
                <w:rFonts w:hint="default" w:ascii="Times New Roman" w:hAnsi="Times New Roman" w:eastAsia="宋体" w:cs="Times New Roman"/>
                <w:b/>
                <w:bCs/>
                <w:color w:val="auto"/>
                <w:lang w:val="en-US" w:eastAsia="zh-CN"/>
              </w:rPr>
            </w:pPr>
            <w:r>
              <w:rPr>
                <w:rFonts w:hint="eastAsia" w:cs="Times New Roman"/>
                <w:b/>
                <w:bCs/>
                <w:color w:val="auto"/>
                <w:lang w:val="en-US" w:eastAsia="zh-CN"/>
              </w:rPr>
              <w:t>5、土壤及地下水现状</w:t>
            </w:r>
          </w:p>
          <w:p w14:paraId="3D2201FD">
            <w:pPr>
              <w:bidi w:val="0"/>
              <w:rPr>
                <w:rFonts w:hint="eastAsia" w:ascii="Times New Roman" w:hAnsi="Times New Roman" w:eastAsia="宋体" w:cs="Times New Roman"/>
                <w:color w:val="auto"/>
                <w:vertAlign w:val="baseline"/>
                <w:lang w:val="en-US" w:eastAsia="zh-CN"/>
              </w:rPr>
            </w:pPr>
            <w:r>
              <w:rPr>
                <w:rFonts w:hint="eastAsia" w:cs="Times New Roman"/>
                <w:color w:val="auto"/>
                <w:lang w:val="en-US" w:eastAsia="zh-CN"/>
              </w:rPr>
              <w:t>根据《建设项目环境影响报告表编制技术指南试行（污染影响类）（试行）》，地下水及土壤原则上不开展环境质量现状调查。本项目所在区域无集中式饮用水水源准保护区、分散式饮用水水源地等地下水环境敏感区。项目喷漆房、危废间、厂区运输道路等均设置防渗措施，在按要求进行防渗后可阻断地下水环境污染途径，杜绝地下水污染风险，不会对土壤及地下水环境造成污染影响，因此，不对项目地下水、土壤环境开展现状调查。</w:t>
            </w:r>
          </w:p>
        </w:tc>
      </w:tr>
      <w:tr w14:paraId="4241B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57FACE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环境保护目标</w:t>
            </w:r>
          </w:p>
        </w:tc>
        <w:tc>
          <w:tcPr>
            <w:tcW w:w="7676" w:type="dxa"/>
            <w:vAlign w:val="center"/>
          </w:tcPr>
          <w:p w14:paraId="4CAA96D8">
            <w:pPr>
              <w:bidi w:val="0"/>
              <w:rPr>
                <w:rFonts w:hint="default" w:ascii="Times New Roman" w:hAnsi="Times New Roman" w:cs="Times New Roman"/>
                <w:color w:val="auto"/>
              </w:rPr>
            </w:pPr>
            <w:bookmarkStart w:id="4" w:name="_Toc3558545"/>
            <w:r>
              <w:rPr>
                <w:rFonts w:hint="default" w:ascii="Times New Roman" w:hAnsi="Times New Roman" w:cs="Times New Roman"/>
                <w:color w:val="auto"/>
              </w:rPr>
              <w:t>根据《</w:t>
            </w:r>
            <w:r>
              <w:rPr>
                <w:rFonts w:hint="default" w:ascii="Times New Roman" w:hAnsi="Times New Roman" w:cs="Times New Roman"/>
                <w:color w:val="auto"/>
                <w:lang w:eastAsia="zh-CN"/>
              </w:rPr>
              <w:t>建</w:t>
            </w:r>
            <w:r>
              <w:rPr>
                <w:rFonts w:hint="default" w:ascii="Times New Roman" w:hAnsi="Times New Roman" w:cs="Times New Roman"/>
                <w:color w:val="auto"/>
              </w:rPr>
              <w:t>设项目环境影响报告表编制技术指南</w:t>
            </w:r>
            <w:r>
              <w:rPr>
                <w:rFonts w:hint="default" w:ascii="Times New Roman" w:hAnsi="Times New Roman" w:cs="Times New Roman"/>
                <w:color w:val="auto"/>
                <w:lang w:eastAsia="zh-CN"/>
              </w:rPr>
              <w:t>（</w:t>
            </w:r>
            <w:r>
              <w:rPr>
                <w:rFonts w:hint="default" w:ascii="Times New Roman" w:hAnsi="Times New Roman" w:cs="Times New Roman"/>
                <w:color w:val="auto"/>
              </w:rPr>
              <w:t>污染影响类）</w:t>
            </w:r>
            <w:r>
              <w:rPr>
                <w:rFonts w:hint="default" w:ascii="Times New Roman" w:hAnsi="Times New Roman" w:cs="Times New Roman"/>
                <w:color w:val="auto"/>
                <w:lang w:eastAsia="zh-CN"/>
              </w:rPr>
              <w:t>（</w:t>
            </w:r>
            <w:r>
              <w:rPr>
                <w:rFonts w:hint="default" w:ascii="Times New Roman" w:hAnsi="Times New Roman" w:cs="Times New Roman"/>
                <w:color w:val="auto"/>
              </w:rPr>
              <w:t>试行）》</w:t>
            </w:r>
            <w:r>
              <w:rPr>
                <w:rFonts w:hint="default" w:ascii="Times New Roman" w:hAnsi="Times New Roman" w:cs="Times New Roman"/>
                <w:color w:val="auto"/>
                <w:lang w:eastAsia="zh-CN"/>
              </w:rPr>
              <w:t>，本</w:t>
            </w:r>
            <w:r>
              <w:rPr>
                <w:rFonts w:hint="default" w:ascii="Times New Roman" w:hAnsi="Times New Roman" w:cs="Times New Roman"/>
                <w:color w:val="auto"/>
              </w:rPr>
              <w:t>项目环境保护目标</w:t>
            </w:r>
            <w:r>
              <w:rPr>
                <w:rFonts w:hint="default" w:ascii="Times New Roman" w:hAnsi="Times New Roman" w:cs="Times New Roman"/>
                <w:color w:val="auto"/>
                <w:lang w:val="en-US" w:eastAsia="zh-CN"/>
              </w:rPr>
              <w:t>识别方式</w:t>
            </w:r>
            <w:r>
              <w:rPr>
                <w:rFonts w:hint="default" w:ascii="Times New Roman" w:hAnsi="Times New Roman" w:cs="Times New Roman"/>
                <w:color w:val="auto"/>
                <w:lang w:eastAsia="zh-CN"/>
              </w:rPr>
              <w:t>如下</w:t>
            </w:r>
            <w:r>
              <w:rPr>
                <w:rFonts w:hint="default" w:ascii="Times New Roman" w:hAnsi="Times New Roman" w:cs="Times New Roman"/>
                <w:color w:val="auto"/>
              </w:rPr>
              <w:t>：</w:t>
            </w:r>
          </w:p>
          <w:p w14:paraId="2DCEB0CE">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1、大气环境。明确厂界外500米范围内的自然保护区、风景名胜区、居住区、文化区和农村地区中人群较集中的区域等保护目标的名称及与建设项目厂界位置关系。</w:t>
            </w:r>
          </w:p>
          <w:p w14:paraId="23F6BA3F">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2、声环境。明确厂界外50米范围内声环境保护目标。</w:t>
            </w:r>
          </w:p>
          <w:p w14:paraId="272E197C">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3、地下水环境。明确厂界外500米范围内的地下水集中式饮用水水源和热水、矿泉水、温泉等特殊地下水资源。</w:t>
            </w:r>
          </w:p>
          <w:p w14:paraId="1508D5F5">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4、生态环境。产业园区外建设项目新增用地的，应明确新增用地范围内生态环境保护目标。</w:t>
            </w:r>
          </w:p>
          <w:p w14:paraId="631C09A0">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5、地表水。项目区最近的主要地表水体为项目北侧100m的东大沟，经东大河汇入抚仙湖。</w:t>
            </w:r>
          </w:p>
          <w:p w14:paraId="24E9D792">
            <w:pPr>
              <w:bidi w:val="0"/>
              <w:rPr>
                <w:rFonts w:hint="default" w:ascii="Times New Roman" w:hAnsi="Times New Roman" w:cs="Times New Roman"/>
                <w:color w:val="auto"/>
              </w:rPr>
            </w:pPr>
            <w:r>
              <w:rPr>
                <w:rFonts w:hint="default" w:ascii="Times New Roman" w:hAnsi="Times New Roman" w:cs="Times New Roman"/>
                <w:color w:val="auto"/>
                <w:lang w:val="en-US" w:eastAsia="zh-CN"/>
              </w:rPr>
              <w:t>根据现场勘查，项目区周边500米范围内无自然保护区、风景名胜区、文化区，无地下水集中式饮用水水源和热水、矿泉水、温泉等特殊地下水资源。项目涉及的环境保护目标主要为大气和地表水，详见下表</w:t>
            </w:r>
            <w:r>
              <w:rPr>
                <w:rFonts w:hint="default" w:ascii="Times New Roman" w:hAnsi="Times New Roman" w:cs="Times New Roman"/>
                <w:color w:val="auto"/>
              </w:rPr>
              <w:t>：</w:t>
            </w:r>
          </w:p>
          <w:p w14:paraId="7FB453A7">
            <w:pPr>
              <w:bidi w:val="0"/>
              <w:jc w:val="center"/>
              <w:rPr>
                <w:rFonts w:hint="default" w:ascii="Times New Roman" w:hAnsi="Times New Roman" w:cs="Times New Roman"/>
                <w:b/>
                <w:bCs/>
                <w:color w:val="auto"/>
              </w:rPr>
            </w:pPr>
          </w:p>
          <w:p w14:paraId="1B57AD05">
            <w:pPr>
              <w:bidi w:val="0"/>
              <w:jc w:val="center"/>
              <w:rPr>
                <w:rFonts w:hint="default" w:ascii="Times New Roman" w:hAnsi="Times New Roman" w:cs="Times New Roman"/>
                <w:b/>
                <w:bCs/>
                <w:color w:val="auto"/>
              </w:rPr>
            </w:pPr>
            <w:r>
              <w:rPr>
                <w:rFonts w:hint="default" w:ascii="Times New Roman" w:hAnsi="Times New Roman" w:cs="Times New Roman"/>
                <w:b/>
                <w:bCs/>
                <w:color w:val="auto"/>
              </w:rPr>
              <w:t>表3-</w:t>
            </w:r>
            <w:r>
              <w:rPr>
                <w:rFonts w:hint="default" w:ascii="Times New Roman" w:hAnsi="Times New Roman" w:cs="Times New Roman"/>
                <w:b/>
                <w:bCs/>
                <w:color w:val="auto"/>
                <w:lang w:val="en-US" w:eastAsia="zh-CN"/>
              </w:rPr>
              <w:t xml:space="preserve">4  </w:t>
            </w:r>
            <w:r>
              <w:rPr>
                <w:rFonts w:hint="default" w:ascii="Times New Roman" w:hAnsi="Times New Roman" w:cs="Times New Roman"/>
                <w:b/>
                <w:bCs/>
                <w:color w:val="auto"/>
              </w:rPr>
              <w:t>项目环境保护目标</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754"/>
              <w:gridCol w:w="777"/>
              <w:gridCol w:w="784"/>
              <w:gridCol w:w="766"/>
              <w:gridCol w:w="739"/>
              <w:gridCol w:w="1093"/>
              <w:gridCol w:w="1856"/>
            </w:tblGrid>
            <w:tr w14:paraId="29F7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dxa"/>
                  <w:vMerge w:val="restar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37B86FE1">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环境要素</w:t>
                  </w:r>
                </w:p>
              </w:tc>
              <w:tc>
                <w:tcPr>
                  <w:tcW w:w="754" w:type="dxa"/>
                  <w:vMerge w:val="restar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7C40FCFC">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敏感点</w:t>
                  </w:r>
                </w:p>
              </w:tc>
              <w:tc>
                <w:tcPr>
                  <w:tcW w:w="1561" w:type="dxa"/>
                  <w:gridSpan w:val="2"/>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CF31A3E">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坐标</w:t>
                  </w:r>
                </w:p>
              </w:tc>
              <w:tc>
                <w:tcPr>
                  <w:tcW w:w="766" w:type="dxa"/>
                  <w:vMerge w:val="restar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5390E382">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方位</w:t>
                  </w:r>
                </w:p>
              </w:tc>
              <w:tc>
                <w:tcPr>
                  <w:tcW w:w="739" w:type="dxa"/>
                  <w:vMerge w:val="restar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08E29C42">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距离（</w:t>
                  </w:r>
                  <w:r>
                    <w:rPr>
                      <w:rFonts w:hint="default" w:ascii="Times New Roman" w:hAnsi="Times New Roman" w:cs="Times New Roman"/>
                      <w:b/>
                      <w:bCs/>
                      <w:color w:val="auto"/>
                      <w:lang w:val="en-US" w:eastAsia="zh-CN"/>
                    </w:rPr>
                    <w:t>m</w:t>
                  </w:r>
                  <w:r>
                    <w:rPr>
                      <w:rFonts w:hint="default" w:ascii="Times New Roman" w:hAnsi="Times New Roman" w:cs="Times New Roman"/>
                      <w:b/>
                      <w:bCs/>
                      <w:color w:val="auto"/>
                      <w:lang w:eastAsia="zh-CN"/>
                    </w:rPr>
                    <w:t>）</w:t>
                  </w:r>
                </w:p>
              </w:tc>
              <w:tc>
                <w:tcPr>
                  <w:tcW w:w="1093" w:type="dxa"/>
                  <w:vMerge w:val="restar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71BC9994">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规模</w:t>
                  </w:r>
                </w:p>
              </w:tc>
              <w:tc>
                <w:tcPr>
                  <w:tcW w:w="1856" w:type="dxa"/>
                  <w:vMerge w:val="restar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66306322">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rPr>
                  </w:pPr>
                  <w:r>
                    <w:rPr>
                      <w:rFonts w:hint="default" w:ascii="Times New Roman" w:hAnsi="Times New Roman" w:cs="Times New Roman"/>
                      <w:b/>
                      <w:bCs/>
                      <w:color w:val="auto"/>
                    </w:rPr>
                    <w:t>保护级别</w:t>
                  </w:r>
                </w:p>
              </w:tc>
            </w:tr>
            <w:tr w14:paraId="504A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dxa"/>
                  <w:vMerge w:val="continue"/>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71F3C23">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eastAsia="zh-CN"/>
                    </w:rPr>
                  </w:pPr>
                </w:p>
              </w:tc>
              <w:tc>
                <w:tcPr>
                  <w:tcW w:w="754" w:type="dxa"/>
                  <w:vMerge w:val="continue"/>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EDBDDA0">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eastAsia="zh-CN"/>
                    </w:rPr>
                  </w:pPr>
                </w:p>
              </w:tc>
              <w:tc>
                <w:tcPr>
                  <w:tcW w:w="777"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CC0E141">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rPr>
                  </w:pPr>
                  <w:r>
                    <w:rPr>
                      <w:rFonts w:hint="default" w:ascii="Times New Roman" w:hAnsi="Times New Roman" w:cs="Times New Roman"/>
                      <w:b/>
                      <w:bCs/>
                      <w:color w:val="auto"/>
                      <w:lang w:val="en-US" w:eastAsia="zh-CN"/>
                    </w:rPr>
                    <w:t>X</w:t>
                  </w:r>
                </w:p>
              </w:tc>
              <w:tc>
                <w:tcPr>
                  <w:tcW w:w="78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9ABD520">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rPr>
                  </w:pPr>
                  <w:r>
                    <w:rPr>
                      <w:rFonts w:hint="default" w:ascii="Times New Roman" w:hAnsi="Times New Roman" w:cs="Times New Roman"/>
                      <w:b/>
                      <w:bCs/>
                      <w:color w:val="auto"/>
                      <w:lang w:val="en-US" w:eastAsia="zh-CN"/>
                    </w:rPr>
                    <w:t>Y</w:t>
                  </w:r>
                </w:p>
              </w:tc>
              <w:tc>
                <w:tcPr>
                  <w:tcW w:w="766" w:type="dxa"/>
                  <w:vMerge w:val="continue"/>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EE9DF62">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eastAsia="zh-CN"/>
                    </w:rPr>
                  </w:pPr>
                </w:p>
              </w:tc>
              <w:tc>
                <w:tcPr>
                  <w:tcW w:w="739" w:type="dxa"/>
                  <w:vMerge w:val="continue"/>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6776FDA">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eastAsia="zh-CN"/>
                    </w:rPr>
                  </w:pPr>
                </w:p>
              </w:tc>
              <w:tc>
                <w:tcPr>
                  <w:tcW w:w="1093" w:type="dxa"/>
                  <w:vMerge w:val="continue"/>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362C080">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p>
              </w:tc>
              <w:tc>
                <w:tcPr>
                  <w:tcW w:w="1856" w:type="dxa"/>
                  <w:vMerge w:val="continue"/>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76A37FA">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p>
              </w:tc>
            </w:tr>
            <w:tr w14:paraId="5C24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8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6898697">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大气环境</w:t>
                  </w:r>
                </w:p>
              </w:tc>
              <w:tc>
                <w:tcPr>
                  <w:tcW w:w="75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5CC7DEF">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大坡头村</w:t>
                  </w:r>
                </w:p>
              </w:tc>
              <w:tc>
                <w:tcPr>
                  <w:tcW w:w="777"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89E78F9">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102°57'15.9720"</w:t>
                  </w:r>
                </w:p>
              </w:tc>
              <w:tc>
                <w:tcPr>
                  <w:tcW w:w="784" w:type="dxa"/>
                  <w:tcBorders>
                    <w:left w:val="single" w:color="auto" w:sz="4" w:space="0"/>
                    <w:right w:val="single" w:color="auto" w:sz="4" w:space="0"/>
                  </w:tcBorders>
                  <w:noWrap w:val="0"/>
                  <w:tcMar>
                    <w:top w:w="0" w:type="dxa"/>
                    <w:left w:w="0" w:type="dxa"/>
                    <w:bottom w:w="0" w:type="dxa"/>
                    <w:right w:w="0" w:type="dxa"/>
                  </w:tcMar>
                  <w:vAlign w:val="center"/>
                </w:tcPr>
                <w:p w14:paraId="4D8FCEA3">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24°38'34.0364"</w:t>
                  </w:r>
                </w:p>
              </w:tc>
              <w:tc>
                <w:tcPr>
                  <w:tcW w:w="766" w:type="dxa"/>
                  <w:tcBorders>
                    <w:left w:val="single" w:color="auto" w:sz="4" w:space="0"/>
                    <w:right w:val="single" w:color="auto" w:sz="4" w:space="0"/>
                  </w:tcBorders>
                  <w:noWrap w:val="0"/>
                  <w:tcMar>
                    <w:top w:w="0" w:type="dxa"/>
                    <w:left w:w="0" w:type="dxa"/>
                    <w:bottom w:w="0" w:type="dxa"/>
                    <w:right w:w="0" w:type="dxa"/>
                  </w:tcMar>
                  <w:vAlign w:val="center"/>
                </w:tcPr>
                <w:p w14:paraId="63F0A7B9">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南侧</w:t>
                  </w:r>
                </w:p>
              </w:tc>
              <w:tc>
                <w:tcPr>
                  <w:tcW w:w="739" w:type="dxa"/>
                  <w:tcBorders>
                    <w:left w:val="single" w:color="auto" w:sz="4" w:space="0"/>
                    <w:right w:val="single" w:color="auto" w:sz="4" w:space="0"/>
                  </w:tcBorders>
                  <w:noWrap w:val="0"/>
                  <w:tcMar>
                    <w:top w:w="0" w:type="dxa"/>
                    <w:left w:w="0" w:type="dxa"/>
                    <w:bottom w:w="0" w:type="dxa"/>
                    <w:right w:w="0" w:type="dxa"/>
                  </w:tcMar>
                  <w:vAlign w:val="center"/>
                </w:tcPr>
                <w:p w14:paraId="48763182">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240</w:t>
                  </w:r>
                </w:p>
              </w:tc>
              <w:tc>
                <w:tcPr>
                  <w:tcW w:w="1093" w:type="dxa"/>
                  <w:tcBorders>
                    <w:left w:val="single" w:color="auto" w:sz="4" w:space="0"/>
                    <w:right w:val="single" w:color="auto" w:sz="4" w:space="0"/>
                  </w:tcBorders>
                  <w:noWrap w:val="0"/>
                  <w:tcMar>
                    <w:top w:w="0" w:type="dxa"/>
                    <w:left w:w="0" w:type="dxa"/>
                    <w:bottom w:w="0" w:type="dxa"/>
                    <w:right w:w="0" w:type="dxa"/>
                  </w:tcMar>
                  <w:vAlign w:val="center"/>
                </w:tcPr>
                <w:p w14:paraId="7024AE62">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500m范围内共15户、50人</w:t>
                  </w:r>
                </w:p>
              </w:tc>
              <w:tc>
                <w:tcPr>
                  <w:tcW w:w="1856" w:type="dxa"/>
                  <w:tcBorders>
                    <w:left w:val="single" w:color="auto" w:sz="4" w:space="0"/>
                    <w:right w:val="single" w:color="auto" w:sz="4" w:space="0"/>
                  </w:tcBorders>
                  <w:noWrap w:val="0"/>
                  <w:tcMar>
                    <w:top w:w="0" w:type="dxa"/>
                    <w:left w:w="0" w:type="dxa"/>
                    <w:bottom w:w="0" w:type="dxa"/>
                    <w:right w:w="0" w:type="dxa"/>
                  </w:tcMar>
                  <w:vAlign w:val="center"/>
                </w:tcPr>
                <w:p w14:paraId="2C2DE0BA">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《环境空气质量标准》</w:t>
                  </w:r>
                  <w:r>
                    <w:rPr>
                      <w:rFonts w:hint="default" w:ascii="Times New Roman" w:hAnsi="Times New Roman" w:cs="Times New Roman"/>
                      <w:color w:val="auto"/>
                      <w:lang w:eastAsia="zh-CN"/>
                    </w:rPr>
                    <w:t>（</w:t>
                  </w:r>
                  <w:r>
                    <w:rPr>
                      <w:rFonts w:hint="default" w:ascii="Times New Roman" w:hAnsi="Times New Roman" w:cs="Times New Roman"/>
                      <w:color w:val="auto"/>
                    </w:rPr>
                    <w:t>GB3095-2012）二级浓度限值</w:t>
                  </w:r>
                </w:p>
              </w:tc>
            </w:tr>
            <w:tr w14:paraId="3127F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dxa"/>
                  <w:vMerge w:val="restar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69526F97">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地表水</w:t>
                  </w:r>
                </w:p>
              </w:tc>
              <w:tc>
                <w:tcPr>
                  <w:tcW w:w="75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CB2FAD8">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东大沟</w:t>
                  </w:r>
                </w:p>
              </w:tc>
              <w:tc>
                <w:tcPr>
                  <w:tcW w:w="777"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D523AD7">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784" w:type="dxa"/>
                  <w:tcBorders>
                    <w:left w:val="single" w:color="auto" w:sz="4" w:space="0"/>
                    <w:right w:val="single" w:color="auto" w:sz="4" w:space="0"/>
                  </w:tcBorders>
                  <w:noWrap w:val="0"/>
                  <w:tcMar>
                    <w:top w:w="0" w:type="dxa"/>
                    <w:left w:w="0" w:type="dxa"/>
                    <w:bottom w:w="0" w:type="dxa"/>
                    <w:right w:w="0" w:type="dxa"/>
                  </w:tcMar>
                  <w:vAlign w:val="center"/>
                </w:tcPr>
                <w:p w14:paraId="6FA19FF8">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766" w:type="dxa"/>
                  <w:tcBorders>
                    <w:left w:val="single" w:color="auto" w:sz="4" w:space="0"/>
                    <w:right w:val="single" w:color="auto" w:sz="4" w:space="0"/>
                  </w:tcBorders>
                  <w:noWrap w:val="0"/>
                  <w:tcMar>
                    <w:top w:w="0" w:type="dxa"/>
                    <w:left w:w="0" w:type="dxa"/>
                    <w:bottom w:w="0" w:type="dxa"/>
                    <w:right w:w="0" w:type="dxa"/>
                  </w:tcMar>
                  <w:vAlign w:val="center"/>
                </w:tcPr>
                <w:p w14:paraId="7851BE30">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北侧</w:t>
                  </w:r>
                </w:p>
              </w:tc>
              <w:tc>
                <w:tcPr>
                  <w:tcW w:w="739" w:type="dxa"/>
                  <w:tcBorders>
                    <w:left w:val="single" w:color="auto" w:sz="4" w:space="0"/>
                    <w:right w:val="single" w:color="auto" w:sz="4" w:space="0"/>
                  </w:tcBorders>
                  <w:noWrap w:val="0"/>
                  <w:tcMar>
                    <w:top w:w="0" w:type="dxa"/>
                    <w:left w:w="0" w:type="dxa"/>
                    <w:bottom w:w="0" w:type="dxa"/>
                    <w:right w:w="0" w:type="dxa"/>
                  </w:tcMar>
                  <w:vAlign w:val="center"/>
                </w:tcPr>
                <w:p w14:paraId="0560904A">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100</w:t>
                  </w:r>
                </w:p>
              </w:tc>
              <w:tc>
                <w:tcPr>
                  <w:tcW w:w="1093" w:type="dxa"/>
                  <w:tcBorders>
                    <w:left w:val="single" w:color="auto" w:sz="4" w:space="0"/>
                    <w:right w:val="single" w:color="auto" w:sz="4" w:space="0"/>
                  </w:tcBorders>
                  <w:noWrap w:val="0"/>
                  <w:tcMar>
                    <w:top w:w="0" w:type="dxa"/>
                    <w:left w:w="0" w:type="dxa"/>
                    <w:bottom w:w="0" w:type="dxa"/>
                    <w:right w:w="0" w:type="dxa"/>
                  </w:tcMar>
                  <w:vAlign w:val="center"/>
                </w:tcPr>
                <w:p w14:paraId="36B6E094">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c>
                <w:tcPr>
                  <w:tcW w:w="1856" w:type="dxa"/>
                  <w:vMerge w:val="restart"/>
                  <w:tcBorders>
                    <w:left w:val="single" w:color="auto" w:sz="4" w:space="0"/>
                    <w:right w:val="single" w:color="auto" w:sz="4" w:space="0"/>
                  </w:tcBorders>
                  <w:noWrap w:val="0"/>
                  <w:tcMar>
                    <w:top w:w="0" w:type="dxa"/>
                    <w:left w:w="0" w:type="dxa"/>
                    <w:bottom w:w="0" w:type="dxa"/>
                    <w:right w:w="0" w:type="dxa"/>
                  </w:tcMar>
                  <w:vAlign w:val="center"/>
                </w:tcPr>
                <w:p w14:paraId="273EBA79">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《地表水环境质量标准》</w:t>
                  </w:r>
                  <w:r>
                    <w:rPr>
                      <w:rFonts w:hint="default" w:ascii="Times New Roman" w:hAnsi="Times New Roman" w:cs="Times New Roman"/>
                      <w:color w:val="auto"/>
                      <w:lang w:eastAsia="zh-CN"/>
                    </w:rPr>
                    <w:t>（</w:t>
                  </w:r>
                  <w:r>
                    <w:rPr>
                      <w:rFonts w:hint="default" w:ascii="Times New Roman" w:hAnsi="Times New Roman" w:cs="Times New Roman"/>
                      <w:color w:val="auto"/>
                    </w:rPr>
                    <w:t>GB3838-2002）</w:t>
                  </w:r>
                  <w:r>
                    <w:rPr>
                      <w:rFonts w:hint="default" w:ascii="Times New Roman" w:hAnsi="Times New Roman" w:eastAsia="微软雅黑" w:cs="Times New Roman"/>
                      <w:color w:val="auto"/>
                    </w:rPr>
                    <w:t>Ⅰ</w:t>
                  </w:r>
                  <w:r>
                    <w:rPr>
                      <w:rFonts w:hint="default" w:ascii="Times New Roman" w:hAnsi="Times New Roman" w:cs="Times New Roman"/>
                      <w:color w:val="auto"/>
                    </w:rPr>
                    <w:t>类标准</w:t>
                  </w:r>
                </w:p>
              </w:tc>
            </w:tr>
            <w:tr w14:paraId="41B1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dxa"/>
                  <w:vMerge w:val="continue"/>
                  <w:tcBorders>
                    <w:left w:val="single" w:color="auto" w:sz="4" w:space="0"/>
                    <w:right w:val="single" w:color="auto" w:sz="4" w:space="0"/>
                  </w:tcBorders>
                  <w:noWrap w:val="0"/>
                  <w:tcMar>
                    <w:top w:w="0" w:type="dxa"/>
                    <w:left w:w="0" w:type="dxa"/>
                    <w:bottom w:w="0" w:type="dxa"/>
                    <w:right w:w="0" w:type="dxa"/>
                  </w:tcMar>
                  <w:vAlign w:val="center"/>
                </w:tcPr>
                <w:p w14:paraId="36EBBF97">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p>
              </w:tc>
              <w:tc>
                <w:tcPr>
                  <w:tcW w:w="75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AE74442">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东大河</w:t>
                  </w:r>
                </w:p>
              </w:tc>
              <w:tc>
                <w:tcPr>
                  <w:tcW w:w="777"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EF3537D">
                  <w:pPr>
                    <w:pStyle w:val="14"/>
                    <w:keepNext w:val="0"/>
                    <w:keepLines w:val="0"/>
                    <w:pageBreakBefore w:val="0"/>
                    <w:widowControl/>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w:t>
                  </w:r>
                </w:p>
              </w:tc>
              <w:tc>
                <w:tcPr>
                  <w:tcW w:w="784" w:type="dxa"/>
                  <w:tcBorders>
                    <w:left w:val="single" w:color="auto" w:sz="4" w:space="0"/>
                    <w:right w:val="single" w:color="auto" w:sz="4" w:space="0"/>
                  </w:tcBorders>
                  <w:noWrap w:val="0"/>
                  <w:tcMar>
                    <w:top w:w="0" w:type="dxa"/>
                    <w:left w:w="0" w:type="dxa"/>
                    <w:bottom w:w="0" w:type="dxa"/>
                    <w:right w:w="0" w:type="dxa"/>
                  </w:tcMar>
                  <w:vAlign w:val="center"/>
                </w:tcPr>
                <w:p w14:paraId="13151F18">
                  <w:pPr>
                    <w:pStyle w:val="14"/>
                    <w:keepNext w:val="0"/>
                    <w:keepLines w:val="0"/>
                    <w:pageBreakBefore w:val="0"/>
                    <w:widowControl/>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w:t>
                  </w:r>
                </w:p>
              </w:tc>
              <w:tc>
                <w:tcPr>
                  <w:tcW w:w="766" w:type="dxa"/>
                  <w:tcBorders>
                    <w:left w:val="single" w:color="auto" w:sz="4" w:space="0"/>
                    <w:right w:val="single" w:color="auto" w:sz="4" w:space="0"/>
                  </w:tcBorders>
                  <w:noWrap w:val="0"/>
                  <w:tcMar>
                    <w:top w:w="0" w:type="dxa"/>
                    <w:left w:w="0" w:type="dxa"/>
                    <w:bottom w:w="0" w:type="dxa"/>
                    <w:right w:w="0" w:type="dxa"/>
                  </w:tcMar>
                  <w:vAlign w:val="center"/>
                </w:tcPr>
                <w:p w14:paraId="21E39610">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西南侧</w:t>
                  </w:r>
                </w:p>
              </w:tc>
              <w:tc>
                <w:tcPr>
                  <w:tcW w:w="739" w:type="dxa"/>
                  <w:tcBorders>
                    <w:left w:val="single" w:color="auto" w:sz="4" w:space="0"/>
                    <w:right w:val="single" w:color="auto" w:sz="4" w:space="0"/>
                  </w:tcBorders>
                  <w:noWrap w:val="0"/>
                  <w:tcMar>
                    <w:top w:w="0" w:type="dxa"/>
                    <w:left w:w="0" w:type="dxa"/>
                    <w:bottom w:w="0" w:type="dxa"/>
                    <w:right w:w="0" w:type="dxa"/>
                  </w:tcMar>
                  <w:vAlign w:val="center"/>
                </w:tcPr>
                <w:p w14:paraId="25F09B8C">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2.3km</w:t>
                  </w:r>
                </w:p>
              </w:tc>
              <w:tc>
                <w:tcPr>
                  <w:tcW w:w="1093" w:type="dxa"/>
                  <w:tcBorders>
                    <w:left w:val="single" w:color="auto" w:sz="4" w:space="0"/>
                    <w:right w:val="single" w:color="auto" w:sz="4" w:space="0"/>
                  </w:tcBorders>
                  <w:noWrap w:val="0"/>
                  <w:tcMar>
                    <w:top w:w="0" w:type="dxa"/>
                    <w:left w:w="0" w:type="dxa"/>
                    <w:bottom w:w="0" w:type="dxa"/>
                    <w:right w:w="0" w:type="dxa"/>
                  </w:tcMar>
                  <w:vAlign w:val="center"/>
                </w:tcPr>
                <w:p w14:paraId="185F06B2">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c>
                <w:tcPr>
                  <w:tcW w:w="1856" w:type="dxa"/>
                  <w:vMerge w:val="continue"/>
                  <w:tcBorders>
                    <w:left w:val="single" w:color="auto" w:sz="4" w:space="0"/>
                    <w:right w:val="single" w:color="auto" w:sz="4" w:space="0"/>
                  </w:tcBorders>
                  <w:noWrap w:val="0"/>
                  <w:tcMar>
                    <w:top w:w="0" w:type="dxa"/>
                    <w:left w:w="0" w:type="dxa"/>
                    <w:bottom w:w="0" w:type="dxa"/>
                    <w:right w:w="0" w:type="dxa"/>
                  </w:tcMar>
                  <w:vAlign w:val="center"/>
                </w:tcPr>
                <w:p w14:paraId="1CC5D811">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p>
              </w:tc>
            </w:tr>
            <w:tr w14:paraId="338C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dxa"/>
                  <w:vMerge w:val="continue"/>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6B16099">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p>
              </w:tc>
              <w:tc>
                <w:tcPr>
                  <w:tcW w:w="75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4662448">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抚仙湖</w:t>
                  </w:r>
                </w:p>
              </w:tc>
              <w:tc>
                <w:tcPr>
                  <w:tcW w:w="777"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8FF28A3">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784" w:type="dxa"/>
                  <w:tcBorders>
                    <w:left w:val="single" w:color="auto" w:sz="4" w:space="0"/>
                    <w:right w:val="single" w:color="auto" w:sz="4" w:space="0"/>
                  </w:tcBorders>
                  <w:noWrap w:val="0"/>
                  <w:tcMar>
                    <w:top w:w="0" w:type="dxa"/>
                    <w:left w:w="0" w:type="dxa"/>
                    <w:bottom w:w="0" w:type="dxa"/>
                    <w:right w:w="0" w:type="dxa"/>
                  </w:tcMar>
                  <w:vAlign w:val="center"/>
                </w:tcPr>
                <w:p w14:paraId="4833DBE6">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766" w:type="dxa"/>
                  <w:tcBorders>
                    <w:left w:val="single" w:color="auto" w:sz="4" w:space="0"/>
                    <w:right w:val="single" w:color="auto" w:sz="4" w:space="0"/>
                  </w:tcBorders>
                  <w:noWrap w:val="0"/>
                  <w:tcMar>
                    <w:top w:w="0" w:type="dxa"/>
                    <w:left w:w="0" w:type="dxa"/>
                    <w:bottom w:w="0" w:type="dxa"/>
                    <w:right w:w="0" w:type="dxa"/>
                  </w:tcMar>
                  <w:vAlign w:val="center"/>
                </w:tcPr>
                <w:p w14:paraId="7806E58D">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西南侧</w:t>
                  </w:r>
                </w:p>
              </w:tc>
              <w:tc>
                <w:tcPr>
                  <w:tcW w:w="739" w:type="dxa"/>
                  <w:tcBorders>
                    <w:left w:val="single" w:color="auto" w:sz="4" w:space="0"/>
                    <w:right w:val="single" w:color="auto" w:sz="4" w:space="0"/>
                  </w:tcBorders>
                  <w:noWrap w:val="0"/>
                  <w:tcMar>
                    <w:top w:w="0" w:type="dxa"/>
                    <w:left w:w="0" w:type="dxa"/>
                    <w:bottom w:w="0" w:type="dxa"/>
                    <w:right w:w="0" w:type="dxa"/>
                  </w:tcMar>
                  <w:vAlign w:val="center"/>
                </w:tcPr>
                <w:p w14:paraId="4271786A">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3km</w:t>
                  </w:r>
                </w:p>
              </w:tc>
              <w:tc>
                <w:tcPr>
                  <w:tcW w:w="1093" w:type="dxa"/>
                  <w:tcBorders>
                    <w:left w:val="single" w:color="auto" w:sz="4" w:space="0"/>
                    <w:right w:val="single" w:color="auto" w:sz="4" w:space="0"/>
                  </w:tcBorders>
                  <w:noWrap w:val="0"/>
                  <w:tcMar>
                    <w:top w:w="0" w:type="dxa"/>
                    <w:left w:w="0" w:type="dxa"/>
                    <w:bottom w:w="0" w:type="dxa"/>
                    <w:right w:w="0" w:type="dxa"/>
                  </w:tcMar>
                  <w:vAlign w:val="center"/>
                </w:tcPr>
                <w:p w14:paraId="1EE0448F">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c>
                <w:tcPr>
                  <w:tcW w:w="1856" w:type="dxa"/>
                  <w:vMerge w:val="continue"/>
                  <w:tcBorders>
                    <w:left w:val="single" w:color="auto" w:sz="4" w:space="0"/>
                    <w:right w:val="single" w:color="auto" w:sz="4" w:space="0"/>
                  </w:tcBorders>
                  <w:noWrap w:val="0"/>
                  <w:tcMar>
                    <w:top w:w="0" w:type="dxa"/>
                    <w:left w:w="0" w:type="dxa"/>
                    <w:bottom w:w="0" w:type="dxa"/>
                    <w:right w:w="0" w:type="dxa"/>
                  </w:tcMar>
                  <w:vAlign w:val="center"/>
                </w:tcPr>
                <w:p w14:paraId="6ECDE598">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p>
              </w:tc>
            </w:tr>
            <w:tr w14:paraId="1A74F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635B0A9">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地下水</w:t>
                  </w:r>
                </w:p>
              </w:tc>
              <w:tc>
                <w:tcPr>
                  <w:tcW w:w="6769" w:type="dxa"/>
                  <w:gridSpan w:val="7"/>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4F54AA4">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厂界外</w:t>
                  </w:r>
                  <w:r>
                    <w:rPr>
                      <w:rFonts w:hint="default" w:ascii="Times New Roman" w:hAnsi="Times New Roman" w:cs="Times New Roman"/>
                      <w:color w:val="auto"/>
                      <w:lang w:val="en-US" w:eastAsia="zh-CN"/>
                    </w:rPr>
                    <w:t>500米范围内</w:t>
                  </w:r>
                  <w:r>
                    <w:rPr>
                      <w:rFonts w:hint="default" w:ascii="Times New Roman" w:hAnsi="Times New Roman" w:cs="Times New Roman"/>
                      <w:b/>
                      <w:bCs/>
                      <w:color w:val="auto"/>
                      <w:lang w:val="en-US" w:eastAsia="zh-CN"/>
                    </w:rPr>
                    <w:t>不存在</w:t>
                  </w:r>
                  <w:r>
                    <w:rPr>
                      <w:rFonts w:hint="default" w:ascii="Times New Roman" w:hAnsi="Times New Roman" w:cs="Times New Roman"/>
                      <w:color w:val="auto"/>
                      <w:lang w:val="en-US" w:eastAsia="zh-CN"/>
                    </w:rPr>
                    <w:t>地下水集中式饮用水水源和热水、矿泉水、温泉等特殊地下水资源</w:t>
                  </w:r>
                </w:p>
              </w:tc>
            </w:tr>
            <w:tr w14:paraId="0A54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dxa"/>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4F37A1CF">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生态环境</w:t>
                  </w:r>
                </w:p>
              </w:tc>
              <w:tc>
                <w:tcPr>
                  <w:tcW w:w="6769" w:type="dxa"/>
                  <w:gridSpan w:val="7"/>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FAE6F22">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zh-CN" w:eastAsia="zh-CN"/>
                    </w:rPr>
                  </w:pPr>
                  <w:r>
                    <w:rPr>
                      <w:rFonts w:hint="default" w:ascii="Times New Roman" w:hAnsi="Times New Roman" w:cs="Times New Roman"/>
                      <w:color w:val="auto"/>
                      <w:lang w:val="en-US" w:eastAsia="zh-CN"/>
                    </w:rPr>
                    <w:t>项</w:t>
                  </w:r>
                  <w:r>
                    <w:rPr>
                      <w:rFonts w:hint="default" w:ascii="Times New Roman" w:hAnsi="Times New Roman" w:cs="Times New Roman"/>
                      <w:color w:val="auto"/>
                      <w:lang w:val="zh-CN"/>
                    </w:rPr>
                    <w:t>目区域及周边200m范围内</w:t>
                  </w:r>
                  <w:r>
                    <w:rPr>
                      <w:rFonts w:hint="default" w:ascii="Times New Roman" w:hAnsi="Times New Roman" w:cs="Times New Roman"/>
                      <w:b/>
                      <w:bCs/>
                      <w:color w:val="auto"/>
                      <w:lang w:val="zh-CN"/>
                    </w:rPr>
                    <w:t>无</w:t>
                  </w:r>
                  <w:r>
                    <w:rPr>
                      <w:rFonts w:hint="default" w:ascii="Times New Roman" w:hAnsi="Times New Roman" w:cs="Times New Roman"/>
                      <w:color w:val="auto"/>
                      <w:lang w:val="zh-CN"/>
                    </w:rPr>
                    <w:t>国家、省、市（县）级保护动植物分布，</w:t>
                  </w:r>
                  <w:r>
                    <w:rPr>
                      <w:rFonts w:hint="eastAsia" w:cs="Times New Roman"/>
                      <w:color w:val="auto"/>
                      <w:lang w:val="en-US" w:eastAsia="zh-CN"/>
                    </w:rPr>
                    <w:t>周边200m范围内的动物、植被数量及生态功能</w:t>
                  </w:r>
                  <w:r>
                    <w:rPr>
                      <w:rFonts w:hint="default" w:ascii="Times New Roman" w:hAnsi="Times New Roman" w:cs="Times New Roman"/>
                      <w:color w:val="auto"/>
                      <w:lang w:val="zh-CN"/>
                    </w:rPr>
                    <w:t>。</w:t>
                  </w:r>
                </w:p>
              </w:tc>
            </w:tr>
          </w:tbl>
          <w:p w14:paraId="2C11D15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r>
              <w:rPr>
                <w:rFonts w:hint="default" w:ascii="Times New Roman" w:hAnsi="Times New Roman" w:cs="Times New Roman"/>
                <w:color w:val="auto"/>
              </w:rPr>
              <w:t>项目周围环境关系见附图</w:t>
            </w:r>
            <w:r>
              <w:rPr>
                <w:rFonts w:hint="default" w:ascii="Times New Roman" w:hAnsi="Times New Roman" w:cs="Times New Roman"/>
                <w:color w:val="auto"/>
                <w:lang w:val="en-US" w:eastAsia="zh-CN"/>
              </w:rPr>
              <w:t>4</w:t>
            </w:r>
            <w:r>
              <w:rPr>
                <w:rFonts w:hint="default" w:ascii="Times New Roman" w:hAnsi="Times New Roman" w:cs="Times New Roman"/>
                <w:color w:val="auto"/>
              </w:rPr>
              <w:t>。</w:t>
            </w:r>
            <w:bookmarkEnd w:id="4"/>
          </w:p>
        </w:tc>
      </w:tr>
      <w:tr w14:paraId="708F4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5D41B2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污染物排放控制标准</w:t>
            </w:r>
          </w:p>
        </w:tc>
        <w:tc>
          <w:tcPr>
            <w:tcW w:w="7676" w:type="dxa"/>
            <w:vAlign w:val="center"/>
          </w:tcPr>
          <w:p w14:paraId="13812462">
            <w:pPr>
              <w:bidi w:val="0"/>
              <w:rPr>
                <w:rFonts w:hint="default" w:ascii="Times New Roman" w:hAnsi="Times New Roman" w:cs="Times New Roman"/>
                <w:b/>
                <w:bCs/>
                <w:color w:val="auto"/>
              </w:rPr>
            </w:pPr>
            <w:r>
              <w:rPr>
                <w:rFonts w:hint="default" w:ascii="Times New Roman" w:hAnsi="Times New Roman" w:cs="Times New Roman"/>
                <w:b/>
                <w:bCs/>
                <w:color w:val="auto"/>
              </w:rPr>
              <w:t>1、施工期</w:t>
            </w:r>
          </w:p>
          <w:p w14:paraId="72156578">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项目施工期短，污染物少，主要产生施工扬尘和噪声，标准如下：</w:t>
            </w:r>
          </w:p>
          <w:p w14:paraId="015D5837">
            <w:pPr>
              <w:bidi w:val="0"/>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rPr>
              <w:t>1）施工扬尘</w:t>
            </w:r>
          </w:p>
          <w:p w14:paraId="0F164740">
            <w:pPr>
              <w:bidi w:val="0"/>
              <w:rPr>
                <w:rFonts w:hint="default" w:ascii="Times New Roman" w:hAnsi="Times New Roman" w:cs="Times New Roman"/>
                <w:color w:val="auto"/>
              </w:rPr>
            </w:pPr>
            <w:r>
              <w:rPr>
                <w:rFonts w:hint="default" w:ascii="Times New Roman" w:hAnsi="Times New Roman" w:cs="Times New Roman"/>
                <w:color w:val="auto"/>
              </w:rPr>
              <w:t>项目施工期无组织排放扬尘执行《大气污染物综合排放标准》</w:t>
            </w:r>
            <w:r>
              <w:rPr>
                <w:rFonts w:hint="default" w:ascii="Times New Roman" w:hAnsi="Times New Roman" w:cs="Times New Roman"/>
                <w:color w:val="auto"/>
                <w:lang w:eastAsia="zh-CN"/>
              </w:rPr>
              <w:t>（</w:t>
            </w:r>
            <w:r>
              <w:rPr>
                <w:rFonts w:hint="default" w:ascii="Times New Roman" w:hAnsi="Times New Roman" w:cs="Times New Roman"/>
                <w:color w:val="auto"/>
              </w:rPr>
              <w:t>GB16297-1996）表2颗粒物周界外浓度最高值≤1.0mg/m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14:paraId="2601B073">
            <w:pPr>
              <w:bidi w:val="0"/>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rPr>
              <w:t>2）施工噪声</w:t>
            </w:r>
          </w:p>
          <w:p w14:paraId="5F14B0F5">
            <w:pPr>
              <w:bidi w:val="0"/>
              <w:rPr>
                <w:rFonts w:hint="default" w:ascii="Times New Roman" w:hAnsi="Times New Roman" w:eastAsia="宋体" w:cs="Times New Roman"/>
                <w:color w:val="auto"/>
                <w:lang w:eastAsia="zh-CN"/>
              </w:rPr>
            </w:pPr>
            <w:r>
              <w:rPr>
                <w:rFonts w:hint="default" w:ascii="Times New Roman" w:hAnsi="Times New Roman" w:cs="Times New Roman"/>
                <w:color w:val="auto"/>
              </w:rPr>
              <w:t>项目施工期噪声执行《建筑施工场界环境噪声排放标准》</w:t>
            </w:r>
            <w:r>
              <w:rPr>
                <w:rFonts w:hint="default" w:ascii="Times New Roman" w:hAnsi="Times New Roman" w:cs="Times New Roman"/>
                <w:color w:val="auto"/>
                <w:lang w:eastAsia="zh-CN"/>
              </w:rPr>
              <w:t>（</w:t>
            </w:r>
            <w:r>
              <w:rPr>
                <w:rFonts w:hint="default" w:ascii="Times New Roman" w:hAnsi="Times New Roman" w:cs="Times New Roman"/>
                <w:color w:val="auto"/>
              </w:rPr>
              <w:t>GB12523-2011），即：昼间≤70dB</w:t>
            </w:r>
            <w:r>
              <w:rPr>
                <w:rFonts w:hint="default" w:ascii="Times New Roman" w:hAnsi="Times New Roman" w:cs="Times New Roman"/>
                <w:color w:val="auto"/>
                <w:lang w:eastAsia="zh-CN"/>
              </w:rPr>
              <w:t>（</w:t>
            </w:r>
            <w:r>
              <w:rPr>
                <w:rFonts w:hint="default" w:ascii="Times New Roman" w:hAnsi="Times New Roman" w:cs="Times New Roman"/>
                <w:color w:val="auto"/>
              </w:rPr>
              <w:t>A）、夜间≤55dB</w:t>
            </w:r>
            <w:r>
              <w:rPr>
                <w:rFonts w:hint="default" w:ascii="Times New Roman" w:hAnsi="Times New Roman" w:cs="Times New Roman"/>
                <w:color w:val="auto"/>
                <w:lang w:eastAsia="zh-CN"/>
              </w:rPr>
              <w:t>（</w:t>
            </w:r>
            <w:r>
              <w:rPr>
                <w:rFonts w:hint="default" w:ascii="Times New Roman" w:hAnsi="Times New Roman" w:cs="Times New Roman"/>
                <w:color w:val="auto"/>
              </w:rPr>
              <w:t>A）</w:t>
            </w:r>
            <w:r>
              <w:rPr>
                <w:rFonts w:hint="default" w:ascii="Times New Roman" w:hAnsi="Times New Roman" w:cs="Times New Roman"/>
                <w:color w:val="auto"/>
                <w:lang w:eastAsia="zh-CN"/>
              </w:rPr>
              <w:t>。</w:t>
            </w:r>
          </w:p>
          <w:p w14:paraId="1B4DE1B3">
            <w:pPr>
              <w:bidi w:val="0"/>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）施工期废水</w:t>
            </w:r>
          </w:p>
          <w:p w14:paraId="35752632">
            <w:pPr>
              <w:bidi w:val="0"/>
              <w:rPr>
                <w:rFonts w:hint="default" w:ascii="Times New Roman" w:hAnsi="Times New Roman" w:cs="Times New Roman"/>
                <w:color w:val="auto"/>
              </w:rPr>
            </w:pPr>
            <w:r>
              <w:rPr>
                <w:rFonts w:hint="default" w:ascii="Times New Roman" w:hAnsi="Times New Roman" w:cs="Times New Roman"/>
                <w:color w:val="auto"/>
                <w:lang w:val="en-US" w:eastAsia="zh-CN"/>
              </w:rPr>
              <w:t>施工期主要为设备安装，无施工废水产生，</w:t>
            </w:r>
            <w:r>
              <w:rPr>
                <w:rFonts w:hint="default" w:ascii="Times New Roman" w:hAnsi="Times New Roman" w:cs="Times New Roman"/>
                <w:color w:val="auto"/>
              </w:rPr>
              <w:t>施工人员</w:t>
            </w:r>
            <w:r>
              <w:rPr>
                <w:rFonts w:hint="default" w:ascii="Times New Roman" w:hAnsi="Times New Roman" w:cs="Times New Roman"/>
                <w:color w:val="auto"/>
                <w:lang w:val="en-US" w:eastAsia="zh-CN"/>
              </w:rPr>
              <w:t>不在内食宿，生活粪污经旱厕化粪池收集后委托周边村民清掏。</w:t>
            </w:r>
          </w:p>
          <w:p w14:paraId="44F004E7">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2、运营期</w:t>
            </w:r>
          </w:p>
          <w:p w14:paraId="5832538D">
            <w:pPr>
              <w:bidi w:val="0"/>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rPr>
              <w:t>1）废气</w:t>
            </w:r>
          </w:p>
          <w:p w14:paraId="2890B95F">
            <w:pPr>
              <w:bidi w:val="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喷漆会产生挥发性有机物（以非甲烷总烃计）、二甲苯和漆雾，</w:t>
            </w:r>
            <w:r>
              <w:rPr>
                <w:rFonts w:hint="eastAsia" w:cs="Times New Roman"/>
                <w:color w:val="auto"/>
                <w:lang w:val="en-US" w:eastAsia="zh-CN"/>
              </w:rPr>
              <w:t>喷漆房密封设置</w:t>
            </w:r>
            <w:r>
              <w:rPr>
                <w:rFonts w:hint="default" w:ascii="Times New Roman" w:hAnsi="Times New Roman" w:cs="Times New Roman"/>
                <w:color w:val="auto"/>
                <w:lang w:val="en-US" w:eastAsia="zh-CN"/>
              </w:rPr>
              <w:t>，经负压收集废气至1套</w:t>
            </w:r>
            <w:r>
              <w:rPr>
                <w:rFonts w:hint="eastAsia" w:cs="Times New Roman"/>
                <w:color w:val="auto"/>
                <w:lang w:val="en-US" w:eastAsia="zh-CN"/>
              </w:rPr>
              <w:t>“水帘+活性炭吸附系统”</w:t>
            </w:r>
            <w:r>
              <w:rPr>
                <w:rFonts w:hint="default" w:ascii="Times New Roman" w:hAnsi="Times New Roman" w:cs="Times New Roman"/>
                <w:color w:val="auto"/>
                <w:lang w:val="en-US" w:eastAsia="zh-CN"/>
              </w:rPr>
              <w:t>装置处理后通过2</w:t>
            </w:r>
            <w:r>
              <w:rPr>
                <w:rFonts w:hint="eastAsia" w:cs="Times New Roman"/>
                <w:color w:val="auto"/>
                <w:lang w:val="en-US" w:eastAsia="zh-CN"/>
              </w:rPr>
              <w:t>5</w:t>
            </w:r>
            <w:r>
              <w:rPr>
                <w:rFonts w:hint="default" w:ascii="Times New Roman" w:hAnsi="Times New Roman" w:cs="Times New Roman"/>
                <w:color w:val="auto"/>
                <w:lang w:val="en-US" w:eastAsia="zh-CN"/>
              </w:rPr>
              <w:t>m高的排气筒（DA001）有组织排放。晾干会产生挥发性有机物（以非甲烷总烃）、二甲苯</w:t>
            </w:r>
            <w:r>
              <w:rPr>
                <w:rFonts w:hint="eastAsia" w:cs="Times New Roman"/>
                <w:color w:val="auto"/>
                <w:lang w:val="en-US" w:eastAsia="zh-CN"/>
              </w:rPr>
              <w:t>，晾干废气为无组织排放，</w:t>
            </w:r>
            <w:r>
              <w:rPr>
                <w:rFonts w:hint="default" w:ascii="Times New Roman" w:hAnsi="Times New Roman" w:cs="Times New Roman"/>
                <w:color w:val="auto"/>
                <w:lang w:val="en-US" w:eastAsia="zh-CN"/>
              </w:rPr>
              <w:t>非甲烷总烃、二甲苯、颗粒物排放执行《大气污染物综合排放标准》（GB16297-1996）中表2有组织最高允许速率、排放浓度及无组织排放监控浓度限值。</w:t>
            </w:r>
          </w:p>
          <w:p w14:paraId="52808BA6">
            <w:pPr>
              <w:bidi w:val="0"/>
              <w:rPr>
                <w:rFonts w:hint="default" w:ascii="Times New Roman" w:hAnsi="Times New Roman" w:cs="Times New Roman"/>
                <w:color w:val="auto"/>
                <w:lang w:eastAsia="zh-CN"/>
              </w:rPr>
            </w:pPr>
            <w:r>
              <w:rPr>
                <w:rFonts w:hint="default" w:ascii="Times New Roman" w:hAnsi="Times New Roman" w:cs="Times New Roman"/>
                <w:color w:val="auto"/>
              </w:rPr>
              <w:t>项</w:t>
            </w:r>
            <w:r>
              <w:rPr>
                <w:rFonts w:hint="default" w:ascii="Times New Roman" w:hAnsi="Times New Roman" w:cs="Times New Roman"/>
                <w:color w:val="auto"/>
                <w:lang w:val="en-US" w:eastAsia="zh-CN"/>
              </w:rPr>
              <w:t>目</w:t>
            </w:r>
            <w:r>
              <w:rPr>
                <w:rFonts w:hint="default" w:ascii="Times New Roman" w:hAnsi="Times New Roman" w:cs="Times New Roman"/>
                <w:color w:val="auto"/>
              </w:rPr>
              <w:t>周围200m范围内最高建筑物</w:t>
            </w:r>
            <w:r>
              <w:rPr>
                <w:rFonts w:hint="default" w:ascii="Times New Roman" w:hAnsi="Times New Roman" w:cs="Times New Roman"/>
                <w:color w:val="auto"/>
                <w:lang w:val="en-US" w:eastAsia="zh-CN"/>
              </w:rPr>
              <w:t>20</w:t>
            </w:r>
            <w:r>
              <w:rPr>
                <w:rFonts w:hint="default" w:ascii="Times New Roman" w:hAnsi="Times New Roman" w:cs="Times New Roman"/>
                <w:color w:val="auto"/>
              </w:rPr>
              <w:t>m</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沿用一楼的厂房为4层砖混结构，楼高20m</w:t>
            </w:r>
            <w:r>
              <w:rPr>
                <w:rFonts w:hint="default" w:ascii="Times New Roman" w:hAnsi="Times New Roman" w:cs="Times New Roman"/>
                <w:color w:val="auto"/>
                <w:lang w:eastAsia="zh-CN"/>
              </w:rPr>
              <w:t>）</w:t>
            </w:r>
            <w:r>
              <w:rPr>
                <w:rFonts w:hint="default" w:ascii="Times New Roman" w:hAnsi="Times New Roman" w:cs="Times New Roman"/>
                <w:color w:val="auto"/>
              </w:rPr>
              <w:t>，</w:t>
            </w:r>
            <w:r>
              <w:rPr>
                <w:rFonts w:hint="eastAsia" w:ascii="Times New Roman" w:hAnsi="Times New Roman" w:cs="Times New Roman"/>
                <w:color w:val="auto"/>
                <w:lang w:val="en-US" w:eastAsia="zh-CN"/>
              </w:rPr>
              <w:t>则排气筒最低应设为25m</w:t>
            </w:r>
            <w:r>
              <w:rPr>
                <w:rFonts w:hint="default" w:ascii="Times New Roman" w:hAnsi="Times New Roman" w:cs="Times New Roman"/>
                <w:color w:val="auto"/>
              </w:rPr>
              <w:t>。</w:t>
            </w:r>
            <w:r>
              <w:rPr>
                <w:rFonts w:hint="default" w:ascii="Times New Roman" w:hAnsi="Times New Roman" w:cs="Times New Roman"/>
                <w:color w:val="auto"/>
                <w:lang w:val="en-US" w:eastAsia="zh-CN"/>
              </w:rPr>
              <w:t>具体标准值详见下表。</w:t>
            </w:r>
          </w:p>
          <w:p w14:paraId="271FF5F7">
            <w:pPr>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表3-5  大气污染物综合排放标准   单位：mg/m</w:t>
            </w:r>
            <w:r>
              <w:rPr>
                <w:rFonts w:hint="default" w:ascii="Times New Roman" w:hAnsi="Times New Roman" w:cs="Times New Roman"/>
                <w:b/>
                <w:bCs/>
                <w:color w:val="auto"/>
                <w:vertAlign w:val="superscript"/>
                <w:lang w:val="en-US" w:eastAsia="zh-CN"/>
              </w:rPr>
              <w:t>3</w:t>
            </w:r>
          </w:p>
          <w:tbl>
            <w:tblPr>
              <w:tblStyle w:val="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698"/>
              <w:gridCol w:w="1318"/>
              <w:gridCol w:w="1150"/>
              <w:gridCol w:w="1210"/>
              <w:gridCol w:w="778"/>
              <w:gridCol w:w="1042"/>
              <w:gridCol w:w="1254"/>
            </w:tblGrid>
            <w:tr w14:paraId="76473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468" w:type="pct"/>
                  <w:vMerge w:val="restart"/>
                  <w:noWrap w:val="0"/>
                  <w:vAlign w:val="center"/>
                </w:tcPr>
                <w:p w14:paraId="78DB923E">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排放口</w:t>
                  </w:r>
                </w:p>
              </w:tc>
              <w:tc>
                <w:tcPr>
                  <w:tcW w:w="884" w:type="pct"/>
                  <w:vMerge w:val="restart"/>
                  <w:noWrap w:val="0"/>
                  <w:vAlign w:val="center"/>
                </w:tcPr>
                <w:p w14:paraId="0DAE160D">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rPr>
                  </w:pPr>
                  <w:r>
                    <w:rPr>
                      <w:rFonts w:hint="default" w:ascii="Times New Roman" w:hAnsi="Times New Roman" w:cs="Times New Roman"/>
                      <w:b/>
                      <w:bCs/>
                      <w:color w:val="auto"/>
                    </w:rPr>
                    <w:t>污染物</w:t>
                  </w:r>
                </w:p>
              </w:tc>
              <w:tc>
                <w:tcPr>
                  <w:tcW w:w="771" w:type="pct"/>
                  <w:vMerge w:val="restart"/>
                  <w:noWrap w:val="0"/>
                  <w:vAlign w:val="center"/>
                </w:tcPr>
                <w:p w14:paraId="54EEC63F">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rPr>
                  </w:pPr>
                  <w:r>
                    <w:rPr>
                      <w:rFonts w:hint="default" w:ascii="Times New Roman" w:hAnsi="Times New Roman" w:cs="Times New Roman"/>
                      <w:b/>
                      <w:bCs/>
                      <w:color w:val="auto"/>
                    </w:rPr>
                    <w:t>最高允许排放浓度</w:t>
                  </w:r>
                  <w:r>
                    <w:rPr>
                      <w:rFonts w:hint="default" w:ascii="Times New Roman" w:hAnsi="Times New Roman" w:cs="Times New Roman"/>
                      <w:b/>
                      <w:bCs/>
                      <w:color w:val="auto"/>
                      <w:lang w:eastAsia="zh-CN"/>
                    </w:rPr>
                    <w:t>（</w:t>
                  </w:r>
                  <w:r>
                    <w:rPr>
                      <w:rFonts w:hint="default" w:ascii="Times New Roman" w:hAnsi="Times New Roman" w:cs="Times New Roman"/>
                      <w:b/>
                      <w:bCs/>
                      <w:color w:val="auto"/>
                    </w:rPr>
                    <w:t>mg/m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w:t>
                  </w:r>
                </w:p>
              </w:tc>
              <w:tc>
                <w:tcPr>
                  <w:tcW w:w="1334" w:type="pct"/>
                  <w:gridSpan w:val="2"/>
                  <w:noWrap w:val="0"/>
                  <w:vAlign w:val="center"/>
                </w:tcPr>
                <w:p w14:paraId="788DBEC2">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rPr>
                    <w:t>最高允许排放</w:t>
                  </w:r>
                  <w:r>
                    <w:rPr>
                      <w:rFonts w:hint="default" w:ascii="Times New Roman" w:hAnsi="Times New Roman" w:cs="Times New Roman"/>
                      <w:b/>
                      <w:bCs/>
                      <w:color w:val="auto"/>
                      <w:lang w:val="en-US" w:eastAsia="zh-CN"/>
                    </w:rPr>
                    <w:t>速率</w:t>
                  </w:r>
                </w:p>
                <w:p w14:paraId="3AB99E3F">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rPr>
                    <w:t>kg/h）</w:t>
                  </w:r>
                </w:p>
              </w:tc>
              <w:tc>
                <w:tcPr>
                  <w:tcW w:w="1540" w:type="pct"/>
                  <w:gridSpan w:val="2"/>
                  <w:noWrap w:val="0"/>
                  <w:vAlign w:val="center"/>
                </w:tcPr>
                <w:p w14:paraId="3488CB1C">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rPr>
                  </w:pPr>
                  <w:r>
                    <w:rPr>
                      <w:rFonts w:hint="default" w:ascii="Times New Roman" w:hAnsi="Times New Roman" w:cs="Times New Roman"/>
                      <w:b/>
                      <w:bCs/>
                      <w:color w:val="auto"/>
                    </w:rPr>
                    <w:t>无组织排放监控浓度限值</w:t>
                  </w:r>
                </w:p>
              </w:tc>
            </w:tr>
            <w:tr w14:paraId="3E465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468" w:type="pct"/>
                  <w:vMerge w:val="continue"/>
                  <w:noWrap w:val="0"/>
                  <w:vAlign w:val="center"/>
                </w:tcPr>
                <w:p w14:paraId="1FF132E9">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rPr>
                  </w:pPr>
                </w:p>
              </w:tc>
              <w:tc>
                <w:tcPr>
                  <w:tcW w:w="884" w:type="pct"/>
                  <w:vMerge w:val="continue"/>
                  <w:noWrap w:val="0"/>
                  <w:vAlign w:val="center"/>
                </w:tcPr>
                <w:p w14:paraId="3209C064">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rPr>
                  </w:pPr>
                </w:p>
              </w:tc>
              <w:tc>
                <w:tcPr>
                  <w:tcW w:w="771" w:type="pct"/>
                  <w:vMerge w:val="continue"/>
                  <w:noWrap w:val="0"/>
                  <w:vAlign w:val="center"/>
                </w:tcPr>
                <w:p w14:paraId="10DE15E4">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rPr>
                  </w:pPr>
                </w:p>
              </w:tc>
              <w:tc>
                <w:tcPr>
                  <w:tcW w:w="812" w:type="pct"/>
                  <w:noWrap w:val="0"/>
                  <w:vAlign w:val="center"/>
                </w:tcPr>
                <w:p w14:paraId="7BA939DC">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rPr>
                  </w:pPr>
                  <w:r>
                    <w:rPr>
                      <w:rFonts w:hint="default" w:ascii="Times New Roman" w:hAnsi="Times New Roman" w:cs="Times New Roman"/>
                      <w:b/>
                      <w:bCs/>
                      <w:color w:val="auto"/>
                    </w:rPr>
                    <w:t>排气筒高度</w:t>
                  </w:r>
                  <w:r>
                    <w:rPr>
                      <w:rFonts w:hint="default" w:ascii="Times New Roman" w:hAnsi="Times New Roman" w:cs="Times New Roman"/>
                      <w:b/>
                      <w:bCs/>
                      <w:color w:val="auto"/>
                      <w:lang w:eastAsia="zh-CN"/>
                    </w:rPr>
                    <w:t>（</w:t>
                  </w:r>
                  <w:r>
                    <w:rPr>
                      <w:rFonts w:hint="default" w:ascii="Times New Roman" w:hAnsi="Times New Roman" w:cs="Times New Roman"/>
                      <w:b/>
                      <w:bCs/>
                      <w:color w:val="auto"/>
                    </w:rPr>
                    <w:t>m）</w:t>
                  </w:r>
                </w:p>
              </w:tc>
              <w:tc>
                <w:tcPr>
                  <w:tcW w:w="522" w:type="pct"/>
                  <w:noWrap w:val="0"/>
                  <w:vAlign w:val="center"/>
                </w:tcPr>
                <w:p w14:paraId="72667E33">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rPr>
                    <w:t>二级</w:t>
                  </w:r>
                  <w:r>
                    <w:rPr>
                      <w:rFonts w:hint="default" w:ascii="Times New Roman" w:hAnsi="Times New Roman" w:cs="Times New Roman"/>
                      <w:b/>
                      <w:bCs/>
                      <w:color w:val="auto"/>
                      <w:lang w:val="en-US" w:eastAsia="zh-CN"/>
                    </w:rPr>
                    <w:t>标准</w:t>
                  </w:r>
                </w:p>
              </w:tc>
              <w:tc>
                <w:tcPr>
                  <w:tcW w:w="699" w:type="pct"/>
                  <w:noWrap w:val="0"/>
                  <w:vAlign w:val="center"/>
                </w:tcPr>
                <w:p w14:paraId="7BC27DF4">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rPr>
                  </w:pPr>
                  <w:r>
                    <w:rPr>
                      <w:rFonts w:hint="default" w:ascii="Times New Roman" w:hAnsi="Times New Roman" w:cs="Times New Roman"/>
                      <w:b/>
                      <w:bCs/>
                      <w:color w:val="auto"/>
                    </w:rPr>
                    <w:t>监控点</w:t>
                  </w:r>
                </w:p>
              </w:tc>
              <w:tc>
                <w:tcPr>
                  <w:tcW w:w="841" w:type="pct"/>
                  <w:noWrap w:val="0"/>
                  <w:vAlign w:val="center"/>
                </w:tcPr>
                <w:p w14:paraId="0E0E2297">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rPr>
                  </w:pPr>
                  <w:r>
                    <w:rPr>
                      <w:rFonts w:hint="default" w:ascii="Times New Roman" w:hAnsi="Times New Roman" w:cs="Times New Roman"/>
                      <w:b/>
                      <w:bCs/>
                      <w:color w:val="auto"/>
                    </w:rPr>
                    <w:t>浓度</w:t>
                  </w:r>
                  <w:r>
                    <w:rPr>
                      <w:rFonts w:hint="default" w:ascii="Times New Roman" w:hAnsi="Times New Roman" w:cs="Times New Roman"/>
                      <w:b/>
                      <w:bCs/>
                      <w:color w:val="auto"/>
                      <w:lang w:eastAsia="zh-CN"/>
                    </w:rPr>
                    <w:t>（</w:t>
                  </w:r>
                  <w:r>
                    <w:rPr>
                      <w:rFonts w:hint="default" w:ascii="Times New Roman" w:hAnsi="Times New Roman" w:cs="Times New Roman"/>
                      <w:b/>
                      <w:bCs/>
                      <w:color w:val="auto"/>
                    </w:rPr>
                    <w:t>mg/m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w:t>
                  </w:r>
                </w:p>
              </w:tc>
            </w:tr>
            <w:tr w14:paraId="1A186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468" w:type="pct"/>
                  <w:vMerge w:val="restart"/>
                  <w:noWrap w:val="0"/>
                  <w:vAlign w:val="center"/>
                </w:tcPr>
                <w:p w14:paraId="203976CA">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DA001</w:t>
                  </w:r>
                </w:p>
              </w:tc>
              <w:tc>
                <w:tcPr>
                  <w:tcW w:w="884" w:type="pct"/>
                  <w:noWrap w:val="0"/>
                  <w:vAlign w:val="center"/>
                </w:tcPr>
                <w:p w14:paraId="4A449D40">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非甲烷总烃</w:t>
                  </w:r>
                </w:p>
              </w:tc>
              <w:tc>
                <w:tcPr>
                  <w:tcW w:w="771" w:type="pct"/>
                  <w:noWrap w:val="0"/>
                  <w:vAlign w:val="center"/>
                </w:tcPr>
                <w:p w14:paraId="571E6B15">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120</w:t>
                  </w:r>
                </w:p>
              </w:tc>
              <w:tc>
                <w:tcPr>
                  <w:tcW w:w="812" w:type="pct"/>
                  <w:vMerge w:val="restart"/>
                  <w:noWrap w:val="0"/>
                  <w:vAlign w:val="center"/>
                </w:tcPr>
                <w:p w14:paraId="2C86FB48">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eastAsia" w:cs="Times New Roman"/>
                      <w:color w:val="auto"/>
                      <w:lang w:val="en-US" w:eastAsia="zh-CN"/>
                    </w:rPr>
                    <w:t>25</w:t>
                  </w:r>
                </w:p>
              </w:tc>
              <w:tc>
                <w:tcPr>
                  <w:tcW w:w="522" w:type="pct"/>
                  <w:noWrap w:val="0"/>
                  <w:vAlign w:val="center"/>
                </w:tcPr>
                <w:p w14:paraId="7701BFF1">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eastAsia" w:cs="Times New Roman"/>
                      <w:color w:val="auto"/>
                      <w:lang w:val="en-US" w:eastAsia="zh-CN"/>
                    </w:rPr>
                    <w:t>35</w:t>
                  </w:r>
                </w:p>
              </w:tc>
              <w:tc>
                <w:tcPr>
                  <w:tcW w:w="699" w:type="pct"/>
                  <w:vMerge w:val="restart"/>
                  <w:noWrap w:val="0"/>
                  <w:vAlign w:val="center"/>
                </w:tcPr>
                <w:p w14:paraId="2D6AAC6F">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周界外浓度最高点</w:t>
                  </w:r>
                </w:p>
              </w:tc>
              <w:tc>
                <w:tcPr>
                  <w:tcW w:w="841" w:type="pct"/>
                  <w:noWrap w:val="0"/>
                  <w:vAlign w:val="center"/>
                </w:tcPr>
                <w:p w14:paraId="0FAE1AB5">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w:t>
                  </w:r>
                </w:p>
              </w:tc>
            </w:tr>
            <w:tr w14:paraId="411DD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468" w:type="pct"/>
                  <w:vMerge w:val="continue"/>
                  <w:noWrap w:val="0"/>
                  <w:vAlign w:val="center"/>
                </w:tcPr>
                <w:p w14:paraId="51FEF7B4">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p>
              </w:tc>
              <w:tc>
                <w:tcPr>
                  <w:tcW w:w="884" w:type="pct"/>
                  <w:noWrap w:val="0"/>
                  <w:vAlign w:val="center"/>
                </w:tcPr>
                <w:p w14:paraId="6CA8B580">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二甲苯</w:t>
                  </w:r>
                </w:p>
              </w:tc>
              <w:tc>
                <w:tcPr>
                  <w:tcW w:w="771" w:type="pct"/>
                  <w:noWrap w:val="0"/>
                  <w:vAlign w:val="center"/>
                </w:tcPr>
                <w:p w14:paraId="4415128A">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70</w:t>
                  </w:r>
                </w:p>
              </w:tc>
              <w:tc>
                <w:tcPr>
                  <w:tcW w:w="812" w:type="pct"/>
                  <w:vMerge w:val="continue"/>
                  <w:noWrap w:val="0"/>
                  <w:vAlign w:val="center"/>
                </w:tcPr>
                <w:p w14:paraId="6CB6EC39">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p>
              </w:tc>
              <w:tc>
                <w:tcPr>
                  <w:tcW w:w="522" w:type="pct"/>
                  <w:noWrap w:val="0"/>
                  <w:vAlign w:val="center"/>
                </w:tcPr>
                <w:p w14:paraId="5B9D50DB">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eastAsia" w:cs="Times New Roman"/>
                      <w:color w:val="auto"/>
                      <w:lang w:val="en-US" w:eastAsia="zh-CN"/>
                    </w:rPr>
                    <w:t>3.8</w:t>
                  </w:r>
                </w:p>
              </w:tc>
              <w:tc>
                <w:tcPr>
                  <w:tcW w:w="699" w:type="pct"/>
                  <w:vMerge w:val="continue"/>
                  <w:noWrap w:val="0"/>
                  <w:vAlign w:val="center"/>
                </w:tcPr>
                <w:p w14:paraId="18F8FABF">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p>
              </w:tc>
              <w:tc>
                <w:tcPr>
                  <w:tcW w:w="841" w:type="pct"/>
                  <w:noWrap w:val="0"/>
                  <w:vAlign w:val="center"/>
                </w:tcPr>
                <w:p w14:paraId="4CFDBD47">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1.</w:t>
                  </w:r>
                  <w:r>
                    <w:rPr>
                      <w:rFonts w:hint="default" w:ascii="Times New Roman" w:hAnsi="Times New Roman" w:cs="Times New Roman"/>
                      <w:color w:val="auto"/>
                      <w:lang w:val="en-US" w:eastAsia="zh-CN"/>
                    </w:rPr>
                    <w:t>2</w:t>
                  </w:r>
                </w:p>
              </w:tc>
            </w:tr>
            <w:tr w14:paraId="4A30B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468" w:type="pct"/>
                  <w:vMerge w:val="continue"/>
                  <w:noWrap w:val="0"/>
                  <w:vAlign w:val="center"/>
                </w:tcPr>
                <w:p w14:paraId="2913A954">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p>
              </w:tc>
              <w:tc>
                <w:tcPr>
                  <w:tcW w:w="884" w:type="pct"/>
                  <w:noWrap w:val="0"/>
                  <w:vAlign w:val="center"/>
                </w:tcPr>
                <w:p w14:paraId="778C80E9">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颗粒物</w:t>
                  </w:r>
                </w:p>
              </w:tc>
              <w:tc>
                <w:tcPr>
                  <w:tcW w:w="771" w:type="pct"/>
                  <w:noWrap w:val="0"/>
                  <w:vAlign w:val="center"/>
                </w:tcPr>
                <w:p w14:paraId="688DC4C7">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120</w:t>
                  </w:r>
                </w:p>
              </w:tc>
              <w:tc>
                <w:tcPr>
                  <w:tcW w:w="812" w:type="pct"/>
                  <w:vMerge w:val="continue"/>
                  <w:noWrap w:val="0"/>
                  <w:vAlign w:val="center"/>
                </w:tcPr>
                <w:p w14:paraId="2904A9EB">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p>
              </w:tc>
              <w:tc>
                <w:tcPr>
                  <w:tcW w:w="522" w:type="pct"/>
                  <w:noWrap w:val="0"/>
                  <w:vAlign w:val="center"/>
                </w:tcPr>
                <w:p w14:paraId="376A8355">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eastAsia" w:cs="Times New Roman"/>
                      <w:color w:val="auto"/>
                      <w:lang w:val="en-US" w:eastAsia="zh-CN"/>
                    </w:rPr>
                    <w:t>14.45</w:t>
                  </w:r>
                </w:p>
              </w:tc>
              <w:tc>
                <w:tcPr>
                  <w:tcW w:w="699" w:type="pct"/>
                  <w:vMerge w:val="continue"/>
                  <w:noWrap w:val="0"/>
                  <w:vAlign w:val="center"/>
                </w:tcPr>
                <w:p w14:paraId="49674DEC">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p>
              </w:tc>
              <w:tc>
                <w:tcPr>
                  <w:tcW w:w="841" w:type="pct"/>
                  <w:noWrap w:val="0"/>
                  <w:vAlign w:val="center"/>
                </w:tcPr>
                <w:p w14:paraId="72DCD3C9">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1.0</w:t>
                  </w:r>
                </w:p>
              </w:tc>
            </w:tr>
          </w:tbl>
          <w:p w14:paraId="5BA705E7">
            <w:pPr>
              <w:bidi w:val="0"/>
              <w:rPr>
                <w:rFonts w:hint="default" w:ascii="Times New Roman" w:hAnsi="Times New Roman" w:cs="Times New Roman"/>
                <w:color w:val="auto"/>
              </w:rPr>
            </w:pPr>
            <w:r>
              <w:rPr>
                <w:rFonts w:hint="eastAsia" w:cs="Times New Roman"/>
                <w:color w:val="auto"/>
                <w:lang w:val="en-US" w:eastAsia="zh-CN"/>
              </w:rPr>
              <w:t>②生产</w:t>
            </w:r>
            <w:r>
              <w:rPr>
                <w:rFonts w:hint="default" w:ascii="Times New Roman" w:hAnsi="Times New Roman" w:cs="Times New Roman"/>
                <w:color w:val="auto"/>
              </w:rPr>
              <w:t>过程中产生的厂内无组织VOCs</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以非甲烷总烃计</w:t>
            </w:r>
            <w:r>
              <w:rPr>
                <w:rFonts w:hint="default" w:ascii="Times New Roman" w:hAnsi="Times New Roman" w:cs="Times New Roman"/>
                <w:color w:val="auto"/>
                <w:lang w:eastAsia="zh-CN"/>
              </w:rPr>
              <w:t>）</w:t>
            </w:r>
            <w:r>
              <w:rPr>
                <w:rFonts w:hint="default" w:ascii="Times New Roman" w:hAnsi="Times New Roman" w:cs="Times New Roman"/>
                <w:color w:val="auto"/>
              </w:rPr>
              <w:t>执行《挥发性有机物无组织排放控制标准》</w:t>
            </w:r>
            <w:r>
              <w:rPr>
                <w:rFonts w:hint="default" w:ascii="Times New Roman" w:hAnsi="Times New Roman" w:cs="Times New Roman"/>
                <w:color w:val="auto"/>
                <w:lang w:eastAsia="zh-CN"/>
              </w:rPr>
              <w:t>（</w:t>
            </w:r>
            <w:r>
              <w:rPr>
                <w:rFonts w:hint="default" w:ascii="Times New Roman" w:hAnsi="Times New Roman" w:cs="Times New Roman"/>
                <w:color w:val="auto"/>
              </w:rPr>
              <w:t>GB37822-2019）</w:t>
            </w:r>
            <w:r>
              <w:rPr>
                <w:rFonts w:hint="default" w:ascii="Times New Roman" w:hAnsi="Times New Roman" w:cs="Times New Roman"/>
                <w:color w:val="auto"/>
                <w:lang w:eastAsia="zh-CN"/>
              </w:rPr>
              <w:t>，</w:t>
            </w:r>
            <w:r>
              <w:rPr>
                <w:rFonts w:hint="default" w:ascii="Times New Roman" w:hAnsi="Times New Roman" w:cs="Times New Roman"/>
                <w:color w:val="auto"/>
              </w:rPr>
              <w:t>标准值详见表</w:t>
            </w:r>
            <w:r>
              <w:rPr>
                <w:rFonts w:hint="default" w:ascii="Times New Roman" w:hAnsi="Times New Roman" w:cs="Times New Roman"/>
                <w:color w:val="auto"/>
                <w:lang w:val="en-US" w:eastAsia="zh-CN"/>
              </w:rPr>
              <w:t>3-6</w:t>
            </w:r>
            <w:r>
              <w:rPr>
                <w:rFonts w:hint="default" w:ascii="Times New Roman" w:hAnsi="Times New Roman" w:cs="Times New Roman"/>
                <w:color w:val="auto"/>
                <w:lang w:eastAsia="zh-CN"/>
              </w:rPr>
              <w:t>。</w:t>
            </w:r>
          </w:p>
          <w:p w14:paraId="355B84BB">
            <w:pPr>
              <w:bidi w:val="0"/>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 xml:space="preserve">6 </w:t>
            </w:r>
            <w:r>
              <w:rPr>
                <w:rFonts w:hint="default" w:ascii="Times New Roman" w:hAnsi="Times New Roman" w:cs="Times New Roman"/>
                <w:b/>
                <w:bCs/>
                <w:color w:val="auto"/>
              </w:rPr>
              <w:t xml:space="preserve"> 厂区内</w:t>
            </w:r>
            <w:r>
              <w:rPr>
                <w:rFonts w:hint="default" w:ascii="Times New Roman" w:hAnsi="Times New Roman" w:cs="Times New Roman"/>
                <w:b/>
                <w:bCs/>
                <w:color w:val="auto"/>
                <w:lang w:val="en-US" w:eastAsia="zh-CN"/>
              </w:rPr>
              <w:t>非甲烷总烃</w:t>
            </w:r>
            <w:r>
              <w:rPr>
                <w:rFonts w:hint="default" w:ascii="Times New Roman" w:hAnsi="Times New Roman" w:cs="Times New Roman"/>
                <w:b/>
                <w:bCs/>
                <w:color w:val="auto"/>
              </w:rPr>
              <w:t>无组织排放限值</w:t>
            </w:r>
          </w:p>
          <w:tbl>
            <w:tblPr>
              <w:tblStyle w:val="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1266"/>
              <w:gridCol w:w="2644"/>
              <w:gridCol w:w="2147"/>
            </w:tblGrid>
            <w:tr w14:paraId="7CE8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33" w:type="pct"/>
                  <w:noWrap w:val="0"/>
                  <w:vAlign w:val="center"/>
                </w:tcPr>
                <w:p w14:paraId="2BA9EB19">
                  <w:pPr>
                    <w:pStyle w:val="14"/>
                    <w:bidi w:val="0"/>
                    <w:rPr>
                      <w:rFonts w:hint="default" w:ascii="Times New Roman" w:hAnsi="Times New Roman" w:cs="Times New Roman"/>
                      <w:b/>
                      <w:bCs/>
                      <w:color w:val="auto"/>
                    </w:rPr>
                  </w:pPr>
                  <w:r>
                    <w:rPr>
                      <w:rFonts w:hint="default" w:ascii="Times New Roman" w:hAnsi="Times New Roman" w:cs="Times New Roman"/>
                      <w:b/>
                      <w:bCs/>
                      <w:color w:val="auto"/>
                    </w:rPr>
                    <w:t>污染物项目</w:t>
                  </w:r>
                </w:p>
              </w:tc>
              <w:tc>
                <w:tcPr>
                  <w:tcW w:w="850" w:type="pct"/>
                  <w:noWrap w:val="0"/>
                  <w:vAlign w:val="center"/>
                </w:tcPr>
                <w:p w14:paraId="0D722318">
                  <w:pPr>
                    <w:pStyle w:val="14"/>
                    <w:bidi w:val="0"/>
                    <w:rPr>
                      <w:rFonts w:hint="default" w:ascii="Times New Roman" w:hAnsi="Times New Roman" w:cs="Times New Roman"/>
                      <w:b/>
                      <w:bCs/>
                      <w:color w:val="auto"/>
                    </w:rPr>
                  </w:pPr>
                  <w:r>
                    <w:rPr>
                      <w:rFonts w:hint="default" w:ascii="Times New Roman" w:hAnsi="Times New Roman" w:cs="Times New Roman"/>
                      <w:b/>
                      <w:bCs/>
                      <w:color w:val="auto"/>
                    </w:rPr>
                    <w:t>排放限值mg/m</w:t>
                  </w:r>
                  <w:r>
                    <w:rPr>
                      <w:rFonts w:hint="default" w:ascii="Times New Roman" w:hAnsi="Times New Roman" w:cs="Times New Roman"/>
                      <w:b/>
                      <w:bCs/>
                      <w:color w:val="auto"/>
                      <w:vertAlign w:val="superscript"/>
                    </w:rPr>
                    <w:t>3</w:t>
                  </w:r>
                </w:p>
              </w:tc>
              <w:tc>
                <w:tcPr>
                  <w:tcW w:w="1775" w:type="pct"/>
                  <w:noWrap w:val="0"/>
                  <w:vAlign w:val="center"/>
                </w:tcPr>
                <w:p w14:paraId="3994C2DA">
                  <w:pPr>
                    <w:pStyle w:val="14"/>
                    <w:bidi w:val="0"/>
                    <w:rPr>
                      <w:rFonts w:hint="default" w:ascii="Times New Roman" w:hAnsi="Times New Roman" w:cs="Times New Roman"/>
                      <w:b/>
                      <w:bCs/>
                      <w:color w:val="auto"/>
                    </w:rPr>
                  </w:pPr>
                  <w:r>
                    <w:rPr>
                      <w:rFonts w:hint="default" w:ascii="Times New Roman" w:hAnsi="Times New Roman" w:cs="Times New Roman"/>
                      <w:b/>
                      <w:bCs/>
                      <w:color w:val="auto"/>
                    </w:rPr>
                    <w:t>限值含义</w:t>
                  </w:r>
                </w:p>
              </w:tc>
              <w:tc>
                <w:tcPr>
                  <w:tcW w:w="1441" w:type="pct"/>
                  <w:noWrap w:val="0"/>
                  <w:vAlign w:val="center"/>
                </w:tcPr>
                <w:p w14:paraId="15BD7426">
                  <w:pPr>
                    <w:pStyle w:val="14"/>
                    <w:bidi w:val="0"/>
                    <w:rPr>
                      <w:rFonts w:hint="default" w:ascii="Times New Roman" w:hAnsi="Times New Roman" w:cs="Times New Roman"/>
                      <w:b/>
                      <w:bCs/>
                      <w:color w:val="auto"/>
                    </w:rPr>
                  </w:pPr>
                  <w:r>
                    <w:rPr>
                      <w:rFonts w:hint="default" w:ascii="Times New Roman" w:hAnsi="Times New Roman" w:cs="Times New Roman"/>
                      <w:b/>
                      <w:bCs/>
                      <w:color w:val="auto"/>
                    </w:rPr>
                    <w:t>无组织排放监控位置</w:t>
                  </w:r>
                </w:p>
              </w:tc>
            </w:tr>
            <w:tr w14:paraId="55A0C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33" w:type="pct"/>
                  <w:vMerge w:val="restart"/>
                  <w:noWrap w:val="0"/>
                  <w:vAlign w:val="center"/>
                </w:tcPr>
                <w:p w14:paraId="4C44F080">
                  <w:pPr>
                    <w:pStyle w:val="14"/>
                    <w:bidi w:val="0"/>
                    <w:rPr>
                      <w:rFonts w:hint="default" w:ascii="Times New Roman" w:hAnsi="Times New Roman" w:cs="Times New Roman"/>
                      <w:color w:val="auto"/>
                      <w:lang w:eastAsia="zh-CN"/>
                    </w:rPr>
                  </w:pPr>
                  <w:r>
                    <w:rPr>
                      <w:rFonts w:hint="default" w:ascii="Times New Roman" w:hAnsi="Times New Roman" w:cs="Times New Roman"/>
                      <w:color w:val="auto"/>
                    </w:rPr>
                    <w:t>NMHC</w:t>
                  </w:r>
                </w:p>
              </w:tc>
              <w:tc>
                <w:tcPr>
                  <w:tcW w:w="850" w:type="pct"/>
                  <w:noWrap w:val="0"/>
                  <w:vAlign w:val="center"/>
                </w:tcPr>
                <w:p w14:paraId="1FDFCAF0">
                  <w:pPr>
                    <w:pStyle w:val="14"/>
                    <w:bidi w:val="0"/>
                    <w:rPr>
                      <w:rFonts w:hint="default" w:ascii="Times New Roman" w:hAnsi="Times New Roman" w:cs="Times New Roman"/>
                      <w:color w:val="auto"/>
                    </w:rPr>
                  </w:pPr>
                  <w:r>
                    <w:rPr>
                      <w:rFonts w:hint="default" w:ascii="Times New Roman" w:hAnsi="Times New Roman" w:cs="Times New Roman"/>
                      <w:color w:val="auto"/>
                    </w:rPr>
                    <w:t>10</w:t>
                  </w:r>
                </w:p>
              </w:tc>
              <w:tc>
                <w:tcPr>
                  <w:tcW w:w="1775" w:type="pct"/>
                  <w:noWrap w:val="0"/>
                  <w:vAlign w:val="center"/>
                </w:tcPr>
                <w:p w14:paraId="68BC4792">
                  <w:pPr>
                    <w:pStyle w:val="14"/>
                    <w:bidi w:val="0"/>
                    <w:rPr>
                      <w:rFonts w:hint="default" w:ascii="Times New Roman" w:hAnsi="Times New Roman" w:cs="Times New Roman"/>
                      <w:color w:val="auto"/>
                    </w:rPr>
                  </w:pPr>
                  <w:r>
                    <w:rPr>
                      <w:rFonts w:hint="default" w:ascii="Times New Roman" w:hAnsi="Times New Roman" w:cs="Times New Roman"/>
                      <w:color w:val="auto"/>
                    </w:rPr>
                    <w:t>监控点处1h平均浓度值</w:t>
                  </w:r>
                </w:p>
              </w:tc>
              <w:tc>
                <w:tcPr>
                  <w:tcW w:w="1441" w:type="pct"/>
                  <w:vMerge w:val="restart"/>
                  <w:noWrap w:val="0"/>
                  <w:vAlign w:val="center"/>
                </w:tcPr>
                <w:p w14:paraId="54EAFE48">
                  <w:pPr>
                    <w:pStyle w:val="14"/>
                    <w:bidi w:val="0"/>
                    <w:rPr>
                      <w:rFonts w:hint="default" w:ascii="Times New Roman" w:hAnsi="Times New Roman" w:cs="Times New Roman"/>
                      <w:color w:val="auto"/>
                    </w:rPr>
                  </w:pPr>
                  <w:r>
                    <w:rPr>
                      <w:rFonts w:hint="default" w:ascii="Times New Roman" w:hAnsi="Times New Roman" w:cs="Times New Roman"/>
                      <w:color w:val="auto"/>
                    </w:rPr>
                    <w:t>在厂房外设置监控点</w:t>
                  </w:r>
                </w:p>
              </w:tc>
            </w:tr>
            <w:tr w14:paraId="380E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33" w:type="pct"/>
                  <w:vMerge w:val="continue"/>
                  <w:noWrap w:val="0"/>
                  <w:vAlign w:val="center"/>
                </w:tcPr>
                <w:p w14:paraId="0FAFE6BF">
                  <w:pPr>
                    <w:pStyle w:val="14"/>
                    <w:bidi w:val="0"/>
                    <w:rPr>
                      <w:rFonts w:hint="default" w:ascii="Times New Roman" w:hAnsi="Times New Roman" w:cs="Times New Roman"/>
                      <w:color w:val="auto"/>
                    </w:rPr>
                  </w:pPr>
                </w:p>
              </w:tc>
              <w:tc>
                <w:tcPr>
                  <w:tcW w:w="850" w:type="pct"/>
                  <w:noWrap w:val="0"/>
                  <w:vAlign w:val="center"/>
                </w:tcPr>
                <w:p w14:paraId="28800EE0">
                  <w:pPr>
                    <w:pStyle w:val="14"/>
                    <w:bidi w:val="0"/>
                    <w:rPr>
                      <w:rFonts w:hint="default" w:ascii="Times New Roman" w:hAnsi="Times New Roman" w:cs="Times New Roman"/>
                      <w:color w:val="auto"/>
                    </w:rPr>
                  </w:pPr>
                  <w:r>
                    <w:rPr>
                      <w:rFonts w:hint="default" w:ascii="Times New Roman" w:hAnsi="Times New Roman" w:cs="Times New Roman"/>
                      <w:color w:val="auto"/>
                    </w:rPr>
                    <w:t>30</w:t>
                  </w:r>
                </w:p>
              </w:tc>
              <w:tc>
                <w:tcPr>
                  <w:tcW w:w="1775" w:type="pct"/>
                  <w:noWrap w:val="0"/>
                  <w:vAlign w:val="center"/>
                </w:tcPr>
                <w:p w14:paraId="643FDE6B">
                  <w:pPr>
                    <w:pStyle w:val="14"/>
                    <w:bidi w:val="0"/>
                    <w:rPr>
                      <w:rFonts w:hint="default" w:ascii="Times New Roman" w:hAnsi="Times New Roman" w:cs="Times New Roman"/>
                      <w:color w:val="auto"/>
                    </w:rPr>
                  </w:pPr>
                  <w:r>
                    <w:rPr>
                      <w:rFonts w:hint="default" w:ascii="Times New Roman" w:hAnsi="Times New Roman" w:cs="Times New Roman"/>
                      <w:color w:val="auto"/>
                    </w:rPr>
                    <w:t>监控点处任意一次浓度值</w:t>
                  </w:r>
                </w:p>
              </w:tc>
              <w:tc>
                <w:tcPr>
                  <w:tcW w:w="1441" w:type="pct"/>
                  <w:vMerge w:val="continue"/>
                  <w:noWrap w:val="0"/>
                  <w:vAlign w:val="center"/>
                </w:tcPr>
                <w:p w14:paraId="59B457C7">
                  <w:pPr>
                    <w:pStyle w:val="14"/>
                    <w:bidi w:val="0"/>
                    <w:rPr>
                      <w:rFonts w:hint="default" w:ascii="Times New Roman" w:hAnsi="Times New Roman" w:cs="Times New Roman"/>
                      <w:color w:val="auto"/>
                    </w:rPr>
                  </w:pPr>
                </w:p>
              </w:tc>
            </w:tr>
          </w:tbl>
          <w:p w14:paraId="53F4E6A3">
            <w:pPr>
              <w:bidi w:val="0"/>
              <w:rPr>
                <w:rFonts w:hint="default"/>
                <w:color w:val="auto"/>
                <w:lang w:val="en-US" w:eastAsia="zh-CN"/>
              </w:rPr>
            </w:pPr>
            <w:r>
              <w:rPr>
                <w:rFonts w:hint="eastAsia" w:cs="Times New Roman"/>
                <w:b w:val="0"/>
                <w:bCs w:val="0"/>
                <w:color w:val="auto"/>
                <w:lang w:val="en-US" w:eastAsia="zh-CN"/>
              </w:rPr>
              <w:t>③</w:t>
            </w:r>
            <w:r>
              <w:rPr>
                <w:rFonts w:hint="eastAsia"/>
                <w:color w:val="auto"/>
                <w:lang w:val="en-US" w:eastAsia="zh-CN"/>
              </w:rPr>
              <w:t>生产过程以及旱厕化粪池</w:t>
            </w:r>
            <w:r>
              <w:rPr>
                <w:rFonts w:hint="eastAsia"/>
                <w:color w:val="auto"/>
                <w:lang w:eastAsia="zh-CN"/>
              </w:rPr>
              <w:t>会有少量异味产生，</w:t>
            </w:r>
            <w:r>
              <w:rPr>
                <w:rFonts w:hint="eastAsia"/>
                <w:color w:val="auto"/>
                <w:lang w:val="en-US" w:eastAsia="zh-CN"/>
              </w:rPr>
              <w:t>厂界异味气体执行《恶臭污染物排放标准》（GB14554-93）中“臭气浓度”新扩改建二级标准</w:t>
            </w:r>
            <w:r>
              <w:rPr>
                <w:rFonts w:hint="default"/>
                <w:color w:val="auto"/>
                <w:lang w:val="en-US" w:eastAsia="zh-CN"/>
              </w:rPr>
              <w:t>。</w:t>
            </w:r>
          </w:p>
          <w:p w14:paraId="45C16157">
            <w:pPr>
              <w:bidi w:val="0"/>
              <w:jc w:val="center"/>
              <w:rPr>
                <w:rFonts w:hint="default"/>
                <w:b/>
                <w:bCs/>
                <w:color w:val="auto"/>
              </w:rPr>
            </w:pPr>
            <w:r>
              <w:rPr>
                <w:rFonts w:hint="default"/>
                <w:b/>
                <w:bCs/>
                <w:color w:val="auto"/>
              </w:rPr>
              <w:t>表</w:t>
            </w:r>
            <w:r>
              <w:rPr>
                <w:rFonts w:hint="eastAsia"/>
                <w:b/>
                <w:bCs/>
                <w:color w:val="auto"/>
                <w:lang w:val="en-US" w:eastAsia="zh-CN"/>
              </w:rPr>
              <w:t>3-7</w:t>
            </w:r>
            <w:r>
              <w:rPr>
                <w:rFonts w:hint="default"/>
                <w:b/>
                <w:bCs/>
                <w:color w:val="auto"/>
                <w:lang w:val="en-US" w:eastAsia="zh-CN"/>
              </w:rPr>
              <w:t xml:space="preserve">  无组织</w:t>
            </w:r>
            <w:r>
              <w:rPr>
                <w:rFonts w:hint="eastAsia"/>
                <w:b/>
                <w:bCs/>
                <w:color w:val="auto"/>
                <w:lang w:val="en-US" w:eastAsia="zh-CN"/>
              </w:rPr>
              <w:t>异味</w:t>
            </w:r>
            <w:r>
              <w:rPr>
                <w:rFonts w:hint="default"/>
                <w:b/>
                <w:bCs/>
                <w:color w:val="auto"/>
              </w:rPr>
              <w:t>排放标准限值一览表</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1640"/>
              <w:gridCol w:w="1556"/>
              <w:gridCol w:w="2852"/>
            </w:tblGrid>
            <w:tr w14:paraId="67376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02" w:type="dxa"/>
                  <w:noWrap/>
                  <w:vAlign w:val="center"/>
                </w:tcPr>
                <w:p w14:paraId="6AD81CA8">
                  <w:pPr>
                    <w:pStyle w:val="14"/>
                    <w:bidi w:val="0"/>
                    <w:rPr>
                      <w:rFonts w:hint="default"/>
                      <w:b/>
                      <w:bCs/>
                      <w:color w:val="auto"/>
                      <w:lang w:val="en-US" w:eastAsia="zh-CN"/>
                    </w:rPr>
                  </w:pPr>
                  <w:r>
                    <w:rPr>
                      <w:rFonts w:hint="default"/>
                      <w:b/>
                      <w:bCs/>
                      <w:color w:val="auto"/>
                    </w:rPr>
                    <w:t>污染物</w:t>
                  </w:r>
                </w:p>
              </w:tc>
              <w:tc>
                <w:tcPr>
                  <w:tcW w:w="1640" w:type="dxa"/>
                  <w:noWrap/>
                  <w:vAlign w:val="center"/>
                </w:tcPr>
                <w:p w14:paraId="34F65FA9">
                  <w:pPr>
                    <w:pStyle w:val="14"/>
                    <w:bidi w:val="0"/>
                    <w:rPr>
                      <w:rFonts w:hint="default"/>
                      <w:b/>
                      <w:bCs/>
                      <w:color w:val="auto"/>
                      <w:lang w:val="en-US" w:eastAsia="zh-CN"/>
                    </w:rPr>
                  </w:pPr>
                  <w:r>
                    <w:rPr>
                      <w:rFonts w:hint="default"/>
                      <w:b/>
                      <w:bCs/>
                      <w:color w:val="auto"/>
                      <w:lang w:val="en-US" w:eastAsia="zh-CN"/>
                    </w:rPr>
                    <w:t>执行标准</w:t>
                  </w:r>
                </w:p>
              </w:tc>
              <w:tc>
                <w:tcPr>
                  <w:tcW w:w="1556" w:type="dxa"/>
                  <w:noWrap/>
                  <w:vAlign w:val="center"/>
                </w:tcPr>
                <w:p w14:paraId="6CA2BB3C">
                  <w:pPr>
                    <w:pStyle w:val="14"/>
                    <w:bidi w:val="0"/>
                    <w:rPr>
                      <w:rFonts w:hint="default"/>
                      <w:b/>
                      <w:bCs/>
                      <w:color w:val="auto"/>
                      <w:lang w:val="en-US" w:eastAsia="zh-CN"/>
                    </w:rPr>
                  </w:pPr>
                  <w:r>
                    <w:rPr>
                      <w:rFonts w:hint="default"/>
                      <w:b/>
                      <w:bCs/>
                      <w:color w:val="auto"/>
                      <w:lang w:val="en-US" w:eastAsia="zh-CN"/>
                    </w:rPr>
                    <w:t>监控</w:t>
                  </w:r>
                  <w:r>
                    <w:rPr>
                      <w:rFonts w:hint="eastAsia"/>
                      <w:b/>
                      <w:bCs/>
                      <w:color w:val="auto"/>
                      <w:lang w:val="en-US" w:eastAsia="zh-CN"/>
                    </w:rPr>
                    <w:t>要求</w:t>
                  </w:r>
                </w:p>
              </w:tc>
              <w:tc>
                <w:tcPr>
                  <w:tcW w:w="2852" w:type="dxa"/>
                  <w:noWrap/>
                  <w:vAlign w:val="center"/>
                </w:tcPr>
                <w:p w14:paraId="51709937">
                  <w:pPr>
                    <w:pStyle w:val="14"/>
                    <w:bidi w:val="0"/>
                    <w:rPr>
                      <w:rFonts w:hint="default"/>
                      <w:b/>
                      <w:bCs/>
                      <w:color w:val="auto"/>
                    </w:rPr>
                  </w:pPr>
                  <w:r>
                    <w:rPr>
                      <w:rFonts w:hint="default"/>
                      <w:b/>
                      <w:bCs/>
                      <w:color w:val="auto"/>
                    </w:rPr>
                    <w:t>浓度</w:t>
                  </w:r>
                  <w:r>
                    <w:rPr>
                      <w:rFonts w:hint="default"/>
                      <w:b/>
                      <w:bCs/>
                      <w:color w:val="auto"/>
                      <w:lang w:val="en-US" w:eastAsia="zh-CN"/>
                    </w:rPr>
                    <w:t>限值</w:t>
                  </w:r>
                  <w:r>
                    <w:rPr>
                      <w:rFonts w:hint="default"/>
                      <w:b/>
                      <w:bCs/>
                      <w:color w:val="auto"/>
                    </w:rPr>
                    <w:t>（mg/m</w:t>
                  </w:r>
                  <w:r>
                    <w:rPr>
                      <w:rFonts w:hint="default"/>
                      <w:b/>
                      <w:bCs/>
                      <w:color w:val="auto"/>
                      <w:vertAlign w:val="superscript"/>
                    </w:rPr>
                    <w:t>3</w:t>
                  </w:r>
                  <w:r>
                    <w:rPr>
                      <w:rFonts w:hint="default"/>
                      <w:b/>
                      <w:bCs/>
                      <w:color w:val="auto"/>
                    </w:rPr>
                    <w:t>）</w:t>
                  </w:r>
                </w:p>
              </w:tc>
            </w:tr>
            <w:tr w14:paraId="02408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02" w:type="dxa"/>
                  <w:noWrap/>
                  <w:vAlign w:val="center"/>
                </w:tcPr>
                <w:p w14:paraId="662EEF18">
                  <w:pPr>
                    <w:pStyle w:val="14"/>
                    <w:bidi w:val="0"/>
                    <w:rPr>
                      <w:rFonts w:hint="default" w:eastAsia="宋体"/>
                      <w:color w:val="auto"/>
                      <w:lang w:val="en-US" w:eastAsia="zh-CN"/>
                    </w:rPr>
                  </w:pPr>
                  <w:r>
                    <w:rPr>
                      <w:rFonts w:hint="eastAsia"/>
                      <w:color w:val="auto"/>
                      <w:lang w:val="en-US" w:eastAsia="zh-CN"/>
                    </w:rPr>
                    <w:t>臭气浓度</w:t>
                  </w:r>
                </w:p>
              </w:tc>
              <w:tc>
                <w:tcPr>
                  <w:tcW w:w="1640" w:type="dxa"/>
                  <w:noWrap/>
                  <w:vAlign w:val="center"/>
                </w:tcPr>
                <w:p w14:paraId="5B4220CE">
                  <w:pPr>
                    <w:pStyle w:val="14"/>
                    <w:bidi w:val="0"/>
                    <w:rPr>
                      <w:rFonts w:hint="default"/>
                      <w:color w:val="auto"/>
                    </w:rPr>
                  </w:pPr>
                  <w:r>
                    <w:rPr>
                      <w:rFonts w:hint="eastAsia"/>
                      <w:color w:val="auto"/>
                      <w:lang w:val="en-US" w:eastAsia="zh-CN"/>
                    </w:rPr>
                    <w:t>GB14554-93</w:t>
                  </w:r>
                </w:p>
              </w:tc>
              <w:tc>
                <w:tcPr>
                  <w:tcW w:w="1556" w:type="dxa"/>
                  <w:noWrap/>
                  <w:vAlign w:val="center"/>
                </w:tcPr>
                <w:p w14:paraId="65B0F6C7">
                  <w:pPr>
                    <w:pStyle w:val="14"/>
                    <w:bidi w:val="0"/>
                    <w:rPr>
                      <w:rFonts w:hint="eastAsia" w:eastAsia="宋体"/>
                      <w:color w:val="auto"/>
                      <w:lang w:val="en-US" w:eastAsia="zh-CN"/>
                    </w:rPr>
                  </w:pPr>
                  <w:r>
                    <w:rPr>
                      <w:rFonts w:hint="eastAsia"/>
                      <w:color w:val="auto"/>
                      <w:lang w:val="en-US" w:eastAsia="zh-CN"/>
                    </w:rPr>
                    <w:t>厂界</w:t>
                  </w:r>
                </w:p>
              </w:tc>
              <w:tc>
                <w:tcPr>
                  <w:tcW w:w="2852" w:type="dxa"/>
                  <w:noWrap/>
                  <w:vAlign w:val="center"/>
                </w:tcPr>
                <w:p w14:paraId="0BD844B4">
                  <w:pPr>
                    <w:pStyle w:val="14"/>
                    <w:bidi w:val="0"/>
                    <w:rPr>
                      <w:rFonts w:hint="default" w:eastAsia="宋体"/>
                      <w:color w:val="auto"/>
                      <w:lang w:val="en-US" w:eastAsia="zh-CN"/>
                    </w:rPr>
                  </w:pPr>
                  <w:r>
                    <w:rPr>
                      <w:rFonts w:hint="eastAsia"/>
                      <w:color w:val="auto"/>
                      <w:lang w:val="en-US" w:eastAsia="zh-CN"/>
                    </w:rPr>
                    <w:t>20（无量纲）</w:t>
                  </w:r>
                </w:p>
              </w:tc>
            </w:tr>
          </w:tbl>
          <w:p w14:paraId="47CCC3E3">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2）废水</w:t>
            </w:r>
          </w:p>
          <w:p w14:paraId="0E1CAF1D">
            <w:pPr>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项目生产过程不用水，无废水产生。</w:t>
            </w:r>
            <w:r>
              <w:rPr>
                <w:rFonts w:hint="eastAsia"/>
                <w:color w:val="auto"/>
                <w:lang w:val="en-US" w:eastAsia="zh-CN"/>
              </w:rPr>
              <w:t>喷漆废气处理系统需定期补充水帘系统用水，定期更换的水帘系统废液属于危险废物，委托有资质的单位清运处置。</w:t>
            </w:r>
            <w:r>
              <w:rPr>
                <w:rFonts w:hint="default" w:ascii="Times New Roman" w:hAnsi="Times New Roman" w:cs="Times New Roman"/>
                <w:color w:val="auto"/>
                <w:lang w:val="en-US" w:eastAsia="zh-CN"/>
              </w:rPr>
              <w:t>项目不设置生活区，产生的少量办公废水经沉淀池收集后回用于项目区洒水降尘，项目无废水排放，因此，本次评价不设置废水排放标准。</w:t>
            </w:r>
          </w:p>
          <w:p w14:paraId="06392BF7">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3）噪声</w:t>
            </w:r>
          </w:p>
          <w:p w14:paraId="74270107">
            <w:pPr>
              <w:bidi w:val="0"/>
              <w:rPr>
                <w:rFonts w:hint="default" w:ascii="Times New Roman" w:hAnsi="Times New Roman" w:cs="Times New Roman"/>
                <w:color w:val="auto"/>
              </w:rPr>
            </w:pPr>
            <w:r>
              <w:rPr>
                <w:rFonts w:hint="default" w:ascii="Times New Roman" w:hAnsi="Times New Roman" w:cs="Times New Roman"/>
                <w:color w:val="auto"/>
              </w:rPr>
              <w:t>项目</w:t>
            </w:r>
            <w:r>
              <w:rPr>
                <w:rFonts w:hint="default" w:ascii="Times New Roman" w:hAnsi="Times New Roman" w:cs="Times New Roman"/>
                <w:color w:val="auto"/>
                <w:lang w:val="en-US" w:eastAsia="zh-CN"/>
              </w:rPr>
              <w:t>夜间不生产，</w:t>
            </w:r>
            <w:r>
              <w:rPr>
                <w:rFonts w:hint="default" w:ascii="Times New Roman" w:hAnsi="Times New Roman" w:cs="Times New Roman"/>
                <w:color w:val="auto"/>
              </w:rPr>
              <w:t>运营期厂界执行《工业企业厂界环境噪声排放标准》</w:t>
            </w:r>
            <w:r>
              <w:rPr>
                <w:rFonts w:hint="default" w:ascii="Times New Roman" w:hAnsi="Times New Roman" w:cs="Times New Roman"/>
                <w:color w:val="auto"/>
                <w:lang w:eastAsia="zh-CN"/>
              </w:rPr>
              <w:t>（</w:t>
            </w:r>
            <w:r>
              <w:rPr>
                <w:rFonts w:hint="default" w:ascii="Times New Roman" w:hAnsi="Times New Roman" w:cs="Times New Roman"/>
                <w:color w:val="auto"/>
              </w:rPr>
              <w:t>GB12348-2008）</w:t>
            </w:r>
            <w:r>
              <w:rPr>
                <w:rFonts w:hint="eastAsia" w:cs="Times New Roman"/>
                <w:color w:val="auto"/>
                <w:lang w:val="en-US" w:eastAsia="zh-CN"/>
              </w:rPr>
              <w:t>3</w:t>
            </w:r>
            <w:r>
              <w:rPr>
                <w:rFonts w:hint="default" w:ascii="Times New Roman" w:hAnsi="Times New Roman" w:cs="Times New Roman"/>
                <w:color w:val="auto"/>
              </w:rPr>
              <w:t>类标准，其具体标准值详见下表。</w:t>
            </w:r>
          </w:p>
          <w:p w14:paraId="005F5842">
            <w:pPr>
              <w:bidi w:val="0"/>
              <w:rPr>
                <w:rFonts w:hint="default" w:ascii="Times New Roman" w:hAnsi="Times New Roman" w:cs="Times New Roman"/>
                <w:b/>
                <w:bCs/>
                <w:color w:val="auto"/>
              </w:rPr>
            </w:pPr>
            <w:r>
              <w:rPr>
                <w:rFonts w:hint="default" w:ascii="Times New Roman" w:hAnsi="Times New Roman" w:cs="Times New Roman"/>
                <w:b/>
                <w:bCs/>
                <w:color w:val="auto"/>
              </w:rPr>
              <w:t>表3-</w:t>
            </w:r>
            <w:r>
              <w:rPr>
                <w:rFonts w:hint="eastAsia" w:cs="Times New Roman"/>
                <w:b/>
                <w:bCs/>
                <w:color w:val="auto"/>
                <w:lang w:val="en-US" w:eastAsia="zh-CN"/>
              </w:rPr>
              <w:t>8</w:t>
            </w:r>
            <w:r>
              <w:rPr>
                <w:rFonts w:hint="default" w:ascii="Times New Roman" w:hAnsi="Times New Roman" w:cs="Times New Roman"/>
                <w:b/>
                <w:bCs/>
                <w:color w:val="auto"/>
              </w:rPr>
              <w:t xml:space="preserve">  工业企业厂界环境噪声排放标准   单位：dB</w:t>
            </w:r>
            <w:r>
              <w:rPr>
                <w:rFonts w:hint="default" w:ascii="Times New Roman" w:hAnsi="Times New Roman" w:cs="Times New Roman"/>
                <w:b/>
                <w:bCs/>
                <w:color w:val="auto"/>
                <w:lang w:eastAsia="zh-CN"/>
              </w:rPr>
              <w:t>（</w:t>
            </w:r>
            <w:r>
              <w:rPr>
                <w:rFonts w:hint="default" w:ascii="Times New Roman" w:hAnsi="Times New Roman" w:cs="Times New Roman"/>
                <w:b/>
                <w:bCs/>
                <w:color w:val="auto"/>
              </w:rPr>
              <w:t>A）</w:t>
            </w:r>
          </w:p>
          <w:tbl>
            <w:tblPr>
              <w:tblStyle w:val="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2138"/>
              <w:gridCol w:w="1642"/>
              <w:gridCol w:w="1530"/>
            </w:tblGrid>
            <w:tr w14:paraId="1B867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9" w:type="dxa"/>
                  <w:vMerge w:val="restart"/>
                  <w:tcBorders>
                    <w:top w:val="single" w:color="auto" w:sz="4" w:space="0"/>
                    <w:left w:val="single" w:color="auto" w:sz="4" w:space="0"/>
                    <w:bottom w:val="single" w:color="auto" w:sz="4" w:space="0"/>
                    <w:right w:val="single" w:color="auto" w:sz="4" w:space="0"/>
                  </w:tcBorders>
                  <w:noWrap w:val="0"/>
                  <w:vAlign w:val="center"/>
                </w:tcPr>
                <w:p w14:paraId="50E5403A">
                  <w:pPr>
                    <w:pStyle w:val="14"/>
                    <w:bidi w:val="0"/>
                    <w:rPr>
                      <w:rFonts w:hint="default" w:ascii="Times New Roman" w:hAnsi="Times New Roman" w:cs="Times New Roman"/>
                      <w:b/>
                      <w:bCs/>
                      <w:color w:val="auto"/>
                    </w:rPr>
                  </w:pPr>
                  <w:r>
                    <w:rPr>
                      <w:rFonts w:hint="default" w:ascii="Times New Roman" w:hAnsi="Times New Roman" w:cs="Times New Roman"/>
                      <w:b/>
                      <w:bCs/>
                      <w:color w:val="auto"/>
                    </w:rPr>
                    <w:t>厂界</w:t>
                  </w:r>
                </w:p>
              </w:tc>
              <w:tc>
                <w:tcPr>
                  <w:tcW w:w="2138" w:type="dxa"/>
                  <w:vMerge w:val="restart"/>
                  <w:tcBorders>
                    <w:top w:val="single" w:color="auto" w:sz="4" w:space="0"/>
                    <w:left w:val="single" w:color="auto" w:sz="4" w:space="0"/>
                    <w:bottom w:val="single" w:color="auto" w:sz="4" w:space="0"/>
                    <w:right w:val="single" w:color="auto" w:sz="4" w:space="0"/>
                  </w:tcBorders>
                  <w:noWrap w:val="0"/>
                  <w:vAlign w:val="center"/>
                </w:tcPr>
                <w:p w14:paraId="2AA0C183">
                  <w:pPr>
                    <w:pStyle w:val="14"/>
                    <w:bidi w:val="0"/>
                    <w:rPr>
                      <w:rFonts w:hint="default" w:ascii="Times New Roman" w:hAnsi="Times New Roman" w:cs="Times New Roman"/>
                      <w:b/>
                      <w:bCs/>
                      <w:color w:val="auto"/>
                    </w:rPr>
                  </w:pPr>
                  <w:r>
                    <w:rPr>
                      <w:rFonts w:hint="default" w:ascii="Times New Roman" w:hAnsi="Times New Roman" w:cs="Times New Roman"/>
                      <w:b/>
                      <w:bCs/>
                      <w:color w:val="auto"/>
                    </w:rPr>
                    <w:t>声环境功能区类别</w:t>
                  </w:r>
                </w:p>
              </w:tc>
              <w:tc>
                <w:tcPr>
                  <w:tcW w:w="3172" w:type="dxa"/>
                  <w:gridSpan w:val="2"/>
                  <w:tcBorders>
                    <w:top w:val="single" w:color="auto" w:sz="4" w:space="0"/>
                    <w:left w:val="single" w:color="auto" w:sz="4" w:space="0"/>
                    <w:bottom w:val="single" w:color="auto" w:sz="4" w:space="0"/>
                    <w:right w:val="single" w:color="auto" w:sz="4" w:space="0"/>
                  </w:tcBorders>
                  <w:noWrap w:val="0"/>
                  <w:vAlign w:val="center"/>
                </w:tcPr>
                <w:p w14:paraId="042836A7">
                  <w:pPr>
                    <w:pStyle w:val="14"/>
                    <w:bidi w:val="0"/>
                    <w:rPr>
                      <w:rFonts w:hint="default" w:ascii="Times New Roman" w:hAnsi="Times New Roman" w:cs="Times New Roman"/>
                      <w:b/>
                      <w:bCs/>
                      <w:color w:val="auto"/>
                    </w:rPr>
                  </w:pPr>
                  <w:r>
                    <w:rPr>
                      <w:rFonts w:hint="default" w:ascii="Times New Roman" w:hAnsi="Times New Roman" w:cs="Times New Roman"/>
                      <w:b/>
                      <w:bCs/>
                      <w:color w:val="auto"/>
                    </w:rPr>
                    <w:t>等效声级[dB</w:t>
                  </w:r>
                  <w:r>
                    <w:rPr>
                      <w:rFonts w:hint="default" w:ascii="Times New Roman" w:hAnsi="Times New Roman" w:cs="Times New Roman"/>
                      <w:b/>
                      <w:bCs/>
                      <w:color w:val="auto"/>
                      <w:lang w:eastAsia="zh-CN"/>
                    </w:rPr>
                    <w:t>（</w:t>
                  </w:r>
                  <w:r>
                    <w:rPr>
                      <w:rFonts w:hint="default" w:ascii="Times New Roman" w:hAnsi="Times New Roman" w:cs="Times New Roman"/>
                      <w:b/>
                      <w:bCs/>
                      <w:color w:val="auto"/>
                    </w:rPr>
                    <w:t>A</w:t>
                  </w:r>
                  <w:r>
                    <w:rPr>
                      <w:rFonts w:hint="default" w:ascii="Times New Roman" w:hAnsi="Times New Roman" w:cs="Times New Roman"/>
                      <w:b/>
                      <w:bCs/>
                      <w:color w:val="auto"/>
                      <w:lang w:eastAsia="zh-CN"/>
                    </w:rPr>
                    <w:t>）</w:t>
                  </w:r>
                  <w:r>
                    <w:rPr>
                      <w:rFonts w:hint="default" w:ascii="Times New Roman" w:hAnsi="Times New Roman" w:cs="Times New Roman"/>
                      <w:b/>
                      <w:bCs/>
                      <w:color w:val="auto"/>
                    </w:rPr>
                    <w:t>]</w:t>
                  </w:r>
                </w:p>
              </w:tc>
            </w:tr>
            <w:tr w14:paraId="4E80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9" w:type="dxa"/>
                  <w:vMerge w:val="continue"/>
                  <w:tcBorders>
                    <w:top w:val="single" w:color="auto" w:sz="4" w:space="0"/>
                    <w:left w:val="single" w:color="auto" w:sz="4" w:space="0"/>
                    <w:bottom w:val="single" w:color="auto" w:sz="4" w:space="0"/>
                    <w:right w:val="single" w:color="auto" w:sz="4" w:space="0"/>
                  </w:tcBorders>
                  <w:noWrap w:val="0"/>
                  <w:vAlign w:val="center"/>
                </w:tcPr>
                <w:p w14:paraId="21BFFBE9">
                  <w:pPr>
                    <w:pStyle w:val="14"/>
                    <w:bidi w:val="0"/>
                    <w:rPr>
                      <w:rFonts w:hint="default" w:ascii="Times New Roman" w:hAnsi="Times New Roman" w:cs="Times New Roman"/>
                      <w:b/>
                      <w:bCs/>
                      <w:color w:val="auto"/>
                    </w:rPr>
                  </w:pPr>
                </w:p>
              </w:tc>
              <w:tc>
                <w:tcPr>
                  <w:tcW w:w="2138" w:type="dxa"/>
                  <w:vMerge w:val="continue"/>
                  <w:tcBorders>
                    <w:top w:val="single" w:color="auto" w:sz="4" w:space="0"/>
                    <w:left w:val="single" w:color="auto" w:sz="4" w:space="0"/>
                    <w:bottom w:val="single" w:color="auto" w:sz="4" w:space="0"/>
                    <w:right w:val="single" w:color="auto" w:sz="4" w:space="0"/>
                  </w:tcBorders>
                  <w:noWrap w:val="0"/>
                  <w:vAlign w:val="center"/>
                </w:tcPr>
                <w:p w14:paraId="6CDDFD88">
                  <w:pPr>
                    <w:pStyle w:val="14"/>
                    <w:bidi w:val="0"/>
                    <w:rPr>
                      <w:rFonts w:hint="default" w:ascii="Times New Roman" w:hAnsi="Times New Roman" w:cs="Times New Roman"/>
                      <w:b/>
                      <w:bCs/>
                      <w:color w:val="auto"/>
                    </w:rPr>
                  </w:pPr>
                </w:p>
              </w:tc>
              <w:tc>
                <w:tcPr>
                  <w:tcW w:w="1642" w:type="dxa"/>
                  <w:tcBorders>
                    <w:top w:val="single" w:color="auto" w:sz="4" w:space="0"/>
                    <w:left w:val="single" w:color="auto" w:sz="4" w:space="0"/>
                    <w:bottom w:val="single" w:color="auto" w:sz="4" w:space="0"/>
                    <w:right w:val="single" w:color="auto" w:sz="4" w:space="0"/>
                  </w:tcBorders>
                  <w:noWrap w:val="0"/>
                  <w:vAlign w:val="center"/>
                </w:tcPr>
                <w:p w14:paraId="1CC76222">
                  <w:pPr>
                    <w:pStyle w:val="14"/>
                    <w:bidi w:val="0"/>
                    <w:rPr>
                      <w:rFonts w:hint="default" w:ascii="Times New Roman" w:hAnsi="Times New Roman" w:cs="Times New Roman"/>
                      <w:b/>
                      <w:bCs/>
                      <w:color w:val="auto"/>
                    </w:rPr>
                  </w:pPr>
                  <w:r>
                    <w:rPr>
                      <w:rFonts w:hint="default" w:ascii="Times New Roman" w:hAnsi="Times New Roman" w:cs="Times New Roman"/>
                      <w:b/>
                      <w:bCs/>
                      <w:color w:val="auto"/>
                    </w:rPr>
                    <w:t>昼间</w:t>
                  </w:r>
                </w:p>
              </w:tc>
              <w:tc>
                <w:tcPr>
                  <w:tcW w:w="1530" w:type="dxa"/>
                  <w:tcBorders>
                    <w:top w:val="single" w:color="auto" w:sz="4" w:space="0"/>
                    <w:left w:val="single" w:color="auto" w:sz="4" w:space="0"/>
                    <w:bottom w:val="single" w:color="auto" w:sz="4" w:space="0"/>
                    <w:right w:val="single" w:color="auto" w:sz="4" w:space="0"/>
                  </w:tcBorders>
                  <w:noWrap w:val="0"/>
                  <w:vAlign w:val="center"/>
                </w:tcPr>
                <w:p w14:paraId="5A5E0CA9">
                  <w:pPr>
                    <w:pStyle w:val="14"/>
                    <w:bidi w:val="0"/>
                    <w:rPr>
                      <w:rFonts w:hint="default" w:ascii="Times New Roman" w:hAnsi="Times New Roman" w:cs="Times New Roman"/>
                      <w:b/>
                      <w:bCs/>
                      <w:color w:val="auto"/>
                    </w:rPr>
                  </w:pPr>
                  <w:r>
                    <w:rPr>
                      <w:rFonts w:hint="default" w:ascii="Times New Roman" w:hAnsi="Times New Roman" w:cs="Times New Roman"/>
                      <w:b/>
                      <w:bCs/>
                      <w:color w:val="auto"/>
                    </w:rPr>
                    <w:t>夜间</w:t>
                  </w:r>
                </w:p>
              </w:tc>
            </w:tr>
            <w:tr w14:paraId="2EC2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9" w:type="dxa"/>
                  <w:tcBorders>
                    <w:top w:val="single" w:color="auto" w:sz="4" w:space="0"/>
                    <w:left w:val="single" w:color="auto" w:sz="4" w:space="0"/>
                    <w:bottom w:val="single" w:color="auto" w:sz="4" w:space="0"/>
                    <w:right w:val="single" w:color="auto" w:sz="4" w:space="0"/>
                  </w:tcBorders>
                  <w:noWrap w:val="0"/>
                  <w:vAlign w:val="center"/>
                </w:tcPr>
                <w:p w14:paraId="08B9F543">
                  <w:pPr>
                    <w:pStyle w:val="14"/>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厂界噪声</w:t>
                  </w:r>
                </w:p>
              </w:tc>
              <w:tc>
                <w:tcPr>
                  <w:tcW w:w="2138" w:type="dxa"/>
                  <w:tcBorders>
                    <w:top w:val="single" w:color="auto" w:sz="4" w:space="0"/>
                    <w:left w:val="single" w:color="auto" w:sz="4" w:space="0"/>
                    <w:bottom w:val="single" w:color="auto" w:sz="4" w:space="0"/>
                    <w:right w:val="single" w:color="auto" w:sz="4" w:space="0"/>
                  </w:tcBorders>
                  <w:noWrap w:val="0"/>
                  <w:vAlign w:val="center"/>
                </w:tcPr>
                <w:p w14:paraId="292F4643">
                  <w:pPr>
                    <w:pStyle w:val="14"/>
                    <w:bidi w:val="0"/>
                    <w:rPr>
                      <w:rFonts w:hint="default" w:ascii="Times New Roman" w:hAnsi="Times New Roman" w:cs="Times New Roman"/>
                      <w:color w:val="auto"/>
                    </w:rPr>
                  </w:pPr>
                  <w:r>
                    <w:rPr>
                      <w:rFonts w:hint="eastAsia" w:cs="Times New Roman"/>
                      <w:color w:val="auto"/>
                      <w:lang w:val="en-US" w:eastAsia="zh-CN"/>
                    </w:rPr>
                    <w:t>3</w:t>
                  </w:r>
                  <w:r>
                    <w:rPr>
                      <w:rFonts w:hint="default" w:ascii="Times New Roman" w:hAnsi="Times New Roman" w:cs="Times New Roman"/>
                      <w:color w:val="auto"/>
                    </w:rPr>
                    <w:t>类</w:t>
                  </w:r>
                </w:p>
              </w:tc>
              <w:tc>
                <w:tcPr>
                  <w:tcW w:w="1642" w:type="dxa"/>
                  <w:tcBorders>
                    <w:top w:val="single" w:color="auto" w:sz="4" w:space="0"/>
                    <w:left w:val="single" w:color="auto" w:sz="4" w:space="0"/>
                    <w:bottom w:val="single" w:color="auto" w:sz="4" w:space="0"/>
                    <w:right w:val="single" w:color="auto" w:sz="4" w:space="0"/>
                  </w:tcBorders>
                  <w:noWrap w:val="0"/>
                  <w:vAlign w:val="center"/>
                </w:tcPr>
                <w:p w14:paraId="7BD39CBB">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w:t>
                  </w:r>
                  <w:r>
                    <w:rPr>
                      <w:rFonts w:hint="eastAsia" w:cs="Times New Roman"/>
                      <w:color w:val="auto"/>
                      <w:lang w:val="en-US" w:eastAsia="zh-CN"/>
                    </w:rPr>
                    <w:t>5</w:t>
                  </w:r>
                </w:p>
              </w:tc>
              <w:tc>
                <w:tcPr>
                  <w:tcW w:w="1530" w:type="dxa"/>
                  <w:tcBorders>
                    <w:top w:val="single" w:color="auto" w:sz="4" w:space="0"/>
                    <w:left w:val="single" w:color="auto" w:sz="4" w:space="0"/>
                    <w:bottom w:val="single" w:color="auto" w:sz="4" w:space="0"/>
                    <w:right w:val="single" w:color="auto" w:sz="4" w:space="0"/>
                  </w:tcBorders>
                  <w:noWrap w:val="0"/>
                  <w:vAlign w:val="center"/>
                </w:tcPr>
                <w:p w14:paraId="4A91A0B3">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r>
                    <w:rPr>
                      <w:rFonts w:hint="eastAsia" w:cs="Times New Roman"/>
                      <w:color w:val="auto"/>
                      <w:lang w:val="en-US" w:eastAsia="zh-CN"/>
                    </w:rPr>
                    <w:t>5</w:t>
                  </w:r>
                </w:p>
              </w:tc>
            </w:tr>
          </w:tbl>
          <w:p w14:paraId="5B793B07">
            <w:pPr>
              <w:bidi w:val="0"/>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4</w:t>
            </w:r>
            <w:r>
              <w:rPr>
                <w:rFonts w:hint="default" w:ascii="Times New Roman" w:hAnsi="Times New Roman" w:cs="Times New Roman"/>
                <w:b/>
                <w:bCs/>
                <w:color w:val="auto"/>
              </w:rPr>
              <w:t>）固体废弃物</w:t>
            </w:r>
          </w:p>
          <w:p w14:paraId="718DAF35">
            <w:pPr>
              <w:bidi w:val="0"/>
              <w:rPr>
                <w:rFonts w:hint="default" w:ascii="Times New Roman" w:hAnsi="Times New Roman" w:cs="Times New Roman"/>
                <w:color w:val="auto"/>
                <w:vertAlign w:val="baseline"/>
              </w:rPr>
            </w:pPr>
            <w:r>
              <w:rPr>
                <w:rFonts w:hint="default" w:ascii="Times New Roman" w:hAnsi="Times New Roman" w:cs="Times New Roman"/>
                <w:color w:val="auto"/>
                <w:lang w:val="en-US" w:eastAsia="zh-CN"/>
              </w:rPr>
              <w:t>本项目产生的一般工业固废执行《一般工业固体废物贮存和填埋污染控制标准》（GB18599-2020）要求</w:t>
            </w:r>
            <w:r>
              <w:rPr>
                <w:rFonts w:hint="eastAsia" w:cs="Times New Roman"/>
                <w:color w:val="auto"/>
                <w:lang w:val="en-US" w:eastAsia="zh-CN"/>
              </w:rPr>
              <w:t>；</w:t>
            </w:r>
            <w:r>
              <w:rPr>
                <w:rFonts w:hint="default" w:ascii="Times New Roman" w:hAnsi="Times New Roman" w:cs="Times New Roman"/>
                <w:color w:val="auto"/>
                <w:sz w:val="24"/>
                <w:szCs w:val="24"/>
              </w:rPr>
              <w:t>危险废物执行《危险废物贮存污染控制标准》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GB18597-2023），妥善处理，不得形成二次污染</w:t>
            </w:r>
            <w:r>
              <w:rPr>
                <w:rFonts w:hint="default" w:ascii="Times New Roman" w:hAnsi="Times New Roman" w:cs="Times New Roman"/>
                <w:color w:val="auto"/>
                <w:sz w:val="24"/>
                <w:szCs w:val="24"/>
                <w:lang w:eastAsia="zh-CN"/>
              </w:rPr>
              <w:t>。</w:t>
            </w:r>
          </w:p>
        </w:tc>
      </w:tr>
      <w:tr w14:paraId="1D77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7854D2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总量控制指标</w:t>
            </w:r>
          </w:p>
        </w:tc>
        <w:tc>
          <w:tcPr>
            <w:tcW w:w="7676" w:type="dxa"/>
            <w:vAlign w:val="center"/>
          </w:tcPr>
          <w:p w14:paraId="70A9C4DC">
            <w:pPr>
              <w:bidi w:val="0"/>
              <w:ind w:left="0" w:leftChars="0" w:firstLine="0" w:firstLineChars="0"/>
              <w:jc w:val="left"/>
              <w:rPr>
                <w:rFonts w:hint="default" w:ascii="Times New Roman" w:hAnsi="Times New Roman" w:cs="Times New Roman"/>
                <w:b/>
                <w:bCs/>
                <w:color w:val="auto"/>
                <w:lang w:eastAsia="zh-CN"/>
              </w:rPr>
            </w:pPr>
            <w:r>
              <w:rPr>
                <w:rFonts w:hint="default" w:ascii="Times New Roman" w:hAnsi="Times New Roman" w:cs="Times New Roman"/>
                <w:b/>
                <w:bCs/>
                <w:color w:val="auto"/>
              </w:rPr>
              <w:t>建议的总量控制指标</w:t>
            </w:r>
            <w:r>
              <w:rPr>
                <w:rFonts w:hint="default" w:ascii="Times New Roman" w:hAnsi="Times New Roman" w:cs="Times New Roman"/>
                <w:b/>
                <w:bCs/>
                <w:color w:val="auto"/>
                <w:lang w:eastAsia="zh-CN"/>
              </w:rPr>
              <w:t>：</w:t>
            </w:r>
          </w:p>
          <w:p w14:paraId="2351C768">
            <w:pPr>
              <w:bidi w:val="0"/>
              <w:rPr>
                <w:rFonts w:hint="default" w:ascii="Times New Roman" w:hAnsi="Times New Roman" w:cs="Times New Roman"/>
                <w:color w:val="auto"/>
                <w:lang w:val="en-US" w:eastAsia="zh-CN"/>
              </w:rPr>
            </w:pPr>
            <w:r>
              <w:rPr>
                <w:rFonts w:hint="default" w:ascii="Times New Roman" w:hAnsi="Times New Roman" w:cs="Times New Roman"/>
                <w:color w:val="auto"/>
              </w:rPr>
              <w:t>根据本项目的具体情况，结合国家污染物排放总量控制原则，建议本项目的总量控制指标如下</w:t>
            </w:r>
            <w:r>
              <w:rPr>
                <w:rFonts w:hint="default" w:ascii="Times New Roman" w:hAnsi="Times New Roman" w:cs="Times New Roman"/>
                <w:color w:val="auto"/>
                <w:lang w:val="en-US" w:eastAsia="zh-CN"/>
              </w:rPr>
              <w:t>：</w:t>
            </w:r>
          </w:p>
          <w:p w14:paraId="52DDA974">
            <w:pPr>
              <w:bidi w:val="0"/>
              <w:rPr>
                <w:rFonts w:hint="default" w:ascii="Times New Roman" w:hAnsi="Times New Roman" w:cs="Times New Roman"/>
                <w:b/>
                <w:bCs/>
                <w:color w:val="auto"/>
              </w:rPr>
            </w:pPr>
            <w:r>
              <w:rPr>
                <w:rFonts w:hint="default" w:ascii="Times New Roman" w:hAnsi="Times New Roman" w:cs="Times New Roman"/>
                <w:b/>
                <w:bCs/>
                <w:color w:val="auto"/>
              </w:rPr>
              <w:t>1、废水污染物</w:t>
            </w:r>
          </w:p>
          <w:p w14:paraId="114CF980">
            <w:pPr>
              <w:bidi w:val="0"/>
              <w:rPr>
                <w:rFonts w:hint="default" w:ascii="Times New Roman" w:hAnsi="Times New Roman" w:cs="Times New Roman"/>
                <w:color w:val="auto"/>
                <w:lang w:val="en-US"/>
              </w:rPr>
            </w:pPr>
            <w:r>
              <w:rPr>
                <w:rFonts w:hint="eastAsia"/>
                <w:color w:val="auto"/>
                <w:lang w:val="en-US" w:eastAsia="zh-CN"/>
              </w:rPr>
              <w:t>项目运营过程中产生少量水帘更换废液，收集暂存于危废间委托有资质的单位处置。</w:t>
            </w:r>
            <w:r>
              <w:rPr>
                <w:rFonts w:hint="default" w:ascii="Times New Roman" w:hAnsi="Times New Roman" w:cs="Times New Roman"/>
                <w:color w:val="auto"/>
                <w:lang w:val="en-US" w:eastAsia="zh-CN"/>
              </w:rPr>
              <w:t>项目运营过程中不设置生活区，产生的少量办公废水经沉淀池收集后回用于项目区洒水降尘，项目无废水排放，因此，本次评价不设置废水排放控制指标。</w:t>
            </w:r>
          </w:p>
          <w:p w14:paraId="5F83F5AB">
            <w:pPr>
              <w:bidi w:val="0"/>
              <w:rPr>
                <w:rFonts w:hint="default" w:ascii="Times New Roman" w:hAnsi="Times New Roman" w:cs="Times New Roman"/>
                <w:b/>
                <w:bCs/>
                <w:color w:val="auto"/>
              </w:rPr>
            </w:pPr>
            <w:r>
              <w:rPr>
                <w:rFonts w:hint="default" w:ascii="Times New Roman" w:hAnsi="Times New Roman" w:cs="Times New Roman"/>
                <w:b/>
                <w:bCs/>
                <w:color w:val="auto"/>
              </w:rPr>
              <w:t>2、大气污染物</w:t>
            </w:r>
          </w:p>
          <w:p w14:paraId="0AB05B6E">
            <w:pPr>
              <w:bidi w:val="0"/>
              <w:rPr>
                <w:rFonts w:hint="default" w:ascii="Times New Roman" w:hAnsi="Times New Roman" w:cs="Times New Roman"/>
                <w:color w:val="auto"/>
                <w:lang w:val="en-US" w:eastAsia="zh-CN"/>
              </w:rPr>
            </w:pPr>
            <w:r>
              <w:rPr>
                <w:rFonts w:hint="default" w:ascii="Times New Roman" w:hAnsi="Times New Roman" w:cs="Times New Roman"/>
                <w:color w:val="auto"/>
              </w:rPr>
              <w:t>本次评价建议项目废气总量控制指标为：废气量</w:t>
            </w:r>
            <w:r>
              <w:rPr>
                <w:rFonts w:hint="eastAsia" w:cs="Times New Roman"/>
                <w:color w:val="auto"/>
                <w:lang w:val="en-US" w:eastAsia="zh-CN"/>
              </w:rPr>
              <w:t>600</w:t>
            </w:r>
            <w:r>
              <w:rPr>
                <w:rFonts w:hint="default" w:ascii="Times New Roman" w:hAnsi="Times New Roman" w:cs="Times New Roman"/>
                <w:color w:val="auto"/>
              </w:rPr>
              <w:t>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/a，颗粒物（含漆雾）排放量为0.05t/a（有组织为0.02t/a，无组织为0.03t/a）</w:t>
            </w:r>
            <w:r>
              <w:rPr>
                <w:rFonts w:hint="eastAsia" w:cs="Times New Roman"/>
                <w:color w:val="auto"/>
                <w:lang w:val="en-US" w:eastAsia="zh-CN"/>
              </w:rPr>
              <w:t>；</w:t>
            </w:r>
            <w:r>
              <w:rPr>
                <w:rFonts w:hint="default" w:ascii="Times New Roman" w:hAnsi="Times New Roman" w:cs="Times New Roman"/>
                <w:color w:val="auto"/>
                <w:lang w:val="en-US" w:eastAsia="zh-CN"/>
              </w:rPr>
              <w:t>非甲烷总烃排放总量为</w:t>
            </w:r>
            <w:r>
              <w:rPr>
                <w:rFonts w:hint="eastAsia" w:cs="Times New Roman"/>
                <w:color w:val="auto"/>
                <w:lang w:val="en-US" w:eastAsia="zh-CN"/>
              </w:rPr>
              <w:t>0.99</w:t>
            </w:r>
            <w:r>
              <w:rPr>
                <w:rFonts w:hint="default" w:ascii="Times New Roman" w:hAnsi="Times New Roman" w:cs="Times New Roman"/>
                <w:color w:val="auto"/>
                <w:lang w:val="en-US" w:eastAsia="zh-CN"/>
              </w:rPr>
              <w:t>t/a（其中有组织排放量为</w:t>
            </w:r>
            <w:r>
              <w:rPr>
                <w:rFonts w:hint="eastAsia" w:cs="Times New Roman"/>
                <w:color w:val="auto"/>
                <w:lang w:val="en-US" w:eastAsia="zh-CN"/>
              </w:rPr>
              <w:t>0.39</w:t>
            </w:r>
            <w:r>
              <w:rPr>
                <w:rFonts w:hint="default" w:ascii="Times New Roman" w:hAnsi="Times New Roman" w:cs="Times New Roman"/>
                <w:color w:val="auto"/>
                <w:lang w:val="en-US" w:eastAsia="zh-CN"/>
              </w:rPr>
              <w:t>t/a，无组织排放量为</w:t>
            </w:r>
            <w:r>
              <w:rPr>
                <w:rFonts w:hint="eastAsia" w:cs="Times New Roman"/>
                <w:color w:val="auto"/>
                <w:lang w:val="en-US" w:eastAsia="zh-CN"/>
              </w:rPr>
              <w:t>0.60</w:t>
            </w:r>
            <w:r>
              <w:rPr>
                <w:rFonts w:hint="default" w:ascii="Times New Roman" w:hAnsi="Times New Roman" w:cs="Times New Roman"/>
                <w:color w:val="auto"/>
                <w:lang w:val="en-US" w:eastAsia="zh-CN"/>
              </w:rPr>
              <w:t>t/a）</w:t>
            </w:r>
            <w:r>
              <w:rPr>
                <w:rFonts w:hint="eastAsia" w:cs="Times New Roman"/>
                <w:color w:val="auto"/>
                <w:lang w:val="en-US" w:eastAsia="zh-CN"/>
              </w:rPr>
              <w:t>；</w:t>
            </w:r>
            <w:r>
              <w:rPr>
                <w:rFonts w:hint="default" w:ascii="Times New Roman" w:hAnsi="Times New Roman" w:cs="Times New Roman"/>
                <w:color w:val="auto"/>
                <w:lang w:val="en-US" w:eastAsia="zh-CN"/>
              </w:rPr>
              <w:t>二甲苯排放总量</w:t>
            </w:r>
            <w:r>
              <w:rPr>
                <w:rFonts w:hint="eastAsia" w:cs="Times New Roman"/>
                <w:color w:val="auto"/>
                <w:lang w:val="en-US" w:eastAsia="zh-CN"/>
              </w:rPr>
              <w:t>0.63</w:t>
            </w:r>
            <w:r>
              <w:rPr>
                <w:rFonts w:hint="default" w:ascii="Times New Roman" w:hAnsi="Times New Roman" w:cs="Times New Roman"/>
                <w:color w:val="auto"/>
                <w:lang w:val="en-US" w:eastAsia="zh-CN"/>
              </w:rPr>
              <w:t>t/a（其中有组织排放量为</w:t>
            </w:r>
            <w:r>
              <w:rPr>
                <w:rFonts w:hint="eastAsia" w:cs="Times New Roman"/>
                <w:color w:val="auto"/>
                <w:lang w:val="en-US" w:eastAsia="zh-CN"/>
              </w:rPr>
              <w:t>0.25</w:t>
            </w:r>
            <w:r>
              <w:rPr>
                <w:rFonts w:hint="default" w:ascii="Times New Roman" w:hAnsi="Times New Roman" w:cs="Times New Roman"/>
                <w:color w:val="auto"/>
                <w:lang w:val="en-US" w:eastAsia="zh-CN"/>
              </w:rPr>
              <w:t>t/a</w:t>
            </w:r>
            <w:r>
              <w:rPr>
                <w:rFonts w:hint="eastAsia" w:cs="Times New Roman"/>
                <w:color w:val="auto"/>
                <w:lang w:val="en-US" w:eastAsia="zh-CN"/>
              </w:rPr>
              <w:t>；</w:t>
            </w:r>
            <w:r>
              <w:rPr>
                <w:rFonts w:hint="default" w:ascii="Times New Roman" w:hAnsi="Times New Roman" w:cs="Times New Roman"/>
                <w:color w:val="auto"/>
                <w:lang w:val="en-US" w:eastAsia="zh-CN"/>
              </w:rPr>
              <w:t>无组织排放量为</w:t>
            </w:r>
            <w:r>
              <w:rPr>
                <w:rFonts w:hint="eastAsia" w:cs="Times New Roman"/>
                <w:color w:val="auto"/>
                <w:lang w:val="en-US" w:eastAsia="zh-CN"/>
              </w:rPr>
              <w:t>0.38</w:t>
            </w:r>
            <w:r>
              <w:rPr>
                <w:rFonts w:hint="default" w:ascii="Times New Roman" w:hAnsi="Times New Roman" w:cs="Times New Roman"/>
                <w:color w:val="auto"/>
                <w:lang w:val="en-US" w:eastAsia="zh-CN"/>
              </w:rPr>
              <w:t>t/a）。</w:t>
            </w:r>
          </w:p>
          <w:p w14:paraId="5FD60113">
            <w:pPr>
              <w:bidi w:val="0"/>
              <w:rPr>
                <w:rFonts w:hint="default" w:ascii="Times New Roman" w:hAnsi="Times New Roman" w:cs="Times New Roman"/>
                <w:b/>
                <w:bCs/>
                <w:color w:val="auto"/>
                <w:lang w:eastAsia="zh-CN"/>
              </w:rPr>
            </w:pPr>
            <w:r>
              <w:rPr>
                <w:rFonts w:hint="default" w:ascii="Times New Roman" w:hAnsi="Times New Roman" w:cs="Times New Roman"/>
                <w:b/>
                <w:bCs/>
                <w:color w:val="auto"/>
                <w:lang w:val="en-US" w:eastAsia="zh-CN"/>
              </w:rPr>
              <w:t>3、</w:t>
            </w:r>
            <w:r>
              <w:rPr>
                <w:rFonts w:hint="default" w:ascii="Times New Roman" w:hAnsi="Times New Roman" w:cs="Times New Roman"/>
                <w:b/>
                <w:bCs/>
                <w:color w:val="auto"/>
                <w:lang w:eastAsia="zh-CN"/>
              </w:rPr>
              <w:t>固体废物处置</w:t>
            </w:r>
          </w:p>
          <w:p w14:paraId="13E2FE73">
            <w:pPr>
              <w:bidi w:val="0"/>
              <w:rPr>
                <w:rFonts w:hint="default" w:ascii="Times New Roman" w:hAnsi="Times New Roman" w:cs="Times New Roman"/>
                <w:color w:val="auto"/>
              </w:rPr>
            </w:pPr>
            <w:r>
              <w:rPr>
                <w:rFonts w:hint="default" w:ascii="Times New Roman" w:hAnsi="Times New Roman" w:cs="Times New Roman"/>
                <w:color w:val="auto"/>
              </w:rPr>
              <w:t>固体废物处</w:t>
            </w:r>
            <w:r>
              <w:rPr>
                <w:rFonts w:hint="default" w:ascii="Times New Roman" w:hAnsi="Times New Roman" w:cs="Times New Roman"/>
                <w:color w:val="auto"/>
                <w:lang w:val="en-US" w:eastAsia="zh-CN"/>
              </w:rPr>
              <w:t>置</w:t>
            </w:r>
            <w:r>
              <w:rPr>
                <w:rFonts w:hint="default" w:ascii="Times New Roman" w:hAnsi="Times New Roman" w:cs="Times New Roman"/>
                <w:color w:val="auto"/>
              </w:rPr>
              <w:t>率</w:t>
            </w:r>
            <w:r>
              <w:rPr>
                <w:rFonts w:hint="default" w:ascii="Times New Roman" w:hAnsi="Times New Roman" w:cs="Times New Roman"/>
                <w:color w:val="auto"/>
                <w:lang w:val="en-US" w:eastAsia="zh-CN"/>
              </w:rPr>
              <w:t>为</w:t>
            </w:r>
            <w:r>
              <w:rPr>
                <w:rFonts w:hint="default" w:ascii="Times New Roman" w:hAnsi="Times New Roman" w:cs="Times New Roman"/>
                <w:color w:val="auto"/>
              </w:rPr>
              <w:t>100%。</w:t>
            </w:r>
          </w:p>
          <w:p w14:paraId="77883259">
            <w:pPr>
              <w:bidi w:val="0"/>
              <w:rPr>
                <w:rFonts w:hint="default" w:ascii="Times New Roman" w:hAnsi="Times New Roman" w:cs="Times New Roman"/>
                <w:color w:val="auto"/>
              </w:rPr>
            </w:pPr>
          </w:p>
          <w:p w14:paraId="1ECBA5F2">
            <w:pPr>
              <w:bidi w:val="0"/>
              <w:rPr>
                <w:rFonts w:hint="default" w:ascii="Times New Roman" w:hAnsi="Times New Roman" w:cs="Times New Roman"/>
                <w:color w:val="auto"/>
              </w:rPr>
            </w:pPr>
          </w:p>
          <w:p w14:paraId="4C2B1A86">
            <w:pPr>
              <w:bidi w:val="0"/>
              <w:rPr>
                <w:rFonts w:hint="default" w:ascii="Times New Roman" w:hAnsi="Times New Roman" w:cs="Times New Roman"/>
                <w:color w:val="auto"/>
              </w:rPr>
            </w:pPr>
          </w:p>
          <w:p w14:paraId="165C8D91">
            <w:pPr>
              <w:bidi w:val="0"/>
              <w:rPr>
                <w:rFonts w:hint="default" w:ascii="Times New Roman" w:hAnsi="Times New Roman" w:cs="Times New Roman"/>
                <w:color w:val="auto"/>
              </w:rPr>
            </w:pPr>
          </w:p>
          <w:p w14:paraId="32582134">
            <w:pPr>
              <w:bidi w:val="0"/>
              <w:ind w:left="0" w:leftChars="0" w:firstLine="0" w:firstLineChars="0"/>
              <w:rPr>
                <w:rFonts w:hint="default" w:ascii="Times New Roman" w:hAnsi="Times New Roman" w:eastAsia="宋体" w:cs="Times New Roman"/>
                <w:color w:val="auto"/>
                <w:lang w:val="en-US" w:eastAsia="zh-CN"/>
              </w:rPr>
            </w:pPr>
          </w:p>
        </w:tc>
      </w:tr>
    </w:tbl>
    <w:p w14:paraId="5EA05F49">
      <w:pPr>
        <w:pStyle w:val="2"/>
        <w:bidi w:val="0"/>
        <w:rPr>
          <w:rFonts w:hint="default" w:ascii="Times New Roman" w:hAnsi="Times New Roman" w:cs="Times New Roman"/>
          <w:color w:val="auto"/>
          <w:lang w:val="en-US" w:eastAsia="zh-CN"/>
        </w:rPr>
      </w:pPr>
      <w:bookmarkStart w:id="5" w:name="_Toc6685"/>
      <w:r>
        <w:rPr>
          <w:rFonts w:hint="default" w:ascii="Times New Roman" w:hAnsi="Times New Roman" w:cs="Times New Roman"/>
          <w:color w:val="auto"/>
          <w:lang w:val="en-US" w:eastAsia="zh-CN"/>
        </w:rPr>
        <w:t>四、主要环境影响和保护措施</w:t>
      </w:r>
      <w:bookmarkEnd w:id="5"/>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7756"/>
      </w:tblGrid>
      <w:tr w14:paraId="467E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52" w:hRule="atLeast"/>
          <w:jc w:val="center"/>
        </w:trPr>
        <w:tc>
          <w:tcPr>
            <w:tcW w:w="766" w:type="dxa"/>
            <w:vAlign w:val="center"/>
          </w:tcPr>
          <w:p w14:paraId="1E3A8D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施工期环境保护措施</w:t>
            </w:r>
          </w:p>
        </w:tc>
        <w:tc>
          <w:tcPr>
            <w:tcW w:w="7756" w:type="dxa"/>
            <w:vAlign w:val="top"/>
          </w:tcPr>
          <w:p w14:paraId="45B24E2D">
            <w:pPr>
              <w:bidi w:val="0"/>
              <w:rPr>
                <w:rFonts w:hint="default" w:ascii="Times New Roman" w:hAnsi="Times New Roman" w:cs="Times New Roman"/>
                <w:b/>
                <w:bCs/>
                <w:color w:val="auto"/>
              </w:rPr>
            </w:pPr>
            <w:r>
              <w:rPr>
                <w:rFonts w:hint="default" w:ascii="Times New Roman" w:hAnsi="Times New Roman" w:cs="Times New Roman"/>
                <w:b/>
                <w:bCs/>
                <w:color w:val="auto"/>
              </w:rPr>
              <w:t>1、大气污染防治措施</w:t>
            </w:r>
          </w:p>
          <w:p w14:paraId="2B5BC390">
            <w:pPr>
              <w:bidi w:val="0"/>
              <w:rPr>
                <w:rFonts w:hint="default" w:ascii="Times New Roman" w:hAnsi="Times New Roman" w:cs="Times New Roman"/>
                <w:color w:val="auto"/>
              </w:rPr>
            </w:pPr>
            <w:r>
              <w:rPr>
                <w:rFonts w:hint="default" w:ascii="Times New Roman" w:hAnsi="Times New Roman" w:cs="Times New Roman"/>
                <w:color w:val="auto"/>
              </w:rPr>
              <w:t>项目施工期主要为</w:t>
            </w:r>
            <w:r>
              <w:rPr>
                <w:rFonts w:hint="default" w:ascii="Times New Roman" w:hAnsi="Times New Roman" w:cs="Times New Roman"/>
                <w:color w:val="auto"/>
                <w:lang w:val="en-US" w:eastAsia="zh-CN"/>
              </w:rPr>
              <w:t>设备安装</w:t>
            </w:r>
            <w:r>
              <w:rPr>
                <w:rFonts w:hint="default" w:ascii="Times New Roman" w:hAnsi="Times New Roman" w:cs="Times New Roman"/>
                <w:color w:val="auto"/>
              </w:rPr>
              <w:t>，施工期间产生的废气主要</w:t>
            </w:r>
            <w:r>
              <w:rPr>
                <w:rFonts w:hint="default" w:ascii="Times New Roman" w:hAnsi="Times New Roman" w:cs="Times New Roman"/>
                <w:color w:val="auto"/>
                <w:lang w:val="en-US" w:eastAsia="zh-CN"/>
              </w:rPr>
              <w:t>有焊接烟尘、扬尘</w:t>
            </w:r>
            <w:r>
              <w:rPr>
                <w:rFonts w:hint="default" w:ascii="Times New Roman" w:hAnsi="Times New Roman" w:cs="Times New Roman"/>
                <w:color w:val="auto"/>
              </w:rPr>
              <w:t>，施工期</w:t>
            </w:r>
            <w:r>
              <w:rPr>
                <w:rFonts w:hint="default" w:ascii="Times New Roman" w:hAnsi="Times New Roman" w:cs="Times New Roman"/>
                <w:color w:val="auto"/>
                <w:lang w:val="en-US" w:eastAsia="zh-CN"/>
              </w:rPr>
              <w:t>废气污染</w:t>
            </w:r>
            <w:r>
              <w:rPr>
                <w:rFonts w:hint="default" w:ascii="Times New Roman" w:hAnsi="Times New Roman" w:cs="Times New Roman"/>
                <w:color w:val="auto"/>
              </w:rPr>
              <w:t>采取以下防治措施：</w:t>
            </w:r>
          </w:p>
          <w:p w14:paraId="409EAEFD">
            <w:pPr>
              <w:bidi w:val="0"/>
              <w:rPr>
                <w:rFonts w:hint="default" w:ascii="Times New Roman" w:hAnsi="Times New Roman" w:cs="Times New Roman"/>
                <w:color w:val="auto"/>
              </w:rPr>
            </w:pPr>
            <w:r>
              <w:rPr>
                <w:rFonts w:hint="default" w:ascii="Times New Roman" w:hAnsi="Times New Roman" w:cs="Times New Roman"/>
                <w:color w:val="auto"/>
              </w:rPr>
              <w:t>①</w:t>
            </w:r>
            <w:r>
              <w:rPr>
                <w:rFonts w:hint="default" w:ascii="Times New Roman" w:hAnsi="Times New Roman" w:cs="Times New Roman"/>
                <w:color w:val="auto"/>
                <w:lang w:val="en-US" w:eastAsia="zh-CN"/>
              </w:rPr>
              <w:t>施工期设置施工围挡，定期对场地道路进行洒水降尘，设备材料运输车辆采取布篷临时遮盖，合理制定施工作业时间，尽量缩短工期</w:t>
            </w:r>
            <w:r>
              <w:rPr>
                <w:rFonts w:hint="default" w:ascii="Times New Roman" w:hAnsi="Times New Roman" w:cs="Times New Roman"/>
                <w:color w:val="auto"/>
              </w:rPr>
              <w:t>。</w:t>
            </w:r>
          </w:p>
          <w:p w14:paraId="71C1463C">
            <w:pPr>
              <w:bidi w:val="0"/>
              <w:rPr>
                <w:rFonts w:hint="default" w:ascii="Times New Roman" w:hAnsi="Times New Roman" w:cs="Times New Roman"/>
                <w:b/>
                <w:bCs/>
                <w:color w:val="auto"/>
              </w:rPr>
            </w:pPr>
            <w:r>
              <w:rPr>
                <w:rFonts w:hint="default" w:ascii="Times New Roman" w:hAnsi="Times New Roman" w:cs="Times New Roman"/>
                <w:b/>
                <w:bCs/>
                <w:color w:val="auto"/>
              </w:rPr>
              <w:t>2、水环境污染防治措施</w:t>
            </w:r>
          </w:p>
          <w:p w14:paraId="33A63468">
            <w:pPr>
              <w:bidi w:val="0"/>
              <w:rPr>
                <w:rFonts w:hint="default" w:ascii="Times New Roman" w:hAnsi="Times New Roman" w:eastAsia="宋体" w:cs="Times New Roman"/>
                <w:color w:val="auto"/>
                <w:lang w:eastAsia="zh-CN"/>
              </w:rPr>
            </w:pPr>
            <w:r>
              <w:rPr>
                <w:rFonts w:hint="default" w:ascii="Times New Roman" w:hAnsi="Times New Roman" w:cs="Times New Roman"/>
                <w:color w:val="auto"/>
              </w:rPr>
              <w:t>项目施工期不设食宿，施工期</w:t>
            </w:r>
            <w:r>
              <w:rPr>
                <w:rFonts w:hint="default" w:ascii="Times New Roman" w:hAnsi="Times New Roman" w:cs="Times New Roman"/>
                <w:color w:val="auto"/>
                <w:lang w:val="en-US" w:eastAsia="zh-CN"/>
              </w:rPr>
              <w:t>无施工废水产生</w:t>
            </w:r>
            <w:r>
              <w:rPr>
                <w:rFonts w:hint="default" w:ascii="Times New Roman" w:hAnsi="Times New Roman" w:cs="Times New Roman"/>
                <w:color w:val="auto"/>
                <w:lang w:eastAsia="zh-CN"/>
              </w:rPr>
              <w:t>。</w:t>
            </w:r>
          </w:p>
          <w:p w14:paraId="669629EF">
            <w:pPr>
              <w:bidi w:val="0"/>
              <w:rPr>
                <w:rFonts w:hint="default" w:ascii="Times New Roman" w:hAnsi="Times New Roman" w:cs="Times New Roman"/>
                <w:b/>
                <w:bCs/>
                <w:color w:val="auto"/>
              </w:rPr>
            </w:pPr>
            <w:r>
              <w:rPr>
                <w:rFonts w:hint="default" w:ascii="Times New Roman" w:hAnsi="Times New Roman" w:cs="Times New Roman"/>
                <w:b/>
                <w:bCs/>
                <w:color w:val="auto"/>
              </w:rPr>
              <w:t>3、声环境防治措施</w:t>
            </w:r>
          </w:p>
          <w:p w14:paraId="424CE2D4">
            <w:pPr>
              <w:bidi w:val="0"/>
              <w:rPr>
                <w:rFonts w:hint="default" w:ascii="Times New Roman" w:hAnsi="Times New Roman" w:cs="Times New Roman"/>
                <w:color w:val="auto"/>
              </w:rPr>
            </w:pPr>
            <w:r>
              <w:rPr>
                <w:rFonts w:hint="default" w:ascii="Times New Roman" w:hAnsi="Times New Roman" w:cs="Times New Roman"/>
                <w:color w:val="auto"/>
              </w:rPr>
              <w:t>项目施工期主要为</w:t>
            </w:r>
            <w:r>
              <w:rPr>
                <w:rFonts w:hint="default" w:ascii="Times New Roman" w:hAnsi="Times New Roman" w:cs="Times New Roman"/>
                <w:color w:val="auto"/>
                <w:lang w:val="en-US" w:eastAsia="zh-CN"/>
              </w:rPr>
              <w:t>设备安装</w:t>
            </w:r>
            <w:r>
              <w:rPr>
                <w:rFonts w:hint="default" w:ascii="Times New Roman" w:hAnsi="Times New Roman" w:cs="Times New Roman"/>
                <w:color w:val="auto"/>
              </w:rPr>
              <w:t>噪声，采取以下防治措施：</w:t>
            </w:r>
          </w:p>
          <w:p w14:paraId="37DCE439">
            <w:pPr>
              <w:bidi w:val="0"/>
              <w:rPr>
                <w:rFonts w:hint="eastAsia" w:ascii="Times New Roman" w:hAnsi="Times New Roman" w:eastAsia="宋体" w:cs="Times New Roman"/>
                <w:color w:val="auto"/>
                <w:lang w:eastAsia="zh-CN"/>
              </w:rPr>
            </w:pPr>
            <w:r>
              <w:rPr>
                <w:rFonts w:hint="default" w:ascii="Times New Roman" w:hAnsi="Times New Roman" w:cs="Times New Roman"/>
                <w:color w:val="auto"/>
              </w:rPr>
              <w:t>①合理安排施工时间，禁止夜间施工</w:t>
            </w:r>
            <w:r>
              <w:rPr>
                <w:rFonts w:hint="eastAsia" w:cs="Times New Roman"/>
                <w:color w:val="auto"/>
                <w:lang w:eastAsia="zh-CN"/>
              </w:rPr>
              <w:t>；</w:t>
            </w:r>
          </w:p>
          <w:p w14:paraId="2800EF9F">
            <w:pPr>
              <w:bidi w:val="0"/>
              <w:rPr>
                <w:rFonts w:hint="default" w:ascii="Times New Roman" w:hAnsi="Times New Roman" w:cs="Times New Roman"/>
                <w:color w:val="auto"/>
              </w:rPr>
            </w:pPr>
            <w:r>
              <w:rPr>
                <w:rFonts w:hint="default" w:ascii="Times New Roman" w:hAnsi="Times New Roman" w:cs="Times New Roman"/>
                <w:color w:val="auto"/>
              </w:rPr>
              <w:t>②文明施工，施工器材、设备零件等轻拿轻放，运输车辆限速行驶。</w:t>
            </w:r>
          </w:p>
          <w:p w14:paraId="7C7D05DA">
            <w:pPr>
              <w:bidi w:val="0"/>
              <w:rPr>
                <w:rFonts w:hint="default" w:ascii="Times New Roman" w:hAnsi="Times New Roman" w:cs="Times New Roman"/>
                <w:b/>
                <w:bCs/>
                <w:color w:val="auto"/>
              </w:rPr>
            </w:pPr>
            <w:r>
              <w:rPr>
                <w:rFonts w:hint="default" w:ascii="Times New Roman" w:hAnsi="Times New Roman" w:cs="Times New Roman"/>
                <w:b/>
                <w:bCs/>
                <w:color w:val="auto"/>
              </w:rPr>
              <w:t>4、固体废物防治措施</w:t>
            </w:r>
          </w:p>
          <w:p w14:paraId="4928BF62">
            <w:pPr>
              <w:bidi w:val="0"/>
              <w:rPr>
                <w:rFonts w:hint="default" w:ascii="Times New Roman" w:hAnsi="Times New Roman" w:cs="Times New Roman"/>
                <w:color w:val="auto"/>
              </w:rPr>
            </w:pPr>
            <w:r>
              <w:rPr>
                <w:rFonts w:hint="default" w:ascii="Times New Roman" w:hAnsi="Times New Roman" w:cs="Times New Roman"/>
                <w:color w:val="auto"/>
              </w:rPr>
              <w:t>项目施工期主要固废为材料切割产生的</w:t>
            </w:r>
            <w:r>
              <w:rPr>
                <w:rFonts w:hint="default" w:ascii="Times New Roman" w:hAnsi="Times New Roman" w:cs="Times New Roman"/>
                <w:color w:val="auto"/>
                <w:lang w:val="en-US" w:eastAsia="zh-CN"/>
              </w:rPr>
              <w:t>固体废物、施工人员旱厕粪污等</w:t>
            </w:r>
            <w:r>
              <w:rPr>
                <w:rFonts w:hint="default" w:ascii="Times New Roman" w:hAnsi="Times New Roman" w:cs="Times New Roman"/>
                <w:color w:val="auto"/>
              </w:rPr>
              <w:t>，采取以下防治措施：</w:t>
            </w:r>
          </w:p>
          <w:p w14:paraId="3EC5D2B5">
            <w:pPr>
              <w:bidi w:val="0"/>
              <w:rPr>
                <w:rFonts w:hint="eastAsia" w:ascii="Times New Roman" w:hAnsi="Times New Roman" w:eastAsia="宋体" w:cs="Times New Roman"/>
                <w:color w:val="auto"/>
                <w:lang w:eastAsia="zh-CN"/>
              </w:rPr>
            </w:pPr>
            <w:r>
              <w:rPr>
                <w:rFonts w:hint="default" w:ascii="Times New Roman" w:hAnsi="Times New Roman" w:cs="Times New Roman"/>
                <w:color w:val="auto"/>
              </w:rPr>
              <w:t>①材料切割产生的</w:t>
            </w:r>
            <w:r>
              <w:rPr>
                <w:rFonts w:hint="default" w:ascii="Times New Roman" w:hAnsi="Times New Roman" w:cs="Times New Roman"/>
                <w:color w:val="auto"/>
                <w:lang w:val="en-US" w:eastAsia="zh-CN"/>
              </w:rPr>
              <w:t>固体废物</w:t>
            </w:r>
            <w:r>
              <w:rPr>
                <w:rFonts w:hint="default" w:ascii="Times New Roman" w:hAnsi="Times New Roman" w:cs="Times New Roman"/>
                <w:color w:val="auto"/>
              </w:rPr>
              <w:t>可回收出售的出售给资源回收单位，不可回收部分由建设单位定时清运处理，并按当地人民政府市容环境卫生主管部门的规定处置</w:t>
            </w:r>
            <w:r>
              <w:rPr>
                <w:rFonts w:hint="eastAsia" w:cs="Times New Roman"/>
                <w:color w:val="auto"/>
                <w:lang w:eastAsia="zh-CN"/>
              </w:rPr>
              <w:t>；</w:t>
            </w:r>
          </w:p>
          <w:p w14:paraId="448A04F9">
            <w:pPr>
              <w:bidi w:val="0"/>
              <w:rPr>
                <w:rFonts w:hint="default" w:ascii="Times New Roman" w:hAnsi="Times New Roman" w:cs="Times New Roman"/>
                <w:color w:val="auto"/>
              </w:rPr>
            </w:pPr>
            <w:r>
              <w:rPr>
                <w:rFonts w:hint="default" w:ascii="Times New Roman" w:hAnsi="Times New Roman" w:cs="Times New Roman"/>
                <w:color w:val="auto"/>
              </w:rPr>
              <w:t>②施工人员不在内食宿，生活粪污经旱厕化粪池收集后委托周边村民清掏。</w:t>
            </w:r>
          </w:p>
          <w:p w14:paraId="7BA40970">
            <w:pPr>
              <w:rPr>
                <w:rFonts w:hint="default" w:ascii="Times New Roman" w:hAnsi="Times New Roman" w:cs="Times New Roman"/>
                <w:b/>
                <w:bCs/>
                <w:color w:val="auto"/>
              </w:rPr>
            </w:pPr>
            <w:r>
              <w:rPr>
                <w:rFonts w:hint="default" w:ascii="Times New Roman" w:hAnsi="Times New Roman" w:cs="Times New Roman"/>
                <w:b/>
                <w:bCs/>
                <w:color w:val="auto"/>
              </w:rPr>
              <w:t>5、生态环境</w:t>
            </w:r>
          </w:p>
          <w:p w14:paraId="1327D72C">
            <w:pPr>
              <w:rPr>
                <w:rFonts w:hint="default" w:ascii="Times New Roman" w:hAnsi="Times New Roman" w:cs="Times New Roman"/>
                <w:color w:val="auto"/>
              </w:rPr>
            </w:pPr>
            <w:r>
              <w:rPr>
                <w:rFonts w:hint="default" w:ascii="Times New Roman" w:hAnsi="Times New Roman" w:cs="Times New Roman"/>
                <w:color w:val="auto"/>
              </w:rPr>
              <w:t>本项目租用澄江县德安磷化工有限责任公司场地</w:t>
            </w:r>
            <w:r>
              <w:rPr>
                <w:rFonts w:hint="default" w:ascii="Times New Roman" w:hAnsi="Times New Roman" w:cs="Times New Roman"/>
                <w:color w:val="auto"/>
                <w:lang w:val="en-US" w:eastAsia="zh-CN"/>
              </w:rPr>
              <w:t>及厂房</w:t>
            </w:r>
            <w:r>
              <w:rPr>
                <w:rFonts w:hint="default" w:ascii="Times New Roman" w:hAnsi="Times New Roman" w:cs="Times New Roman"/>
                <w:color w:val="auto"/>
              </w:rPr>
              <w:t>，根据现场踏勘情况，场地</w:t>
            </w:r>
            <w:r>
              <w:rPr>
                <w:rFonts w:hint="default" w:ascii="Times New Roman" w:hAnsi="Times New Roman" w:cs="Times New Roman"/>
                <w:color w:val="auto"/>
                <w:lang w:val="en-US" w:eastAsia="zh-CN"/>
              </w:rPr>
              <w:t>及厂房均</w:t>
            </w:r>
            <w:r>
              <w:rPr>
                <w:rFonts w:hint="default" w:ascii="Times New Roman" w:hAnsi="Times New Roman" w:cs="Times New Roman"/>
                <w:color w:val="auto"/>
              </w:rPr>
              <w:t>为闲置状态，项目区域内由于多年的人工活动干扰，原生的植被已经不存在，基本已无野生动物活动，施工期主要进行</w:t>
            </w:r>
            <w:r>
              <w:rPr>
                <w:rFonts w:hint="default" w:ascii="Times New Roman" w:hAnsi="Times New Roman" w:cs="Times New Roman"/>
                <w:color w:val="auto"/>
                <w:lang w:val="en-US" w:eastAsia="zh-CN"/>
              </w:rPr>
              <w:t>设备安装</w:t>
            </w:r>
            <w:r>
              <w:rPr>
                <w:rFonts w:hint="default" w:ascii="Times New Roman" w:hAnsi="Times New Roman" w:cs="Times New Roman"/>
                <w:color w:val="auto"/>
              </w:rPr>
              <w:t>，不新增用地，对生态环境影响较小。</w:t>
            </w:r>
          </w:p>
        </w:tc>
      </w:tr>
      <w:tr w14:paraId="7B16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vAlign w:val="center"/>
          </w:tcPr>
          <w:p w14:paraId="42A560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运营期环境影响和保护措施</w:t>
            </w:r>
          </w:p>
        </w:tc>
        <w:tc>
          <w:tcPr>
            <w:tcW w:w="7756" w:type="dxa"/>
            <w:vAlign w:val="center"/>
          </w:tcPr>
          <w:p w14:paraId="47A96CB7">
            <w:pPr>
              <w:bidi w:val="0"/>
              <w:rPr>
                <w:rFonts w:hint="default" w:ascii="Times New Roman" w:hAnsi="Times New Roman" w:eastAsia="宋体" w:cs="Times New Roman"/>
                <w:color w:val="auto"/>
                <w:lang w:eastAsia="zh-CN"/>
              </w:rPr>
            </w:pPr>
            <w:r>
              <w:rPr>
                <w:rFonts w:hint="default" w:ascii="Times New Roman" w:hAnsi="Times New Roman" w:cs="Times New Roman"/>
                <w:color w:val="auto"/>
              </w:rPr>
              <w:t>项目营运期的环境影响因素及保护措施从废气、废水、噪声、固体废弃物等方面展开分析</w:t>
            </w:r>
            <w:r>
              <w:rPr>
                <w:rFonts w:hint="default" w:ascii="Times New Roman" w:hAnsi="Times New Roman" w:cs="Times New Roman"/>
                <w:color w:val="auto"/>
                <w:lang w:eastAsia="zh-CN"/>
              </w:rPr>
              <w:t>。</w:t>
            </w:r>
          </w:p>
          <w:p w14:paraId="5DE5B7AD">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1、废气影响分析及保护措施</w:t>
            </w:r>
          </w:p>
          <w:p w14:paraId="7273D885">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1</w:t>
            </w: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产排污环节、污染物及排放形式</w:t>
            </w:r>
          </w:p>
          <w:p w14:paraId="04A21E02">
            <w:pPr>
              <w:bidi w:val="0"/>
              <w:rPr>
                <w:rFonts w:hint="default" w:ascii="Times New Roman" w:hAnsi="Times New Roman" w:eastAsia="宋体" w:cs="Times New Roman"/>
                <w:color w:val="auto"/>
                <w:lang w:eastAsia="zh-CN"/>
              </w:rPr>
            </w:pPr>
            <w:r>
              <w:rPr>
                <w:rFonts w:hint="default" w:ascii="Times New Roman" w:hAnsi="Times New Roman" w:cs="Times New Roman"/>
                <w:color w:val="auto"/>
              </w:rPr>
              <w:t>根据《建设项目环境影响报告表编制技术指南</w:t>
            </w:r>
            <w:r>
              <w:rPr>
                <w:rFonts w:hint="default" w:ascii="Times New Roman" w:hAnsi="Times New Roman" w:cs="Times New Roman"/>
                <w:color w:val="auto"/>
                <w:lang w:eastAsia="zh-CN"/>
              </w:rPr>
              <w:t>（</w:t>
            </w:r>
            <w:r>
              <w:rPr>
                <w:rFonts w:hint="default" w:ascii="Times New Roman" w:hAnsi="Times New Roman" w:cs="Times New Roman"/>
                <w:color w:val="auto"/>
              </w:rPr>
              <w:t>污染影响类）</w:t>
            </w:r>
            <w:r>
              <w:rPr>
                <w:rFonts w:hint="default" w:ascii="Times New Roman" w:hAnsi="Times New Roman" w:cs="Times New Roman"/>
                <w:color w:val="auto"/>
                <w:lang w:eastAsia="zh-CN"/>
              </w:rPr>
              <w:t>（</w:t>
            </w:r>
            <w:r>
              <w:rPr>
                <w:rFonts w:hint="default" w:ascii="Times New Roman" w:hAnsi="Times New Roman" w:cs="Times New Roman"/>
                <w:color w:val="auto"/>
              </w:rPr>
              <w:t>试行）》，结合本项目生产单元、生产设施、产污环节、主要污染物项目、排放形式如下表所示</w:t>
            </w:r>
            <w:r>
              <w:rPr>
                <w:rFonts w:hint="default" w:ascii="Times New Roman" w:hAnsi="Times New Roman" w:cs="Times New Roman"/>
                <w:color w:val="auto"/>
                <w:lang w:eastAsia="zh-CN"/>
              </w:rPr>
              <w:t>：</w:t>
            </w:r>
          </w:p>
          <w:p w14:paraId="7BF64BC4">
            <w:pPr>
              <w:bidi w:val="0"/>
              <w:rPr>
                <w:rFonts w:hint="default" w:ascii="Times New Roman" w:hAnsi="Times New Roman" w:cs="Times New Roman"/>
                <w:b/>
                <w:bCs/>
                <w:color w:val="auto"/>
              </w:rPr>
            </w:pPr>
            <w:r>
              <w:rPr>
                <w:rFonts w:hint="default" w:ascii="Times New Roman" w:hAnsi="Times New Roman" w:cs="Times New Roman"/>
                <w:b/>
                <w:bCs/>
                <w:color w:val="auto"/>
              </w:rPr>
              <w:t xml:space="preserve">表4-1 </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废气产污环节名称、污染物项目和排放形式一览表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5"/>
              <w:gridCol w:w="981"/>
              <w:gridCol w:w="1281"/>
              <w:gridCol w:w="3298"/>
              <w:gridCol w:w="975"/>
            </w:tblGrid>
            <w:tr w14:paraId="2964B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tblHeader/>
                <w:jc w:val="center"/>
              </w:trPr>
              <w:tc>
                <w:tcPr>
                  <w:tcW w:w="660" w:type="pct"/>
                  <w:noWrap w:val="0"/>
                  <w:vAlign w:val="center"/>
                </w:tcPr>
                <w:p w14:paraId="78A19B94">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生产单元</w:t>
                  </w:r>
                </w:p>
              </w:tc>
              <w:tc>
                <w:tcPr>
                  <w:tcW w:w="651" w:type="pct"/>
                  <w:noWrap w:val="0"/>
                  <w:vAlign w:val="center"/>
                </w:tcPr>
                <w:p w14:paraId="66E801D8">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废气产污环节</w:t>
                  </w:r>
                </w:p>
              </w:tc>
              <w:tc>
                <w:tcPr>
                  <w:tcW w:w="850" w:type="pct"/>
                  <w:noWrap w:val="0"/>
                  <w:vAlign w:val="center"/>
                </w:tcPr>
                <w:p w14:paraId="7A4DF4BC">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主要污染物</w:t>
                  </w:r>
                </w:p>
              </w:tc>
              <w:tc>
                <w:tcPr>
                  <w:tcW w:w="2189" w:type="pct"/>
                  <w:noWrap w:val="0"/>
                  <w:vAlign w:val="center"/>
                </w:tcPr>
                <w:p w14:paraId="36444E9E">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污染治理措施</w:t>
                  </w:r>
                </w:p>
              </w:tc>
              <w:tc>
                <w:tcPr>
                  <w:tcW w:w="647" w:type="pct"/>
                  <w:noWrap w:val="0"/>
                  <w:vAlign w:val="center"/>
                </w:tcPr>
                <w:p w14:paraId="212F2577">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主要排</w:t>
                  </w:r>
                </w:p>
                <w:p w14:paraId="4EB58662">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放形式</w:t>
                  </w:r>
                </w:p>
              </w:tc>
            </w:tr>
            <w:tr w14:paraId="4C17F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8" w:hRule="atLeast"/>
                <w:jc w:val="center"/>
              </w:trPr>
              <w:tc>
                <w:tcPr>
                  <w:tcW w:w="660" w:type="pct"/>
                  <w:noWrap w:val="0"/>
                  <w:vAlign w:val="center"/>
                </w:tcPr>
                <w:p w14:paraId="11EC8B13">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喷漆房</w:t>
                  </w:r>
                </w:p>
              </w:tc>
              <w:tc>
                <w:tcPr>
                  <w:tcW w:w="651" w:type="pct"/>
                  <w:noWrap w:val="0"/>
                  <w:vAlign w:val="center"/>
                </w:tcPr>
                <w:p w14:paraId="60C1D695">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w:t>
                  </w:r>
                </w:p>
              </w:tc>
              <w:tc>
                <w:tcPr>
                  <w:tcW w:w="850" w:type="pct"/>
                  <w:noWrap w:val="0"/>
                  <w:vAlign w:val="center"/>
                </w:tcPr>
                <w:p w14:paraId="6B3F82B1">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非甲烷总烃、二甲苯和漆雾</w:t>
                  </w:r>
                </w:p>
              </w:tc>
              <w:tc>
                <w:tcPr>
                  <w:tcW w:w="2189" w:type="pct"/>
                  <w:noWrap w:val="0"/>
                  <w:vAlign w:val="center"/>
                </w:tcPr>
                <w:p w14:paraId="0F31C91C">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喷漆房密封设置，经负压收集废气至1套</w:t>
                  </w:r>
                  <w:r>
                    <w:rPr>
                      <w:rFonts w:hint="eastAsia" w:cs="Times New Roman"/>
                      <w:color w:val="auto"/>
                      <w:lang w:val="en-US" w:eastAsia="zh-CN"/>
                    </w:rPr>
                    <w:t>“水帘+活性炭吸附系统”</w:t>
                  </w:r>
                  <w:r>
                    <w:rPr>
                      <w:rFonts w:hint="default" w:ascii="Times New Roman" w:hAnsi="Times New Roman" w:cs="Times New Roman"/>
                      <w:color w:val="auto"/>
                      <w:lang w:val="en-US" w:eastAsia="zh-CN"/>
                    </w:rPr>
                    <w:t>装置处理后通过2</w:t>
                  </w:r>
                  <w:r>
                    <w:rPr>
                      <w:rFonts w:hint="eastAsia" w:cs="Times New Roman"/>
                      <w:color w:val="auto"/>
                      <w:lang w:val="en-US" w:eastAsia="zh-CN"/>
                    </w:rPr>
                    <w:t>5</w:t>
                  </w:r>
                  <w:r>
                    <w:rPr>
                      <w:rFonts w:hint="default" w:ascii="Times New Roman" w:hAnsi="Times New Roman" w:cs="Times New Roman"/>
                      <w:color w:val="auto"/>
                      <w:lang w:val="en-US" w:eastAsia="zh-CN"/>
                    </w:rPr>
                    <w:t>m高的排气筒（DA001）有组织排放</w:t>
                  </w:r>
                </w:p>
              </w:tc>
              <w:tc>
                <w:tcPr>
                  <w:tcW w:w="647" w:type="pct"/>
                  <w:noWrap w:val="0"/>
                  <w:vAlign w:val="center"/>
                </w:tcPr>
                <w:p w14:paraId="79543660">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有组织</w:t>
                  </w:r>
                </w:p>
              </w:tc>
            </w:tr>
            <w:tr w14:paraId="363A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60" w:type="pct"/>
                  <w:noWrap w:val="0"/>
                  <w:vAlign w:val="center"/>
                </w:tcPr>
                <w:p w14:paraId="4FB84D79">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自然晾干区</w:t>
                  </w:r>
                </w:p>
              </w:tc>
              <w:tc>
                <w:tcPr>
                  <w:tcW w:w="651" w:type="pct"/>
                  <w:noWrap w:val="0"/>
                  <w:vAlign w:val="center"/>
                </w:tcPr>
                <w:p w14:paraId="2A84E8AC">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自然晾干</w:t>
                  </w:r>
                </w:p>
              </w:tc>
              <w:tc>
                <w:tcPr>
                  <w:tcW w:w="850" w:type="pct"/>
                  <w:noWrap w:val="0"/>
                  <w:vAlign w:val="center"/>
                </w:tcPr>
                <w:p w14:paraId="335A3D06">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非甲烷总烃、二甲苯</w:t>
                  </w:r>
                </w:p>
              </w:tc>
              <w:tc>
                <w:tcPr>
                  <w:tcW w:w="2189" w:type="pct"/>
                  <w:noWrap w:val="0"/>
                  <w:vAlign w:val="center"/>
                </w:tcPr>
                <w:p w14:paraId="180DBBD0">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自然扩散</w:t>
                  </w:r>
                </w:p>
              </w:tc>
              <w:tc>
                <w:tcPr>
                  <w:tcW w:w="647" w:type="pct"/>
                  <w:noWrap w:val="0"/>
                  <w:vAlign w:val="center"/>
                </w:tcPr>
                <w:p w14:paraId="4D3B3BB5">
                  <w:pPr>
                    <w:pStyle w:val="14"/>
                    <w:bidi w:val="0"/>
                    <w:rPr>
                      <w:rFonts w:hint="default" w:ascii="Times New Roman" w:hAnsi="Times New Roman" w:cs="Times New Roman"/>
                      <w:color w:val="auto"/>
                      <w:lang w:val="en-US" w:eastAsia="zh-CN"/>
                    </w:rPr>
                  </w:pPr>
                  <w:r>
                    <w:rPr>
                      <w:rFonts w:hint="eastAsia" w:cs="Times New Roman"/>
                      <w:color w:val="auto"/>
                      <w:lang w:val="en-US" w:eastAsia="zh-CN"/>
                    </w:rPr>
                    <w:t>无</w:t>
                  </w:r>
                  <w:r>
                    <w:rPr>
                      <w:rFonts w:hint="default" w:ascii="Times New Roman" w:hAnsi="Times New Roman" w:cs="Times New Roman"/>
                      <w:color w:val="auto"/>
                      <w:lang w:val="en-US" w:eastAsia="zh-CN"/>
                    </w:rPr>
                    <w:t>组织</w:t>
                  </w:r>
                </w:p>
              </w:tc>
            </w:tr>
            <w:tr w14:paraId="7EEC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660" w:type="pct"/>
                  <w:noWrap w:val="0"/>
                  <w:vAlign w:val="center"/>
                </w:tcPr>
                <w:p w14:paraId="24BE7F0A">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原料区</w:t>
                  </w:r>
                </w:p>
              </w:tc>
              <w:tc>
                <w:tcPr>
                  <w:tcW w:w="651" w:type="pct"/>
                  <w:noWrap w:val="0"/>
                  <w:vAlign w:val="center"/>
                </w:tcPr>
                <w:p w14:paraId="37EA5AC4">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原件卸货</w:t>
                  </w:r>
                </w:p>
              </w:tc>
              <w:tc>
                <w:tcPr>
                  <w:tcW w:w="850" w:type="pct"/>
                  <w:noWrap w:val="0"/>
                  <w:vAlign w:val="center"/>
                </w:tcPr>
                <w:p w14:paraId="478C5E46">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2189" w:type="pct"/>
                  <w:noWrap w:val="0"/>
                  <w:vAlign w:val="center"/>
                </w:tcPr>
                <w:p w14:paraId="521C3680">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车间沉降、清扫收集、自然扩散</w:t>
                  </w:r>
                </w:p>
              </w:tc>
              <w:tc>
                <w:tcPr>
                  <w:tcW w:w="647" w:type="pct"/>
                  <w:noWrap w:val="0"/>
                  <w:vAlign w:val="center"/>
                </w:tcPr>
                <w:p w14:paraId="377CFB9F">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无组织</w:t>
                  </w:r>
                </w:p>
              </w:tc>
            </w:tr>
            <w:tr w14:paraId="57C42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660" w:type="pct"/>
                  <w:noWrap w:val="0"/>
                  <w:vAlign w:val="center"/>
                </w:tcPr>
                <w:p w14:paraId="031F1033">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机械使用</w:t>
                  </w:r>
                </w:p>
              </w:tc>
              <w:tc>
                <w:tcPr>
                  <w:tcW w:w="651" w:type="pct"/>
                  <w:noWrap w:val="0"/>
                  <w:vAlign w:val="center"/>
                </w:tcPr>
                <w:p w14:paraId="19738015">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叉车、货车等</w:t>
                  </w:r>
                </w:p>
              </w:tc>
              <w:tc>
                <w:tcPr>
                  <w:tcW w:w="850" w:type="pct"/>
                  <w:noWrap w:val="0"/>
                  <w:vAlign w:val="center"/>
                </w:tcPr>
                <w:p w14:paraId="5101445C">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燃油机械尾气</w:t>
                  </w:r>
                </w:p>
              </w:tc>
              <w:tc>
                <w:tcPr>
                  <w:tcW w:w="2189" w:type="pct"/>
                  <w:noWrap w:val="0"/>
                  <w:vAlign w:val="center"/>
                </w:tcPr>
                <w:p w14:paraId="21338ABB">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自然扩散</w:t>
                  </w:r>
                </w:p>
              </w:tc>
              <w:tc>
                <w:tcPr>
                  <w:tcW w:w="647" w:type="pct"/>
                  <w:noWrap w:val="0"/>
                  <w:vAlign w:val="center"/>
                </w:tcPr>
                <w:p w14:paraId="1B1BC4AC">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无组织</w:t>
                  </w:r>
                </w:p>
              </w:tc>
            </w:tr>
            <w:tr w14:paraId="03B8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660" w:type="pct"/>
                  <w:noWrap w:val="0"/>
                  <w:vAlign w:val="center"/>
                </w:tcPr>
                <w:p w14:paraId="1CA9105B">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旱厕</w:t>
                  </w:r>
                  <w:r>
                    <w:rPr>
                      <w:rFonts w:hint="eastAsia" w:cs="Times New Roman"/>
                      <w:color w:val="auto"/>
                      <w:lang w:val="en-US" w:eastAsia="zh-CN"/>
                    </w:rPr>
                    <w:t>、喷漆、晾干</w:t>
                  </w:r>
                </w:p>
              </w:tc>
              <w:tc>
                <w:tcPr>
                  <w:tcW w:w="651" w:type="pct"/>
                  <w:noWrap w:val="0"/>
                  <w:vAlign w:val="center"/>
                </w:tcPr>
                <w:p w14:paraId="3D3F88A5">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850" w:type="pct"/>
                  <w:noWrap w:val="0"/>
                  <w:vAlign w:val="center"/>
                </w:tcPr>
                <w:p w14:paraId="145360C9">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臭气浓度</w:t>
                  </w:r>
                </w:p>
              </w:tc>
              <w:tc>
                <w:tcPr>
                  <w:tcW w:w="2189" w:type="pct"/>
                  <w:noWrap w:val="0"/>
                  <w:vAlign w:val="center"/>
                </w:tcPr>
                <w:p w14:paraId="4974EDA4">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自然扩散、绿化吸收</w:t>
                  </w:r>
                </w:p>
              </w:tc>
              <w:tc>
                <w:tcPr>
                  <w:tcW w:w="647" w:type="pct"/>
                  <w:noWrap w:val="0"/>
                  <w:vAlign w:val="center"/>
                </w:tcPr>
                <w:p w14:paraId="242499F9">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无组织</w:t>
                  </w:r>
                </w:p>
              </w:tc>
            </w:tr>
          </w:tbl>
          <w:p w14:paraId="3606FB15">
            <w:pPr>
              <w:bidi w:val="0"/>
              <w:rPr>
                <w:rFonts w:hint="default" w:ascii="Times New Roman" w:hAnsi="Times New Roman" w:eastAsia="宋体" w:cs="Times New Roman"/>
                <w:b/>
                <w:bCs/>
                <w:color w:val="auto"/>
                <w:lang w:eastAsia="zh-CN"/>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2</w:t>
            </w:r>
            <w:r>
              <w:rPr>
                <w:rFonts w:hint="default" w:ascii="Times New Roman" w:hAnsi="Times New Roman" w:cs="Times New Roman"/>
                <w:b/>
                <w:bCs/>
                <w:color w:val="auto"/>
                <w:lang w:eastAsia="zh-CN"/>
              </w:rPr>
              <w:t>）污染物产生情况、治理措施及排放情况</w:t>
            </w:r>
          </w:p>
          <w:p w14:paraId="44E37D9D">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本项目污染物产生情况、治理措施及排放情况见下表。</w:t>
            </w:r>
          </w:p>
          <w:p w14:paraId="32A705CD">
            <w:pPr>
              <w:bidi w:val="0"/>
              <w:ind w:left="0" w:leftChars="0" w:firstLine="0" w:firstLineChars="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表4-2  本项目有组织大气污染物产排情况核算表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917"/>
              <w:gridCol w:w="1677"/>
              <w:gridCol w:w="1392"/>
              <w:gridCol w:w="1817"/>
            </w:tblGrid>
            <w:tr w14:paraId="5199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5" w:type="pct"/>
                  <w:gridSpan w:val="2"/>
                  <w:noWrap w:val="0"/>
                  <w:vAlign w:val="center"/>
                </w:tcPr>
                <w:p w14:paraId="6FBA4F5E">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产污环节</w:t>
                  </w:r>
                </w:p>
              </w:tc>
              <w:tc>
                <w:tcPr>
                  <w:tcW w:w="3244" w:type="pct"/>
                  <w:gridSpan w:val="3"/>
                  <w:noWrap w:val="0"/>
                  <w:vAlign w:val="center"/>
                </w:tcPr>
                <w:p w14:paraId="75B8C4BE">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w:t>
                  </w:r>
                </w:p>
              </w:tc>
            </w:tr>
            <w:tr w14:paraId="3939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5" w:type="pct"/>
                  <w:gridSpan w:val="2"/>
                  <w:noWrap w:val="0"/>
                  <w:vAlign w:val="center"/>
                </w:tcPr>
                <w:p w14:paraId="40FF2F6C">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污染物种类</w:t>
                  </w:r>
                </w:p>
              </w:tc>
              <w:tc>
                <w:tcPr>
                  <w:tcW w:w="1113" w:type="pct"/>
                  <w:noWrap w:val="0"/>
                  <w:vAlign w:val="center"/>
                </w:tcPr>
                <w:p w14:paraId="7C8328E5">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颗粒物（漆雾）</w:t>
                  </w:r>
                </w:p>
              </w:tc>
              <w:tc>
                <w:tcPr>
                  <w:tcW w:w="924" w:type="pct"/>
                  <w:noWrap w:val="0"/>
                  <w:vAlign w:val="center"/>
                </w:tcPr>
                <w:p w14:paraId="16B1E515">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非甲烷总烃</w:t>
                  </w:r>
                </w:p>
              </w:tc>
              <w:tc>
                <w:tcPr>
                  <w:tcW w:w="1206" w:type="pct"/>
                  <w:noWrap w:val="0"/>
                  <w:vAlign w:val="center"/>
                </w:tcPr>
                <w:p w14:paraId="1CEFE63B">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二甲苯</w:t>
                  </w:r>
                </w:p>
              </w:tc>
            </w:tr>
            <w:tr w14:paraId="4AA6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5" w:type="pct"/>
                  <w:gridSpan w:val="2"/>
                  <w:noWrap w:val="0"/>
                  <w:vAlign w:val="center"/>
                </w:tcPr>
                <w:p w14:paraId="3789A8D6">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污染物产生量（t/a）</w:t>
                  </w:r>
                </w:p>
              </w:tc>
              <w:tc>
                <w:tcPr>
                  <w:tcW w:w="1113" w:type="pct"/>
                  <w:noWrap w:val="0"/>
                  <w:vAlign w:val="center"/>
                </w:tcPr>
                <w:p w14:paraId="33575200">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0.10</w:t>
                  </w:r>
                </w:p>
              </w:tc>
              <w:tc>
                <w:tcPr>
                  <w:tcW w:w="924" w:type="pct"/>
                  <w:noWrap w:val="0"/>
                  <w:vAlign w:val="center"/>
                </w:tcPr>
                <w:p w14:paraId="6D467C6A">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0.54</w:t>
                  </w:r>
                </w:p>
              </w:tc>
              <w:tc>
                <w:tcPr>
                  <w:tcW w:w="1206" w:type="pct"/>
                  <w:noWrap w:val="0"/>
                  <w:vAlign w:val="center"/>
                </w:tcPr>
                <w:p w14:paraId="41FC792A">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0.35</w:t>
                  </w:r>
                </w:p>
              </w:tc>
            </w:tr>
            <w:tr w14:paraId="77E8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5" w:type="pct"/>
                  <w:gridSpan w:val="2"/>
                  <w:noWrap w:val="0"/>
                  <w:vAlign w:val="center"/>
                </w:tcPr>
                <w:p w14:paraId="18C823BB">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污染物产生速率（kg/h/a）</w:t>
                  </w:r>
                </w:p>
              </w:tc>
              <w:tc>
                <w:tcPr>
                  <w:tcW w:w="1113" w:type="pct"/>
                  <w:noWrap w:val="0"/>
                  <w:vAlign w:val="center"/>
                </w:tcPr>
                <w:p w14:paraId="61EB1A24">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0.040</w:t>
                  </w:r>
                </w:p>
              </w:tc>
              <w:tc>
                <w:tcPr>
                  <w:tcW w:w="924" w:type="pct"/>
                  <w:noWrap w:val="0"/>
                  <w:vAlign w:val="center"/>
                </w:tcPr>
                <w:p w14:paraId="060860BD">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0.226</w:t>
                  </w:r>
                </w:p>
              </w:tc>
              <w:tc>
                <w:tcPr>
                  <w:tcW w:w="1206" w:type="pct"/>
                  <w:noWrap w:val="0"/>
                  <w:vAlign w:val="center"/>
                </w:tcPr>
                <w:p w14:paraId="4EE65E83">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0.145</w:t>
                  </w:r>
                </w:p>
              </w:tc>
            </w:tr>
            <w:tr w14:paraId="42636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5" w:type="pct"/>
                  <w:gridSpan w:val="2"/>
                  <w:noWrap w:val="0"/>
                  <w:vAlign w:val="center"/>
                </w:tcPr>
                <w:p w14:paraId="4261784A">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污染物产生浓度（</w:t>
                  </w:r>
                  <w:r>
                    <w:rPr>
                      <w:rFonts w:hint="default" w:ascii="Times New Roman" w:hAnsi="Times New Roman" w:cs="Times New Roman"/>
                      <w:b/>
                      <w:bCs/>
                      <w:color w:val="auto"/>
                    </w:rPr>
                    <w:t>mg/m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lang w:val="en-US" w:eastAsia="zh-CN"/>
                    </w:rPr>
                    <w:t>）</w:t>
                  </w:r>
                </w:p>
              </w:tc>
              <w:tc>
                <w:tcPr>
                  <w:tcW w:w="1113" w:type="pct"/>
                  <w:noWrap w:val="0"/>
                  <w:vAlign w:val="center"/>
                </w:tcPr>
                <w:p w14:paraId="365C76B6">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16.16</w:t>
                  </w:r>
                </w:p>
              </w:tc>
              <w:tc>
                <w:tcPr>
                  <w:tcW w:w="924" w:type="pct"/>
                  <w:noWrap w:val="0"/>
                  <w:vAlign w:val="center"/>
                </w:tcPr>
                <w:p w14:paraId="75DC7009">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90.25</w:t>
                  </w:r>
                </w:p>
              </w:tc>
              <w:tc>
                <w:tcPr>
                  <w:tcW w:w="1206" w:type="pct"/>
                  <w:noWrap w:val="0"/>
                  <w:vAlign w:val="center"/>
                </w:tcPr>
                <w:p w14:paraId="07C9A6CE">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58.13</w:t>
                  </w:r>
                </w:p>
              </w:tc>
            </w:tr>
            <w:tr w14:paraId="2906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5" w:type="pct"/>
                  <w:gridSpan w:val="2"/>
                  <w:noWrap w:val="0"/>
                  <w:vAlign w:val="center"/>
                </w:tcPr>
                <w:p w14:paraId="727AECB0">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排放形式</w:t>
                  </w:r>
                </w:p>
              </w:tc>
              <w:tc>
                <w:tcPr>
                  <w:tcW w:w="1113" w:type="pct"/>
                  <w:noWrap w:val="0"/>
                  <w:vAlign w:val="center"/>
                </w:tcPr>
                <w:p w14:paraId="695AA3A9">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有组织</w:t>
                  </w:r>
                </w:p>
              </w:tc>
              <w:tc>
                <w:tcPr>
                  <w:tcW w:w="924" w:type="pct"/>
                  <w:noWrap w:val="0"/>
                  <w:vAlign w:val="center"/>
                </w:tcPr>
                <w:p w14:paraId="55C1EA84">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有组织</w:t>
                  </w:r>
                </w:p>
              </w:tc>
              <w:tc>
                <w:tcPr>
                  <w:tcW w:w="1206" w:type="pct"/>
                  <w:noWrap w:val="0"/>
                  <w:vAlign w:val="center"/>
                </w:tcPr>
                <w:p w14:paraId="01C56147">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有组织</w:t>
                  </w:r>
                </w:p>
              </w:tc>
            </w:tr>
            <w:tr w14:paraId="3E20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 w:type="pct"/>
                  <w:vMerge w:val="restart"/>
                  <w:noWrap w:val="0"/>
                  <w:vAlign w:val="center"/>
                </w:tcPr>
                <w:p w14:paraId="1D2F086D">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治理设施</w:t>
                  </w:r>
                </w:p>
              </w:tc>
              <w:tc>
                <w:tcPr>
                  <w:tcW w:w="1272" w:type="pct"/>
                  <w:noWrap w:val="0"/>
                  <w:vAlign w:val="center"/>
                </w:tcPr>
                <w:p w14:paraId="76D1F392">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收集效率</w:t>
                  </w:r>
                </w:p>
              </w:tc>
              <w:tc>
                <w:tcPr>
                  <w:tcW w:w="3244" w:type="pct"/>
                  <w:gridSpan w:val="3"/>
                  <w:noWrap w:val="0"/>
                  <w:vAlign w:val="center"/>
                </w:tcPr>
                <w:p w14:paraId="352BEC7B">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w:t>
                  </w:r>
                </w:p>
              </w:tc>
            </w:tr>
            <w:tr w14:paraId="72632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 w:type="pct"/>
                  <w:vMerge w:val="continue"/>
                  <w:noWrap w:val="0"/>
                  <w:vAlign w:val="center"/>
                </w:tcPr>
                <w:p w14:paraId="05B061D8">
                  <w:pPr>
                    <w:pStyle w:val="14"/>
                    <w:widowControl w:val="0"/>
                    <w:bidi w:val="0"/>
                    <w:rPr>
                      <w:rFonts w:hint="default" w:ascii="Times New Roman" w:hAnsi="Times New Roman" w:cs="Times New Roman"/>
                      <w:b/>
                      <w:bCs/>
                      <w:color w:val="auto"/>
                      <w:lang w:val="en-US" w:eastAsia="zh-CN"/>
                    </w:rPr>
                  </w:pPr>
                </w:p>
              </w:tc>
              <w:tc>
                <w:tcPr>
                  <w:tcW w:w="1272" w:type="pct"/>
                  <w:noWrap w:val="0"/>
                  <w:vAlign w:val="center"/>
                </w:tcPr>
                <w:p w14:paraId="4D8F12FE">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治理工艺</w:t>
                  </w:r>
                </w:p>
              </w:tc>
              <w:tc>
                <w:tcPr>
                  <w:tcW w:w="3244" w:type="pct"/>
                  <w:gridSpan w:val="3"/>
                  <w:noWrap w:val="0"/>
                  <w:vAlign w:val="center"/>
                </w:tcPr>
                <w:p w14:paraId="369DC2F9">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封闭车间+车间上方设置负压收集系统+</w:t>
                  </w:r>
                  <w:r>
                    <w:rPr>
                      <w:rFonts w:hint="eastAsia" w:cs="Times New Roman"/>
                      <w:color w:val="auto"/>
                      <w:lang w:val="en-US" w:eastAsia="zh-CN"/>
                    </w:rPr>
                    <w:t>水帘+活性炭吸附系统</w:t>
                  </w:r>
                  <w:r>
                    <w:rPr>
                      <w:rFonts w:hint="default" w:ascii="Times New Roman" w:hAnsi="Times New Roman" w:cs="Times New Roman"/>
                      <w:color w:val="auto"/>
                      <w:lang w:val="en-US" w:eastAsia="zh-CN"/>
                    </w:rPr>
                    <w:t>+1根2</w:t>
                  </w:r>
                  <w:r>
                    <w:rPr>
                      <w:rFonts w:hint="eastAsia" w:cs="Times New Roman"/>
                      <w:color w:val="auto"/>
                      <w:lang w:val="en-US" w:eastAsia="zh-CN"/>
                    </w:rPr>
                    <w:t>5</w:t>
                  </w:r>
                  <w:r>
                    <w:rPr>
                      <w:rFonts w:hint="default" w:ascii="Times New Roman" w:hAnsi="Times New Roman" w:cs="Times New Roman"/>
                      <w:color w:val="auto"/>
                      <w:lang w:val="en-US" w:eastAsia="zh-CN"/>
                    </w:rPr>
                    <w:t>m高排气筒（DA001）</w:t>
                  </w:r>
                </w:p>
              </w:tc>
            </w:tr>
            <w:tr w14:paraId="2A87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 w:type="pct"/>
                  <w:vMerge w:val="continue"/>
                  <w:noWrap w:val="0"/>
                  <w:vAlign w:val="center"/>
                </w:tcPr>
                <w:p w14:paraId="620EC796">
                  <w:pPr>
                    <w:pStyle w:val="14"/>
                    <w:widowControl w:val="0"/>
                    <w:bidi w:val="0"/>
                    <w:rPr>
                      <w:rFonts w:hint="default" w:ascii="Times New Roman" w:hAnsi="Times New Roman" w:cs="Times New Roman"/>
                      <w:b/>
                      <w:bCs/>
                      <w:color w:val="auto"/>
                      <w:lang w:val="en-US" w:eastAsia="zh-CN"/>
                    </w:rPr>
                  </w:pPr>
                </w:p>
              </w:tc>
              <w:tc>
                <w:tcPr>
                  <w:tcW w:w="1272" w:type="pct"/>
                  <w:noWrap w:val="0"/>
                  <w:vAlign w:val="center"/>
                </w:tcPr>
                <w:p w14:paraId="7D8D3C84">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治理工艺去除率</w:t>
                  </w:r>
                </w:p>
              </w:tc>
              <w:tc>
                <w:tcPr>
                  <w:tcW w:w="1113" w:type="pct"/>
                  <w:noWrap w:val="0"/>
                  <w:vAlign w:val="center"/>
                </w:tcPr>
                <w:p w14:paraId="1937C69D">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80%</w:t>
                  </w:r>
                </w:p>
              </w:tc>
              <w:tc>
                <w:tcPr>
                  <w:tcW w:w="924" w:type="pct"/>
                  <w:noWrap w:val="0"/>
                  <w:vAlign w:val="center"/>
                </w:tcPr>
                <w:p w14:paraId="79685B8E">
                  <w:pPr>
                    <w:pStyle w:val="14"/>
                    <w:widowControl w:val="0"/>
                    <w:bidi w:val="0"/>
                    <w:rPr>
                      <w:rFonts w:hint="default" w:ascii="Times New Roman" w:hAnsi="Times New Roman" w:cs="Times New Roman"/>
                      <w:color w:val="auto"/>
                      <w:lang w:val="en-US" w:eastAsia="zh-CN"/>
                    </w:rPr>
                  </w:pPr>
                  <w:r>
                    <w:rPr>
                      <w:rFonts w:hint="eastAsia" w:cs="Times New Roman"/>
                      <w:color w:val="auto"/>
                      <w:lang w:val="en-US" w:eastAsia="zh-CN"/>
                    </w:rPr>
                    <w:t>21</w:t>
                  </w:r>
                  <w:r>
                    <w:rPr>
                      <w:rFonts w:hint="default" w:ascii="Times New Roman" w:hAnsi="Times New Roman" w:cs="Times New Roman"/>
                      <w:color w:val="auto"/>
                      <w:lang w:val="en-US" w:eastAsia="zh-CN"/>
                    </w:rPr>
                    <w:t>%</w:t>
                  </w:r>
                </w:p>
              </w:tc>
              <w:tc>
                <w:tcPr>
                  <w:tcW w:w="1206" w:type="pct"/>
                  <w:noWrap w:val="0"/>
                  <w:vAlign w:val="center"/>
                </w:tcPr>
                <w:p w14:paraId="08A23080">
                  <w:pPr>
                    <w:pStyle w:val="14"/>
                    <w:widowControl w:val="0"/>
                    <w:bidi w:val="0"/>
                    <w:rPr>
                      <w:rFonts w:hint="default" w:ascii="Times New Roman" w:hAnsi="Times New Roman" w:cs="Times New Roman"/>
                      <w:color w:val="auto"/>
                      <w:lang w:val="en-US" w:eastAsia="zh-CN"/>
                    </w:rPr>
                  </w:pPr>
                  <w:r>
                    <w:rPr>
                      <w:rFonts w:hint="eastAsia" w:cs="Times New Roman"/>
                      <w:color w:val="auto"/>
                      <w:lang w:val="en-US" w:eastAsia="zh-CN"/>
                    </w:rPr>
                    <w:t>21</w:t>
                  </w:r>
                  <w:r>
                    <w:rPr>
                      <w:rFonts w:hint="default" w:ascii="Times New Roman" w:hAnsi="Times New Roman" w:cs="Times New Roman"/>
                      <w:color w:val="auto"/>
                      <w:lang w:val="en-US" w:eastAsia="zh-CN"/>
                    </w:rPr>
                    <w:t>%</w:t>
                  </w:r>
                </w:p>
              </w:tc>
            </w:tr>
            <w:tr w14:paraId="74127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 w:type="pct"/>
                  <w:vMerge w:val="continue"/>
                  <w:noWrap w:val="0"/>
                  <w:vAlign w:val="center"/>
                </w:tcPr>
                <w:p w14:paraId="7FA718E2">
                  <w:pPr>
                    <w:pStyle w:val="14"/>
                    <w:widowControl w:val="0"/>
                    <w:bidi w:val="0"/>
                    <w:rPr>
                      <w:rFonts w:hint="default" w:ascii="Times New Roman" w:hAnsi="Times New Roman" w:cs="Times New Roman"/>
                      <w:b/>
                      <w:bCs/>
                      <w:color w:val="auto"/>
                      <w:lang w:val="en-US" w:eastAsia="zh-CN"/>
                    </w:rPr>
                  </w:pPr>
                </w:p>
              </w:tc>
              <w:tc>
                <w:tcPr>
                  <w:tcW w:w="1272" w:type="pct"/>
                  <w:noWrap w:val="0"/>
                  <w:vAlign w:val="center"/>
                </w:tcPr>
                <w:p w14:paraId="1807159C">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是否为可行技术</w:t>
                  </w:r>
                </w:p>
              </w:tc>
              <w:tc>
                <w:tcPr>
                  <w:tcW w:w="1113" w:type="pct"/>
                  <w:noWrap w:val="0"/>
                  <w:vAlign w:val="center"/>
                </w:tcPr>
                <w:p w14:paraId="253301C8">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是</w:t>
                  </w:r>
                </w:p>
              </w:tc>
              <w:tc>
                <w:tcPr>
                  <w:tcW w:w="924" w:type="pct"/>
                  <w:noWrap w:val="0"/>
                  <w:vAlign w:val="center"/>
                </w:tcPr>
                <w:p w14:paraId="37A2F8AE">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是</w:t>
                  </w:r>
                </w:p>
              </w:tc>
              <w:tc>
                <w:tcPr>
                  <w:tcW w:w="1206" w:type="pct"/>
                  <w:noWrap w:val="0"/>
                  <w:vAlign w:val="center"/>
                </w:tcPr>
                <w:p w14:paraId="5BCC769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是</w:t>
                  </w:r>
                </w:p>
              </w:tc>
            </w:tr>
            <w:tr w14:paraId="73CB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755" w:type="pct"/>
                  <w:gridSpan w:val="2"/>
                  <w:noWrap w:val="0"/>
                  <w:vAlign w:val="center"/>
                </w:tcPr>
                <w:p w14:paraId="0CA37F5A">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污染物排放浓度（</w:t>
                  </w:r>
                  <w:r>
                    <w:rPr>
                      <w:rFonts w:hint="default" w:ascii="Times New Roman" w:hAnsi="Times New Roman" w:cs="Times New Roman"/>
                      <w:b/>
                      <w:bCs/>
                      <w:color w:val="auto"/>
                    </w:rPr>
                    <w:t>mg/m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lang w:val="en-US" w:eastAsia="zh-CN"/>
                    </w:rPr>
                    <w:t>）</w:t>
                  </w:r>
                </w:p>
              </w:tc>
              <w:tc>
                <w:tcPr>
                  <w:tcW w:w="1113" w:type="pct"/>
                  <w:noWrap w:val="0"/>
                  <w:vAlign w:val="center"/>
                </w:tcPr>
                <w:p w14:paraId="68FD679B">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2.91</w:t>
                  </w:r>
                </w:p>
              </w:tc>
              <w:tc>
                <w:tcPr>
                  <w:tcW w:w="924" w:type="pct"/>
                  <w:noWrap w:val="0"/>
                  <w:vAlign w:val="center"/>
                </w:tcPr>
                <w:p w14:paraId="213F7B7D">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64.17</w:t>
                  </w:r>
                </w:p>
              </w:tc>
              <w:tc>
                <w:tcPr>
                  <w:tcW w:w="1206" w:type="pct"/>
                  <w:noWrap w:val="0"/>
                  <w:vAlign w:val="center"/>
                </w:tcPr>
                <w:p w14:paraId="57CDD24E">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41.33</w:t>
                  </w:r>
                </w:p>
              </w:tc>
            </w:tr>
            <w:tr w14:paraId="24CBE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5" w:type="pct"/>
                  <w:gridSpan w:val="2"/>
                  <w:noWrap w:val="0"/>
                  <w:vAlign w:val="center"/>
                </w:tcPr>
                <w:p w14:paraId="12233D43">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污染物排放速率（kg/h）</w:t>
                  </w:r>
                </w:p>
              </w:tc>
              <w:tc>
                <w:tcPr>
                  <w:tcW w:w="1113" w:type="pct"/>
                  <w:noWrap w:val="0"/>
                  <w:vAlign w:val="center"/>
                </w:tcPr>
                <w:p w14:paraId="102313A2">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0.007</w:t>
                  </w:r>
                </w:p>
              </w:tc>
              <w:tc>
                <w:tcPr>
                  <w:tcW w:w="924" w:type="pct"/>
                  <w:noWrap w:val="0"/>
                  <w:vAlign w:val="center"/>
                </w:tcPr>
                <w:p w14:paraId="2487E756">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0.160</w:t>
                  </w:r>
                </w:p>
              </w:tc>
              <w:tc>
                <w:tcPr>
                  <w:tcW w:w="1206" w:type="pct"/>
                  <w:noWrap w:val="0"/>
                  <w:vAlign w:val="center"/>
                </w:tcPr>
                <w:p w14:paraId="4BAE3F65">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0.103</w:t>
                  </w:r>
                </w:p>
              </w:tc>
            </w:tr>
            <w:tr w14:paraId="2D2D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5" w:type="pct"/>
                  <w:gridSpan w:val="2"/>
                  <w:noWrap w:val="0"/>
                  <w:vAlign w:val="center"/>
                </w:tcPr>
                <w:p w14:paraId="75030CDA">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污染物排放量</w:t>
                  </w:r>
                </w:p>
              </w:tc>
              <w:tc>
                <w:tcPr>
                  <w:tcW w:w="1113" w:type="pct"/>
                  <w:noWrap w:val="0"/>
                  <w:vAlign w:val="center"/>
                </w:tcPr>
                <w:p w14:paraId="169F65E6">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0.02</w:t>
                  </w:r>
                </w:p>
              </w:tc>
              <w:tc>
                <w:tcPr>
                  <w:tcW w:w="924" w:type="pct"/>
                  <w:noWrap w:val="0"/>
                  <w:vAlign w:val="center"/>
                </w:tcPr>
                <w:p w14:paraId="026A24F7">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0.39</w:t>
                  </w:r>
                </w:p>
              </w:tc>
              <w:tc>
                <w:tcPr>
                  <w:tcW w:w="1206" w:type="pct"/>
                  <w:noWrap w:val="0"/>
                  <w:vAlign w:val="center"/>
                </w:tcPr>
                <w:p w14:paraId="587790EF">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0.25</w:t>
                  </w:r>
                </w:p>
              </w:tc>
            </w:tr>
            <w:tr w14:paraId="5F4C5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 w:type="pct"/>
                  <w:vMerge w:val="restart"/>
                  <w:noWrap w:val="0"/>
                  <w:vAlign w:val="center"/>
                </w:tcPr>
                <w:p w14:paraId="234480EA">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排放口基本情况</w:t>
                  </w:r>
                </w:p>
              </w:tc>
              <w:tc>
                <w:tcPr>
                  <w:tcW w:w="1272" w:type="pct"/>
                  <w:noWrap w:val="0"/>
                  <w:vAlign w:val="center"/>
                </w:tcPr>
                <w:p w14:paraId="3D03E873">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排气筒高度（m）</w:t>
                  </w:r>
                </w:p>
              </w:tc>
              <w:tc>
                <w:tcPr>
                  <w:tcW w:w="3244" w:type="pct"/>
                  <w:gridSpan w:val="3"/>
                  <w:noWrap w:val="0"/>
                  <w:vAlign w:val="center"/>
                </w:tcPr>
                <w:p w14:paraId="553F6A8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r>
                    <w:rPr>
                      <w:rFonts w:hint="eastAsia" w:cs="Times New Roman"/>
                      <w:color w:val="auto"/>
                      <w:lang w:val="en-US" w:eastAsia="zh-CN"/>
                    </w:rPr>
                    <w:t>5</w:t>
                  </w:r>
                </w:p>
              </w:tc>
            </w:tr>
            <w:tr w14:paraId="0C2D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 w:type="pct"/>
                  <w:vMerge w:val="continue"/>
                  <w:noWrap w:val="0"/>
                  <w:vAlign w:val="center"/>
                </w:tcPr>
                <w:p w14:paraId="5B3C2785">
                  <w:pPr>
                    <w:pStyle w:val="14"/>
                    <w:widowControl w:val="0"/>
                    <w:bidi w:val="0"/>
                    <w:rPr>
                      <w:rFonts w:hint="default" w:ascii="Times New Roman" w:hAnsi="Times New Roman" w:cs="Times New Roman"/>
                      <w:b/>
                      <w:bCs/>
                      <w:color w:val="auto"/>
                      <w:lang w:val="en-US" w:eastAsia="zh-CN"/>
                    </w:rPr>
                  </w:pPr>
                </w:p>
              </w:tc>
              <w:tc>
                <w:tcPr>
                  <w:tcW w:w="1272" w:type="pct"/>
                  <w:noWrap w:val="0"/>
                  <w:vAlign w:val="center"/>
                </w:tcPr>
                <w:p w14:paraId="4612380F">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排气筒内径（m）</w:t>
                  </w:r>
                </w:p>
              </w:tc>
              <w:tc>
                <w:tcPr>
                  <w:tcW w:w="3244" w:type="pct"/>
                  <w:gridSpan w:val="3"/>
                  <w:noWrap w:val="0"/>
                  <w:vAlign w:val="center"/>
                </w:tcPr>
                <w:p w14:paraId="2F1D2FB9">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0.5</w:t>
                  </w:r>
                </w:p>
              </w:tc>
            </w:tr>
            <w:tr w14:paraId="729D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 w:type="pct"/>
                  <w:vMerge w:val="continue"/>
                  <w:noWrap w:val="0"/>
                  <w:vAlign w:val="center"/>
                </w:tcPr>
                <w:p w14:paraId="2145D7ED">
                  <w:pPr>
                    <w:pStyle w:val="14"/>
                    <w:widowControl w:val="0"/>
                    <w:bidi w:val="0"/>
                    <w:rPr>
                      <w:rFonts w:hint="default" w:ascii="Times New Roman" w:hAnsi="Times New Roman" w:cs="Times New Roman"/>
                      <w:b/>
                      <w:bCs/>
                      <w:color w:val="auto"/>
                      <w:lang w:val="en-US" w:eastAsia="zh-CN"/>
                    </w:rPr>
                  </w:pPr>
                </w:p>
              </w:tc>
              <w:tc>
                <w:tcPr>
                  <w:tcW w:w="1272" w:type="pct"/>
                  <w:noWrap w:val="0"/>
                  <w:vAlign w:val="center"/>
                </w:tcPr>
                <w:p w14:paraId="29116DB8">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温度（℃）</w:t>
                  </w:r>
                </w:p>
              </w:tc>
              <w:tc>
                <w:tcPr>
                  <w:tcW w:w="3244" w:type="pct"/>
                  <w:gridSpan w:val="3"/>
                  <w:noWrap w:val="0"/>
                  <w:vAlign w:val="center"/>
                </w:tcPr>
                <w:p w14:paraId="0E1E9960">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w:t>
                  </w:r>
                </w:p>
              </w:tc>
            </w:tr>
            <w:tr w14:paraId="314B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 w:type="pct"/>
                  <w:vMerge w:val="continue"/>
                  <w:noWrap w:val="0"/>
                  <w:vAlign w:val="center"/>
                </w:tcPr>
                <w:p w14:paraId="6A6FE2DA">
                  <w:pPr>
                    <w:pStyle w:val="14"/>
                    <w:widowControl w:val="0"/>
                    <w:bidi w:val="0"/>
                    <w:rPr>
                      <w:rFonts w:hint="default" w:ascii="Times New Roman" w:hAnsi="Times New Roman" w:cs="Times New Roman"/>
                      <w:b/>
                      <w:bCs/>
                      <w:color w:val="auto"/>
                      <w:lang w:val="en-US" w:eastAsia="zh-CN"/>
                    </w:rPr>
                  </w:pPr>
                </w:p>
              </w:tc>
              <w:tc>
                <w:tcPr>
                  <w:tcW w:w="1272" w:type="pct"/>
                  <w:noWrap w:val="0"/>
                  <w:vAlign w:val="center"/>
                </w:tcPr>
                <w:p w14:paraId="49D52270">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编号</w:t>
                  </w:r>
                </w:p>
              </w:tc>
              <w:tc>
                <w:tcPr>
                  <w:tcW w:w="3244" w:type="pct"/>
                  <w:gridSpan w:val="3"/>
                  <w:noWrap w:val="0"/>
                  <w:vAlign w:val="center"/>
                </w:tcPr>
                <w:p w14:paraId="61F29067">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DA001</w:t>
                  </w:r>
                </w:p>
              </w:tc>
            </w:tr>
            <w:tr w14:paraId="5D0D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 w:type="pct"/>
                  <w:vMerge w:val="continue"/>
                  <w:noWrap w:val="0"/>
                  <w:vAlign w:val="center"/>
                </w:tcPr>
                <w:p w14:paraId="4C61D750">
                  <w:pPr>
                    <w:pStyle w:val="14"/>
                    <w:widowControl w:val="0"/>
                    <w:bidi w:val="0"/>
                    <w:rPr>
                      <w:rFonts w:hint="default" w:ascii="Times New Roman" w:hAnsi="Times New Roman" w:cs="Times New Roman"/>
                      <w:b/>
                      <w:bCs/>
                      <w:color w:val="auto"/>
                      <w:lang w:val="en-US" w:eastAsia="zh-CN"/>
                    </w:rPr>
                  </w:pPr>
                </w:p>
              </w:tc>
              <w:tc>
                <w:tcPr>
                  <w:tcW w:w="1272" w:type="pct"/>
                  <w:noWrap w:val="0"/>
                  <w:vAlign w:val="center"/>
                </w:tcPr>
                <w:p w14:paraId="26E5A48B">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地理坐标</w:t>
                  </w:r>
                </w:p>
              </w:tc>
              <w:tc>
                <w:tcPr>
                  <w:tcW w:w="3244" w:type="pct"/>
                  <w:gridSpan w:val="3"/>
                  <w:noWrap w:val="0"/>
                  <w:vAlign w:val="center"/>
                </w:tcPr>
                <w:p w14:paraId="0C1865C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E：102°57′14.5002"</w:t>
                  </w:r>
                </w:p>
                <w:p w14:paraId="79648F7C">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N：24°38′43.5027"</w:t>
                  </w:r>
                </w:p>
              </w:tc>
            </w:tr>
            <w:tr w14:paraId="03AE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 w:type="pct"/>
                  <w:vMerge w:val="continue"/>
                  <w:noWrap w:val="0"/>
                  <w:vAlign w:val="center"/>
                </w:tcPr>
                <w:p w14:paraId="1666DC92">
                  <w:pPr>
                    <w:pStyle w:val="14"/>
                    <w:widowControl w:val="0"/>
                    <w:bidi w:val="0"/>
                    <w:rPr>
                      <w:rFonts w:hint="default" w:ascii="Times New Roman" w:hAnsi="Times New Roman" w:cs="Times New Roman"/>
                      <w:b/>
                      <w:bCs/>
                      <w:color w:val="auto"/>
                      <w:lang w:val="en-US" w:eastAsia="zh-CN"/>
                    </w:rPr>
                  </w:pPr>
                </w:p>
              </w:tc>
              <w:tc>
                <w:tcPr>
                  <w:tcW w:w="1272" w:type="pct"/>
                  <w:noWrap w:val="0"/>
                  <w:vAlign w:val="center"/>
                </w:tcPr>
                <w:p w14:paraId="741CD838">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排放口类型</w:t>
                  </w:r>
                </w:p>
              </w:tc>
              <w:tc>
                <w:tcPr>
                  <w:tcW w:w="3244" w:type="pct"/>
                  <w:gridSpan w:val="3"/>
                  <w:noWrap w:val="0"/>
                  <w:vAlign w:val="center"/>
                </w:tcPr>
                <w:p w14:paraId="7A317018">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一般排放口</w:t>
                  </w:r>
                </w:p>
              </w:tc>
            </w:tr>
            <w:tr w14:paraId="6E3E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5" w:type="pct"/>
                  <w:gridSpan w:val="2"/>
                  <w:noWrap w:val="0"/>
                  <w:vAlign w:val="center"/>
                </w:tcPr>
                <w:p w14:paraId="4AFD1A6C">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排放标准</w:t>
                  </w:r>
                </w:p>
              </w:tc>
              <w:tc>
                <w:tcPr>
                  <w:tcW w:w="3244" w:type="pct"/>
                  <w:gridSpan w:val="3"/>
                  <w:noWrap w:val="0"/>
                  <w:vAlign w:val="center"/>
                </w:tcPr>
                <w:p w14:paraId="5F377C4E">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GB16297-1996</w:t>
                  </w:r>
                </w:p>
              </w:tc>
            </w:tr>
            <w:tr w14:paraId="2459E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5" w:type="pct"/>
                  <w:gridSpan w:val="2"/>
                  <w:noWrap w:val="0"/>
                  <w:vAlign w:val="center"/>
                </w:tcPr>
                <w:p w14:paraId="5D5FF4D8">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排放速率限值（kg</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h）</w:t>
                  </w:r>
                </w:p>
              </w:tc>
              <w:tc>
                <w:tcPr>
                  <w:tcW w:w="1113" w:type="pct"/>
                  <w:noWrap w:val="0"/>
                  <w:vAlign w:val="center"/>
                </w:tcPr>
                <w:p w14:paraId="092FC6FD">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14.45</w:t>
                  </w:r>
                </w:p>
              </w:tc>
              <w:tc>
                <w:tcPr>
                  <w:tcW w:w="924" w:type="pct"/>
                  <w:noWrap w:val="0"/>
                  <w:vAlign w:val="center"/>
                </w:tcPr>
                <w:p w14:paraId="70760D44">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35</w:t>
                  </w:r>
                </w:p>
              </w:tc>
              <w:tc>
                <w:tcPr>
                  <w:tcW w:w="1206" w:type="pct"/>
                  <w:noWrap w:val="0"/>
                  <w:vAlign w:val="center"/>
                </w:tcPr>
                <w:p w14:paraId="1EE9A040">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3.8</w:t>
                  </w:r>
                </w:p>
              </w:tc>
            </w:tr>
            <w:tr w14:paraId="02AFE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5" w:type="pct"/>
                  <w:gridSpan w:val="2"/>
                  <w:noWrap w:val="0"/>
                  <w:vAlign w:val="center"/>
                </w:tcPr>
                <w:p w14:paraId="02E40ED3">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排放浓度限值（mg/m³）</w:t>
                  </w:r>
                </w:p>
              </w:tc>
              <w:tc>
                <w:tcPr>
                  <w:tcW w:w="1113" w:type="pct"/>
                  <w:noWrap w:val="0"/>
                  <w:vAlign w:val="center"/>
                </w:tcPr>
                <w:p w14:paraId="50142ACD">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120</w:t>
                  </w:r>
                </w:p>
              </w:tc>
              <w:tc>
                <w:tcPr>
                  <w:tcW w:w="924" w:type="pct"/>
                  <w:noWrap w:val="0"/>
                  <w:vAlign w:val="center"/>
                </w:tcPr>
                <w:p w14:paraId="631D899F">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120</w:t>
                  </w:r>
                </w:p>
              </w:tc>
              <w:tc>
                <w:tcPr>
                  <w:tcW w:w="1206" w:type="pct"/>
                  <w:noWrap w:val="0"/>
                  <w:vAlign w:val="center"/>
                </w:tcPr>
                <w:p w14:paraId="534527C7">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70</w:t>
                  </w:r>
                </w:p>
              </w:tc>
            </w:tr>
            <w:tr w14:paraId="076A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755" w:type="pct"/>
                  <w:gridSpan w:val="2"/>
                  <w:noWrap w:val="0"/>
                  <w:vAlign w:val="center"/>
                </w:tcPr>
                <w:p w14:paraId="0155B462">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达标情况</w:t>
                  </w:r>
                </w:p>
              </w:tc>
              <w:tc>
                <w:tcPr>
                  <w:tcW w:w="1113" w:type="pct"/>
                  <w:noWrap w:val="0"/>
                  <w:vAlign w:val="center"/>
                </w:tcPr>
                <w:p w14:paraId="636C8960">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c>
                <w:tcPr>
                  <w:tcW w:w="924" w:type="pct"/>
                  <w:noWrap w:val="0"/>
                  <w:vAlign w:val="center"/>
                </w:tcPr>
                <w:p w14:paraId="236C4475">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c>
                <w:tcPr>
                  <w:tcW w:w="1206" w:type="pct"/>
                  <w:noWrap w:val="0"/>
                  <w:vAlign w:val="center"/>
                </w:tcPr>
                <w:p w14:paraId="2B0FBBC7">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r>
          </w:tbl>
          <w:p w14:paraId="4AA2463F">
            <w:pPr>
              <w:bidi w:val="0"/>
              <w:ind w:left="0" w:leftChars="0" w:firstLine="0" w:firstLineChars="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表4-3  项目无组织大气污染物产排情况核算表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63"/>
              <w:gridCol w:w="1700"/>
              <w:gridCol w:w="956"/>
              <w:gridCol w:w="784"/>
              <w:gridCol w:w="877"/>
              <w:gridCol w:w="831"/>
              <w:gridCol w:w="1096"/>
              <w:gridCol w:w="923"/>
            </w:tblGrid>
            <w:tr w14:paraId="33BA8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369" w:type="pct"/>
                  <w:gridSpan w:val="2"/>
                  <w:noWrap w:val="0"/>
                  <w:vAlign w:val="center"/>
                </w:tcPr>
                <w:p w14:paraId="54DE087F">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产污环节</w:t>
                  </w:r>
                </w:p>
              </w:tc>
              <w:tc>
                <w:tcPr>
                  <w:tcW w:w="634" w:type="pct"/>
                  <w:noWrap w:val="0"/>
                  <w:vAlign w:val="center"/>
                </w:tcPr>
                <w:p w14:paraId="0C13405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原料装卸</w:t>
                  </w:r>
                </w:p>
              </w:tc>
              <w:tc>
                <w:tcPr>
                  <w:tcW w:w="1654" w:type="pct"/>
                  <w:gridSpan w:val="3"/>
                  <w:noWrap w:val="0"/>
                  <w:vAlign w:val="center"/>
                </w:tcPr>
                <w:p w14:paraId="344A92EC">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喷漆、晾干</w:t>
                  </w:r>
                </w:p>
              </w:tc>
              <w:tc>
                <w:tcPr>
                  <w:tcW w:w="727" w:type="pct"/>
                  <w:noWrap w:val="0"/>
                  <w:vAlign w:val="center"/>
                </w:tcPr>
                <w:p w14:paraId="7A59B0AE">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燃油机械使用</w:t>
                  </w:r>
                </w:p>
              </w:tc>
              <w:tc>
                <w:tcPr>
                  <w:tcW w:w="612" w:type="pct"/>
                  <w:noWrap w:val="0"/>
                  <w:vAlign w:val="center"/>
                </w:tcPr>
                <w:p w14:paraId="3B4D2EEB">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旱厕</w:t>
                  </w:r>
                </w:p>
              </w:tc>
            </w:tr>
            <w:tr w14:paraId="7055C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369" w:type="pct"/>
                  <w:gridSpan w:val="2"/>
                  <w:noWrap w:val="0"/>
                  <w:vAlign w:val="center"/>
                </w:tcPr>
                <w:p w14:paraId="514B8A0E">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污染物种类</w:t>
                  </w:r>
                </w:p>
              </w:tc>
              <w:tc>
                <w:tcPr>
                  <w:tcW w:w="634" w:type="pct"/>
                  <w:noWrap w:val="0"/>
                  <w:vAlign w:val="center"/>
                </w:tcPr>
                <w:p w14:paraId="1F215646">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520" w:type="pct"/>
                  <w:noWrap w:val="0"/>
                  <w:vAlign w:val="center"/>
                </w:tcPr>
                <w:p w14:paraId="518F7C7A">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颗粒物（漆雾）</w:t>
                  </w:r>
                </w:p>
              </w:tc>
              <w:tc>
                <w:tcPr>
                  <w:tcW w:w="582" w:type="pct"/>
                  <w:noWrap w:val="0"/>
                  <w:vAlign w:val="center"/>
                </w:tcPr>
                <w:p w14:paraId="0CA0BE1C">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非甲烷总烃</w:t>
                  </w:r>
                </w:p>
              </w:tc>
              <w:tc>
                <w:tcPr>
                  <w:tcW w:w="551" w:type="pct"/>
                  <w:noWrap w:val="0"/>
                  <w:vAlign w:val="center"/>
                </w:tcPr>
                <w:p w14:paraId="6D2E908E">
                  <w:pPr>
                    <w:pStyle w:val="14"/>
                    <w:widowControl w:val="0"/>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二甲苯</w:t>
                  </w:r>
                </w:p>
              </w:tc>
              <w:tc>
                <w:tcPr>
                  <w:tcW w:w="727" w:type="pct"/>
                  <w:noWrap w:val="0"/>
                  <w:vAlign w:val="center"/>
                </w:tcPr>
                <w:p w14:paraId="0D6D07FF">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CO、NOx、（THC）</w:t>
                  </w:r>
                </w:p>
              </w:tc>
              <w:tc>
                <w:tcPr>
                  <w:tcW w:w="612" w:type="pct"/>
                  <w:noWrap w:val="0"/>
                  <w:vAlign w:val="center"/>
                </w:tcPr>
                <w:p w14:paraId="0C4ECA9C">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异味</w:t>
                  </w:r>
                </w:p>
              </w:tc>
            </w:tr>
            <w:tr w14:paraId="2680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369" w:type="pct"/>
                  <w:gridSpan w:val="2"/>
                  <w:noWrap w:val="0"/>
                  <w:vAlign w:val="center"/>
                </w:tcPr>
                <w:p w14:paraId="6EECA22D">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污染物产生量（t/a）</w:t>
                  </w:r>
                </w:p>
              </w:tc>
              <w:tc>
                <w:tcPr>
                  <w:tcW w:w="634" w:type="pct"/>
                  <w:noWrap w:val="0"/>
                  <w:vAlign w:val="center"/>
                </w:tcPr>
                <w:p w14:paraId="7158B2A4">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0.02</w:t>
                  </w:r>
                </w:p>
              </w:tc>
              <w:tc>
                <w:tcPr>
                  <w:tcW w:w="520" w:type="pct"/>
                  <w:noWrap w:val="0"/>
                  <w:vAlign w:val="center"/>
                </w:tcPr>
                <w:p w14:paraId="52A65B93">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0.01</w:t>
                  </w:r>
                </w:p>
              </w:tc>
              <w:tc>
                <w:tcPr>
                  <w:tcW w:w="582" w:type="pct"/>
                  <w:noWrap w:val="0"/>
                  <w:vAlign w:val="center"/>
                </w:tcPr>
                <w:p w14:paraId="6916FDB0">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0.60</w:t>
                  </w:r>
                </w:p>
              </w:tc>
              <w:tc>
                <w:tcPr>
                  <w:tcW w:w="551" w:type="pct"/>
                  <w:noWrap w:val="0"/>
                  <w:vAlign w:val="center"/>
                </w:tcPr>
                <w:p w14:paraId="5AB67109">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0.38</w:t>
                  </w:r>
                </w:p>
              </w:tc>
              <w:tc>
                <w:tcPr>
                  <w:tcW w:w="727" w:type="pct"/>
                  <w:noWrap w:val="0"/>
                  <w:vAlign w:val="center"/>
                </w:tcPr>
                <w:p w14:paraId="49807DF3">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少量</w:t>
                  </w:r>
                </w:p>
              </w:tc>
              <w:tc>
                <w:tcPr>
                  <w:tcW w:w="612" w:type="pct"/>
                  <w:noWrap w:val="0"/>
                  <w:vAlign w:val="center"/>
                </w:tcPr>
                <w:p w14:paraId="1C58D01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少量</w:t>
                  </w:r>
                </w:p>
              </w:tc>
            </w:tr>
            <w:tr w14:paraId="076C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369" w:type="pct"/>
                  <w:gridSpan w:val="2"/>
                  <w:noWrap w:val="0"/>
                  <w:vAlign w:val="center"/>
                </w:tcPr>
                <w:p w14:paraId="7EC6C344">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污染物产生速率（kg/h）</w:t>
                  </w:r>
                </w:p>
              </w:tc>
              <w:tc>
                <w:tcPr>
                  <w:tcW w:w="634" w:type="pct"/>
                  <w:noWrap w:val="0"/>
                  <w:vAlign w:val="center"/>
                </w:tcPr>
                <w:p w14:paraId="42276BE3">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0.008</w:t>
                  </w:r>
                </w:p>
              </w:tc>
              <w:tc>
                <w:tcPr>
                  <w:tcW w:w="520" w:type="pct"/>
                  <w:noWrap w:val="0"/>
                  <w:vAlign w:val="center"/>
                </w:tcPr>
                <w:p w14:paraId="57341ACF">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0.004</w:t>
                  </w:r>
                </w:p>
              </w:tc>
              <w:tc>
                <w:tcPr>
                  <w:tcW w:w="582" w:type="pct"/>
                  <w:noWrap w:val="0"/>
                  <w:vAlign w:val="center"/>
                </w:tcPr>
                <w:p w14:paraId="5AADD9A0">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0.25</w:t>
                  </w:r>
                </w:p>
              </w:tc>
              <w:tc>
                <w:tcPr>
                  <w:tcW w:w="551" w:type="pct"/>
                  <w:noWrap w:val="0"/>
                  <w:vAlign w:val="center"/>
                </w:tcPr>
                <w:p w14:paraId="5932967A">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0.16</w:t>
                  </w:r>
                </w:p>
              </w:tc>
              <w:tc>
                <w:tcPr>
                  <w:tcW w:w="727" w:type="pct"/>
                  <w:noWrap w:val="0"/>
                  <w:vAlign w:val="center"/>
                </w:tcPr>
                <w:p w14:paraId="1005C204">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612" w:type="pct"/>
                  <w:noWrap w:val="0"/>
                  <w:vAlign w:val="center"/>
                </w:tcPr>
                <w:p w14:paraId="7BFC2C64">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14:paraId="592F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369" w:type="pct"/>
                  <w:gridSpan w:val="2"/>
                  <w:noWrap w:val="0"/>
                  <w:vAlign w:val="center"/>
                </w:tcPr>
                <w:p w14:paraId="222683A0">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排放形式</w:t>
                  </w:r>
                </w:p>
              </w:tc>
              <w:tc>
                <w:tcPr>
                  <w:tcW w:w="3630" w:type="pct"/>
                  <w:gridSpan w:val="6"/>
                  <w:noWrap w:val="0"/>
                  <w:vAlign w:val="center"/>
                </w:tcPr>
                <w:p w14:paraId="34F3476E">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无组织</w:t>
                  </w:r>
                </w:p>
              </w:tc>
            </w:tr>
            <w:tr w14:paraId="392A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41" w:type="pct"/>
                  <w:vMerge w:val="restart"/>
                  <w:noWrap w:val="0"/>
                  <w:vAlign w:val="center"/>
                </w:tcPr>
                <w:p w14:paraId="0500DD8D">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治理设施</w:t>
                  </w:r>
                </w:p>
              </w:tc>
              <w:tc>
                <w:tcPr>
                  <w:tcW w:w="1128" w:type="pct"/>
                  <w:noWrap w:val="0"/>
                  <w:vAlign w:val="center"/>
                </w:tcPr>
                <w:p w14:paraId="6ABC0197">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治理工艺</w:t>
                  </w:r>
                </w:p>
              </w:tc>
              <w:tc>
                <w:tcPr>
                  <w:tcW w:w="634" w:type="pct"/>
                  <w:noWrap w:val="0"/>
                  <w:vAlign w:val="center"/>
                </w:tcPr>
                <w:p w14:paraId="7DC1532B">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自然沉降、清扫收集</w:t>
                  </w:r>
                </w:p>
              </w:tc>
              <w:tc>
                <w:tcPr>
                  <w:tcW w:w="1654" w:type="pct"/>
                  <w:gridSpan w:val="3"/>
                  <w:noWrap w:val="0"/>
                  <w:vAlign w:val="center"/>
                </w:tcPr>
                <w:p w14:paraId="50B3FA28">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自然扩散</w:t>
                  </w:r>
                </w:p>
              </w:tc>
              <w:tc>
                <w:tcPr>
                  <w:tcW w:w="727" w:type="pct"/>
                  <w:noWrap w:val="0"/>
                  <w:vAlign w:val="center"/>
                </w:tcPr>
                <w:p w14:paraId="23F282B4">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自然扩散</w:t>
                  </w:r>
                </w:p>
              </w:tc>
              <w:tc>
                <w:tcPr>
                  <w:tcW w:w="612" w:type="pct"/>
                  <w:noWrap w:val="0"/>
                  <w:vAlign w:val="center"/>
                </w:tcPr>
                <w:p w14:paraId="665814AF">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自然扩散、绿化吸收</w:t>
                  </w:r>
                </w:p>
              </w:tc>
            </w:tr>
            <w:tr w14:paraId="51258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41" w:type="pct"/>
                  <w:vMerge w:val="continue"/>
                  <w:noWrap w:val="0"/>
                  <w:vAlign w:val="center"/>
                </w:tcPr>
                <w:p w14:paraId="68E437D3">
                  <w:pPr>
                    <w:pStyle w:val="14"/>
                    <w:widowControl w:val="0"/>
                    <w:bidi w:val="0"/>
                    <w:rPr>
                      <w:rFonts w:hint="default" w:ascii="Times New Roman" w:hAnsi="Times New Roman" w:cs="Times New Roman"/>
                      <w:b/>
                      <w:bCs/>
                      <w:color w:val="auto"/>
                      <w:lang w:val="en-US" w:eastAsia="zh-CN"/>
                    </w:rPr>
                  </w:pPr>
                </w:p>
              </w:tc>
              <w:tc>
                <w:tcPr>
                  <w:tcW w:w="1128" w:type="pct"/>
                  <w:noWrap w:val="0"/>
                  <w:vAlign w:val="center"/>
                </w:tcPr>
                <w:p w14:paraId="2DC71E86">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治理工艺去除率</w:t>
                  </w:r>
                </w:p>
              </w:tc>
              <w:tc>
                <w:tcPr>
                  <w:tcW w:w="634" w:type="pct"/>
                  <w:noWrap w:val="0"/>
                  <w:vAlign w:val="center"/>
                </w:tcPr>
                <w:p w14:paraId="51358B60">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654" w:type="pct"/>
                  <w:gridSpan w:val="3"/>
                  <w:noWrap w:val="0"/>
                  <w:vAlign w:val="center"/>
                </w:tcPr>
                <w:p w14:paraId="5388FF87">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727" w:type="pct"/>
                  <w:noWrap w:val="0"/>
                  <w:vAlign w:val="center"/>
                </w:tcPr>
                <w:p w14:paraId="03096E2F">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612" w:type="pct"/>
                  <w:noWrap w:val="0"/>
                  <w:vAlign w:val="center"/>
                </w:tcPr>
                <w:p w14:paraId="2699C6E8">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14:paraId="4CF64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41" w:type="pct"/>
                  <w:vMerge w:val="continue"/>
                  <w:noWrap w:val="0"/>
                  <w:vAlign w:val="center"/>
                </w:tcPr>
                <w:p w14:paraId="2150E9D7">
                  <w:pPr>
                    <w:pStyle w:val="14"/>
                    <w:widowControl w:val="0"/>
                    <w:bidi w:val="0"/>
                    <w:rPr>
                      <w:rFonts w:hint="default" w:ascii="Times New Roman" w:hAnsi="Times New Roman" w:cs="Times New Roman"/>
                      <w:b/>
                      <w:bCs/>
                      <w:color w:val="auto"/>
                      <w:lang w:val="en-US" w:eastAsia="zh-CN"/>
                    </w:rPr>
                  </w:pPr>
                </w:p>
              </w:tc>
              <w:tc>
                <w:tcPr>
                  <w:tcW w:w="1128" w:type="pct"/>
                  <w:noWrap w:val="0"/>
                  <w:vAlign w:val="center"/>
                </w:tcPr>
                <w:p w14:paraId="5F046FFF">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是否为可行技术</w:t>
                  </w:r>
                </w:p>
              </w:tc>
              <w:tc>
                <w:tcPr>
                  <w:tcW w:w="634" w:type="pct"/>
                  <w:noWrap w:val="0"/>
                  <w:vAlign w:val="center"/>
                </w:tcPr>
                <w:p w14:paraId="4ABB1582">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是</w:t>
                  </w:r>
                </w:p>
              </w:tc>
              <w:tc>
                <w:tcPr>
                  <w:tcW w:w="1654" w:type="pct"/>
                  <w:gridSpan w:val="3"/>
                  <w:noWrap w:val="0"/>
                  <w:vAlign w:val="center"/>
                </w:tcPr>
                <w:p w14:paraId="54A23DA1">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是</w:t>
                  </w:r>
                </w:p>
              </w:tc>
              <w:tc>
                <w:tcPr>
                  <w:tcW w:w="727" w:type="pct"/>
                  <w:noWrap w:val="0"/>
                  <w:vAlign w:val="center"/>
                </w:tcPr>
                <w:p w14:paraId="3DEE098F">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是</w:t>
                  </w:r>
                </w:p>
              </w:tc>
              <w:tc>
                <w:tcPr>
                  <w:tcW w:w="612" w:type="pct"/>
                  <w:noWrap w:val="0"/>
                  <w:vAlign w:val="center"/>
                </w:tcPr>
                <w:p w14:paraId="176AB5FF">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是</w:t>
                  </w:r>
                </w:p>
              </w:tc>
            </w:tr>
            <w:tr w14:paraId="797E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369" w:type="pct"/>
                  <w:gridSpan w:val="2"/>
                  <w:noWrap w:val="0"/>
                  <w:vAlign w:val="center"/>
                </w:tcPr>
                <w:p w14:paraId="06635DCD">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污染物排放速率（kg/h）</w:t>
                  </w:r>
                </w:p>
              </w:tc>
              <w:tc>
                <w:tcPr>
                  <w:tcW w:w="634" w:type="pct"/>
                  <w:noWrap w:val="0"/>
                  <w:vAlign w:val="center"/>
                </w:tcPr>
                <w:p w14:paraId="73F9DC53">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0.02</w:t>
                  </w:r>
                </w:p>
              </w:tc>
              <w:tc>
                <w:tcPr>
                  <w:tcW w:w="520" w:type="pct"/>
                  <w:noWrap w:val="0"/>
                  <w:vAlign w:val="center"/>
                </w:tcPr>
                <w:p w14:paraId="6C4E2DD1">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0.01</w:t>
                  </w:r>
                </w:p>
              </w:tc>
              <w:tc>
                <w:tcPr>
                  <w:tcW w:w="582" w:type="pct"/>
                  <w:noWrap w:val="0"/>
                  <w:vAlign w:val="center"/>
                </w:tcPr>
                <w:p w14:paraId="7BCD51D0">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0.60</w:t>
                  </w:r>
                </w:p>
              </w:tc>
              <w:tc>
                <w:tcPr>
                  <w:tcW w:w="551" w:type="pct"/>
                  <w:noWrap w:val="0"/>
                  <w:vAlign w:val="center"/>
                </w:tcPr>
                <w:p w14:paraId="4C7E4312">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0.38</w:t>
                  </w:r>
                </w:p>
              </w:tc>
              <w:tc>
                <w:tcPr>
                  <w:tcW w:w="727" w:type="pct"/>
                  <w:noWrap w:val="0"/>
                  <w:vAlign w:val="center"/>
                </w:tcPr>
                <w:p w14:paraId="19E8A9C9">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612" w:type="pct"/>
                  <w:noWrap w:val="0"/>
                  <w:vAlign w:val="center"/>
                </w:tcPr>
                <w:p w14:paraId="060B6BDE">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14:paraId="1F29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369" w:type="pct"/>
                  <w:gridSpan w:val="2"/>
                  <w:noWrap w:val="0"/>
                  <w:vAlign w:val="center"/>
                </w:tcPr>
                <w:p w14:paraId="31044D67">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污染物排放量（t/a）</w:t>
                  </w:r>
                </w:p>
              </w:tc>
              <w:tc>
                <w:tcPr>
                  <w:tcW w:w="634" w:type="pct"/>
                  <w:noWrap w:val="0"/>
                  <w:vAlign w:val="center"/>
                </w:tcPr>
                <w:p w14:paraId="100B4605">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0.008</w:t>
                  </w:r>
                </w:p>
              </w:tc>
              <w:tc>
                <w:tcPr>
                  <w:tcW w:w="520" w:type="pct"/>
                  <w:noWrap w:val="0"/>
                  <w:vAlign w:val="center"/>
                </w:tcPr>
                <w:p w14:paraId="17C27346">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0.004</w:t>
                  </w:r>
                </w:p>
              </w:tc>
              <w:tc>
                <w:tcPr>
                  <w:tcW w:w="582" w:type="pct"/>
                  <w:noWrap w:val="0"/>
                  <w:vAlign w:val="center"/>
                </w:tcPr>
                <w:p w14:paraId="5457DFC4">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0.25</w:t>
                  </w:r>
                </w:p>
              </w:tc>
              <w:tc>
                <w:tcPr>
                  <w:tcW w:w="551" w:type="pct"/>
                  <w:noWrap w:val="0"/>
                  <w:vAlign w:val="center"/>
                </w:tcPr>
                <w:p w14:paraId="3D059928">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0.16</w:t>
                  </w:r>
                </w:p>
              </w:tc>
              <w:tc>
                <w:tcPr>
                  <w:tcW w:w="727" w:type="pct"/>
                  <w:noWrap w:val="0"/>
                  <w:vAlign w:val="center"/>
                </w:tcPr>
                <w:p w14:paraId="2609447E">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612" w:type="pct"/>
                  <w:noWrap w:val="0"/>
                  <w:vAlign w:val="center"/>
                </w:tcPr>
                <w:p w14:paraId="353B839B">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14:paraId="6A62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369" w:type="pct"/>
                  <w:gridSpan w:val="2"/>
                  <w:noWrap w:val="0"/>
                  <w:vAlign w:val="center"/>
                </w:tcPr>
                <w:p w14:paraId="6CAD0E5A">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排放标准</w:t>
                  </w:r>
                </w:p>
              </w:tc>
              <w:tc>
                <w:tcPr>
                  <w:tcW w:w="634" w:type="pct"/>
                  <w:noWrap w:val="0"/>
                  <w:vAlign w:val="center"/>
                </w:tcPr>
                <w:p w14:paraId="2C8A02D8">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GB16297-1996</w:t>
                  </w:r>
                </w:p>
              </w:tc>
              <w:tc>
                <w:tcPr>
                  <w:tcW w:w="520" w:type="pct"/>
                  <w:noWrap w:val="0"/>
                  <w:vAlign w:val="center"/>
                </w:tcPr>
                <w:p w14:paraId="5F02919D">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GB16297-1996</w:t>
                  </w:r>
                </w:p>
              </w:tc>
              <w:tc>
                <w:tcPr>
                  <w:tcW w:w="1134" w:type="pct"/>
                  <w:gridSpan w:val="2"/>
                  <w:noWrap w:val="0"/>
                  <w:vAlign w:val="center"/>
                </w:tcPr>
                <w:p w14:paraId="754661D9">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GB16297-1996、</w:t>
                  </w:r>
                  <w:r>
                    <w:rPr>
                      <w:rFonts w:hint="default" w:ascii="Times New Roman" w:hAnsi="Times New Roman" w:cs="Times New Roman"/>
                      <w:color w:val="auto"/>
                    </w:rPr>
                    <w:t>GB37822-2019</w:t>
                  </w:r>
                </w:p>
              </w:tc>
              <w:tc>
                <w:tcPr>
                  <w:tcW w:w="727" w:type="pct"/>
                  <w:noWrap w:val="0"/>
                  <w:vAlign w:val="center"/>
                </w:tcPr>
                <w:p w14:paraId="3A7373E7">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612" w:type="pct"/>
                  <w:noWrap w:val="0"/>
                  <w:vAlign w:val="center"/>
                </w:tcPr>
                <w:p w14:paraId="25229CDC">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14:paraId="2D4B6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369" w:type="pct"/>
                  <w:gridSpan w:val="2"/>
                  <w:vMerge w:val="restart"/>
                  <w:noWrap w:val="0"/>
                  <w:vAlign w:val="center"/>
                </w:tcPr>
                <w:p w14:paraId="1ACD4E88">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排放浓度限值（</w:t>
                  </w:r>
                  <w:r>
                    <w:rPr>
                      <w:rFonts w:hint="default" w:ascii="Times New Roman" w:hAnsi="Times New Roman" w:cs="Times New Roman"/>
                      <w:b/>
                      <w:bCs/>
                      <w:color w:val="auto"/>
                    </w:rPr>
                    <w:t>mg/m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lang w:val="en-US" w:eastAsia="zh-CN"/>
                    </w:rPr>
                    <w:t>）</w:t>
                  </w:r>
                </w:p>
              </w:tc>
              <w:tc>
                <w:tcPr>
                  <w:tcW w:w="634" w:type="pct"/>
                  <w:vMerge w:val="restart"/>
                  <w:noWrap w:val="0"/>
                  <w:vAlign w:val="center"/>
                </w:tcPr>
                <w:p w14:paraId="44FDFEBE">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520" w:type="pct"/>
                  <w:vMerge w:val="restart"/>
                  <w:noWrap w:val="0"/>
                  <w:vAlign w:val="center"/>
                </w:tcPr>
                <w:p w14:paraId="4932501F">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582" w:type="pct"/>
                  <w:noWrap w:val="0"/>
                  <w:vAlign w:val="center"/>
                </w:tcPr>
                <w:p w14:paraId="3A5828E8">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w:t>
                  </w:r>
                </w:p>
              </w:tc>
              <w:tc>
                <w:tcPr>
                  <w:tcW w:w="551" w:type="pct"/>
                  <w:noWrap w:val="0"/>
                  <w:vAlign w:val="center"/>
                </w:tcPr>
                <w:p w14:paraId="144DBC53">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w:t>
                  </w:r>
                </w:p>
              </w:tc>
              <w:tc>
                <w:tcPr>
                  <w:tcW w:w="727" w:type="pct"/>
                  <w:vMerge w:val="restart"/>
                  <w:noWrap w:val="0"/>
                  <w:vAlign w:val="center"/>
                </w:tcPr>
                <w:p w14:paraId="727E6B37">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612" w:type="pct"/>
                  <w:vMerge w:val="restart"/>
                  <w:noWrap w:val="0"/>
                  <w:vAlign w:val="center"/>
                </w:tcPr>
                <w:p w14:paraId="63F221EF">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14:paraId="4DD2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369" w:type="pct"/>
                  <w:gridSpan w:val="2"/>
                  <w:vMerge w:val="continue"/>
                  <w:noWrap w:val="0"/>
                  <w:vAlign w:val="center"/>
                </w:tcPr>
                <w:p w14:paraId="7DCEF3ED">
                  <w:pPr>
                    <w:pStyle w:val="14"/>
                    <w:widowControl w:val="0"/>
                    <w:bidi w:val="0"/>
                    <w:rPr>
                      <w:rFonts w:hint="default" w:ascii="Times New Roman" w:hAnsi="Times New Roman" w:cs="Times New Roman"/>
                      <w:b/>
                      <w:bCs/>
                      <w:color w:val="auto"/>
                      <w:lang w:val="en-US" w:eastAsia="zh-CN"/>
                    </w:rPr>
                  </w:pPr>
                </w:p>
              </w:tc>
              <w:tc>
                <w:tcPr>
                  <w:tcW w:w="634" w:type="pct"/>
                  <w:vMerge w:val="continue"/>
                  <w:noWrap w:val="0"/>
                  <w:vAlign w:val="center"/>
                </w:tcPr>
                <w:p w14:paraId="213F8622">
                  <w:pPr>
                    <w:pStyle w:val="14"/>
                    <w:widowControl w:val="0"/>
                    <w:bidi w:val="0"/>
                    <w:rPr>
                      <w:rFonts w:hint="default" w:ascii="Times New Roman" w:hAnsi="Times New Roman" w:cs="Times New Roman"/>
                      <w:color w:val="auto"/>
                      <w:lang w:val="en-US" w:eastAsia="zh-CN"/>
                    </w:rPr>
                  </w:pPr>
                </w:p>
              </w:tc>
              <w:tc>
                <w:tcPr>
                  <w:tcW w:w="520" w:type="pct"/>
                  <w:vMerge w:val="continue"/>
                  <w:noWrap w:val="0"/>
                  <w:vAlign w:val="center"/>
                </w:tcPr>
                <w:p w14:paraId="4A7C0B6D">
                  <w:pPr>
                    <w:pStyle w:val="14"/>
                    <w:widowControl w:val="0"/>
                    <w:bidi w:val="0"/>
                    <w:rPr>
                      <w:rFonts w:hint="default" w:ascii="Times New Roman" w:hAnsi="Times New Roman" w:cs="Times New Roman"/>
                      <w:color w:val="auto"/>
                      <w:lang w:val="en-US" w:eastAsia="zh-CN"/>
                    </w:rPr>
                  </w:pPr>
                </w:p>
              </w:tc>
              <w:tc>
                <w:tcPr>
                  <w:tcW w:w="1134" w:type="pct"/>
                  <w:gridSpan w:val="2"/>
                  <w:noWrap w:val="0"/>
                  <w:vAlign w:val="center"/>
                </w:tcPr>
                <w:p w14:paraId="7DA03A25">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厂区内限值执行GB37822-2019</w:t>
                  </w:r>
                </w:p>
              </w:tc>
              <w:tc>
                <w:tcPr>
                  <w:tcW w:w="727" w:type="pct"/>
                  <w:vMerge w:val="continue"/>
                  <w:noWrap w:val="0"/>
                  <w:vAlign w:val="center"/>
                </w:tcPr>
                <w:p w14:paraId="547FA7DB">
                  <w:pPr>
                    <w:pStyle w:val="14"/>
                    <w:widowControl w:val="0"/>
                    <w:bidi w:val="0"/>
                    <w:rPr>
                      <w:rFonts w:hint="default" w:ascii="Times New Roman" w:hAnsi="Times New Roman" w:cs="Times New Roman"/>
                      <w:color w:val="auto"/>
                      <w:lang w:val="en-US" w:eastAsia="zh-CN"/>
                    </w:rPr>
                  </w:pPr>
                </w:p>
              </w:tc>
              <w:tc>
                <w:tcPr>
                  <w:tcW w:w="612" w:type="pct"/>
                  <w:vMerge w:val="continue"/>
                  <w:noWrap w:val="0"/>
                  <w:vAlign w:val="center"/>
                </w:tcPr>
                <w:p w14:paraId="47F7CDE8">
                  <w:pPr>
                    <w:pStyle w:val="14"/>
                    <w:widowControl w:val="0"/>
                    <w:bidi w:val="0"/>
                    <w:rPr>
                      <w:rFonts w:hint="default" w:ascii="Times New Roman" w:hAnsi="Times New Roman" w:cs="Times New Roman"/>
                      <w:color w:val="auto"/>
                      <w:lang w:val="en-US" w:eastAsia="zh-CN"/>
                    </w:rPr>
                  </w:pPr>
                </w:p>
              </w:tc>
            </w:tr>
            <w:tr w14:paraId="43E6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369" w:type="pct"/>
                  <w:gridSpan w:val="2"/>
                  <w:noWrap w:val="0"/>
                  <w:vAlign w:val="center"/>
                </w:tcPr>
                <w:p w14:paraId="537DA95E">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达标情况</w:t>
                  </w:r>
                </w:p>
              </w:tc>
              <w:tc>
                <w:tcPr>
                  <w:tcW w:w="634" w:type="pct"/>
                  <w:noWrap w:val="0"/>
                  <w:vAlign w:val="center"/>
                </w:tcPr>
                <w:p w14:paraId="73A282B8">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520" w:type="pct"/>
                  <w:noWrap w:val="0"/>
                  <w:vAlign w:val="center"/>
                </w:tcPr>
                <w:p w14:paraId="53323E00">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582" w:type="pct"/>
                  <w:noWrap w:val="0"/>
                  <w:vAlign w:val="center"/>
                </w:tcPr>
                <w:p w14:paraId="5DF8E752">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551" w:type="pct"/>
                  <w:noWrap w:val="0"/>
                  <w:vAlign w:val="center"/>
                </w:tcPr>
                <w:p w14:paraId="26362112">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727" w:type="pct"/>
                  <w:noWrap w:val="0"/>
                  <w:vAlign w:val="center"/>
                </w:tcPr>
                <w:p w14:paraId="0A07CD7F">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612" w:type="pct"/>
                  <w:noWrap w:val="0"/>
                  <w:vAlign w:val="center"/>
                </w:tcPr>
                <w:p w14:paraId="3682CE50">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bl>
          <w:p w14:paraId="0E24B673">
            <w:pPr>
              <w:bidi w:val="0"/>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）废气污染源强计算过程简述</w:t>
            </w:r>
          </w:p>
          <w:p w14:paraId="756BC211">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1）喷漆及晾干废气</w:t>
            </w:r>
          </w:p>
          <w:p w14:paraId="410356A6">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项目楼梯原件需进行两次喷漆处理，采用自动喷漆设备，</w:t>
            </w:r>
            <w:r>
              <w:rPr>
                <w:rFonts w:hint="eastAsia" w:cs="Times New Roman"/>
                <w:color w:val="auto"/>
                <w:lang w:val="en-US" w:eastAsia="zh-CN"/>
              </w:rPr>
              <w:t>物件</w:t>
            </w:r>
            <w:r>
              <w:rPr>
                <w:rFonts w:hint="default" w:ascii="Times New Roman" w:hAnsi="Times New Roman" w:cs="Times New Roman"/>
                <w:color w:val="auto"/>
                <w:lang w:val="en-US" w:eastAsia="zh-CN"/>
              </w:rPr>
              <w:t>经人工依次挂至自动喷漆流水线挂链上，通过输送带依次进入底漆及面漆房进行自动上漆处理。喷漆过程中，漆料在高压作用下雾化成漆雾，大部分漆雾附着在工件表面，其余逸散在喷漆房内，形成漆雾颗粒。本次核算按照成分中挥发性物质全部在喷漆及晾干工段中挥发，树脂等非挥发成分按照工件附着率为70%，20%形成漆渣，10%形成漆雾计。</w:t>
            </w:r>
          </w:p>
          <w:p w14:paraId="5944941B">
            <w:pPr>
              <w:bidi w:val="0"/>
              <w:rPr>
                <w:rFonts w:hint="default" w:ascii="Times New Roman" w:hAnsi="Times New Roman" w:cs="Times New Roman"/>
                <w:color w:val="auto"/>
                <w:lang w:val="en-US" w:eastAsia="zh-CN"/>
              </w:rPr>
            </w:pPr>
            <w:r>
              <w:rPr>
                <w:rFonts w:hint="eastAsia" w:cs="Times New Roman"/>
                <w:color w:val="auto"/>
                <w:lang w:val="en-US" w:eastAsia="zh-CN"/>
              </w:rPr>
              <w:t>考虑到项目晾干区域范围较大，且挂件输送链条卸件需要人员进行操作，区域人员走动频繁，无法做到区域密封，区域废气负压收集的效果一般，因此，便于工艺操作，晾干区域产生的少量挥发性废气呈无组织排放，可加强车间通风扩散，进一步降低区域废气富集，减轻对周围环境的影响。</w:t>
            </w:r>
          </w:p>
          <w:p w14:paraId="1E386975">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根据《环境影响评价中喷涂工序主要大气污染物排放量的确定》（鞍山市环境保护研究所）：</w:t>
            </w:r>
            <w:r>
              <w:rPr>
                <w:rFonts w:hint="eastAsia" w:cs="Times New Roman"/>
                <w:color w:val="auto"/>
                <w:lang w:val="en-US" w:eastAsia="zh-CN"/>
              </w:rPr>
              <w:t>“</w:t>
            </w:r>
            <w:r>
              <w:rPr>
                <w:rFonts w:hint="default" w:ascii="Times New Roman" w:hAnsi="Times New Roman" w:cs="Times New Roman"/>
                <w:color w:val="auto"/>
                <w:lang w:val="en-US" w:eastAsia="zh-CN"/>
              </w:rPr>
              <w:t>喷涂过程中在喷漆、烘干（或自然晾干）时产生的挥发性</w:t>
            </w:r>
            <w:r>
              <w:rPr>
                <w:rFonts w:hint="eastAsia" w:cs="Times New Roman"/>
                <w:color w:val="auto"/>
                <w:lang w:val="en-US" w:eastAsia="zh-CN"/>
              </w:rPr>
              <w:t>有机溶剂</w:t>
            </w:r>
            <w:r>
              <w:rPr>
                <w:rFonts w:hint="default" w:ascii="Times New Roman" w:hAnsi="Times New Roman" w:cs="Times New Roman"/>
                <w:color w:val="auto"/>
                <w:lang w:val="en-US" w:eastAsia="zh-CN"/>
              </w:rPr>
              <w:t>挥发量与涂料性质及操作条件有关，一般情况下，喷漆单元产生的总有机溶剂挥发</w:t>
            </w:r>
            <w:r>
              <w:rPr>
                <w:rFonts w:hint="eastAsia" w:cs="Times New Roman"/>
                <w:color w:val="auto"/>
                <w:lang w:val="en-US" w:eastAsia="zh-CN"/>
              </w:rPr>
              <w:t>量</w:t>
            </w:r>
            <w:r>
              <w:rPr>
                <w:rFonts w:hint="default" w:ascii="Times New Roman" w:hAnsi="Times New Roman" w:cs="Times New Roman"/>
                <w:color w:val="auto"/>
                <w:lang w:val="en-US" w:eastAsia="zh-CN"/>
              </w:rPr>
              <w:t>和烘干（自然晾干）单元产生的挥发量，各占喷涂过程中产生总挥发量的50%</w:t>
            </w:r>
            <w:r>
              <w:rPr>
                <w:rFonts w:hint="eastAsia" w:cs="Times New Roman"/>
                <w:color w:val="auto"/>
                <w:lang w:val="en-US" w:eastAsia="zh-CN"/>
              </w:rPr>
              <w:t>”。本次计算的挥发性有机物喷漆和自然晾干工段各按50%计。</w:t>
            </w:r>
          </w:p>
          <w:p w14:paraId="635A4F6D">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根据表2-4项目所用油漆及稀释剂等用量及相关成分比例，计算得挥发性有机物产生量1.78t/a（其中二甲苯0.7t/a，其他挥发性有机物1.08t/a，本次以非甲烷总烃计），漆雾颗粒产生量0.1t/a。</w:t>
            </w:r>
          </w:p>
          <w:p w14:paraId="7B17C127">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w:t>
            </w:r>
            <w:r>
              <w:rPr>
                <w:rFonts w:hint="eastAsia" w:cs="Times New Roman"/>
                <w:color w:val="auto"/>
                <w:lang w:val="en-US" w:eastAsia="zh-CN"/>
              </w:rPr>
              <w:t>房</w:t>
            </w:r>
            <w:r>
              <w:rPr>
                <w:rFonts w:hint="default" w:ascii="Times New Roman" w:hAnsi="Times New Roman" w:cs="Times New Roman"/>
                <w:color w:val="auto"/>
                <w:lang w:val="en-US" w:eastAsia="zh-CN"/>
              </w:rPr>
              <w:t>本次评价要求进行全密封，采用负压抽风，将系统喷漆废气统一抽吸至一套</w:t>
            </w:r>
            <w:r>
              <w:rPr>
                <w:rFonts w:hint="eastAsia" w:cs="Times New Roman"/>
                <w:color w:val="auto"/>
                <w:lang w:val="en-US" w:eastAsia="zh-CN"/>
              </w:rPr>
              <w:t>“水帘+活性炭吸附系统”</w:t>
            </w:r>
            <w:r>
              <w:rPr>
                <w:rFonts w:hint="default" w:ascii="Times New Roman" w:hAnsi="Times New Roman" w:cs="Times New Roman"/>
                <w:color w:val="auto"/>
                <w:lang w:val="en-US" w:eastAsia="zh-CN"/>
              </w:rPr>
              <w:t>进行处理。</w:t>
            </w:r>
            <w:r>
              <w:rPr>
                <w:rFonts w:hint="eastAsia"/>
                <w:color w:val="auto"/>
                <w:lang w:val="en-US" w:eastAsia="zh-CN"/>
              </w:rPr>
              <w:t>参照</w:t>
            </w:r>
            <w:r>
              <w:rPr>
                <w:rFonts w:hint="default" w:ascii="Times New Roman" w:hAnsi="Times New Roman" w:eastAsia="宋体" w:cs="Times New Roman"/>
                <w:color w:val="auto"/>
                <w:sz w:val="24"/>
                <w:szCs w:val="24"/>
                <w:lang w:val="en-US" w:eastAsia="zh-CN"/>
              </w:rPr>
              <w:t>《排放源统计调查产排污核算方法和系数手册》（2021）</w:t>
            </w:r>
            <w:r>
              <w:rPr>
                <w:rFonts w:hint="eastAsia"/>
                <w:color w:val="auto"/>
              </w:rPr>
              <w:t>中“</w:t>
            </w:r>
            <w:r>
              <w:rPr>
                <w:rFonts w:hint="eastAsia"/>
                <w:color w:val="auto"/>
                <w:lang w:val="en-US" w:eastAsia="zh-CN"/>
              </w:rPr>
              <w:t>203木质制品制造行业--涂饰--木楼梯--涂料（溶剂型）--喷漆</w:t>
            </w:r>
            <w:r>
              <w:rPr>
                <w:rFonts w:hint="eastAsia"/>
                <w:color w:val="auto"/>
                <w:lang w:eastAsia="zh-CN"/>
              </w:rPr>
              <w:t>”</w:t>
            </w:r>
            <w:r>
              <w:rPr>
                <w:rFonts w:hint="eastAsia"/>
                <w:color w:val="auto"/>
                <w:lang w:val="en-US" w:eastAsia="zh-CN"/>
              </w:rPr>
              <w:t>颗粒物采用其他（水帘湿式喷雾净化）去除效率为80%，挥发性有机物采用性炭吸附去除效率参考取值21%。喷漆房负压抽风采用2500m³/h的风机，综上，项目喷漆及晾干废气产排情况如下</w:t>
            </w:r>
            <w:r>
              <w:rPr>
                <w:rFonts w:hint="default" w:ascii="Times New Roman" w:hAnsi="Times New Roman" w:cs="Times New Roman"/>
                <w:color w:val="auto"/>
                <w:lang w:val="en-US" w:eastAsia="zh-CN"/>
              </w:rPr>
              <w:t>：</w:t>
            </w:r>
          </w:p>
          <w:p w14:paraId="7E4FBE02">
            <w:pPr>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表4-</w:t>
            </w:r>
            <w:r>
              <w:rPr>
                <w:rFonts w:hint="eastAsia" w:ascii="Times New Roman" w:hAnsi="Times New Roman" w:cs="Times New Roman"/>
                <w:b/>
                <w:bCs/>
                <w:color w:val="auto"/>
                <w:lang w:val="en-US" w:eastAsia="zh-CN"/>
              </w:rPr>
              <w:t>4</w:t>
            </w:r>
            <w:r>
              <w:rPr>
                <w:rFonts w:hint="default" w:ascii="Times New Roman" w:hAnsi="Times New Roman" w:cs="Times New Roman"/>
                <w:b/>
                <w:bCs/>
                <w:color w:val="auto"/>
                <w:lang w:val="en-US" w:eastAsia="zh-CN"/>
              </w:rPr>
              <w:t xml:space="preserve">  喷漆废气</w:t>
            </w:r>
            <w:r>
              <w:rPr>
                <w:rFonts w:hint="eastAsia" w:cs="Times New Roman"/>
                <w:b/>
                <w:bCs/>
                <w:color w:val="auto"/>
                <w:lang w:val="en-US" w:eastAsia="zh-CN"/>
              </w:rPr>
              <w:t>及晾干废气</w:t>
            </w:r>
            <w:r>
              <w:rPr>
                <w:rFonts w:hint="default" w:ascii="Times New Roman" w:hAnsi="Times New Roman" w:cs="Times New Roman"/>
                <w:b/>
                <w:bCs/>
                <w:color w:val="auto"/>
                <w:lang w:val="en-US" w:eastAsia="zh-CN"/>
              </w:rPr>
              <w:t>污染物产生及排放情况</w:t>
            </w:r>
          </w:p>
          <w:tbl>
            <w:tblPr>
              <w:tblStyle w:val="8"/>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37"/>
              <w:gridCol w:w="986"/>
              <w:gridCol w:w="2047"/>
              <w:gridCol w:w="1221"/>
              <w:gridCol w:w="1457"/>
              <w:gridCol w:w="1180"/>
            </w:tblGrid>
            <w:tr w14:paraId="4A0119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437" w:type="pct"/>
                  <w:gridSpan w:val="3"/>
                  <w:noWrap w:val="0"/>
                  <w:vAlign w:val="center"/>
                </w:tcPr>
                <w:p w14:paraId="5597EBB7">
                  <w:pPr>
                    <w:pStyle w:val="14"/>
                    <w:bidi w:val="0"/>
                    <w:rPr>
                      <w:rFonts w:hint="default" w:ascii="Times New Roman" w:hAnsi="Times New Roman" w:cs="Times New Roman"/>
                      <w:b/>
                      <w:bCs/>
                      <w:color w:val="auto"/>
                    </w:rPr>
                  </w:pPr>
                  <w:r>
                    <w:rPr>
                      <w:rFonts w:hint="default" w:ascii="Times New Roman" w:hAnsi="Times New Roman" w:cs="Times New Roman"/>
                      <w:b/>
                      <w:bCs/>
                      <w:color w:val="auto"/>
                    </w:rPr>
                    <w:t>污染物名称</w:t>
                  </w:r>
                </w:p>
              </w:tc>
              <w:tc>
                <w:tcPr>
                  <w:tcW w:w="810" w:type="pct"/>
                  <w:noWrap w:val="0"/>
                  <w:vAlign w:val="center"/>
                </w:tcPr>
                <w:p w14:paraId="5F7DFB34">
                  <w:pPr>
                    <w:pStyle w:val="14"/>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漆雾</w:t>
                  </w:r>
                </w:p>
              </w:tc>
              <w:tc>
                <w:tcPr>
                  <w:tcW w:w="967" w:type="pct"/>
                  <w:noWrap w:val="0"/>
                  <w:vAlign w:val="center"/>
                </w:tcPr>
                <w:p w14:paraId="3EC9D18A">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非甲烷总烃</w:t>
                  </w:r>
                </w:p>
              </w:tc>
              <w:tc>
                <w:tcPr>
                  <w:tcW w:w="783" w:type="pct"/>
                  <w:noWrap w:val="0"/>
                  <w:vAlign w:val="center"/>
                </w:tcPr>
                <w:p w14:paraId="6590CC5E">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二甲苯</w:t>
                  </w:r>
                </w:p>
              </w:tc>
            </w:tr>
            <w:tr w14:paraId="2F90BA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restart"/>
                  <w:noWrap w:val="0"/>
                  <w:vAlign w:val="center"/>
                </w:tcPr>
                <w:p w14:paraId="34111369">
                  <w:pPr>
                    <w:pStyle w:val="14"/>
                    <w:bidi w:val="0"/>
                    <w:rPr>
                      <w:rFonts w:hint="default" w:ascii="Times New Roman" w:hAnsi="Times New Roman" w:eastAsia="宋体" w:cs="Times New Roman"/>
                      <w:color w:val="auto"/>
                      <w:lang w:val="en-US" w:eastAsia="zh-CN"/>
                    </w:rPr>
                  </w:pPr>
                  <w:r>
                    <w:rPr>
                      <w:rFonts w:hint="eastAsia" w:cs="Times New Roman"/>
                      <w:color w:val="auto"/>
                      <w:lang w:val="en-US" w:eastAsia="zh-CN"/>
                    </w:rPr>
                    <w:t>喷漆废气</w:t>
                  </w:r>
                </w:p>
              </w:tc>
              <w:tc>
                <w:tcPr>
                  <w:tcW w:w="2014" w:type="pct"/>
                  <w:gridSpan w:val="2"/>
                  <w:noWrap w:val="0"/>
                  <w:vAlign w:val="center"/>
                </w:tcPr>
                <w:p w14:paraId="154DF95F">
                  <w:pPr>
                    <w:pStyle w:val="14"/>
                    <w:bidi w:val="0"/>
                    <w:ind w:firstLine="0" w:firstLineChars="0"/>
                    <w:rPr>
                      <w:rFonts w:hint="default" w:ascii="Times New Roman" w:hAnsi="Times New Roman" w:eastAsia="宋体" w:cs="Times New Roman"/>
                      <w:color w:val="auto"/>
                      <w:sz w:val="21"/>
                    </w:rPr>
                  </w:pPr>
                  <w:r>
                    <w:rPr>
                      <w:rFonts w:hint="default" w:ascii="Times New Roman" w:hAnsi="Times New Roman" w:cs="Times New Roman"/>
                      <w:color w:val="auto"/>
                    </w:rPr>
                    <w:t>废气量</w:t>
                  </w:r>
                  <w:r>
                    <w:rPr>
                      <w:rFonts w:hint="default" w:ascii="Times New Roman" w:hAnsi="Times New Roman" w:cs="Times New Roman"/>
                      <w:color w:val="auto"/>
                      <w:lang w:eastAsia="zh-CN"/>
                    </w:rPr>
                    <w:t>（</w:t>
                  </w:r>
                  <w:r>
                    <w:rPr>
                      <w:rFonts w:hint="default" w:ascii="Times New Roman" w:hAnsi="Times New Roman" w:cs="Times New Roman"/>
                      <w:color w:val="auto"/>
                    </w:rPr>
                    <w:t>万m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tc>
              <w:tc>
                <w:tcPr>
                  <w:tcW w:w="2562" w:type="pct"/>
                  <w:gridSpan w:val="3"/>
                  <w:noWrap w:val="0"/>
                  <w:vAlign w:val="center"/>
                </w:tcPr>
                <w:p w14:paraId="6FC58602">
                  <w:pPr>
                    <w:pStyle w:val="14"/>
                    <w:bidi w:val="0"/>
                    <w:rPr>
                      <w:rFonts w:hint="default" w:ascii="Times New Roman" w:hAnsi="Times New Roman" w:cs="Times New Roman"/>
                      <w:color w:val="auto"/>
                      <w:lang w:val="en-US" w:eastAsia="zh-CN"/>
                    </w:rPr>
                  </w:pPr>
                  <w:r>
                    <w:rPr>
                      <w:rFonts w:hint="eastAsia" w:cs="Times New Roman"/>
                      <w:color w:val="auto"/>
                      <w:lang w:val="en-US" w:eastAsia="zh-CN"/>
                    </w:rPr>
                    <w:t>600</w:t>
                  </w:r>
                </w:p>
              </w:tc>
            </w:tr>
            <w:tr w14:paraId="2CE861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764766F1">
                  <w:pPr>
                    <w:pStyle w:val="14"/>
                    <w:bidi w:val="0"/>
                    <w:rPr>
                      <w:rFonts w:hint="default" w:ascii="Times New Roman" w:hAnsi="Times New Roman" w:cs="Times New Roman"/>
                      <w:color w:val="auto"/>
                    </w:rPr>
                  </w:pPr>
                </w:p>
              </w:tc>
              <w:tc>
                <w:tcPr>
                  <w:tcW w:w="2014" w:type="pct"/>
                  <w:gridSpan w:val="2"/>
                  <w:noWrap w:val="0"/>
                  <w:vAlign w:val="center"/>
                </w:tcPr>
                <w:p w14:paraId="1E6794D4">
                  <w:pPr>
                    <w:pStyle w:val="14"/>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rPr>
                    <w:t>产生量</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t</w:t>
                  </w:r>
                  <w:r>
                    <w:rPr>
                      <w:rFonts w:hint="default" w:ascii="Times New Roman" w:hAnsi="Times New Roman" w:cs="Times New Roman"/>
                      <w:color w:val="auto"/>
                    </w:rPr>
                    <w:t>/a）</w:t>
                  </w:r>
                </w:p>
              </w:tc>
              <w:tc>
                <w:tcPr>
                  <w:tcW w:w="810" w:type="pct"/>
                  <w:tcBorders>
                    <w:right w:val="single" w:color="auto" w:sz="4" w:space="0"/>
                  </w:tcBorders>
                  <w:noWrap w:val="0"/>
                  <w:vAlign w:val="center"/>
                </w:tcPr>
                <w:p w14:paraId="4C6DBFF5">
                  <w:pPr>
                    <w:pStyle w:val="14"/>
                    <w:bidi w:val="0"/>
                    <w:rPr>
                      <w:rFonts w:hint="default"/>
                      <w:color w:val="auto"/>
                      <w:lang w:val="en-US" w:eastAsia="zh-CN"/>
                    </w:rPr>
                  </w:pPr>
                  <w:r>
                    <w:rPr>
                      <w:rFonts w:hint="eastAsia"/>
                      <w:color w:val="auto"/>
                      <w:lang w:val="en-US" w:eastAsia="zh-CN"/>
                    </w:rPr>
                    <w:t>0.10</w:t>
                  </w:r>
                </w:p>
              </w:tc>
              <w:tc>
                <w:tcPr>
                  <w:tcW w:w="967" w:type="pct"/>
                  <w:tcBorders>
                    <w:left w:val="single" w:color="auto" w:sz="4" w:space="0"/>
                  </w:tcBorders>
                  <w:noWrap w:val="0"/>
                  <w:vAlign w:val="center"/>
                </w:tcPr>
                <w:p w14:paraId="1B9F8A69">
                  <w:pPr>
                    <w:pStyle w:val="14"/>
                    <w:bidi w:val="0"/>
                    <w:rPr>
                      <w:rFonts w:hint="default"/>
                      <w:color w:val="auto"/>
                      <w:lang w:val="en-US" w:eastAsia="zh-CN"/>
                    </w:rPr>
                  </w:pPr>
                  <w:r>
                    <w:rPr>
                      <w:rFonts w:hint="eastAsia"/>
                      <w:color w:val="auto"/>
                      <w:lang w:val="en-US" w:eastAsia="zh-CN"/>
                    </w:rPr>
                    <w:t>0.54</w:t>
                  </w:r>
                </w:p>
              </w:tc>
              <w:tc>
                <w:tcPr>
                  <w:tcW w:w="783" w:type="pct"/>
                  <w:tcBorders>
                    <w:left w:val="single" w:color="auto" w:sz="4" w:space="0"/>
                  </w:tcBorders>
                  <w:noWrap w:val="0"/>
                  <w:vAlign w:val="center"/>
                </w:tcPr>
                <w:p w14:paraId="61540710">
                  <w:pPr>
                    <w:pStyle w:val="14"/>
                    <w:bidi w:val="0"/>
                    <w:rPr>
                      <w:rFonts w:hint="default"/>
                      <w:color w:val="auto"/>
                      <w:lang w:val="en-US" w:eastAsia="zh-CN"/>
                    </w:rPr>
                  </w:pPr>
                  <w:r>
                    <w:rPr>
                      <w:rFonts w:hint="eastAsia"/>
                      <w:color w:val="auto"/>
                      <w:lang w:val="en-US" w:eastAsia="zh-CN"/>
                    </w:rPr>
                    <w:t>0.35</w:t>
                  </w:r>
                </w:p>
              </w:tc>
            </w:tr>
            <w:tr w14:paraId="6EA751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3A1AFB41">
                  <w:pPr>
                    <w:pStyle w:val="14"/>
                    <w:bidi w:val="0"/>
                    <w:rPr>
                      <w:rFonts w:hint="default" w:ascii="Times New Roman" w:hAnsi="Times New Roman" w:cs="Times New Roman"/>
                      <w:color w:val="auto"/>
                    </w:rPr>
                  </w:pPr>
                </w:p>
              </w:tc>
              <w:tc>
                <w:tcPr>
                  <w:tcW w:w="2014" w:type="pct"/>
                  <w:gridSpan w:val="2"/>
                  <w:noWrap w:val="0"/>
                  <w:vAlign w:val="center"/>
                </w:tcPr>
                <w:p w14:paraId="02E13B81">
                  <w:pPr>
                    <w:pStyle w:val="14"/>
                    <w:bidi w:val="0"/>
                    <w:ind w:firstLine="0" w:firstLineChars="0"/>
                    <w:rPr>
                      <w:rFonts w:hint="default" w:ascii="Times New Roman" w:hAnsi="Times New Roman" w:eastAsia="宋体" w:cs="Times New Roman"/>
                      <w:color w:val="auto"/>
                      <w:sz w:val="21"/>
                    </w:rPr>
                  </w:pPr>
                  <w:r>
                    <w:rPr>
                      <w:rFonts w:hint="default" w:ascii="Times New Roman" w:hAnsi="Times New Roman" w:cs="Times New Roman"/>
                      <w:color w:val="auto"/>
                    </w:rPr>
                    <w:t>产生速率</w:t>
                  </w:r>
                  <w:r>
                    <w:rPr>
                      <w:rFonts w:hint="default" w:ascii="Times New Roman" w:hAnsi="Times New Roman" w:cs="Times New Roman"/>
                      <w:color w:val="auto"/>
                      <w:lang w:eastAsia="zh-CN"/>
                    </w:rPr>
                    <w:t>（</w:t>
                  </w:r>
                  <w:r>
                    <w:rPr>
                      <w:rFonts w:hint="default" w:ascii="Times New Roman" w:hAnsi="Times New Roman" w:cs="Times New Roman"/>
                      <w:color w:val="auto"/>
                    </w:rPr>
                    <w:t>kg/h）</w:t>
                  </w:r>
                </w:p>
              </w:tc>
              <w:tc>
                <w:tcPr>
                  <w:tcW w:w="810" w:type="pct"/>
                  <w:tcBorders>
                    <w:right w:val="single" w:color="auto" w:sz="4" w:space="0"/>
                  </w:tcBorders>
                  <w:noWrap w:val="0"/>
                  <w:vAlign w:val="center"/>
                </w:tcPr>
                <w:p w14:paraId="63F69F3B">
                  <w:pPr>
                    <w:pStyle w:val="14"/>
                    <w:bidi w:val="0"/>
                    <w:rPr>
                      <w:rFonts w:hint="default"/>
                      <w:color w:val="auto"/>
                      <w:lang w:val="en-US" w:eastAsia="zh-CN"/>
                    </w:rPr>
                  </w:pPr>
                  <w:r>
                    <w:rPr>
                      <w:rFonts w:hint="eastAsia"/>
                      <w:color w:val="auto"/>
                      <w:lang w:val="en-US" w:eastAsia="zh-CN"/>
                    </w:rPr>
                    <w:t>0.040</w:t>
                  </w:r>
                </w:p>
              </w:tc>
              <w:tc>
                <w:tcPr>
                  <w:tcW w:w="967" w:type="pct"/>
                  <w:tcBorders>
                    <w:left w:val="single" w:color="auto" w:sz="4" w:space="0"/>
                  </w:tcBorders>
                  <w:noWrap w:val="0"/>
                  <w:vAlign w:val="center"/>
                </w:tcPr>
                <w:p w14:paraId="50F2A6FD">
                  <w:pPr>
                    <w:pStyle w:val="14"/>
                    <w:bidi w:val="0"/>
                    <w:rPr>
                      <w:rFonts w:hint="default"/>
                      <w:color w:val="auto"/>
                      <w:lang w:val="en-US" w:eastAsia="zh-CN"/>
                    </w:rPr>
                  </w:pPr>
                  <w:r>
                    <w:rPr>
                      <w:rFonts w:hint="eastAsia"/>
                      <w:color w:val="auto"/>
                      <w:lang w:val="en-US" w:eastAsia="zh-CN"/>
                    </w:rPr>
                    <w:t>0.226</w:t>
                  </w:r>
                </w:p>
              </w:tc>
              <w:tc>
                <w:tcPr>
                  <w:tcW w:w="783" w:type="pct"/>
                  <w:tcBorders>
                    <w:left w:val="single" w:color="auto" w:sz="4" w:space="0"/>
                  </w:tcBorders>
                  <w:noWrap w:val="0"/>
                  <w:vAlign w:val="center"/>
                </w:tcPr>
                <w:p w14:paraId="4A06F2C8">
                  <w:pPr>
                    <w:pStyle w:val="14"/>
                    <w:bidi w:val="0"/>
                    <w:rPr>
                      <w:rFonts w:hint="default"/>
                      <w:color w:val="auto"/>
                      <w:lang w:val="en-US" w:eastAsia="zh-CN"/>
                    </w:rPr>
                  </w:pPr>
                  <w:r>
                    <w:rPr>
                      <w:rFonts w:hint="eastAsia"/>
                      <w:color w:val="auto"/>
                      <w:lang w:val="en-US" w:eastAsia="zh-CN"/>
                    </w:rPr>
                    <w:t>0.145</w:t>
                  </w:r>
                </w:p>
              </w:tc>
            </w:tr>
            <w:tr w14:paraId="514C2C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2465F67F">
                  <w:pPr>
                    <w:pStyle w:val="14"/>
                    <w:bidi w:val="0"/>
                    <w:rPr>
                      <w:rFonts w:hint="default" w:ascii="Times New Roman" w:hAnsi="Times New Roman" w:eastAsia="宋体" w:cs="Times New Roman"/>
                      <w:color w:val="auto"/>
                      <w:lang w:val="en-US" w:eastAsia="zh-CN"/>
                    </w:rPr>
                  </w:pPr>
                </w:p>
              </w:tc>
              <w:tc>
                <w:tcPr>
                  <w:tcW w:w="2014" w:type="pct"/>
                  <w:gridSpan w:val="2"/>
                  <w:noWrap w:val="0"/>
                  <w:vAlign w:val="center"/>
                </w:tcPr>
                <w:p w14:paraId="76B87CB1">
                  <w:pPr>
                    <w:pStyle w:val="14"/>
                    <w:bidi w:val="0"/>
                    <w:ind w:firstLine="0" w:firstLineChars="0"/>
                    <w:rPr>
                      <w:rFonts w:hint="eastAsia" w:ascii="Times New Roman" w:hAnsi="Times New Roman" w:eastAsia="宋体" w:cs="Times New Roman"/>
                      <w:color w:val="auto"/>
                      <w:sz w:val="21"/>
                      <w:lang w:val="en-US" w:eastAsia="zh-CN"/>
                    </w:rPr>
                  </w:pPr>
                  <w:r>
                    <w:rPr>
                      <w:rFonts w:hint="eastAsia" w:cs="Times New Roman"/>
                      <w:color w:val="auto"/>
                      <w:lang w:val="en-US" w:eastAsia="zh-CN"/>
                    </w:rPr>
                    <w:t>产生浓度（mg/m³）</w:t>
                  </w:r>
                </w:p>
              </w:tc>
              <w:tc>
                <w:tcPr>
                  <w:tcW w:w="810" w:type="pct"/>
                  <w:tcBorders>
                    <w:right w:val="single" w:color="auto" w:sz="4" w:space="0"/>
                  </w:tcBorders>
                  <w:noWrap w:val="0"/>
                  <w:vAlign w:val="center"/>
                </w:tcPr>
                <w:p w14:paraId="306B0057">
                  <w:pPr>
                    <w:pStyle w:val="14"/>
                    <w:bidi w:val="0"/>
                    <w:rPr>
                      <w:rFonts w:hint="default"/>
                      <w:color w:val="auto"/>
                      <w:lang w:val="en-US" w:eastAsia="zh-CN"/>
                    </w:rPr>
                  </w:pPr>
                  <w:r>
                    <w:rPr>
                      <w:rFonts w:hint="eastAsia"/>
                      <w:color w:val="auto"/>
                      <w:lang w:val="en-US" w:eastAsia="zh-CN"/>
                    </w:rPr>
                    <w:t>16.16</w:t>
                  </w:r>
                </w:p>
              </w:tc>
              <w:tc>
                <w:tcPr>
                  <w:tcW w:w="967" w:type="pct"/>
                  <w:tcBorders>
                    <w:left w:val="single" w:color="auto" w:sz="4" w:space="0"/>
                  </w:tcBorders>
                  <w:noWrap w:val="0"/>
                  <w:vAlign w:val="center"/>
                </w:tcPr>
                <w:p w14:paraId="4F8F71CA">
                  <w:pPr>
                    <w:pStyle w:val="14"/>
                    <w:bidi w:val="0"/>
                    <w:rPr>
                      <w:rFonts w:hint="default"/>
                      <w:color w:val="auto"/>
                      <w:lang w:val="en-US" w:eastAsia="zh-CN"/>
                    </w:rPr>
                  </w:pPr>
                  <w:r>
                    <w:rPr>
                      <w:rFonts w:hint="eastAsia"/>
                      <w:color w:val="auto"/>
                      <w:lang w:val="en-US" w:eastAsia="zh-CN"/>
                    </w:rPr>
                    <w:t>90.25</w:t>
                  </w:r>
                </w:p>
              </w:tc>
              <w:tc>
                <w:tcPr>
                  <w:tcW w:w="783" w:type="pct"/>
                  <w:tcBorders>
                    <w:left w:val="single" w:color="auto" w:sz="4" w:space="0"/>
                  </w:tcBorders>
                  <w:noWrap w:val="0"/>
                  <w:vAlign w:val="center"/>
                </w:tcPr>
                <w:p w14:paraId="30760288">
                  <w:pPr>
                    <w:pStyle w:val="14"/>
                    <w:bidi w:val="0"/>
                    <w:rPr>
                      <w:rFonts w:hint="default"/>
                      <w:color w:val="auto"/>
                      <w:lang w:val="en-US" w:eastAsia="zh-CN"/>
                    </w:rPr>
                  </w:pPr>
                  <w:r>
                    <w:rPr>
                      <w:rFonts w:hint="eastAsia"/>
                      <w:color w:val="auto"/>
                      <w:lang w:val="en-US" w:eastAsia="zh-CN"/>
                    </w:rPr>
                    <w:t>58.13</w:t>
                  </w:r>
                </w:p>
              </w:tc>
            </w:tr>
            <w:tr w14:paraId="18D7DA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20B1B501">
                  <w:pPr>
                    <w:pStyle w:val="14"/>
                    <w:bidi w:val="0"/>
                    <w:rPr>
                      <w:rFonts w:hint="default" w:ascii="Times New Roman" w:hAnsi="Times New Roman" w:cs="Times New Roman"/>
                      <w:color w:val="auto"/>
                    </w:rPr>
                  </w:pPr>
                </w:p>
              </w:tc>
              <w:tc>
                <w:tcPr>
                  <w:tcW w:w="2014" w:type="pct"/>
                  <w:gridSpan w:val="2"/>
                  <w:noWrap w:val="0"/>
                  <w:vAlign w:val="center"/>
                </w:tcPr>
                <w:p w14:paraId="6B9530BD">
                  <w:pPr>
                    <w:pStyle w:val="14"/>
                    <w:bidi w:val="0"/>
                    <w:ind w:firstLine="0" w:firstLineChars="0"/>
                    <w:rPr>
                      <w:rFonts w:hint="default" w:ascii="Times New Roman" w:hAnsi="Times New Roman" w:eastAsia="宋体" w:cs="Times New Roman"/>
                      <w:color w:val="auto"/>
                      <w:sz w:val="21"/>
                    </w:rPr>
                  </w:pPr>
                  <w:r>
                    <w:rPr>
                      <w:rFonts w:hint="default" w:ascii="Times New Roman" w:hAnsi="Times New Roman" w:cs="Times New Roman"/>
                      <w:color w:val="auto"/>
                    </w:rPr>
                    <w:t>处理方法</w:t>
                  </w:r>
                </w:p>
              </w:tc>
              <w:tc>
                <w:tcPr>
                  <w:tcW w:w="2562" w:type="pct"/>
                  <w:gridSpan w:val="3"/>
                  <w:noWrap w:val="0"/>
                  <w:vAlign w:val="center"/>
                </w:tcPr>
                <w:p w14:paraId="0DE6B26A">
                  <w:pPr>
                    <w:pStyle w:val="14"/>
                    <w:bidi w:val="0"/>
                    <w:rPr>
                      <w:rFonts w:hint="default" w:ascii="Times New Roman" w:hAnsi="Times New Roman" w:cs="Times New Roman"/>
                      <w:color w:val="auto"/>
                    </w:rPr>
                  </w:pPr>
                  <w:r>
                    <w:rPr>
                      <w:rFonts w:hint="default" w:ascii="Times New Roman" w:hAnsi="Times New Roman" w:cs="Times New Roman"/>
                      <w:color w:val="auto"/>
                    </w:rPr>
                    <w:t>负压收集，收集效率9</w:t>
                  </w:r>
                  <w:r>
                    <w:rPr>
                      <w:rFonts w:hint="default" w:ascii="Times New Roman" w:hAnsi="Times New Roman" w:cs="Times New Roman"/>
                      <w:color w:val="auto"/>
                      <w:lang w:val="en-US" w:eastAsia="zh-CN"/>
                    </w:rPr>
                    <w:t>0</w:t>
                  </w:r>
                  <w:r>
                    <w:rPr>
                      <w:rFonts w:hint="default" w:ascii="Times New Roman" w:hAnsi="Times New Roman" w:cs="Times New Roman"/>
                      <w:color w:val="auto"/>
                    </w:rPr>
                    <w:t>%</w:t>
                  </w:r>
                  <w:r>
                    <w:rPr>
                      <w:rFonts w:hint="eastAsia" w:cs="Times New Roman"/>
                      <w:color w:val="auto"/>
                      <w:lang w:eastAsia="zh-CN"/>
                    </w:rPr>
                    <w:t>；</w:t>
                  </w:r>
                  <w:r>
                    <w:rPr>
                      <w:rFonts w:hint="eastAsia" w:cs="Times New Roman"/>
                      <w:color w:val="auto"/>
                      <w:lang w:val="en-US" w:eastAsia="zh-CN"/>
                    </w:rPr>
                    <w:t>水帘</w:t>
                  </w:r>
                  <w:r>
                    <w:rPr>
                      <w:rFonts w:hint="default" w:ascii="Times New Roman" w:hAnsi="Times New Roman" w:cs="Times New Roman"/>
                      <w:color w:val="auto"/>
                      <w:lang w:val="en-US" w:eastAsia="zh-CN"/>
                    </w:rPr>
                    <w:t>对漆雾的去除效率为80%，</w:t>
                  </w:r>
                  <w:r>
                    <w:rPr>
                      <w:rFonts w:hint="eastAsia" w:cs="Times New Roman"/>
                      <w:color w:val="auto"/>
                      <w:lang w:val="en-US" w:eastAsia="zh-CN"/>
                    </w:rPr>
                    <w:t>活性炭</w:t>
                  </w:r>
                  <w:r>
                    <w:rPr>
                      <w:rFonts w:hint="default" w:ascii="Times New Roman" w:hAnsi="Times New Roman" w:cs="Times New Roman"/>
                      <w:color w:val="auto"/>
                      <w:lang w:val="en-US" w:eastAsia="zh-CN"/>
                    </w:rPr>
                    <w:t>吸附装置对挥发性有机物的去除效率取</w:t>
                  </w:r>
                  <w:r>
                    <w:rPr>
                      <w:rFonts w:hint="eastAsia" w:cs="Times New Roman"/>
                      <w:color w:val="auto"/>
                      <w:lang w:val="en-US" w:eastAsia="zh-CN"/>
                    </w:rPr>
                    <w:t>21</w:t>
                  </w:r>
                  <w:r>
                    <w:rPr>
                      <w:rFonts w:hint="default" w:ascii="Times New Roman" w:hAnsi="Times New Roman" w:cs="Times New Roman"/>
                      <w:color w:val="auto"/>
                      <w:lang w:val="en-US" w:eastAsia="zh-CN"/>
                    </w:rPr>
                    <w:t>%</w:t>
                  </w:r>
                </w:p>
              </w:tc>
            </w:tr>
            <w:tr w14:paraId="4C1B39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3213CAE2">
                  <w:pPr>
                    <w:pStyle w:val="14"/>
                    <w:bidi w:val="0"/>
                    <w:rPr>
                      <w:rFonts w:hint="default" w:ascii="Times New Roman" w:hAnsi="Times New Roman" w:cs="Times New Roman"/>
                      <w:color w:val="auto"/>
                      <w:lang w:val="en-US" w:eastAsia="zh-CN"/>
                    </w:rPr>
                  </w:pPr>
                </w:p>
              </w:tc>
              <w:tc>
                <w:tcPr>
                  <w:tcW w:w="654" w:type="pct"/>
                  <w:vMerge w:val="restart"/>
                  <w:noWrap w:val="0"/>
                  <w:vAlign w:val="center"/>
                </w:tcPr>
                <w:p w14:paraId="30FFD86D">
                  <w:pPr>
                    <w:pStyle w:val="14"/>
                    <w:bidi w:val="0"/>
                    <w:rPr>
                      <w:rFonts w:hint="eastAsia" w:ascii="Times New Roman" w:hAnsi="Times New Roman" w:eastAsia="宋体" w:cs="Times New Roman"/>
                      <w:color w:val="auto"/>
                      <w:lang w:val="en-US" w:eastAsia="zh-CN"/>
                    </w:rPr>
                  </w:pPr>
                  <w:r>
                    <w:rPr>
                      <w:rFonts w:hint="eastAsia" w:cs="Times New Roman"/>
                      <w:color w:val="auto"/>
                      <w:lang w:val="en-US" w:eastAsia="zh-CN"/>
                    </w:rPr>
                    <w:t>有组织</w:t>
                  </w:r>
                </w:p>
              </w:tc>
              <w:tc>
                <w:tcPr>
                  <w:tcW w:w="1359" w:type="pct"/>
                  <w:noWrap w:val="0"/>
                  <w:vAlign w:val="center"/>
                </w:tcPr>
                <w:p w14:paraId="3C25B91D">
                  <w:pPr>
                    <w:pStyle w:val="14"/>
                    <w:bidi w:val="0"/>
                    <w:ind w:firstLine="0" w:firstLineChars="0"/>
                    <w:rPr>
                      <w:rFonts w:hint="default" w:ascii="Times New Roman" w:hAnsi="Times New Roman" w:eastAsia="宋体" w:cs="Times New Roman"/>
                      <w:color w:val="auto"/>
                      <w:sz w:val="21"/>
                    </w:rPr>
                  </w:pPr>
                  <w:r>
                    <w:rPr>
                      <w:rFonts w:hint="default" w:ascii="Times New Roman" w:hAnsi="Times New Roman" w:cs="Times New Roman"/>
                      <w:color w:val="auto"/>
                    </w:rPr>
                    <w:t>排放速率</w:t>
                  </w:r>
                  <w:r>
                    <w:rPr>
                      <w:rFonts w:hint="default" w:ascii="Times New Roman" w:hAnsi="Times New Roman" w:cs="Times New Roman"/>
                      <w:color w:val="auto"/>
                      <w:lang w:eastAsia="zh-CN"/>
                    </w:rPr>
                    <w:t>（</w:t>
                  </w:r>
                  <w:r>
                    <w:rPr>
                      <w:rFonts w:hint="default" w:ascii="Times New Roman" w:hAnsi="Times New Roman" w:cs="Times New Roman"/>
                      <w:color w:val="auto"/>
                    </w:rPr>
                    <w:t>kg/h）</w:t>
                  </w:r>
                </w:p>
              </w:tc>
              <w:tc>
                <w:tcPr>
                  <w:tcW w:w="810" w:type="pct"/>
                  <w:noWrap w:val="0"/>
                  <w:vAlign w:val="center"/>
                </w:tcPr>
                <w:p w14:paraId="057DCD2F">
                  <w:pPr>
                    <w:pStyle w:val="14"/>
                    <w:bidi w:val="0"/>
                    <w:rPr>
                      <w:rFonts w:hint="default"/>
                      <w:color w:val="auto"/>
                      <w:lang w:val="en-US" w:eastAsia="zh-CN"/>
                    </w:rPr>
                  </w:pPr>
                  <w:r>
                    <w:rPr>
                      <w:rFonts w:hint="eastAsia"/>
                      <w:color w:val="auto"/>
                      <w:lang w:val="en-US" w:eastAsia="zh-CN"/>
                    </w:rPr>
                    <w:t>0.007</w:t>
                  </w:r>
                </w:p>
              </w:tc>
              <w:tc>
                <w:tcPr>
                  <w:tcW w:w="967" w:type="pct"/>
                  <w:noWrap w:val="0"/>
                  <w:vAlign w:val="center"/>
                </w:tcPr>
                <w:p w14:paraId="22AC060A">
                  <w:pPr>
                    <w:pStyle w:val="14"/>
                    <w:bidi w:val="0"/>
                    <w:rPr>
                      <w:rFonts w:hint="default"/>
                      <w:color w:val="auto"/>
                      <w:lang w:val="en-US" w:eastAsia="zh-CN"/>
                    </w:rPr>
                  </w:pPr>
                  <w:r>
                    <w:rPr>
                      <w:rFonts w:hint="eastAsia"/>
                      <w:color w:val="auto"/>
                      <w:lang w:val="en-US" w:eastAsia="zh-CN"/>
                    </w:rPr>
                    <w:t>0.160</w:t>
                  </w:r>
                </w:p>
              </w:tc>
              <w:tc>
                <w:tcPr>
                  <w:tcW w:w="783" w:type="pct"/>
                  <w:noWrap w:val="0"/>
                  <w:vAlign w:val="center"/>
                </w:tcPr>
                <w:p w14:paraId="204CF86A">
                  <w:pPr>
                    <w:pStyle w:val="14"/>
                    <w:bidi w:val="0"/>
                    <w:rPr>
                      <w:rFonts w:hint="default"/>
                      <w:color w:val="auto"/>
                      <w:lang w:val="en-US" w:eastAsia="zh-CN"/>
                    </w:rPr>
                  </w:pPr>
                  <w:r>
                    <w:rPr>
                      <w:rFonts w:hint="eastAsia"/>
                      <w:color w:val="auto"/>
                      <w:lang w:val="en-US" w:eastAsia="zh-CN"/>
                    </w:rPr>
                    <w:t>0.103</w:t>
                  </w:r>
                </w:p>
              </w:tc>
            </w:tr>
            <w:tr w14:paraId="463D22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57880321">
                  <w:pPr>
                    <w:pStyle w:val="14"/>
                    <w:bidi w:val="0"/>
                    <w:rPr>
                      <w:rFonts w:hint="default" w:ascii="Times New Roman" w:hAnsi="Times New Roman" w:cs="Times New Roman"/>
                      <w:color w:val="auto"/>
                    </w:rPr>
                  </w:pPr>
                </w:p>
              </w:tc>
              <w:tc>
                <w:tcPr>
                  <w:tcW w:w="654" w:type="pct"/>
                  <w:vMerge w:val="continue"/>
                  <w:noWrap w:val="0"/>
                  <w:vAlign w:val="center"/>
                </w:tcPr>
                <w:p w14:paraId="6C78EB3B">
                  <w:pPr>
                    <w:pStyle w:val="14"/>
                    <w:bidi w:val="0"/>
                    <w:rPr>
                      <w:rFonts w:hint="default" w:ascii="Times New Roman" w:hAnsi="Times New Roman" w:cs="Times New Roman"/>
                      <w:color w:val="auto"/>
                    </w:rPr>
                  </w:pPr>
                </w:p>
              </w:tc>
              <w:tc>
                <w:tcPr>
                  <w:tcW w:w="1359" w:type="pct"/>
                  <w:noWrap w:val="0"/>
                  <w:vAlign w:val="center"/>
                </w:tcPr>
                <w:p w14:paraId="28A2C307">
                  <w:pPr>
                    <w:pStyle w:val="14"/>
                    <w:bidi w:val="0"/>
                    <w:ind w:firstLine="0" w:firstLineChars="0"/>
                    <w:rPr>
                      <w:rFonts w:hint="default" w:ascii="Times New Roman" w:hAnsi="Times New Roman" w:eastAsia="宋体" w:cs="Times New Roman"/>
                      <w:color w:val="auto"/>
                      <w:sz w:val="21"/>
                    </w:rPr>
                  </w:pPr>
                  <w:r>
                    <w:rPr>
                      <w:rFonts w:hint="default" w:ascii="Times New Roman" w:hAnsi="Times New Roman" w:cs="Times New Roman"/>
                      <w:color w:val="auto"/>
                    </w:rPr>
                    <w:t>排放浓度</w:t>
                  </w:r>
                  <w:r>
                    <w:rPr>
                      <w:rFonts w:hint="default" w:ascii="Times New Roman" w:hAnsi="Times New Roman" w:cs="Times New Roman"/>
                      <w:color w:val="auto"/>
                      <w:lang w:eastAsia="zh-CN"/>
                    </w:rPr>
                    <w:t>（</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810" w:type="pct"/>
                  <w:noWrap w:val="0"/>
                  <w:vAlign w:val="center"/>
                </w:tcPr>
                <w:p w14:paraId="0C3DD006">
                  <w:pPr>
                    <w:pStyle w:val="14"/>
                    <w:bidi w:val="0"/>
                    <w:rPr>
                      <w:rFonts w:hint="default"/>
                      <w:color w:val="auto"/>
                      <w:lang w:val="en-US" w:eastAsia="zh-CN"/>
                    </w:rPr>
                  </w:pPr>
                  <w:r>
                    <w:rPr>
                      <w:rFonts w:hint="eastAsia"/>
                      <w:color w:val="auto"/>
                      <w:lang w:val="en-US" w:eastAsia="zh-CN"/>
                    </w:rPr>
                    <w:t>2.91</w:t>
                  </w:r>
                </w:p>
              </w:tc>
              <w:tc>
                <w:tcPr>
                  <w:tcW w:w="967" w:type="pct"/>
                  <w:noWrap w:val="0"/>
                  <w:vAlign w:val="center"/>
                </w:tcPr>
                <w:p w14:paraId="38924A09">
                  <w:pPr>
                    <w:pStyle w:val="14"/>
                    <w:bidi w:val="0"/>
                    <w:rPr>
                      <w:rFonts w:hint="default"/>
                      <w:color w:val="auto"/>
                      <w:lang w:val="en-US" w:eastAsia="zh-CN"/>
                    </w:rPr>
                  </w:pPr>
                  <w:r>
                    <w:rPr>
                      <w:rFonts w:hint="eastAsia"/>
                      <w:color w:val="auto"/>
                      <w:lang w:val="en-US" w:eastAsia="zh-CN"/>
                    </w:rPr>
                    <w:t>64.17</w:t>
                  </w:r>
                </w:p>
              </w:tc>
              <w:tc>
                <w:tcPr>
                  <w:tcW w:w="783" w:type="pct"/>
                  <w:noWrap w:val="0"/>
                  <w:vAlign w:val="center"/>
                </w:tcPr>
                <w:p w14:paraId="56018788">
                  <w:pPr>
                    <w:pStyle w:val="14"/>
                    <w:bidi w:val="0"/>
                    <w:rPr>
                      <w:rFonts w:hint="default"/>
                      <w:color w:val="auto"/>
                      <w:lang w:val="en-US" w:eastAsia="zh-CN"/>
                    </w:rPr>
                  </w:pPr>
                  <w:r>
                    <w:rPr>
                      <w:rFonts w:hint="eastAsia"/>
                      <w:color w:val="auto"/>
                      <w:lang w:val="en-US" w:eastAsia="zh-CN"/>
                    </w:rPr>
                    <w:t>41.33</w:t>
                  </w:r>
                </w:p>
              </w:tc>
            </w:tr>
            <w:tr w14:paraId="36461A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1579F225">
                  <w:pPr>
                    <w:pStyle w:val="14"/>
                    <w:bidi w:val="0"/>
                    <w:rPr>
                      <w:rFonts w:hint="default" w:ascii="Times New Roman" w:hAnsi="Times New Roman" w:cs="Times New Roman"/>
                      <w:color w:val="auto"/>
                    </w:rPr>
                  </w:pPr>
                </w:p>
              </w:tc>
              <w:tc>
                <w:tcPr>
                  <w:tcW w:w="654" w:type="pct"/>
                  <w:vMerge w:val="continue"/>
                  <w:noWrap w:val="0"/>
                  <w:vAlign w:val="center"/>
                </w:tcPr>
                <w:p w14:paraId="438FE783">
                  <w:pPr>
                    <w:pStyle w:val="14"/>
                    <w:bidi w:val="0"/>
                    <w:ind w:firstLine="0" w:firstLineChars="0"/>
                    <w:rPr>
                      <w:rFonts w:hint="default" w:ascii="Times New Roman" w:hAnsi="Times New Roman" w:eastAsia="宋体" w:cs="Times New Roman"/>
                      <w:color w:val="auto"/>
                      <w:sz w:val="21"/>
                    </w:rPr>
                  </w:pPr>
                </w:p>
              </w:tc>
              <w:tc>
                <w:tcPr>
                  <w:tcW w:w="1359" w:type="pct"/>
                  <w:noWrap w:val="0"/>
                  <w:vAlign w:val="center"/>
                </w:tcPr>
                <w:p w14:paraId="5CF13CE9">
                  <w:pPr>
                    <w:pStyle w:val="14"/>
                    <w:bidi w:val="0"/>
                    <w:ind w:firstLine="0" w:firstLineChars="0"/>
                    <w:rPr>
                      <w:rFonts w:hint="default" w:ascii="Times New Roman" w:hAnsi="Times New Roman" w:eastAsia="宋体" w:cs="Times New Roman"/>
                      <w:color w:val="auto"/>
                      <w:sz w:val="21"/>
                    </w:rPr>
                  </w:pPr>
                  <w:r>
                    <w:rPr>
                      <w:rFonts w:hint="default" w:ascii="Times New Roman" w:hAnsi="Times New Roman" w:cs="Times New Roman"/>
                      <w:color w:val="auto"/>
                    </w:rPr>
                    <w:t>排放量</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t</w:t>
                  </w:r>
                  <w:r>
                    <w:rPr>
                      <w:rFonts w:hint="default" w:ascii="Times New Roman" w:hAnsi="Times New Roman" w:cs="Times New Roman"/>
                      <w:color w:val="auto"/>
                    </w:rPr>
                    <w:t>/a）</w:t>
                  </w:r>
                </w:p>
              </w:tc>
              <w:tc>
                <w:tcPr>
                  <w:tcW w:w="810" w:type="pct"/>
                  <w:noWrap w:val="0"/>
                  <w:vAlign w:val="center"/>
                </w:tcPr>
                <w:p w14:paraId="6762236C">
                  <w:pPr>
                    <w:pStyle w:val="14"/>
                    <w:bidi w:val="0"/>
                    <w:rPr>
                      <w:rFonts w:hint="default"/>
                      <w:color w:val="auto"/>
                      <w:lang w:val="en-US" w:eastAsia="zh-CN"/>
                    </w:rPr>
                  </w:pPr>
                  <w:r>
                    <w:rPr>
                      <w:rFonts w:hint="eastAsia"/>
                      <w:color w:val="auto"/>
                      <w:lang w:val="en-US" w:eastAsia="zh-CN"/>
                    </w:rPr>
                    <w:t>0.02</w:t>
                  </w:r>
                </w:p>
              </w:tc>
              <w:tc>
                <w:tcPr>
                  <w:tcW w:w="967" w:type="pct"/>
                  <w:noWrap w:val="0"/>
                  <w:vAlign w:val="center"/>
                </w:tcPr>
                <w:p w14:paraId="46A9D22A">
                  <w:pPr>
                    <w:pStyle w:val="14"/>
                    <w:bidi w:val="0"/>
                    <w:rPr>
                      <w:rFonts w:hint="default"/>
                      <w:color w:val="auto"/>
                      <w:lang w:val="en-US" w:eastAsia="zh-CN"/>
                    </w:rPr>
                  </w:pPr>
                  <w:r>
                    <w:rPr>
                      <w:rFonts w:hint="eastAsia"/>
                      <w:color w:val="auto"/>
                      <w:lang w:val="en-US" w:eastAsia="zh-CN"/>
                    </w:rPr>
                    <w:t>0.39</w:t>
                  </w:r>
                </w:p>
              </w:tc>
              <w:tc>
                <w:tcPr>
                  <w:tcW w:w="783" w:type="pct"/>
                  <w:noWrap w:val="0"/>
                  <w:vAlign w:val="center"/>
                </w:tcPr>
                <w:p w14:paraId="0746F36A">
                  <w:pPr>
                    <w:pStyle w:val="14"/>
                    <w:bidi w:val="0"/>
                    <w:rPr>
                      <w:rFonts w:hint="default"/>
                      <w:color w:val="auto"/>
                      <w:lang w:val="en-US" w:eastAsia="zh-CN"/>
                    </w:rPr>
                  </w:pPr>
                  <w:r>
                    <w:rPr>
                      <w:rFonts w:hint="eastAsia"/>
                      <w:color w:val="auto"/>
                      <w:lang w:val="en-US" w:eastAsia="zh-CN"/>
                    </w:rPr>
                    <w:t>0.25</w:t>
                  </w:r>
                </w:p>
              </w:tc>
            </w:tr>
            <w:tr w14:paraId="20F3C1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0BF6AF12">
                  <w:pPr>
                    <w:pStyle w:val="14"/>
                    <w:bidi w:val="0"/>
                    <w:rPr>
                      <w:rFonts w:hint="default" w:ascii="Times New Roman" w:hAnsi="Times New Roman" w:cs="Times New Roman"/>
                      <w:color w:val="auto"/>
                    </w:rPr>
                  </w:pPr>
                </w:p>
              </w:tc>
              <w:tc>
                <w:tcPr>
                  <w:tcW w:w="654" w:type="pct"/>
                  <w:vMerge w:val="continue"/>
                  <w:noWrap w:val="0"/>
                  <w:vAlign w:val="center"/>
                </w:tcPr>
                <w:p w14:paraId="67C7BF74">
                  <w:pPr>
                    <w:pStyle w:val="14"/>
                    <w:bidi w:val="0"/>
                    <w:rPr>
                      <w:rFonts w:hint="default" w:ascii="Times New Roman" w:hAnsi="Times New Roman" w:cs="Times New Roman"/>
                      <w:color w:val="auto"/>
                    </w:rPr>
                  </w:pPr>
                </w:p>
              </w:tc>
              <w:tc>
                <w:tcPr>
                  <w:tcW w:w="1359" w:type="pct"/>
                  <w:noWrap w:val="0"/>
                  <w:vAlign w:val="center"/>
                </w:tcPr>
                <w:p w14:paraId="7876B24A">
                  <w:pPr>
                    <w:pStyle w:val="14"/>
                    <w:bidi w:val="0"/>
                    <w:ind w:firstLine="0" w:firstLineChars="0"/>
                    <w:rPr>
                      <w:rFonts w:hint="default" w:ascii="Times New Roman" w:hAnsi="Times New Roman" w:eastAsia="宋体" w:cs="Times New Roman"/>
                      <w:b/>
                      <w:bCs/>
                      <w:color w:val="auto"/>
                      <w:sz w:val="21"/>
                      <w:lang w:eastAsia="zh-CN"/>
                    </w:rPr>
                  </w:pPr>
                  <w:r>
                    <w:rPr>
                      <w:rFonts w:hint="default" w:ascii="Times New Roman" w:hAnsi="Times New Roman" w:cs="Times New Roman"/>
                      <w:b/>
                      <w:bCs/>
                      <w:color w:val="auto"/>
                      <w:lang w:eastAsia="zh-CN"/>
                    </w:rPr>
                    <w:t>最高允许排放</w:t>
                  </w:r>
                  <w:r>
                    <w:rPr>
                      <w:rFonts w:hint="default" w:ascii="Times New Roman" w:hAnsi="Times New Roman" w:cs="Times New Roman"/>
                      <w:b/>
                      <w:bCs/>
                      <w:color w:val="auto"/>
                    </w:rPr>
                    <w:t>速率</w:t>
                  </w:r>
                  <w:r>
                    <w:rPr>
                      <w:rFonts w:hint="default" w:ascii="Times New Roman" w:hAnsi="Times New Roman" w:cs="Times New Roman"/>
                      <w:b/>
                      <w:bCs/>
                      <w:color w:val="auto"/>
                      <w:lang w:eastAsia="zh-CN"/>
                    </w:rPr>
                    <w:t>（</w:t>
                  </w:r>
                  <w:r>
                    <w:rPr>
                      <w:rFonts w:hint="default" w:ascii="Times New Roman" w:hAnsi="Times New Roman" w:cs="Times New Roman"/>
                      <w:b/>
                      <w:bCs/>
                      <w:color w:val="auto"/>
                    </w:rPr>
                    <w:t>kg/h）</w:t>
                  </w:r>
                </w:p>
              </w:tc>
              <w:tc>
                <w:tcPr>
                  <w:tcW w:w="810" w:type="pct"/>
                  <w:noWrap w:val="0"/>
                  <w:vAlign w:val="center"/>
                </w:tcPr>
                <w:p w14:paraId="3B1E55E3">
                  <w:pPr>
                    <w:pStyle w:val="14"/>
                    <w:bidi w:val="0"/>
                    <w:rPr>
                      <w:rFonts w:hint="default" w:ascii="Times New Roman" w:hAnsi="Times New Roman" w:eastAsia="宋体" w:cs="Times New Roman"/>
                      <w:color w:val="auto"/>
                      <w:lang w:val="en-US" w:eastAsia="zh-CN"/>
                    </w:rPr>
                  </w:pPr>
                  <w:r>
                    <w:rPr>
                      <w:rFonts w:hint="eastAsia" w:cs="Times New Roman"/>
                      <w:color w:val="auto"/>
                      <w:lang w:val="en-US" w:eastAsia="zh-CN"/>
                    </w:rPr>
                    <w:t>14.45</w:t>
                  </w:r>
                </w:p>
              </w:tc>
              <w:tc>
                <w:tcPr>
                  <w:tcW w:w="967" w:type="pct"/>
                  <w:noWrap w:val="0"/>
                  <w:vAlign w:val="center"/>
                </w:tcPr>
                <w:p w14:paraId="01EFEBF4">
                  <w:pPr>
                    <w:pStyle w:val="14"/>
                    <w:bidi w:val="0"/>
                    <w:rPr>
                      <w:rFonts w:hint="default" w:ascii="Times New Roman" w:hAnsi="Times New Roman" w:eastAsia="宋体" w:cs="Times New Roman"/>
                      <w:color w:val="auto"/>
                      <w:lang w:val="en-US" w:eastAsia="zh-CN"/>
                    </w:rPr>
                  </w:pPr>
                  <w:r>
                    <w:rPr>
                      <w:rFonts w:hint="eastAsia" w:cs="Times New Roman"/>
                      <w:color w:val="auto"/>
                      <w:lang w:val="en-US" w:eastAsia="zh-CN"/>
                    </w:rPr>
                    <w:t>35</w:t>
                  </w:r>
                </w:p>
              </w:tc>
              <w:tc>
                <w:tcPr>
                  <w:tcW w:w="783" w:type="pct"/>
                  <w:noWrap w:val="0"/>
                  <w:vAlign w:val="center"/>
                </w:tcPr>
                <w:p w14:paraId="52AF8F7F">
                  <w:pPr>
                    <w:pStyle w:val="14"/>
                    <w:bidi w:val="0"/>
                    <w:rPr>
                      <w:rFonts w:hint="default" w:ascii="Times New Roman" w:hAnsi="Times New Roman" w:eastAsia="宋体" w:cs="Times New Roman"/>
                      <w:color w:val="auto"/>
                      <w:lang w:val="en-US" w:eastAsia="zh-CN"/>
                    </w:rPr>
                  </w:pPr>
                  <w:r>
                    <w:rPr>
                      <w:rFonts w:hint="eastAsia" w:cs="Times New Roman"/>
                      <w:color w:val="auto"/>
                      <w:lang w:val="en-US" w:eastAsia="zh-CN"/>
                    </w:rPr>
                    <w:t>3.8</w:t>
                  </w:r>
                </w:p>
              </w:tc>
            </w:tr>
            <w:tr w14:paraId="5B9A6C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33EE64A3">
                  <w:pPr>
                    <w:pStyle w:val="14"/>
                    <w:bidi w:val="0"/>
                    <w:rPr>
                      <w:rFonts w:hint="default" w:ascii="Times New Roman" w:hAnsi="Times New Roman" w:cs="Times New Roman"/>
                      <w:color w:val="auto"/>
                    </w:rPr>
                  </w:pPr>
                </w:p>
              </w:tc>
              <w:tc>
                <w:tcPr>
                  <w:tcW w:w="654" w:type="pct"/>
                  <w:vMerge w:val="continue"/>
                  <w:noWrap w:val="0"/>
                  <w:vAlign w:val="center"/>
                </w:tcPr>
                <w:p w14:paraId="0E8574BF">
                  <w:pPr>
                    <w:pStyle w:val="14"/>
                    <w:bidi w:val="0"/>
                    <w:rPr>
                      <w:rFonts w:hint="default" w:ascii="Times New Roman" w:hAnsi="Times New Roman" w:cs="Times New Roman"/>
                      <w:color w:val="auto"/>
                    </w:rPr>
                  </w:pPr>
                </w:p>
              </w:tc>
              <w:tc>
                <w:tcPr>
                  <w:tcW w:w="1359" w:type="pct"/>
                  <w:noWrap w:val="0"/>
                  <w:vAlign w:val="center"/>
                </w:tcPr>
                <w:p w14:paraId="36A544FF">
                  <w:pPr>
                    <w:pStyle w:val="14"/>
                    <w:bidi w:val="0"/>
                    <w:ind w:firstLine="0" w:firstLineChars="0"/>
                    <w:rPr>
                      <w:rFonts w:hint="default" w:ascii="Times New Roman" w:hAnsi="Times New Roman" w:eastAsia="宋体" w:cs="Times New Roman"/>
                      <w:b/>
                      <w:bCs/>
                      <w:color w:val="auto"/>
                      <w:sz w:val="21"/>
                    </w:rPr>
                  </w:pPr>
                  <w:r>
                    <w:rPr>
                      <w:rFonts w:hint="default" w:ascii="Times New Roman" w:hAnsi="Times New Roman" w:cs="Times New Roman"/>
                      <w:b/>
                      <w:bCs/>
                      <w:color w:val="auto"/>
                    </w:rPr>
                    <w:t>最高允许排放浓度</w:t>
                  </w:r>
                  <w:r>
                    <w:rPr>
                      <w:rFonts w:hint="default" w:ascii="Times New Roman" w:hAnsi="Times New Roman" w:cs="Times New Roman"/>
                      <w:b/>
                      <w:bCs/>
                      <w:color w:val="auto"/>
                      <w:lang w:eastAsia="zh-CN"/>
                    </w:rPr>
                    <w:t>（</w:t>
                  </w:r>
                  <w:r>
                    <w:rPr>
                      <w:rFonts w:hint="default" w:ascii="Times New Roman" w:hAnsi="Times New Roman" w:cs="Times New Roman"/>
                      <w:b/>
                      <w:bCs/>
                      <w:color w:val="auto"/>
                    </w:rPr>
                    <w:t>mg/m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w:t>
                  </w:r>
                </w:p>
              </w:tc>
              <w:tc>
                <w:tcPr>
                  <w:tcW w:w="810" w:type="pct"/>
                  <w:noWrap w:val="0"/>
                  <w:vAlign w:val="center"/>
                </w:tcPr>
                <w:p w14:paraId="162F8E2B">
                  <w:pPr>
                    <w:pStyle w:val="1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120</w:t>
                  </w:r>
                </w:p>
              </w:tc>
              <w:tc>
                <w:tcPr>
                  <w:tcW w:w="967" w:type="pct"/>
                  <w:noWrap w:val="0"/>
                  <w:vAlign w:val="center"/>
                </w:tcPr>
                <w:p w14:paraId="7911F64F">
                  <w:pPr>
                    <w:pStyle w:val="1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120</w:t>
                  </w:r>
                </w:p>
              </w:tc>
              <w:tc>
                <w:tcPr>
                  <w:tcW w:w="783" w:type="pct"/>
                  <w:noWrap w:val="0"/>
                  <w:vAlign w:val="center"/>
                </w:tcPr>
                <w:p w14:paraId="429AD6EC">
                  <w:pPr>
                    <w:pStyle w:val="1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70</w:t>
                  </w:r>
                </w:p>
              </w:tc>
            </w:tr>
            <w:tr w14:paraId="318AA6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62D4150C">
                  <w:pPr>
                    <w:pStyle w:val="14"/>
                    <w:bidi w:val="0"/>
                    <w:rPr>
                      <w:rFonts w:hint="default" w:ascii="Times New Roman" w:hAnsi="Times New Roman" w:cs="Times New Roman"/>
                      <w:color w:val="auto"/>
                    </w:rPr>
                  </w:pPr>
                </w:p>
              </w:tc>
              <w:tc>
                <w:tcPr>
                  <w:tcW w:w="654" w:type="pct"/>
                  <w:vMerge w:val="continue"/>
                  <w:noWrap w:val="0"/>
                  <w:vAlign w:val="center"/>
                </w:tcPr>
                <w:p w14:paraId="259F3E1B">
                  <w:pPr>
                    <w:pStyle w:val="14"/>
                    <w:bidi w:val="0"/>
                    <w:rPr>
                      <w:rFonts w:hint="default" w:ascii="Times New Roman" w:hAnsi="Times New Roman" w:cs="Times New Roman"/>
                      <w:color w:val="auto"/>
                    </w:rPr>
                  </w:pPr>
                </w:p>
              </w:tc>
              <w:tc>
                <w:tcPr>
                  <w:tcW w:w="1359" w:type="pct"/>
                  <w:noWrap w:val="0"/>
                  <w:vAlign w:val="center"/>
                </w:tcPr>
                <w:p w14:paraId="6153FAC0">
                  <w:pPr>
                    <w:pStyle w:val="14"/>
                    <w:bidi w:val="0"/>
                    <w:ind w:firstLine="0" w:firstLineChars="0"/>
                    <w:rPr>
                      <w:rFonts w:hint="default" w:ascii="Times New Roman" w:hAnsi="Times New Roman" w:eastAsia="宋体" w:cs="Times New Roman"/>
                      <w:color w:val="auto"/>
                      <w:sz w:val="21"/>
                    </w:rPr>
                  </w:pPr>
                  <w:r>
                    <w:rPr>
                      <w:rFonts w:hint="default" w:ascii="Times New Roman" w:hAnsi="Times New Roman" w:cs="Times New Roman"/>
                      <w:color w:val="auto"/>
                    </w:rPr>
                    <w:t>达标情况</w:t>
                  </w:r>
                </w:p>
              </w:tc>
              <w:tc>
                <w:tcPr>
                  <w:tcW w:w="810" w:type="pct"/>
                  <w:noWrap w:val="0"/>
                  <w:vAlign w:val="center"/>
                </w:tcPr>
                <w:p w14:paraId="455E5A12">
                  <w:pPr>
                    <w:pStyle w:val="14"/>
                    <w:bidi w:val="0"/>
                    <w:rPr>
                      <w:rFonts w:hint="default" w:ascii="Times New Roman" w:hAnsi="Times New Roman" w:cs="Times New Roman"/>
                      <w:color w:val="auto"/>
                    </w:rPr>
                  </w:pPr>
                  <w:r>
                    <w:rPr>
                      <w:rFonts w:hint="default" w:ascii="Times New Roman" w:hAnsi="Times New Roman" w:cs="Times New Roman"/>
                      <w:color w:val="auto"/>
                    </w:rPr>
                    <w:t>达标</w:t>
                  </w:r>
                </w:p>
              </w:tc>
              <w:tc>
                <w:tcPr>
                  <w:tcW w:w="967" w:type="pct"/>
                  <w:noWrap w:val="0"/>
                  <w:vAlign w:val="center"/>
                </w:tcPr>
                <w:p w14:paraId="298355BC">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c>
                <w:tcPr>
                  <w:tcW w:w="783" w:type="pct"/>
                  <w:noWrap w:val="0"/>
                  <w:vAlign w:val="center"/>
                </w:tcPr>
                <w:p w14:paraId="7E118A8C">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r>
            <w:tr w14:paraId="667B94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1AAE6DC0">
                  <w:pPr>
                    <w:pStyle w:val="14"/>
                    <w:bidi w:val="0"/>
                    <w:rPr>
                      <w:rFonts w:hint="default" w:ascii="Times New Roman" w:hAnsi="Times New Roman" w:cs="Times New Roman"/>
                      <w:color w:val="auto"/>
                      <w:lang w:val="en-US" w:eastAsia="zh-CN"/>
                    </w:rPr>
                  </w:pPr>
                </w:p>
              </w:tc>
              <w:tc>
                <w:tcPr>
                  <w:tcW w:w="654" w:type="pct"/>
                  <w:vMerge w:val="restart"/>
                  <w:noWrap w:val="0"/>
                  <w:vAlign w:val="center"/>
                </w:tcPr>
                <w:p w14:paraId="2334E639">
                  <w:pPr>
                    <w:pStyle w:val="1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无组织</w:t>
                  </w:r>
                </w:p>
              </w:tc>
              <w:tc>
                <w:tcPr>
                  <w:tcW w:w="1359" w:type="pct"/>
                  <w:noWrap w:val="0"/>
                  <w:vAlign w:val="center"/>
                </w:tcPr>
                <w:p w14:paraId="0E3DAEE7">
                  <w:pPr>
                    <w:pStyle w:val="14"/>
                    <w:bidi w:val="0"/>
                    <w:rPr>
                      <w:rFonts w:hint="default" w:ascii="Times New Roman" w:hAnsi="Times New Roman" w:cs="Times New Roman"/>
                      <w:color w:val="auto"/>
                    </w:rPr>
                  </w:pPr>
                  <w:r>
                    <w:rPr>
                      <w:rFonts w:hint="default" w:ascii="Times New Roman" w:hAnsi="Times New Roman" w:cs="Times New Roman"/>
                      <w:color w:val="auto"/>
                    </w:rPr>
                    <w:t>排放量</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t</w:t>
                  </w:r>
                  <w:r>
                    <w:rPr>
                      <w:rFonts w:hint="default" w:ascii="Times New Roman" w:hAnsi="Times New Roman" w:cs="Times New Roman"/>
                      <w:color w:val="auto"/>
                    </w:rPr>
                    <w:t>/a）</w:t>
                  </w:r>
                </w:p>
              </w:tc>
              <w:tc>
                <w:tcPr>
                  <w:tcW w:w="810" w:type="pct"/>
                  <w:noWrap w:val="0"/>
                  <w:vAlign w:val="center"/>
                </w:tcPr>
                <w:p w14:paraId="01548DEC">
                  <w:pPr>
                    <w:pStyle w:val="14"/>
                    <w:bidi w:val="0"/>
                    <w:rPr>
                      <w:rFonts w:hint="default"/>
                      <w:color w:val="auto"/>
                      <w:lang w:val="en-US" w:eastAsia="zh-CN"/>
                    </w:rPr>
                  </w:pPr>
                  <w:r>
                    <w:rPr>
                      <w:rFonts w:hint="eastAsia"/>
                      <w:color w:val="auto"/>
                      <w:lang w:val="en-US" w:eastAsia="zh-CN"/>
                    </w:rPr>
                    <w:t>0.01</w:t>
                  </w:r>
                </w:p>
              </w:tc>
              <w:tc>
                <w:tcPr>
                  <w:tcW w:w="967" w:type="pct"/>
                  <w:noWrap w:val="0"/>
                  <w:vAlign w:val="center"/>
                </w:tcPr>
                <w:p w14:paraId="0145C041">
                  <w:pPr>
                    <w:pStyle w:val="14"/>
                    <w:bidi w:val="0"/>
                    <w:rPr>
                      <w:rFonts w:hint="default"/>
                      <w:color w:val="auto"/>
                      <w:lang w:val="en-US" w:eastAsia="zh-CN"/>
                    </w:rPr>
                  </w:pPr>
                  <w:r>
                    <w:rPr>
                      <w:rFonts w:hint="eastAsia"/>
                      <w:color w:val="auto"/>
                      <w:lang w:val="en-US" w:eastAsia="zh-CN"/>
                    </w:rPr>
                    <w:t>0.05</w:t>
                  </w:r>
                </w:p>
              </w:tc>
              <w:tc>
                <w:tcPr>
                  <w:tcW w:w="783" w:type="pct"/>
                  <w:noWrap w:val="0"/>
                  <w:vAlign w:val="center"/>
                </w:tcPr>
                <w:p w14:paraId="6CBF148B">
                  <w:pPr>
                    <w:pStyle w:val="14"/>
                    <w:bidi w:val="0"/>
                    <w:rPr>
                      <w:rFonts w:hint="default"/>
                      <w:color w:val="auto"/>
                      <w:lang w:val="en-US" w:eastAsia="zh-CN"/>
                    </w:rPr>
                  </w:pPr>
                  <w:r>
                    <w:rPr>
                      <w:rFonts w:hint="eastAsia"/>
                      <w:color w:val="auto"/>
                      <w:lang w:val="en-US" w:eastAsia="zh-CN"/>
                    </w:rPr>
                    <w:t>0.03</w:t>
                  </w:r>
                </w:p>
              </w:tc>
            </w:tr>
            <w:tr w14:paraId="7DAE89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19E3F3EC">
                  <w:pPr>
                    <w:pStyle w:val="14"/>
                    <w:bidi w:val="0"/>
                    <w:rPr>
                      <w:rFonts w:hint="default" w:ascii="Times New Roman" w:hAnsi="Times New Roman" w:cs="Times New Roman"/>
                      <w:color w:val="auto"/>
                      <w:lang w:val="en-US" w:eastAsia="zh-CN"/>
                    </w:rPr>
                  </w:pPr>
                </w:p>
              </w:tc>
              <w:tc>
                <w:tcPr>
                  <w:tcW w:w="654" w:type="pct"/>
                  <w:vMerge w:val="continue"/>
                  <w:noWrap w:val="0"/>
                  <w:vAlign w:val="center"/>
                </w:tcPr>
                <w:p w14:paraId="2FA1D9FA">
                  <w:pPr>
                    <w:pStyle w:val="14"/>
                    <w:bidi w:val="0"/>
                    <w:rPr>
                      <w:rFonts w:hint="default" w:ascii="Times New Roman" w:hAnsi="Times New Roman" w:cs="Times New Roman"/>
                      <w:color w:val="auto"/>
                    </w:rPr>
                  </w:pPr>
                </w:p>
              </w:tc>
              <w:tc>
                <w:tcPr>
                  <w:tcW w:w="1359" w:type="pct"/>
                  <w:noWrap w:val="0"/>
                  <w:vAlign w:val="center"/>
                </w:tcPr>
                <w:p w14:paraId="33FC78E3">
                  <w:pPr>
                    <w:pStyle w:val="14"/>
                    <w:bidi w:val="0"/>
                    <w:rPr>
                      <w:rFonts w:hint="default" w:ascii="Times New Roman" w:hAnsi="Times New Roman" w:cs="Times New Roman"/>
                      <w:color w:val="auto"/>
                    </w:rPr>
                  </w:pPr>
                  <w:r>
                    <w:rPr>
                      <w:rFonts w:hint="default" w:ascii="Times New Roman" w:hAnsi="Times New Roman" w:cs="Times New Roman"/>
                      <w:color w:val="auto"/>
                    </w:rPr>
                    <w:t>排放速率</w:t>
                  </w:r>
                  <w:r>
                    <w:rPr>
                      <w:rFonts w:hint="default" w:ascii="Times New Roman" w:hAnsi="Times New Roman" w:cs="Times New Roman"/>
                      <w:color w:val="auto"/>
                      <w:lang w:eastAsia="zh-CN"/>
                    </w:rPr>
                    <w:t>（</w:t>
                  </w:r>
                  <w:r>
                    <w:rPr>
                      <w:rFonts w:hint="default" w:ascii="Times New Roman" w:hAnsi="Times New Roman" w:cs="Times New Roman"/>
                      <w:color w:val="auto"/>
                    </w:rPr>
                    <w:t>kg/h）</w:t>
                  </w:r>
                </w:p>
              </w:tc>
              <w:tc>
                <w:tcPr>
                  <w:tcW w:w="810" w:type="pct"/>
                  <w:noWrap w:val="0"/>
                  <w:vAlign w:val="center"/>
                </w:tcPr>
                <w:p w14:paraId="0615FA67">
                  <w:pPr>
                    <w:pStyle w:val="14"/>
                    <w:bidi w:val="0"/>
                    <w:rPr>
                      <w:rFonts w:hint="eastAsia"/>
                      <w:color w:val="auto"/>
                      <w:lang w:val="en-US" w:eastAsia="zh-CN"/>
                    </w:rPr>
                  </w:pPr>
                  <w:r>
                    <w:rPr>
                      <w:rFonts w:hint="eastAsia"/>
                      <w:color w:val="auto"/>
                      <w:lang w:val="en-US" w:eastAsia="zh-CN"/>
                    </w:rPr>
                    <w:t>0.004</w:t>
                  </w:r>
                </w:p>
              </w:tc>
              <w:tc>
                <w:tcPr>
                  <w:tcW w:w="967" w:type="pct"/>
                  <w:noWrap w:val="0"/>
                  <w:vAlign w:val="center"/>
                </w:tcPr>
                <w:p w14:paraId="42816B68">
                  <w:pPr>
                    <w:pStyle w:val="14"/>
                    <w:bidi w:val="0"/>
                    <w:rPr>
                      <w:rFonts w:hint="eastAsia"/>
                      <w:color w:val="auto"/>
                      <w:lang w:val="en-US" w:eastAsia="zh-CN"/>
                    </w:rPr>
                  </w:pPr>
                  <w:r>
                    <w:rPr>
                      <w:rFonts w:hint="eastAsia"/>
                      <w:color w:val="auto"/>
                      <w:lang w:val="en-US" w:eastAsia="zh-CN"/>
                    </w:rPr>
                    <w:t>0.023</w:t>
                  </w:r>
                </w:p>
              </w:tc>
              <w:tc>
                <w:tcPr>
                  <w:tcW w:w="783" w:type="pct"/>
                  <w:noWrap w:val="0"/>
                  <w:vAlign w:val="center"/>
                </w:tcPr>
                <w:p w14:paraId="3F296744">
                  <w:pPr>
                    <w:pStyle w:val="14"/>
                    <w:bidi w:val="0"/>
                    <w:rPr>
                      <w:rFonts w:hint="eastAsia"/>
                      <w:color w:val="auto"/>
                      <w:lang w:val="en-US" w:eastAsia="zh-CN"/>
                    </w:rPr>
                  </w:pPr>
                  <w:r>
                    <w:rPr>
                      <w:rFonts w:hint="eastAsia"/>
                      <w:color w:val="auto"/>
                      <w:lang w:val="en-US" w:eastAsia="zh-CN"/>
                    </w:rPr>
                    <w:t>0.015</w:t>
                  </w:r>
                </w:p>
              </w:tc>
            </w:tr>
            <w:tr w14:paraId="085B0E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restart"/>
                  <w:noWrap w:val="0"/>
                  <w:vAlign w:val="center"/>
                </w:tcPr>
                <w:p w14:paraId="40F99D24">
                  <w:pPr>
                    <w:pStyle w:val="14"/>
                    <w:bidi w:val="0"/>
                    <w:rPr>
                      <w:rFonts w:hint="default" w:ascii="Times New Roman" w:hAnsi="Times New Roman" w:eastAsia="宋体" w:cs="Times New Roman"/>
                      <w:color w:val="auto"/>
                      <w:lang w:val="en-US" w:eastAsia="zh-CN"/>
                    </w:rPr>
                  </w:pPr>
                  <w:r>
                    <w:rPr>
                      <w:rFonts w:hint="eastAsia" w:cs="Times New Roman"/>
                      <w:color w:val="auto"/>
                      <w:lang w:val="en-US" w:eastAsia="zh-CN"/>
                    </w:rPr>
                    <w:t>晾干废气</w:t>
                  </w:r>
                </w:p>
              </w:tc>
              <w:tc>
                <w:tcPr>
                  <w:tcW w:w="654" w:type="pct"/>
                  <w:vMerge w:val="restart"/>
                  <w:noWrap w:val="0"/>
                  <w:vAlign w:val="center"/>
                </w:tcPr>
                <w:p w14:paraId="2E7C382E">
                  <w:pPr>
                    <w:pStyle w:val="14"/>
                    <w:bidi w:val="0"/>
                    <w:rPr>
                      <w:rFonts w:hint="eastAsia" w:ascii="Times New Roman" w:hAnsi="Times New Roman" w:eastAsia="宋体" w:cs="Times New Roman"/>
                      <w:color w:val="auto"/>
                      <w:lang w:val="en-US" w:eastAsia="zh-CN"/>
                    </w:rPr>
                  </w:pPr>
                  <w:r>
                    <w:rPr>
                      <w:rFonts w:hint="eastAsia" w:cs="Times New Roman"/>
                      <w:color w:val="auto"/>
                      <w:lang w:val="en-US" w:eastAsia="zh-CN"/>
                    </w:rPr>
                    <w:t>无组织</w:t>
                  </w:r>
                </w:p>
              </w:tc>
              <w:tc>
                <w:tcPr>
                  <w:tcW w:w="1359" w:type="pct"/>
                  <w:noWrap w:val="0"/>
                  <w:vAlign w:val="center"/>
                </w:tcPr>
                <w:p w14:paraId="259C5CFE">
                  <w:pPr>
                    <w:pStyle w:val="14"/>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rPr>
                    <w:t>产生量</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t</w:t>
                  </w:r>
                  <w:r>
                    <w:rPr>
                      <w:rFonts w:hint="default" w:ascii="Times New Roman" w:hAnsi="Times New Roman" w:cs="Times New Roman"/>
                      <w:color w:val="auto"/>
                    </w:rPr>
                    <w:t>/a）</w:t>
                  </w:r>
                </w:p>
              </w:tc>
              <w:tc>
                <w:tcPr>
                  <w:tcW w:w="810" w:type="pct"/>
                  <w:noWrap w:val="0"/>
                  <w:vAlign w:val="center"/>
                </w:tcPr>
                <w:p w14:paraId="32448841">
                  <w:pPr>
                    <w:pStyle w:val="14"/>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w:t>
                  </w:r>
                </w:p>
              </w:tc>
              <w:tc>
                <w:tcPr>
                  <w:tcW w:w="967" w:type="pct"/>
                  <w:noWrap w:val="0"/>
                  <w:vAlign w:val="center"/>
                </w:tcPr>
                <w:p w14:paraId="19D08711">
                  <w:pPr>
                    <w:pStyle w:val="14"/>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0.54</w:t>
                  </w:r>
                </w:p>
              </w:tc>
              <w:tc>
                <w:tcPr>
                  <w:tcW w:w="783" w:type="pct"/>
                  <w:noWrap w:val="0"/>
                  <w:vAlign w:val="center"/>
                </w:tcPr>
                <w:p w14:paraId="00F251C2">
                  <w:pPr>
                    <w:pStyle w:val="14"/>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0.35</w:t>
                  </w:r>
                </w:p>
              </w:tc>
            </w:tr>
            <w:tr w14:paraId="500376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6A6BE405">
                  <w:pPr>
                    <w:pStyle w:val="14"/>
                    <w:bidi w:val="0"/>
                    <w:rPr>
                      <w:rFonts w:hint="default" w:ascii="Times New Roman" w:hAnsi="Times New Roman" w:cs="Times New Roman"/>
                      <w:color w:val="auto"/>
                    </w:rPr>
                  </w:pPr>
                </w:p>
              </w:tc>
              <w:tc>
                <w:tcPr>
                  <w:tcW w:w="654" w:type="pct"/>
                  <w:vMerge w:val="continue"/>
                  <w:noWrap w:val="0"/>
                  <w:vAlign w:val="center"/>
                </w:tcPr>
                <w:p w14:paraId="009170E6">
                  <w:pPr>
                    <w:pStyle w:val="14"/>
                    <w:bidi w:val="0"/>
                    <w:rPr>
                      <w:rFonts w:hint="default" w:ascii="Times New Roman" w:hAnsi="Times New Roman" w:cs="Times New Roman"/>
                      <w:color w:val="auto"/>
                    </w:rPr>
                  </w:pPr>
                </w:p>
              </w:tc>
              <w:tc>
                <w:tcPr>
                  <w:tcW w:w="1359" w:type="pct"/>
                  <w:noWrap w:val="0"/>
                  <w:vAlign w:val="center"/>
                </w:tcPr>
                <w:p w14:paraId="019DAB03">
                  <w:pPr>
                    <w:pStyle w:val="14"/>
                    <w:bidi w:val="0"/>
                    <w:ind w:firstLine="0" w:firstLineChars="0"/>
                    <w:rPr>
                      <w:rFonts w:hint="default" w:ascii="Times New Roman" w:hAnsi="Times New Roman" w:eastAsia="宋体" w:cs="Times New Roman"/>
                      <w:color w:val="auto"/>
                      <w:sz w:val="21"/>
                    </w:rPr>
                  </w:pPr>
                  <w:r>
                    <w:rPr>
                      <w:rFonts w:hint="default" w:ascii="Times New Roman" w:hAnsi="Times New Roman" w:cs="Times New Roman"/>
                      <w:color w:val="auto"/>
                    </w:rPr>
                    <w:t>产生速率</w:t>
                  </w:r>
                  <w:r>
                    <w:rPr>
                      <w:rFonts w:hint="default" w:ascii="Times New Roman" w:hAnsi="Times New Roman" w:cs="Times New Roman"/>
                      <w:color w:val="auto"/>
                      <w:lang w:eastAsia="zh-CN"/>
                    </w:rPr>
                    <w:t>（</w:t>
                  </w:r>
                  <w:r>
                    <w:rPr>
                      <w:rFonts w:hint="default" w:ascii="Times New Roman" w:hAnsi="Times New Roman" w:cs="Times New Roman"/>
                      <w:color w:val="auto"/>
                    </w:rPr>
                    <w:t>kg/h）</w:t>
                  </w:r>
                </w:p>
              </w:tc>
              <w:tc>
                <w:tcPr>
                  <w:tcW w:w="810" w:type="pct"/>
                  <w:noWrap w:val="0"/>
                  <w:vAlign w:val="center"/>
                </w:tcPr>
                <w:p w14:paraId="74575B3B">
                  <w:pPr>
                    <w:pStyle w:val="14"/>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w:t>
                  </w:r>
                </w:p>
              </w:tc>
              <w:tc>
                <w:tcPr>
                  <w:tcW w:w="967" w:type="pct"/>
                  <w:noWrap w:val="0"/>
                  <w:vAlign w:val="center"/>
                </w:tcPr>
                <w:p w14:paraId="554615E8">
                  <w:pPr>
                    <w:pStyle w:val="14"/>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0.226</w:t>
                  </w:r>
                </w:p>
              </w:tc>
              <w:tc>
                <w:tcPr>
                  <w:tcW w:w="783" w:type="pct"/>
                  <w:noWrap w:val="0"/>
                  <w:vAlign w:val="center"/>
                </w:tcPr>
                <w:p w14:paraId="1152F139">
                  <w:pPr>
                    <w:pStyle w:val="14"/>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0.145</w:t>
                  </w:r>
                </w:p>
              </w:tc>
            </w:tr>
            <w:tr w14:paraId="74D63B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37D6DE0E">
                  <w:pPr>
                    <w:pStyle w:val="14"/>
                    <w:bidi w:val="0"/>
                    <w:rPr>
                      <w:rFonts w:hint="default" w:ascii="Times New Roman" w:hAnsi="Times New Roman" w:cs="Times New Roman"/>
                      <w:color w:val="auto"/>
                    </w:rPr>
                  </w:pPr>
                </w:p>
              </w:tc>
              <w:tc>
                <w:tcPr>
                  <w:tcW w:w="654" w:type="pct"/>
                  <w:vMerge w:val="continue"/>
                  <w:noWrap w:val="0"/>
                  <w:vAlign w:val="center"/>
                </w:tcPr>
                <w:p w14:paraId="1BAA0A1D">
                  <w:pPr>
                    <w:pStyle w:val="14"/>
                    <w:bidi w:val="0"/>
                    <w:rPr>
                      <w:rFonts w:hint="default" w:ascii="Times New Roman" w:hAnsi="Times New Roman" w:cs="Times New Roman"/>
                      <w:color w:val="auto"/>
                    </w:rPr>
                  </w:pPr>
                </w:p>
              </w:tc>
              <w:tc>
                <w:tcPr>
                  <w:tcW w:w="1359" w:type="pct"/>
                  <w:noWrap w:val="0"/>
                  <w:vAlign w:val="center"/>
                </w:tcPr>
                <w:p w14:paraId="0EF679C8">
                  <w:pPr>
                    <w:pStyle w:val="14"/>
                    <w:bidi w:val="0"/>
                    <w:ind w:firstLine="0" w:firstLineChars="0"/>
                    <w:rPr>
                      <w:rFonts w:hint="default" w:ascii="Times New Roman" w:hAnsi="Times New Roman" w:eastAsia="宋体" w:cs="Times New Roman"/>
                      <w:color w:val="auto"/>
                      <w:sz w:val="21"/>
                    </w:rPr>
                  </w:pPr>
                  <w:r>
                    <w:rPr>
                      <w:rFonts w:hint="default" w:ascii="Times New Roman" w:hAnsi="Times New Roman" w:cs="Times New Roman"/>
                      <w:color w:val="auto"/>
                    </w:rPr>
                    <w:t>排放量</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t</w:t>
                  </w:r>
                  <w:r>
                    <w:rPr>
                      <w:rFonts w:hint="default" w:ascii="Times New Roman" w:hAnsi="Times New Roman" w:cs="Times New Roman"/>
                      <w:color w:val="auto"/>
                    </w:rPr>
                    <w:t>/a）</w:t>
                  </w:r>
                </w:p>
              </w:tc>
              <w:tc>
                <w:tcPr>
                  <w:tcW w:w="810" w:type="pct"/>
                  <w:noWrap w:val="0"/>
                  <w:vAlign w:val="center"/>
                </w:tcPr>
                <w:p w14:paraId="326B3BDA">
                  <w:pPr>
                    <w:pStyle w:val="14"/>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w:t>
                  </w:r>
                </w:p>
              </w:tc>
              <w:tc>
                <w:tcPr>
                  <w:tcW w:w="967" w:type="pct"/>
                  <w:noWrap w:val="0"/>
                  <w:vAlign w:val="center"/>
                </w:tcPr>
                <w:p w14:paraId="0315A58B">
                  <w:pPr>
                    <w:pStyle w:val="14"/>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0.54</w:t>
                  </w:r>
                </w:p>
              </w:tc>
              <w:tc>
                <w:tcPr>
                  <w:tcW w:w="783" w:type="pct"/>
                  <w:noWrap w:val="0"/>
                  <w:vAlign w:val="center"/>
                </w:tcPr>
                <w:p w14:paraId="7B74AB3E">
                  <w:pPr>
                    <w:pStyle w:val="14"/>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0.35</w:t>
                  </w:r>
                </w:p>
              </w:tc>
            </w:tr>
            <w:tr w14:paraId="69BEF6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79823932">
                  <w:pPr>
                    <w:pStyle w:val="14"/>
                    <w:bidi w:val="0"/>
                    <w:rPr>
                      <w:rFonts w:hint="default" w:ascii="Times New Roman" w:hAnsi="Times New Roman" w:cs="Times New Roman"/>
                      <w:color w:val="auto"/>
                    </w:rPr>
                  </w:pPr>
                </w:p>
              </w:tc>
              <w:tc>
                <w:tcPr>
                  <w:tcW w:w="654" w:type="pct"/>
                  <w:vMerge w:val="continue"/>
                  <w:noWrap w:val="0"/>
                  <w:vAlign w:val="center"/>
                </w:tcPr>
                <w:p w14:paraId="53E8638C">
                  <w:pPr>
                    <w:pStyle w:val="14"/>
                    <w:bidi w:val="0"/>
                    <w:rPr>
                      <w:rFonts w:hint="default" w:ascii="Times New Roman" w:hAnsi="Times New Roman" w:cs="Times New Roman"/>
                      <w:color w:val="auto"/>
                    </w:rPr>
                  </w:pPr>
                </w:p>
              </w:tc>
              <w:tc>
                <w:tcPr>
                  <w:tcW w:w="1359" w:type="pct"/>
                  <w:noWrap w:val="0"/>
                  <w:vAlign w:val="center"/>
                </w:tcPr>
                <w:p w14:paraId="3913BBAA">
                  <w:pPr>
                    <w:pStyle w:val="14"/>
                    <w:bidi w:val="0"/>
                    <w:ind w:firstLine="0" w:firstLineChars="0"/>
                    <w:rPr>
                      <w:rFonts w:hint="default" w:ascii="Times New Roman" w:hAnsi="Times New Roman" w:eastAsia="宋体" w:cs="Times New Roman"/>
                      <w:color w:val="auto"/>
                      <w:sz w:val="21"/>
                    </w:rPr>
                  </w:pPr>
                  <w:r>
                    <w:rPr>
                      <w:rFonts w:hint="default" w:ascii="Times New Roman" w:hAnsi="Times New Roman" w:cs="Times New Roman"/>
                      <w:color w:val="auto"/>
                    </w:rPr>
                    <w:t>排放速率</w:t>
                  </w:r>
                  <w:r>
                    <w:rPr>
                      <w:rFonts w:hint="default" w:ascii="Times New Roman" w:hAnsi="Times New Roman" w:cs="Times New Roman"/>
                      <w:color w:val="auto"/>
                      <w:lang w:eastAsia="zh-CN"/>
                    </w:rPr>
                    <w:t>（</w:t>
                  </w:r>
                  <w:r>
                    <w:rPr>
                      <w:rFonts w:hint="default" w:ascii="Times New Roman" w:hAnsi="Times New Roman" w:cs="Times New Roman"/>
                      <w:color w:val="auto"/>
                    </w:rPr>
                    <w:t>kg/h）</w:t>
                  </w:r>
                </w:p>
              </w:tc>
              <w:tc>
                <w:tcPr>
                  <w:tcW w:w="810" w:type="pct"/>
                  <w:noWrap w:val="0"/>
                  <w:vAlign w:val="center"/>
                </w:tcPr>
                <w:p w14:paraId="5A9B4564">
                  <w:pPr>
                    <w:pStyle w:val="14"/>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w:t>
                  </w:r>
                </w:p>
              </w:tc>
              <w:tc>
                <w:tcPr>
                  <w:tcW w:w="967" w:type="pct"/>
                  <w:noWrap w:val="0"/>
                  <w:vAlign w:val="center"/>
                </w:tcPr>
                <w:p w14:paraId="03D1E0D4">
                  <w:pPr>
                    <w:pStyle w:val="14"/>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0.226</w:t>
                  </w:r>
                </w:p>
              </w:tc>
              <w:tc>
                <w:tcPr>
                  <w:tcW w:w="783" w:type="pct"/>
                  <w:noWrap w:val="0"/>
                  <w:vAlign w:val="center"/>
                </w:tcPr>
                <w:p w14:paraId="7B177895">
                  <w:pPr>
                    <w:pStyle w:val="14"/>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0.145</w:t>
                  </w:r>
                </w:p>
              </w:tc>
            </w:tr>
            <w:tr w14:paraId="2DAABE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77" w:type="pct"/>
                  <w:gridSpan w:val="2"/>
                  <w:vMerge w:val="restart"/>
                  <w:noWrap w:val="0"/>
                  <w:vAlign w:val="center"/>
                </w:tcPr>
                <w:p w14:paraId="7CD7348B">
                  <w:pPr>
                    <w:pStyle w:val="14"/>
                    <w:bidi w:val="0"/>
                    <w:rPr>
                      <w:rFonts w:hint="default" w:ascii="Times New Roman" w:hAnsi="Times New Roman" w:eastAsia="宋体" w:cs="Times New Roman"/>
                      <w:color w:val="auto"/>
                      <w:lang w:val="en-US" w:eastAsia="zh-CN"/>
                    </w:rPr>
                  </w:pPr>
                  <w:r>
                    <w:rPr>
                      <w:rFonts w:hint="eastAsia" w:cs="Times New Roman"/>
                      <w:color w:val="auto"/>
                      <w:lang w:val="en-US" w:eastAsia="zh-CN"/>
                    </w:rPr>
                    <w:t>无组织排放合计</w:t>
                  </w:r>
                </w:p>
              </w:tc>
              <w:tc>
                <w:tcPr>
                  <w:tcW w:w="1359" w:type="pct"/>
                  <w:noWrap w:val="0"/>
                  <w:vAlign w:val="center"/>
                </w:tcPr>
                <w:p w14:paraId="5DD8ADE4">
                  <w:pPr>
                    <w:pStyle w:val="14"/>
                    <w:bidi w:val="0"/>
                    <w:ind w:firstLine="0" w:firstLineChars="0"/>
                    <w:rPr>
                      <w:rFonts w:hint="default" w:ascii="Times New Roman" w:hAnsi="Times New Roman" w:eastAsia="宋体" w:cs="Times New Roman"/>
                      <w:color w:val="auto"/>
                      <w:sz w:val="21"/>
                    </w:rPr>
                  </w:pPr>
                  <w:r>
                    <w:rPr>
                      <w:rFonts w:hint="default" w:ascii="Times New Roman" w:hAnsi="Times New Roman" w:cs="Times New Roman"/>
                      <w:color w:val="auto"/>
                    </w:rPr>
                    <w:t>排放量</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t</w:t>
                  </w:r>
                  <w:r>
                    <w:rPr>
                      <w:rFonts w:hint="default" w:ascii="Times New Roman" w:hAnsi="Times New Roman" w:cs="Times New Roman"/>
                      <w:color w:val="auto"/>
                    </w:rPr>
                    <w:t>/a）</w:t>
                  </w:r>
                </w:p>
              </w:tc>
              <w:tc>
                <w:tcPr>
                  <w:tcW w:w="810" w:type="pct"/>
                  <w:noWrap w:val="0"/>
                  <w:vAlign w:val="center"/>
                </w:tcPr>
                <w:p w14:paraId="76B18EDB">
                  <w:pPr>
                    <w:pStyle w:val="14"/>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0.01</w:t>
                  </w:r>
                </w:p>
              </w:tc>
              <w:tc>
                <w:tcPr>
                  <w:tcW w:w="967" w:type="pct"/>
                  <w:noWrap w:val="0"/>
                  <w:vAlign w:val="center"/>
                </w:tcPr>
                <w:p w14:paraId="5EA5C69A">
                  <w:pPr>
                    <w:pStyle w:val="14"/>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0.60</w:t>
                  </w:r>
                </w:p>
              </w:tc>
              <w:tc>
                <w:tcPr>
                  <w:tcW w:w="783" w:type="pct"/>
                  <w:noWrap w:val="0"/>
                  <w:vAlign w:val="center"/>
                </w:tcPr>
                <w:p w14:paraId="5DA2C35B">
                  <w:pPr>
                    <w:pStyle w:val="14"/>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0.38</w:t>
                  </w:r>
                </w:p>
              </w:tc>
            </w:tr>
            <w:tr w14:paraId="5F8DAA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77" w:type="pct"/>
                  <w:gridSpan w:val="2"/>
                  <w:vMerge w:val="continue"/>
                  <w:noWrap w:val="0"/>
                  <w:vAlign w:val="center"/>
                </w:tcPr>
                <w:p w14:paraId="1A8AD99D">
                  <w:pPr>
                    <w:pStyle w:val="14"/>
                    <w:bidi w:val="0"/>
                    <w:rPr>
                      <w:rFonts w:hint="default" w:ascii="Times New Roman" w:hAnsi="Times New Roman" w:cs="Times New Roman"/>
                      <w:color w:val="auto"/>
                    </w:rPr>
                  </w:pPr>
                </w:p>
              </w:tc>
              <w:tc>
                <w:tcPr>
                  <w:tcW w:w="1359" w:type="pct"/>
                  <w:noWrap w:val="0"/>
                  <w:vAlign w:val="center"/>
                </w:tcPr>
                <w:p w14:paraId="0D180521">
                  <w:pPr>
                    <w:pStyle w:val="14"/>
                    <w:bidi w:val="0"/>
                    <w:ind w:firstLine="0" w:firstLineChars="0"/>
                    <w:rPr>
                      <w:rFonts w:hint="default" w:ascii="Times New Roman" w:hAnsi="Times New Roman" w:eastAsia="宋体" w:cs="Times New Roman"/>
                      <w:color w:val="auto"/>
                      <w:sz w:val="21"/>
                    </w:rPr>
                  </w:pPr>
                  <w:r>
                    <w:rPr>
                      <w:rFonts w:hint="default" w:ascii="Times New Roman" w:hAnsi="Times New Roman" w:cs="Times New Roman"/>
                      <w:color w:val="auto"/>
                    </w:rPr>
                    <w:t>排放速率</w:t>
                  </w:r>
                  <w:r>
                    <w:rPr>
                      <w:rFonts w:hint="default" w:ascii="Times New Roman" w:hAnsi="Times New Roman" w:cs="Times New Roman"/>
                      <w:color w:val="auto"/>
                      <w:lang w:eastAsia="zh-CN"/>
                    </w:rPr>
                    <w:t>（</w:t>
                  </w:r>
                  <w:r>
                    <w:rPr>
                      <w:rFonts w:hint="default" w:ascii="Times New Roman" w:hAnsi="Times New Roman" w:cs="Times New Roman"/>
                      <w:color w:val="auto"/>
                    </w:rPr>
                    <w:t>kg/h）</w:t>
                  </w:r>
                </w:p>
              </w:tc>
              <w:tc>
                <w:tcPr>
                  <w:tcW w:w="810" w:type="pct"/>
                  <w:noWrap w:val="0"/>
                  <w:vAlign w:val="center"/>
                </w:tcPr>
                <w:p w14:paraId="2A7DE9F0">
                  <w:pPr>
                    <w:pStyle w:val="14"/>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0.004</w:t>
                  </w:r>
                </w:p>
              </w:tc>
              <w:tc>
                <w:tcPr>
                  <w:tcW w:w="967" w:type="pct"/>
                  <w:noWrap w:val="0"/>
                  <w:vAlign w:val="center"/>
                </w:tcPr>
                <w:p w14:paraId="263459A2">
                  <w:pPr>
                    <w:pStyle w:val="14"/>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0.25</w:t>
                  </w:r>
                </w:p>
              </w:tc>
              <w:tc>
                <w:tcPr>
                  <w:tcW w:w="783" w:type="pct"/>
                  <w:noWrap w:val="0"/>
                  <w:vAlign w:val="center"/>
                </w:tcPr>
                <w:p w14:paraId="06D3483E">
                  <w:pPr>
                    <w:pStyle w:val="14"/>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0.16</w:t>
                  </w:r>
                </w:p>
              </w:tc>
            </w:tr>
          </w:tbl>
          <w:p w14:paraId="27642DD4">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2）无组织颗粒物</w:t>
            </w:r>
          </w:p>
          <w:p w14:paraId="34099F75">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项目原件卸车码放过程会产生少量木屑颗粒，产生量较小，预计产生颗粒物为0.02t/a，0.008kg/h，呈无组织排放，通过车间沉降，加强厂区地面清扫控制、通风扩散后减轻对环境的影响。</w:t>
            </w:r>
          </w:p>
          <w:p w14:paraId="790C4531">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3）燃油机械尾气</w:t>
            </w:r>
          </w:p>
          <w:p w14:paraId="3B13D76B">
            <w:pPr>
              <w:bidi w:val="0"/>
              <w:rPr>
                <w:rFonts w:hint="default" w:ascii="Times New Roman" w:hAnsi="Times New Roman" w:cs="Times New Roman"/>
                <w:color w:val="auto"/>
                <w:sz w:val="24"/>
                <w:lang w:eastAsia="zh-CN"/>
              </w:rPr>
            </w:pPr>
            <w:r>
              <w:rPr>
                <w:rFonts w:hint="default" w:ascii="Times New Roman" w:hAnsi="Times New Roman" w:cs="Times New Roman"/>
                <w:bCs/>
                <w:color w:val="auto"/>
                <w:sz w:val="24"/>
              </w:rPr>
              <w:t>汽车尾气来源主要为运输车辆在项目区内行驶过程</w:t>
            </w:r>
            <w:r>
              <w:rPr>
                <w:rFonts w:hint="default" w:ascii="Times New Roman" w:hAnsi="Times New Roman" w:cs="Times New Roman"/>
                <w:bCs/>
                <w:color w:val="auto"/>
                <w:sz w:val="24"/>
                <w:lang w:val="en-US" w:eastAsia="zh-CN"/>
              </w:rPr>
              <w:t>以及叉车使用过程产生</w:t>
            </w:r>
            <w:r>
              <w:rPr>
                <w:rFonts w:hint="default" w:ascii="Times New Roman" w:hAnsi="Times New Roman" w:cs="Times New Roman"/>
                <w:bCs/>
                <w:color w:val="auto"/>
                <w:sz w:val="24"/>
              </w:rPr>
              <w:t>，尾气中主要成</w:t>
            </w:r>
            <w:r>
              <w:rPr>
                <w:rFonts w:hint="default" w:ascii="Times New Roman" w:hAnsi="Times New Roman" w:cs="Times New Roman"/>
                <w:bCs/>
                <w:color w:val="auto"/>
                <w:sz w:val="24"/>
                <w:lang w:eastAsia="zh-CN"/>
              </w:rPr>
              <w:t>分</w:t>
            </w:r>
            <w:r>
              <w:rPr>
                <w:rFonts w:hint="default" w:ascii="Times New Roman" w:hAnsi="Times New Roman" w:cs="Times New Roman"/>
                <w:bCs/>
                <w:color w:val="auto"/>
                <w:sz w:val="24"/>
              </w:rPr>
              <w:t>为CO、NOx和总碳氢化合物</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THC）。项目内车流量不大，</w:t>
            </w:r>
            <w:r>
              <w:rPr>
                <w:rFonts w:hint="default" w:ascii="Times New Roman" w:hAnsi="Times New Roman" w:cs="Times New Roman"/>
                <w:color w:val="auto"/>
                <w:sz w:val="24"/>
              </w:rPr>
              <w:t>且项目内转运距离小，污染物排放量少，经</w:t>
            </w:r>
            <w:r>
              <w:rPr>
                <w:rFonts w:hint="default" w:ascii="Times New Roman" w:hAnsi="Times New Roman" w:cs="Times New Roman"/>
                <w:bCs/>
                <w:color w:val="auto"/>
                <w:sz w:val="24"/>
              </w:rPr>
              <w:t>自然扩散、稀释后</w:t>
            </w:r>
            <w:r>
              <w:rPr>
                <w:rFonts w:hint="default" w:ascii="Times New Roman" w:hAnsi="Times New Roman" w:cs="Times New Roman"/>
                <w:color w:val="auto"/>
                <w:sz w:val="24"/>
              </w:rPr>
              <w:t>对周围环境影响较小</w:t>
            </w:r>
            <w:r>
              <w:rPr>
                <w:rFonts w:hint="default" w:ascii="Times New Roman" w:hAnsi="Times New Roman" w:cs="Times New Roman"/>
                <w:color w:val="auto"/>
                <w:sz w:val="24"/>
                <w:lang w:eastAsia="zh-CN"/>
              </w:rPr>
              <w:t>。</w:t>
            </w:r>
          </w:p>
          <w:p w14:paraId="55EFEFC9">
            <w:pPr>
              <w:bidi w:val="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4）旱厕异味</w:t>
            </w:r>
          </w:p>
          <w:p w14:paraId="40C42CFD">
            <w:pPr>
              <w:bidi w:val="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旱厕会产生少量异味，因产生量较小，本次不再定量核算，通过加强区域通风、加强厂区绿化吸收后对周围环境影响较小。</w:t>
            </w:r>
          </w:p>
          <w:p w14:paraId="236914A6">
            <w:pPr>
              <w:bidi w:val="0"/>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4）</w:t>
            </w:r>
            <w:r>
              <w:rPr>
                <w:rFonts w:hint="default" w:ascii="Times New Roman" w:hAnsi="Times New Roman" w:cs="Times New Roman"/>
                <w:b/>
                <w:bCs/>
                <w:color w:val="auto"/>
              </w:rPr>
              <w:t>大气污染防治措施及可行性分析</w:t>
            </w:r>
          </w:p>
          <w:p w14:paraId="42CBE00A">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1）喷漆废气</w:t>
            </w:r>
          </w:p>
          <w:p w14:paraId="2E89F3C6">
            <w:pPr>
              <w:bidi w:val="0"/>
              <w:rPr>
                <w:rFonts w:hint="default" w:ascii="Times New Roman" w:hAnsi="Times New Roman" w:cs="Times New Roman"/>
                <w:color w:val="auto"/>
                <w:lang w:eastAsia="zh-CN"/>
              </w:rPr>
            </w:pPr>
            <w:r>
              <w:rPr>
                <w:rFonts w:hint="default" w:ascii="Times New Roman" w:hAnsi="Times New Roman" w:cs="Times New Roman"/>
                <w:color w:val="auto"/>
              </w:rPr>
              <w:t>目前国内</w:t>
            </w:r>
            <w:r>
              <w:rPr>
                <w:rFonts w:hint="default" w:ascii="Times New Roman" w:hAnsi="Times New Roman" w:cs="Times New Roman"/>
                <w:color w:val="auto"/>
                <w:lang w:eastAsia="zh-CN"/>
              </w:rPr>
              <w:t>对于</w:t>
            </w:r>
            <w:r>
              <w:rPr>
                <w:rFonts w:hint="default" w:ascii="Times New Roman" w:hAnsi="Times New Roman" w:cs="Times New Roman"/>
                <w:color w:val="auto"/>
              </w:rPr>
              <w:t>有机废气治理主要有燃烧法、吸收法、吸附法等，国内外有机废气处理的方法及其各自的优缺点见表</w:t>
            </w: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5</w:t>
            </w:r>
            <w:r>
              <w:rPr>
                <w:rFonts w:hint="default" w:ascii="Times New Roman" w:hAnsi="Times New Roman" w:cs="Times New Roman"/>
                <w:color w:val="auto"/>
                <w:lang w:eastAsia="zh-CN"/>
              </w:rPr>
              <w:t>。</w:t>
            </w:r>
          </w:p>
          <w:p w14:paraId="7E6B3A30">
            <w:pPr>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eastAsia="zh-CN"/>
              </w:rPr>
              <w:t>表</w:t>
            </w:r>
            <w:r>
              <w:rPr>
                <w:rFonts w:hint="default" w:ascii="Times New Roman" w:hAnsi="Times New Roman" w:cs="Times New Roman"/>
                <w:b/>
                <w:bCs/>
                <w:color w:val="auto"/>
                <w:lang w:val="en-US" w:eastAsia="zh-CN"/>
              </w:rPr>
              <w:t>4-</w:t>
            </w:r>
            <w:r>
              <w:rPr>
                <w:rFonts w:hint="eastAsia" w:ascii="Times New Roman" w:hAnsi="Times New Roman" w:cs="Times New Roman"/>
                <w:b/>
                <w:bCs/>
                <w:color w:val="auto"/>
                <w:lang w:val="en-US" w:eastAsia="zh-CN"/>
              </w:rPr>
              <w:t>5</w:t>
            </w:r>
            <w:r>
              <w:rPr>
                <w:rFonts w:hint="default" w:ascii="Times New Roman" w:hAnsi="Times New Roman" w:cs="Times New Roman"/>
                <w:b/>
                <w:bCs/>
                <w:color w:val="auto"/>
                <w:lang w:val="en-US" w:eastAsia="zh-CN"/>
              </w:rPr>
              <w:t xml:space="preserve">  有机废气常用处理工艺比较一览表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2298"/>
              <w:gridCol w:w="2227"/>
              <w:gridCol w:w="2204"/>
            </w:tblGrid>
            <w:tr w14:paraId="0658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01" w:type="dxa"/>
                  <w:noWrap w:val="0"/>
                  <w:vAlign w:val="center"/>
                </w:tcPr>
                <w:p w14:paraId="524AF35F">
                  <w:pPr>
                    <w:pStyle w:val="14"/>
                    <w:widowControl w:val="0"/>
                    <w:bidi w:val="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处理方法</w:t>
                  </w:r>
                </w:p>
              </w:tc>
              <w:tc>
                <w:tcPr>
                  <w:tcW w:w="2298" w:type="dxa"/>
                  <w:noWrap w:val="0"/>
                  <w:vAlign w:val="center"/>
                </w:tcPr>
                <w:p w14:paraId="1EFC9636">
                  <w:pPr>
                    <w:pStyle w:val="14"/>
                    <w:widowControl w:val="0"/>
                    <w:bidi w:val="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运行原理</w:t>
                  </w:r>
                </w:p>
              </w:tc>
              <w:tc>
                <w:tcPr>
                  <w:tcW w:w="2227" w:type="dxa"/>
                  <w:noWrap w:val="0"/>
                  <w:vAlign w:val="center"/>
                </w:tcPr>
                <w:p w14:paraId="3C889E50">
                  <w:pPr>
                    <w:pStyle w:val="14"/>
                    <w:widowControl w:val="0"/>
                    <w:bidi w:val="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优点</w:t>
                  </w:r>
                </w:p>
              </w:tc>
              <w:tc>
                <w:tcPr>
                  <w:tcW w:w="2204" w:type="dxa"/>
                  <w:noWrap w:val="0"/>
                  <w:vAlign w:val="center"/>
                </w:tcPr>
                <w:p w14:paraId="0E8C9993">
                  <w:pPr>
                    <w:pStyle w:val="14"/>
                    <w:widowControl w:val="0"/>
                    <w:bidi w:val="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缺点</w:t>
                  </w:r>
                </w:p>
              </w:tc>
            </w:tr>
            <w:tr w14:paraId="385F8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1" w:type="dxa"/>
                  <w:noWrap w:val="0"/>
                  <w:vAlign w:val="center"/>
                </w:tcPr>
                <w:p w14:paraId="1D585E22">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活性炭吸附法</w:t>
                  </w:r>
                </w:p>
              </w:tc>
              <w:tc>
                <w:tcPr>
                  <w:tcW w:w="2298" w:type="dxa"/>
                  <w:noWrap w:val="0"/>
                  <w:vAlign w:val="center"/>
                </w:tcPr>
                <w:p w14:paraId="548EC73F">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利用活性炭内部的微孔，将废气中的一种或几种组分浓集在固体表面，从而与其他组</w:t>
                  </w:r>
                  <w:r>
                    <w:rPr>
                      <w:rFonts w:hint="default" w:ascii="Times New Roman" w:hAnsi="Times New Roman" w:cs="Times New Roman"/>
                      <w:color w:val="auto"/>
                      <w:lang w:eastAsia="zh-CN"/>
                    </w:rPr>
                    <w:t>分分</w:t>
                  </w:r>
                  <w:r>
                    <w:rPr>
                      <w:rFonts w:hint="default" w:ascii="Times New Roman" w:hAnsi="Times New Roman" w:cs="Times New Roman"/>
                      <w:color w:val="auto"/>
                    </w:rPr>
                    <w:t>开。</w:t>
                  </w:r>
                </w:p>
              </w:tc>
              <w:tc>
                <w:tcPr>
                  <w:tcW w:w="2227" w:type="dxa"/>
                  <w:noWrap w:val="0"/>
                  <w:vAlign w:val="center"/>
                </w:tcPr>
                <w:p w14:paraId="75FA05D0">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①可回收废气</w:t>
                  </w:r>
                </w:p>
                <w:p w14:paraId="3420DC93">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②可净化低浓度</w:t>
                  </w:r>
                  <w:r>
                    <w:rPr>
                      <w:rFonts w:hint="default" w:ascii="Times New Roman" w:hAnsi="Times New Roman" w:cs="Times New Roman"/>
                      <w:color w:val="auto"/>
                      <w:lang w:eastAsia="zh-CN"/>
                    </w:rPr>
                    <w:t>（</w:t>
                  </w:r>
                  <w:r>
                    <w:rPr>
                      <w:rFonts w:hint="default" w:ascii="Times New Roman" w:hAnsi="Times New Roman" w:cs="Times New Roman"/>
                      <w:color w:val="auto"/>
                    </w:rPr>
                    <w:t>一般&lt;1000mg/</w:t>
                  </w:r>
                  <w:r>
                    <w:rPr>
                      <w:rFonts w:hint="default" w:ascii="Times New Roman" w:hAnsi="Times New Roman" w:cs="Times New Roman"/>
                      <w:color w:val="auto"/>
                      <w:lang w:eastAsia="zh-CN"/>
                    </w:rPr>
                    <w:t>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rPr>
                    <w:t>）、低温度废气。</w:t>
                  </w:r>
                </w:p>
              </w:tc>
              <w:tc>
                <w:tcPr>
                  <w:tcW w:w="2204" w:type="dxa"/>
                  <w:noWrap w:val="0"/>
                  <w:vAlign w:val="center"/>
                </w:tcPr>
                <w:p w14:paraId="0B924A85">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①需预处理去除漆雾、粉尘等杂质，高温废气需要冷却。②活性炭需定期更换，且废气活性炭属于危废，处理麻烦。</w:t>
                  </w:r>
                </w:p>
              </w:tc>
            </w:tr>
            <w:tr w14:paraId="414B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1" w:type="dxa"/>
                  <w:noWrap w:val="0"/>
                  <w:vAlign w:val="center"/>
                </w:tcPr>
                <w:p w14:paraId="6733EEE1">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吸收法</w:t>
                  </w:r>
                </w:p>
              </w:tc>
              <w:tc>
                <w:tcPr>
                  <w:tcW w:w="2298" w:type="dxa"/>
                  <w:noWrap w:val="0"/>
                  <w:vAlign w:val="center"/>
                </w:tcPr>
                <w:p w14:paraId="31D85280">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酸性或碱性有机废气通过中和反应，将酸性或碱性气体改性为盐。</w:t>
                  </w:r>
                </w:p>
              </w:tc>
              <w:tc>
                <w:tcPr>
                  <w:tcW w:w="2227" w:type="dxa"/>
                  <w:noWrap w:val="0"/>
                  <w:vAlign w:val="center"/>
                </w:tcPr>
                <w:p w14:paraId="784E070F">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中和反应迅速，去除率高，原料吸收</w:t>
                  </w:r>
                  <w:r>
                    <w:rPr>
                      <w:rFonts w:hint="default" w:ascii="Times New Roman" w:hAnsi="Times New Roman" w:cs="Times New Roman"/>
                      <w:color w:val="auto"/>
                      <w:lang w:eastAsia="zh-CN"/>
                    </w:rPr>
                    <w:t>成本</w:t>
                  </w:r>
                  <w:r>
                    <w:rPr>
                      <w:rFonts w:hint="default" w:ascii="Times New Roman" w:hAnsi="Times New Roman" w:cs="Times New Roman"/>
                      <w:color w:val="auto"/>
                    </w:rPr>
                    <w:t>较低。</w:t>
                  </w:r>
                </w:p>
              </w:tc>
              <w:tc>
                <w:tcPr>
                  <w:tcW w:w="2204" w:type="dxa"/>
                  <w:noWrap w:val="0"/>
                  <w:vAlign w:val="center"/>
                </w:tcPr>
                <w:p w14:paraId="49B59910">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rPr>
                    <w:t>吸收液处理麻烦</w:t>
                  </w:r>
                  <w:r>
                    <w:rPr>
                      <w:rFonts w:hint="default" w:ascii="Times New Roman" w:hAnsi="Times New Roman" w:cs="Times New Roman"/>
                      <w:color w:val="auto"/>
                      <w:lang w:eastAsia="zh-CN"/>
                    </w:rPr>
                    <w:t>。</w:t>
                  </w:r>
                </w:p>
              </w:tc>
            </w:tr>
            <w:tr w14:paraId="08E1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1" w:type="dxa"/>
                  <w:noWrap w:val="0"/>
                  <w:vAlign w:val="center"/>
                </w:tcPr>
                <w:p w14:paraId="4CDC6E0C">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直接燃烧法</w:t>
                  </w:r>
                </w:p>
              </w:tc>
              <w:tc>
                <w:tcPr>
                  <w:tcW w:w="2298" w:type="dxa"/>
                  <w:noWrap w:val="0"/>
                  <w:vAlign w:val="center"/>
                </w:tcPr>
                <w:p w14:paraId="1637EC57">
                  <w:pPr>
                    <w:pStyle w:val="14"/>
                    <w:widowControl w:val="0"/>
                    <w:bidi w:val="0"/>
                    <w:rPr>
                      <w:rFonts w:hint="default" w:ascii="Times New Roman" w:hAnsi="Times New Roman" w:cs="Times New Roman"/>
                      <w:color w:val="auto"/>
                      <w:lang w:eastAsia="zh-CN"/>
                    </w:rPr>
                  </w:pPr>
                  <w:r>
                    <w:rPr>
                      <w:rFonts w:hint="default" w:ascii="Times New Roman" w:hAnsi="Times New Roman" w:cs="Times New Roman"/>
                      <w:color w:val="auto"/>
                    </w:rPr>
                    <w:t>利用加热高温的方法，将有机废气直接燃烧处理</w:t>
                  </w:r>
                  <w:r>
                    <w:rPr>
                      <w:rFonts w:hint="default" w:ascii="Times New Roman" w:hAnsi="Times New Roman" w:cs="Times New Roman"/>
                      <w:color w:val="auto"/>
                      <w:lang w:eastAsia="zh-CN"/>
                    </w:rPr>
                    <w:t>。</w:t>
                  </w:r>
                </w:p>
              </w:tc>
              <w:tc>
                <w:tcPr>
                  <w:tcW w:w="2227" w:type="dxa"/>
                  <w:noWrap w:val="0"/>
                  <w:vAlign w:val="center"/>
                </w:tcPr>
                <w:p w14:paraId="6DFB72C0">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①操作简单，</w:t>
                  </w:r>
                  <w:r>
                    <w:rPr>
                      <w:rFonts w:hint="default" w:ascii="Times New Roman" w:hAnsi="Times New Roman" w:cs="Times New Roman"/>
                      <w:color w:val="auto"/>
                      <w:lang w:eastAsia="zh-CN"/>
                    </w:rPr>
                    <w:t>易</w:t>
                  </w:r>
                  <w:r>
                    <w:rPr>
                      <w:rFonts w:hint="default" w:ascii="Times New Roman" w:hAnsi="Times New Roman" w:cs="Times New Roman"/>
                      <w:color w:val="auto"/>
                    </w:rPr>
                    <w:t>维护。</w:t>
                  </w:r>
                </w:p>
                <w:p w14:paraId="5E1A1700">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②不需要预处理有机物可完全燃烧。③有利于净化含量高的废气。④燃烧热可作为烘干室热源综合利用。</w:t>
                  </w:r>
                </w:p>
              </w:tc>
              <w:tc>
                <w:tcPr>
                  <w:tcW w:w="2204" w:type="dxa"/>
                  <w:noWrap w:val="0"/>
                  <w:vAlign w:val="center"/>
                </w:tcPr>
                <w:p w14:paraId="07B7E808">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①NOx的排气量增大。</w:t>
                  </w:r>
                </w:p>
                <w:p w14:paraId="4A947875">
                  <w:pPr>
                    <w:pStyle w:val="14"/>
                    <w:widowControl w:val="0"/>
                    <w:bidi w:val="0"/>
                    <w:rPr>
                      <w:rFonts w:hint="default" w:ascii="Times New Roman" w:hAnsi="Times New Roman" w:cs="Times New Roman"/>
                      <w:color w:val="auto"/>
                      <w:lang w:eastAsia="zh-CN"/>
                    </w:rPr>
                  </w:pPr>
                  <w:r>
                    <w:rPr>
                      <w:rFonts w:hint="default" w:ascii="Times New Roman" w:hAnsi="Times New Roman" w:cs="Times New Roman"/>
                      <w:color w:val="auto"/>
                    </w:rPr>
                    <w:t>②当单独处理时，燃料燃烧费用较大</w:t>
                  </w:r>
                  <w:r>
                    <w:rPr>
                      <w:rFonts w:hint="default" w:ascii="Times New Roman" w:hAnsi="Times New Roman" w:cs="Times New Roman"/>
                      <w:color w:val="auto"/>
                      <w:lang w:eastAsia="zh-CN"/>
                    </w:rPr>
                    <w:t>。</w:t>
                  </w:r>
                </w:p>
              </w:tc>
            </w:tr>
            <w:tr w14:paraId="6CA5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1" w:type="dxa"/>
                  <w:noWrap w:val="0"/>
                  <w:vAlign w:val="center"/>
                </w:tcPr>
                <w:p w14:paraId="6AAFCEB4">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催化燃烧法</w:t>
                  </w:r>
                </w:p>
              </w:tc>
              <w:tc>
                <w:tcPr>
                  <w:tcW w:w="2298" w:type="dxa"/>
                  <w:noWrap w:val="0"/>
                  <w:vAlign w:val="center"/>
                </w:tcPr>
                <w:p w14:paraId="449C1A29">
                  <w:pPr>
                    <w:pStyle w:val="14"/>
                    <w:widowControl w:val="0"/>
                    <w:bidi w:val="0"/>
                    <w:rPr>
                      <w:rFonts w:hint="default" w:ascii="Times New Roman" w:hAnsi="Times New Roman" w:cs="Times New Roman"/>
                      <w:color w:val="auto"/>
                      <w:lang w:eastAsia="zh-CN"/>
                    </w:rPr>
                  </w:pPr>
                  <w:r>
                    <w:rPr>
                      <w:rFonts w:hint="default" w:ascii="Times New Roman" w:hAnsi="Times New Roman" w:cs="Times New Roman"/>
                      <w:color w:val="auto"/>
                    </w:rPr>
                    <w:t>在催化剂作用下，使有机废气中的碳氢化合物在温度较低条件下迅速氧化为水和二氧化碳，去除有机废气</w:t>
                  </w:r>
                  <w:r>
                    <w:rPr>
                      <w:rFonts w:hint="default" w:ascii="Times New Roman" w:hAnsi="Times New Roman" w:cs="Times New Roman"/>
                      <w:color w:val="auto"/>
                      <w:lang w:eastAsia="zh-CN"/>
                    </w:rPr>
                    <w:t>。</w:t>
                  </w:r>
                </w:p>
              </w:tc>
              <w:tc>
                <w:tcPr>
                  <w:tcW w:w="2227" w:type="dxa"/>
                  <w:noWrap w:val="0"/>
                  <w:vAlign w:val="center"/>
                </w:tcPr>
                <w:p w14:paraId="59C26E0B">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与直接燃烧法相比</w:t>
                  </w:r>
                </w:p>
                <w:p w14:paraId="16E00DFC">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①装置较小</w:t>
                  </w:r>
                </w:p>
                <w:p w14:paraId="7965EE87">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②燃料费用低</w:t>
                  </w:r>
                </w:p>
                <w:p w14:paraId="648393BD">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③NOx生成</w:t>
                  </w:r>
                  <w:r>
                    <w:rPr>
                      <w:rFonts w:hint="default" w:ascii="Times New Roman" w:hAnsi="Times New Roman" w:cs="Times New Roman"/>
                      <w:color w:val="auto"/>
                      <w:lang w:val="en-US" w:eastAsia="zh-CN"/>
                    </w:rPr>
                    <w:t>量</w:t>
                  </w:r>
                  <w:r>
                    <w:rPr>
                      <w:rFonts w:hint="default" w:ascii="Times New Roman" w:hAnsi="Times New Roman" w:cs="Times New Roman"/>
                      <w:color w:val="auto"/>
                    </w:rPr>
                    <w:t>少。</w:t>
                  </w:r>
                </w:p>
              </w:tc>
              <w:tc>
                <w:tcPr>
                  <w:tcW w:w="2204" w:type="dxa"/>
                  <w:noWrap w:val="0"/>
                  <w:vAlign w:val="center"/>
                </w:tcPr>
                <w:p w14:paraId="1F9D7154">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需要良好的预处理，催化剂中毒和表面异物附着易失效</w:t>
                  </w:r>
                  <w:r>
                    <w:rPr>
                      <w:rFonts w:hint="eastAsia" w:cs="Times New Roman"/>
                      <w:color w:val="auto"/>
                      <w:lang w:eastAsia="zh-CN"/>
                    </w:rPr>
                    <w:t>；</w:t>
                  </w:r>
                  <w:r>
                    <w:rPr>
                      <w:rFonts w:hint="default" w:ascii="Times New Roman" w:hAnsi="Times New Roman" w:cs="Times New Roman"/>
                      <w:color w:val="auto"/>
                    </w:rPr>
                    <w:t>催化剂和设备贵。</w:t>
                  </w:r>
                </w:p>
              </w:tc>
            </w:tr>
            <w:tr w14:paraId="51F8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1" w:type="dxa"/>
                  <w:noWrap w:val="0"/>
                  <w:vAlign w:val="center"/>
                </w:tcPr>
                <w:p w14:paraId="2BBA18AF">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低温等离子法</w:t>
                  </w:r>
                </w:p>
              </w:tc>
              <w:tc>
                <w:tcPr>
                  <w:tcW w:w="2298" w:type="dxa"/>
                  <w:noWrap w:val="0"/>
                  <w:vAlign w:val="center"/>
                </w:tcPr>
                <w:p w14:paraId="3022B854">
                  <w:pPr>
                    <w:pStyle w:val="14"/>
                    <w:widowControl w:val="0"/>
                    <w:bidi w:val="0"/>
                    <w:rPr>
                      <w:rFonts w:hint="default" w:ascii="Times New Roman" w:hAnsi="Times New Roman" w:cs="Times New Roman"/>
                      <w:color w:val="auto"/>
                      <w:lang w:eastAsia="zh-CN"/>
                    </w:rPr>
                  </w:pPr>
                  <w:r>
                    <w:rPr>
                      <w:rFonts w:hint="default" w:ascii="Times New Roman" w:hAnsi="Times New Roman" w:cs="Times New Roman"/>
                      <w:color w:val="auto"/>
                    </w:rPr>
                    <w:t>介质阻挡放电过程中，等离子体内部产生富含极高化学活性的粒子，如电离子、自由基和激发态分子等。废气中的污染物质与这些具有较高能量的活性基团发生反应转化为CO</w:t>
                  </w:r>
                  <w:r>
                    <w:rPr>
                      <w:rFonts w:hint="default" w:ascii="Times New Roman" w:hAnsi="Times New Roman" w:cs="Times New Roman"/>
                      <w:color w:val="auto"/>
                      <w:vertAlign w:val="subscript"/>
                    </w:rPr>
                    <w:t>2</w:t>
                  </w:r>
                  <w:r>
                    <w:rPr>
                      <w:rFonts w:hint="default" w:ascii="Times New Roman" w:hAnsi="Times New Roman" w:cs="Times New Roman"/>
                      <w:color w:val="auto"/>
                    </w:rPr>
                    <w:t>和H</w:t>
                  </w:r>
                  <w:r>
                    <w:rPr>
                      <w:rFonts w:hint="default" w:ascii="Times New Roman" w:hAnsi="Times New Roman" w:cs="Times New Roman"/>
                      <w:color w:val="auto"/>
                      <w:vertAlign w:val="subscript"/>
                    </w:rPr>
                    <w:t>2</w:t>
                  </w:r>
                  <w:r>
                    <w:rPr>
                      <w:rFonts w:hint="default" w:ascii="Times New Roman" w:hAnsi="Times New Roman" w:cs="Times New Roman"/>
                      <w:color w:val="auto"/>
                    </w:rPr>
                    <w:t>O等物质，从而达到净化废气</w:t>
                  </w:r>
                  <w:r>
                    <w:rPr>
                      <w:rFonts w:hint="default" w:ascii="Times New Roman" w:hAnsi="Times New Roman" w:cs="Times New Roman"/>
                      <w:color w:val="auto"/>
                      <w:lang w:eastAsia="zh-CN"/>
                    </w:rPr>
                    <w:t>。</w:t>
                  </w:r>
                </w:p>
              </w:tc>
              <w:tc>
                <w:tcPr>
                  <w:tcW w:w="2227" w:type="dxa"/>
                  <w:noWrap w:val="0"/>
                  <w:vAlign w:val="center"/>
                </w:tcPr>
                <w:p w14:paraId="07725231">
                  <w:pPr>
                    <w:pStyle w:val="14"/>
                    <w:widowControl w:val="0"/>
                    <w:bidi w:val="0"/>
                    <w:rPr>
                      <w:rFonts w:hint="default" w:ascii="Times New Roman" w:hAnsi="Times New Roman" w:cs="Times New Roman"/>
                      <w:color w:val="auto"/>
                      <w:lang w:eastAsia="zh-CN"/>
                    </w:rPr>
                  </w:pPr>
                  <w:r>
                    <w:rPr>
                      <w:rFonts w:hint="default" w:ascii="Times New Roman" w:hAnsi="Times New Roman" w:cs="Times New Roman"/>
                      <w:color w:val="auto"/>
                    </w:rPr>
                    <w:t>电子能量高，几乎可以和所有的恶臭气体分子作用</w:t>
                  </w:r>
                  <w:r>
                    <w:rPr>
                      <w:rFonts w:hint="eastAsia" w:cs="Times New Roman"/>
                      <w:color w:val="auto"/>
                      <w:lang w:eastAsia="zh-CN"/>
                    </w:rPr>
                    <w:t>；</w:t>
                  </w:r>
                  <w:r>
                    <w:rPr>
                      <w:rFonts w:hint="default" w:ascii="Times New Roman" w:hAnsi="Times New Roman" w:cs="Times New Roman"/>
                      <w:color w:val="auto"/>
                    </w:rPr>
                    <w:t>运行费用低</w:t>
                  </w:r>
                  <w:r>
                    <w:rPr>
                      <w:rFonts w:hint="eastAsia" w:cs="Times New Roman"/>
                      <w:color w:val="auto"/>
                      <w:lang w:eastAsia="zh-CN"/>
                    </w:rPr>
                    <w:t>；</w:t>
                  </w:r>
                  <w:r>
                    <w:rPr>
                      <w:rFonts w:hint="default" w:ascii="Times New Roman" w:hAnsi="Times New Roman" w:cs="Times New Roman"/>
                      <w:color w:val="auto"/>
                    </w:rPr>
                    <w:t>反应快</w:t>
                  </w:r>
                  <w:r>
                    <w:rPr>
                      <w:rFonts w:hint="default" w:ascii="Times New Roman" w:hAnsi="Times New Roman" w:cs="Times New Roman"/>
                      <w:color w:val="auto"/>
                      <w:lang w:eastAsia="zh-CN"/>
                    </w:rPr>
                    <w:t>，</w:t>
                  </w:r>
                  <w:r>
                    <w:rPr>
                      <w:rFonts w:hint="default" w:ascii="Times New Roman" w:hAnsi="Times New Roman" w:cs="Times New Roman"/>
                      <w:color w:val="auto"/>
                    </w:rPr>
                    <w:t>设备启动、停止十分迅速，随用随开</w:t>
                  </w:r>
                  <w:r>
                    <w:rPr>
                      <w:rFonts w:hint="default" w:ascii="Times New Roman" w:hAnsi="Times New Roman" w:cs="Times New Roman"/>
                      <w:color w:val="auto"/>
                      <w:lang w:eastAsia="zh-CN"/>
                    </w:rPr>
                    <w:t>，处理效率高，技术工艺简单。</w:t>
                  </w:r>
                </w:p>
              </w:tc>
              <w:tc>
                <w:tcPr>
                  <w:tcW w:w="2204" w:type="dxa"/>
                  <w:noWrap w:val="0"/>
                  <w:vAlign w:val="center"/>
                </w:tcPr>
                <w:p w14:paraId="38E43E5F">
                  <w:pPr>
                    <w:pStyle w:val="14"/>
                    <w:widowControl w:val="0"/>
                    <w:bidi w:val="0"/>
                    <w:rPr>
                      <w:rFonts w:hint="default" w:ascii="Times New Roman" w:hAnsi="Times New Roman" w:cs="Times New Roman"/>
                      <w:color w:val="auto"/>
                      <w:lang w:eastAsia="zh-CN"/>
                    </w:rPr>
                  </w:pPr>
                  <w:r>
                    <w:rPr>
                      <w:rFonts w:hint="default" w:ascii="Times New Roman" w:hAnsi="Times New Roman" w:cs="Times New Roman"/>
                      <w:color w:val="auto"/>
                    </w:rPr>
                    <w:t>易燃易爆气体容易发生爆炸火灾等事故，电离与氮气</w:t>
                  </w:r>
                  <w:r>
                    <w:rPr>
                      <w:rFonts w:hint="default" w:ascii="Times New Roman" w:hAnsi="Times New Roman" w:cs="Times New Roman"/>
                      <w:color w:val="auto"/>
                      <w:lang w:eastAsia="zh-CN"/>
                    </w:rPr>
                    <w:t>产生</w:t>
                  </w:r>
                  <w:r>
                    <w:rPr>
                      <w:rFonts w:hint="default" w:ascii="Times New Roman" w:hAnsi="Times New Roman" w:cs="Times New Roman"/>
                      <w:color w:val="auto"/>
                    </w:rPr>
                    <w:t>大量的氮氧化物，造成二次污染</w:t>
                  </w:r>
                  <w:r>
                    <w:rPr>
                      <w:rFonts w:hint="default" w:ascii="Times New Roman" w:hAnsi="Times New Roman" w:cs="Times New Roman"/>
                      <w:color w:val="auto"/>
                      <w:lang w:eastAsia="zh-CN"/>
                    </w:rPr>
                    <w:t>。</w:t>
                  </w:r>
                </w:p>
              </w:tc>
            </w:tr>
            <w:tr w14:paraId="2455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1" w:type="dxa"/>
                  <w:noWrap w:val="0"/>
                  <w:vAlign w:val="center"/>
                </w:tcPr>
                <w:p w14:paraId="488679C8">
                  <w:pPr>
                    <w:pStyle w:val="14"/>
                    <w:widowControl w:val="0"/>
                    <w:bidi w:val="0"/>
                    <w:rPr>
                      <w:rFonts w:hint="default" w:ascii="Times New Roman" w:hAnsi="Times New Roman" w:cs="Times New Roman"/>
                      <w:color w:val="auto"/>
                      <w:lang w:eastAsia="zh-CN"/>
                    </w:rPr>
                  </w:pPr>
                  <w:r>
                    <w:rPr>
                      <w:rFonts w:hint="default" w:ascii="Times New Roman" w:hAnsi="Times New Roman" w:cs="Times New Roman"/>
                      <w:color w:val="auto"/>
                    </w:rPr>
                    <w:t>UV光解</w:t>
                  </w:r>
                  <w:r>
                    <w:rPr>
                      <w:rFonts w:hint="default" w:ascii="Times New Roman" w:hAnsi="Times New Roman" w:cs="Times New Roman"/>
                      <w:color w:val="auto"/>
                      <w:lang w:eastAsia="zh-CN"/>
                    </w:rPr>
                    <w:t>法</w:t>
                  </w:r>
                </w:p>
              </w:tc>
              <w:tc>
                <w:tcPr>
                  <w:tcW w:w="2298" w:type="dxa"/>
                  <w:noWrap w:val="0"/>
                  <w:vAlign w:val="center"/>
                </w:tcPr>
                <w:p w14:paraId="54486CA2">
                  <w:pPr>
                    <w:pStyle w:val="14"/>
                    <w:widowControl w:val="0"/>
                    <w:bidi w:val="0"/>
                    <w:rPr>
                      <w:rFonts w:hint="default" w:ascii="Times New Roman" w:hAnsi="Times New Roman" w:cs="Times New Roman"/>
                      <w:color w:val="auto"/>
                      <w:lang w:eastAsia="zh-CN"/>
                    </w:rPr>
                  </w:pPr>
                  <w:r>
                    <w:rPr>
                      <w:rFonts w:hint="default" w:ascii="Times New Roman" w:hAnsi="Times New Roman" w:cs="Times New Roman"/>
                      <w:color w:val="auto"/>
                    </w:rPr>
                    <w:t>恶臭气体利用排风设备输入到本净化设备后，净化设备运用高能UV紫外线光束及臭氧对恶臭气体进行协同分解氧化反应，使恶臭气体物质其降解转化成低分子化合物、水和二氧化碳，再通过排风管道排出室外</w:t>
                  </w:r>
                  <w:r>
                    <w:rPr>
                      <w:rFonts w:hint="default" w:ascii="Times New Roman" w:hAnsi="Times New Roman" w:cs="Times New Roman"/>
                      <w:color w:val="auto"/>
                      <w:lang w:eastAsia="zh-CN"/>
                    </w:rPr>
                    <w:t>。</w:t>
                  </w:r>
                </w:p>
              </w:tc>
              <w:tc>
                <w:tcPr>
                  <w:tcW w:w="2227" w:type="dxa"/>
                  <w:noWrap w:val="0"/>
                  <w:vAlign w:val="center"/>
                </w:tcPr>
                <w:p w14:paraId="3493EF4C">
                  <w:pPr>
                    <w:pStyle w:val="14"/>
                    <w:widowControl w:val="0"/>
                    <w:bidi w:val="0"/>
                    <w:rPr>
                      <w:rFonts w:hint="default" w:ascii="Times New Roman" w:hAnsi="Times New Roman" w:cs="Times New Roman"/>
                      <w:color w:val="auto"/>
                      <w:lang w:eastAsia="zh-CN"/>
                    </w:rPr>
                  </w:pPr>
                  <w:r>
                    <w:rPr>
                      <w:rFonts w:hint="default" w:ascii="Times New Roman" w:hAnsi="Times New Roman" w:cs="Times New Roman"/>
                      <w:color w:val="auto"/>
                    </w:rPr>
                    <w:t>UV光解设备内部组成主要由紫外灯管、活性炭纤维过滤层组成。成本低廉，运行稳定可靠，无需专人看护</w:t>
                  </w:r>
                  <w:r>
                    <w:rPr>
                      <w:rFonts w:hint="default" w:ascii="Times New Roman" w:hAnsi="Times New Roman" w:cs="Times New Roman"/>
                      <w:color w:val="auto"/>
                      <w:lang w:eastAsia="zh-CN"/>
                    </w:rPr>
                    <w:t>，一次性投资略低，能耗低。</w:t>
                  </w:r>
                </w:p>
              </w:tc>
              <w:tc>
                <w:tcPr>
                  <w:tcW w:w="2204" w:type="dxa"/>
                  <w:noWrap w:val="0"/>
                  <w:vAlign w:val="center"/>
                </w:tcPr>
                <w:p w14:paraId="00FFF14A">
                  <w:pPr>
                    <w:pStyle w:val="14"/>
                    <w:widowControl w:val="0"/>
                    <w:bidi w:val="0"/>
                    <w:rPr>
                      <w:rFonts w:hint="default" w:ascii="Times New Roman" w:hAnsi="Times New Roman" w:cs="Times New Roman"/>
                      <w:color w:val="auto"/>
                      <w:lang w:eastAsia="zh-CN"/>
                    </w:rPr>
                  </w:pPr>
                  <w:r>
                    <w:rPr>
                      <w:rFonts w:hint="default" w:ascii="Times New Roman" w:hAnsi="Times New Roman" w:cs="Times New Roman"/>
                      <w:color w:val="auto"/>
                    </w:rPr>
                    <w:t>在废气处理的速度上较慢，相比低温等离子技术效率偏低</w:t>
                  </w:r>
                  <w:r>
                    <w:rPr>
                      <w:rFonts w:hint="default" w:ascii="Times New Roman" w:hAnsi="Times New Roman" w:cs="Times New Roman"/>
                      <w:color w:val="auto"/>
                      <w:lang w:eastAsia="zh-CN"/>
                    </w:rPr>
                    <w:t>。</w:t>
                  </w:r>
                </w:p>
              </w:tc>
            </w:tr>
          </w:tbl>
          <w:p w14:paraId="0A65B034">
            <w:pPr>
              <w:bidi w:val="0"/>
              <w:rPr>
                <w:rFonts w:hint="default" w:ascii="Times New Roman" w:hAnsi="Times New Roman" w:cs="Times New Roman"/>
                <w:color w:val="auto"/>
                <w:lang w:val="en-US"/>
              </w:rPr>
            </w:pPr>
            <w:r>
              <w:rPr>
                <w:rFonts w:hint="default" w:ascii="Times New Roman" w:hAnsi="Times New Roman" w:cs="Times New Roman"/>
                <w:color w:val="auto"/>
              </w:rPr>
              <w:t>通过综合上述对比</w:t>
            </w:r>
            <w:r>
              <w:rPr>
                <w:rFonts w:hint="default" w:ascii="Times New Roman" w:hAnsi="Times New Roman" w:cs="Times New Roman"/>
                <w:color w:val="auto"/>
                <w:lang w:eastAsia="zh-CN"/>
              </w:rPr>
              <w:t>，</w:t>
            </w:r>
            <w:r>
              <w:rPr>
                <w:rFonts w:hint="default" w:ascii="Times New Roman" w:hAnsi="Times New Roman" w:cs="Times New Roman"/>
                <w:color w:val="auto"/>
              </w:rPr>
              <w:t>本项目</w:t>
            </w:r>
            <w:r>
              <w:rPr>
                <w:rFonts w:hint="eastAsia" w:cs="Times New Roman"/>
                <w:color w:val="auto"/>
                <w:lang w:val="en-US" w:eastAsia="zh-CN"/>
              </w:rPr>
              <w:t>喷漆</w:t>
            </w:r>
            <w:r>
              <w:rPr>
                <w:rFonts w:hint="default" w:ascii="Times New Roman" w:hAnsi="Times New Roman" w:cs="Times New Roman"/>
                <w:color w:val="auto"/>
                <w:lang w:eastAsia="zh-CN"/>
              </w:rPr>
              <w:t>产生</w:t>
            </w:r>
            <w:r>
              <w:rPr>
                <w:rFonts w:hint="default" w:ascii="Times New Roman" w:hAnsi="Times New Roman" w:cs="Times New Roman"/>
                <w:color w:val="auto"/>
                <w:lang w:val="en-US" w:eastAsia="zh-CN"/>
              </w:rPr>
              <w:t>挥发性有机物浓度较低，且含有漆雾</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本次评价推荐</w:t>
            </w:r>
            <w:r>
              <w:rPr>
                <w:rFonts w:hint="default" w:ascii="Times New Roman" w:hAnsi="Times New Roman" w:cs="Times New Roman"/>
                <w:color w:val="auto"/>
              </w:rPr>
              <w:t>采用</w:t>
            </w:r>
            <w:r>
              <w:rPr>
                <w:rFonts w:hint="eastAsia" w:cs="Times New Roman"/>
                <w:color w:val="auto"/>
                <w:lang w:eastAsia="zh-CN"/>
              </w:rPr>
              <w:t>“</w:t>
            </w:r>
            <w:r>
              <w:rPr>
                <w:rFonts w:hint="default"/>
                <w:color w:val="auto"/>
                <w:lang w:eastAsia="zh-CN"/>
              </w:rPr>
              <w:t>水帘喷雾湿式系统+活性炭吸附系统</w:t>
            </w:r>
            <w:r>
              <w:rPr>
                <w:rFonts w:hint="eastAsia"/>
                <w:color w:val="auto"/>
                <w:lang w:eastAsia="zh-CN"/>
              </w:rPr>
              <w:t>”</w:t>
            </w:r>
            <w:r>
              <w:rPr>
                <w:rFonts w:hint="default"/>
                <w:color w:val="auto"/>
                <w:lang w:eastAsia="zh-CN"/>
              </w:rPr>
              <w:t>装置进行处置。</w:t>
            </w:r>
            <w:r>
              <w:rPr>
                <w:rFonts w:hint="default"/>
                <w:color w:val="auto"/>
                <w:lang w:val="en-US" w:eastAsia="zh-CN"/>
              </w:rPr>
              <w:t>水帘能有</w:t>
            </w:r>
            <w:r>
              <w:rPr>
                <w:rFonts w:hint="eastAsia"/>
                <w:color w:val="auto"/>
                <w:lang w:val="en-US" w:eastAsia="zh-CN"/>
              </w:rPr>
              <w:t>效地</w:t>
            </w:r>
            <w:r>
              <w:rPr>
                <w:rFonts w:hint="default"/>
                <w:color w:val="auto"/>
                <w:lang w:val="en-US" w:eastAsia="zh-CN"/>
              </w:rPr>
              <w:t>去除废气中的漆雾、粉尘等杂质，项目属于低温度</w:t>
            </w:r>
            <w:r>
              <w:rPr>
                <w:rFonts w:hint="eastAsia"/>
                <w:color w:val="auto"/>
                <w:lang w:val="en-US" w:eastAsia="zh-CN"/>
              </w:rPr>
              <w:t>低浓度</w:t>
            </w:r>
            <w:r>
              <w:rPr>
                <w:rFonts w:hint="default"/>
                <w:color w:val="auto"/>
                <w:lang w:val="en-US" w:eastAsia="zh-CN"/>
              </w:rPr>
              <w:t>废气满足活性炭吸附法。该处理装置处理效果能满足环保要求，成本较低，且属于《排污许可证申请核发技术规范》中的可行技术，因此，项目废气采用</w:t>
            </w:r>
            <w:r>
              <w:rPr>
                <w:rFonts w:hint="default"/>
                <w:color w:val="auto"/>
                <w:lang w:eastAsia="zh-CN"/>
              </w:rPr>
              <w:t>“水帘喷雾湿式系统+活性炭吸附系统</w:t>
            </w:r>
            <w:r>
              <w:rPr>
                <w:rFonts w:hint="eastAsia"/>
                <w:color w:val="auto"/>
                <w:lang w:eastAsia="zh-CN"/>
              </w:rPr>
              <w:t>”</w:t>
            </w:r>
            <w:r>
              <w:rPr>
                <w:rFonts w:hint="default"/>
                <w:color w:val="auto"/>
                <w:lang w:eastAsia="zh-CN"/>
              </w:rPr>
              <w:t>装置</w:t>
            </w:r>
            <w:r>
              <w:rPr>
                <w:rFonts w:hint="default"/>
                <w:color w:val="auto"/>
                <w:lang w:val="en-US" w:eastAsia="zh-CN"/>
              </w:rPr>
              <w:t>是合理可行的</w:t>
            </w:r>
            <w:r>
              <w:rPr>
                <w:rFonts w:hint="default" w:ascii="Times New Roman" w:hAnsi="Times New Roman" w:cs="Times New Roman"/>
                <w:color w:val="auto"/>
                <w:lang w:val="en-US" w:eastAsia="zh-CN"/>
              </w:rPr>
              <w:t>。</w:t>
            </w:r>
          </w:p>
          <w:p w14:paraId="732A82A5">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项目喷漆产生的废气治理系统与</w:t>
            </w:r>
            <w:r>
              <w:rPr>
                <w:rFonts w:hint="default" w:ascii="Times New Roman" w:hAnsi="Times New Roman" w:cs="Times New Roman"/>
                <w:color w:val="auto"/>
              </w:rPr>
              <w:t>《排污许可证申请与核发技术规范--家具制造工业》</w:t>
            </w:r>
            <w:r>
              <w:rPr>
                <w:rFonts w:hint="default" w:ascii="Times New Roman" w:hAnsi="Times New Roman" w:cs="Times New Roman"/>
                <w:color w:val="auto"/>
                <w:lang w:eastAsia="zh-CN"/>
              </w:rPr>
              <w:t>（</w:t>
            </w:r>
            <w:r>
              <w:rPr>
                <w:rFonts w:hint="default" w:ascii="Times New Roman" w:hAnsi="Times New Roman" w:cs="Times New Roman"/>
                <w:color w:val="auto"/>
              </w:rPr>
              <w:t>HJ1027-2019）</w:t>
            </w:r>
            <w:r>
              <w:rPr>
                <w:rFonts w:hint="eastAsia" w:cs="Times New Roman"/>
                <w:color w:val="auto"/>
                <w:lang w:eastAsia="zh-CN"/>
              </w:rPr>
              <w:t>“</w:t>
            </w:r>
            <w:r>
              <w:rPr>
                <w:rFonts w:hint="default" w:ascii="Times New Roman" w:hAnsi="Times New Roman" w:cs="Times New Roman"/>
                <w:color w:val="auto"/>
                <w:lang w:eastAsia="zh-CN"/>
              </w:rPr>
              <w:t>推荐的家具制造工业废气治理可行技术参照表</w:t>
            </w:r>
            <w:r>
              <w:rPr>
                <w:rFonts w:hint="default" w:ascii="Times New Roman" w:hAnsi="Times New Roman" w:cs="Times New Roman"/>
                <w:color w:val="auto"/>
                <w:lang w:val="en-US" w:eastAsia="zh-CN"/>
              </w:rPr>
              <w:t>--表6废气治理可行技术参照表</w:t>
            </w:r>
            <w:r>
              <w:rPr>
                <w:rFonts w:hint="eastAsia" w:cs="Times New Roman"/>
                <w:color w:val="auto"/>
                <w:lang w:val="en-US" w:eastAsia="zh-CN"/>
              </w:rPr>
              <w:t>”</w:t>
            </w:r>
            <w:r>
              <w:rPr>
                <w:rFonts w:hint="default" w:ascii="Times New Roman" w:hAnsi="Times New Roman" w:cs="Times New Roman"/>
                <w:color w:val="auto"/>
                <w:lang w:val="en-US" w:eastAsia="zh-CN"/>
              </w:rPr>
              <w:t>对比情况如下：</w:t>
            </w:r>
          </w:p>
          <w:p w14:paraId="20E01BAF">
            <w:pPr>
              <w:bidi w:val="0"/>
              <w:ind w:left="0" w:leftChars="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表4-</w:t>
            </w:r>
            <w:r>
              <w:rPr>
                <w:rFonts w:hint="eastAsia" w:ascii="Times New Roman" w:hAnsi="Times New Roman" w:cs="Times New Roman"/>
                <w:b/>
                <w:bCs/>
                <w:color w:val="auto"/>
                <w:lang w:val="en-US" w:eastAsia="zh-CN"/>
              </w:rPr>
              <w:t>6</w:t>
            </w:r>
            <w:r>
              <w:rPr>
                <w:rFonts w:hint="default" w:ascii="Times New Roman" w:hAnsi="Times New Roman" w:cs="Times New Roman"/>
                <w:b/>
                <w:bCs/>
                <w:color w:val="auto"/>
                <w:lang w:val="en-US" w:eastAsia="zh-CN"/>
              </w:rPr>
              <w:t xml:space="preserve">  项目喷漆废气治理措施与（HJ1027-2019）推荐的可行技术对比情况一览表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740"/>
              <w:gridCol w:w="1200"/>
              <w:gridCol w:w="1500"/>
              <w:gridCol w:w="1430"/>
              <w:gridCol w:w="1604"/>
            </w:tblGrid>
            <w:tr w14:paraId="4E7D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6" w:type="dxa"/>
                  <w:gridSpan w:val="4"/>
                  <w:vAlign w:val="center"/>
                </w:tcPr>
                <w:p w14:paraId="0D436B19">
                  <w:pPr>
                    <w:pStyle w:val="14"/>
                    <w:widowControl w:val="0"/>
                    <w:bidi w:val="0"/>
                    <w:rPr>
                      <w:rFonts w:hint="default" w:ascii="Times New Roman" w:hAnsi="Times New Roman" w:cs="Times New Roman"/>
                      <w:b/>
                      <w:bCs/>
                      <w:color w:val="auto"/>
                      <w:lang w:val="en-US"/>
                    </w:rPr>
                  </w:pPr>
                  <w:r>
                    <w:rPr>
                      <w:rFonts w:hint="default" w:ascii="Times New Roman" w:hAnsi="Times New Roman" w:cs="Times New Roman"/>
                      <w:b/>
                      <w:bCs/>
                      <w:color w:val="auto"/>
                      <w:lang w:val="en-US" w:eastAsia="zh-CN"/>
                    </w:rPr>
                    <w:t>（HJ1027-2019）</w:t>
                  </w:r>
                </w:p>
              </w:tc>
              <w:tc>
                <w:tcPr>
                  <w:tcW w:w="1430" w:type="dxa"/>
                  <w:vMerge w:val="restart"/>
                  <w:vAlign w:val="center"/>
                </w:tcPr>
                <w:p w14:paraId="4AA8135F">
                  <w:pPr>
                    <w:pStyle w:val="14"/>
                    <w:widowControl w:val="0"/>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本项目情况</w:t>
                  </w:r>
                </w:p>
              </w:tc>
              <w:tc>
                <w:tcPr>
                  <w:tcW w:w="1604" w:type="dxa"/>
                  <w:vMerge w:val="restart"/>
                  <w:vAlign w:val="center"/>
                </w:tcPr>
                <w:p w14:paraId="5F552AF2">
                  <w:pPr>
                    <w:pStyle w:val="14"/>
                    <w:widowControl w:val="0"/>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符合性分析</w:t>
                  </w:r>
                </w:p>
              </w:tc>
            </w:tr>
            <w:tr w14:paraId="5BBE4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6" w:type="dxa"/>
                  <w:vAlign w:val="center"/>
                </w:tcPr>
                <w:p w14:paraId="4C4EE116">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环节</w:t>
                  </w:r>
                </w:p>
              </w:tc>
              <w:tc>
                <w:tcPr>
                  <w:tcW w:w="740" w:type="dxa"/>
                  <w:vAlign w:val="center"/>
                </w:tcPr>
                <w:p w14:paraId="2991C677">
                  <w:pPr>
                    <w:pStyle w:val="14"/>
                    <w:widowControl w:val="0"/>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废气来源</w:t>
                  </w:r>
                </w:p>
              </w:tc>
              <w:tc>
                <w:tcPr>
                  <w:tcW w:w="1200" w:type="dxa"/>
                  <w:vAlign w:val="center"/>
                </w:tcPr>
                <w:p w14:paraId="6332DFC4">
                  <w:pPr>
                    <w:pStyle w:val="14"/>
                    <w:widowControl w:val="0"/>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污染物</w:t>
                  </w:r>
                </w:p>
              </w:tc>
              <w:tc>
                <w:tcPr>
                  <w:tcW w:w="1500" w:type="dxa"/>
                  <w:vAlign w:val="center"/>
                </w:tcPr>
                <w:p w14:paraId="0868DFF2">
                  <w:pPr>
                    <w:pStyle w:val="14"/>
                    <w:widowControl w:val="0"/>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可行技术</w:t>
                  </w:r>
                </w:p>
              </w:tc>
              <w:tc>
                <w:tcPr>
                  <w:tcW w:w="1430" w:type="dxa"/>
                  <w:vMerge w:val="continue"/>
                  <w:vAlign w:val="center"/>
                </w:tcPr>
                <w:p w14:paraId="13D07230">
                  <w:pPr>
                    <w:pStyle w:val="14"/>
                    <w:widowControl w:val="0"/>
                    <w:bidi w:val="0"/>
                    <w:rPr>
                      <w:rFonts w:hint="default" w:ascii="Times New Roman" w:hAnsi="Times New Roman" w:cs="Times New Roman"/>
                      <w:color w:val="auto"/>
                    </w:rPr>
                  </w:pPr>
                </w:p>
              </w:tc>
              <w:tc>
                <w:tcPr>
                  <w:tcW w:w="1604" w:type="dxa"/>
                  <w:vMerge w:val="continue"/>
                  <w:vAlign w:val="center"/>
                </w:tcPr>
                <w:p w14:paraId="4AA7FD7E">
                  <w:pPr>
                    <w:pStyle w:val="14"/>
                    <w:widowControl w:val="0"/>
                    <w:bidi w:val="0"/>
                    <w:rPr>
                      <w:rFonts w:hint="default" w:ascii="Times New Roman" w:hAnsi="Times New Roman" w:cs="Times New Roman"/>
                      <w:color w:val="auto"/>
                    </w:rPr>
                  </w:pPr>
                </w:p>
              </w:tc>
            </w:tr>
            <w:tr w14:paraId="77EC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6" w:type="dxa"/>
                  <w:vAlign w:val="center"/>
                </w:tcPr>
                <w:p w14:paraId="7F3ED74C">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源头工艺过程控制</w:t>
                  </w:r>
                </w:p>
              </w:tc>
              <w:tc>
                <w:tcPr>
                  <w:tcW w:w="3440" w:type="dxa"/>
                  <w:gridSpan w:val="3"/>
                  <w:vAlign w:val="center"/>
                </w:tcPr>
                <w:p w14:paraId="06683099">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涂装、流平及干燥环节均应在符合安全生产相关规定的前提下，采用密闭生产车间或生产线、安装废气收集设施并导入废气治理设施或排放管路</w:t>
                  </w:r>
                  <w:r>
                    <w:rPr>
                      <w:rFonts w:hint="eastAsia" w:cs="Times New Roman"/>
                      <w:color w:val="auto"/>
                      <w:lang w:val="en-US" w:eastAsia="zh-CN"/>
                    </w:rPr>
                    <w:t>；</w:t>
                  </w:r>
                </w:p>
              </w:tc>
              <w:tc>
                <w:tcPr>
                  <w:tcW w:w="1430" w:type="dxa"/>
                  <w:vMerge w:val="restart"/>
                  <w:vAlign w:val="center"/>
                </w:tcPr>
                <w:p w14:paraId="0C5E2461">
                  <w:pPr>
                    <w:pStyle w:val="14"/>
                    <w:widowControl w:val="0"/>
                    <w:bidi w:val="0"/>
                    <w:rPr>
                      <w:rFonts w:hint="default" w:ascii="Times New Roman" w:hAnsi="Times New Roman" w:eastAsia="宋体" w:cs="Times New Roman"/>
                      <w:color w:val="auto"/>
                      <w:lang w:val="en-US" w:eastAsia="zh-CN"/>
                    </w:rPr>
                  </w:pPr>
                  <w:r>
                    <w:rPr>
                      <w:rFonts w:hint="eastAsia" w:cs="Times New Roman"/>
                      <w:color w:val="auto"/>
                      <w:lang w:val="en-US" w:eastAsia="zh-CN"/>
                    </w:rPr>
                    <w:t>喷漆房密封设置</w:t>
                  </w:r>
                  <w:r>
                    <w:rPr>
                      <w:rFonts w:hint="default" w:ascii="Times New Roman" w:hAnsi="Times New Roman" w:cs="Times New Roman"/>
                      <w:color w:val="auto"/>
                      <w:lang w:val="en-US" w:eastAsia="zh-CN"/>
                    </w:rPr>
                    <w:t>，密封区域经过负压抽风收集废气，废气通过一套</w:t>
                  </w:r>
                  <w:r>
                    <w:rPr>
                      <w:rFonts w:hint="eastAsia" w:cs="Times New Roman"/>
                      <w:color w:val="auto"/>
                      <w:lang w:val="en-US" w:eastAsia="zh-CN"/>
                    </w:rPr>
                    <w:t>水帘+活性炭吸附系统</w:t>
                  </w:r>
                  <w:r>
                    <w:rPr>
                      <w:rFonts w:hint="default" w:ascii="Times New Roman" w:hAnsi="Times New Roman" w:cs="Times New Roman"/>
                      <w:color w:val="auto"/>
                      <w:lang w:val="en-US" w:eastAsia="zh-CN"/>
                    </w:rPr>
                    <w:t>处理后排放经一根2</w:t>
                  </w:r>
                  <w:r>
                    <w:rPr>
                      <w:rFonts w:hint="eastAsia" w:cs="Times New Roman"/>
                      <w:color w:val="auto"/>
                      <w:lang w:val="en-US" w:eastAsia="zh-CN"/>
                    </w:rPr>
                    <w:t>5</w:t>
                  </w:r>
                  <w:r>
                    <w:rPr>
                      <w:rFonts w:hint="default" w:ascii="Times New Roman" w:hAnsi="Times New Roman" w:cs="Times New Roman"/>
                      <w:color w:val="auto"/>
                      <w:lang w:val="en-US" w:eastAsia="zh-CN"/>
                    </w:rPr>
                    <w:t>m高DA001排气筒排放</w:t>
                  </w:r>
                </w:p>
              </w:tc>
              <w:tc>
                <w:tcPr>
                  <w:tcW w:w="1604" w:type="dxa"/>
                  <w:vAlign w:val="center"/>
                </w:tcPr>
                <w:p w14:paraId="4DB5EDCF">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50A4C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6" w:type="dxa"/>
                  <w:vMerge w:val="restart"/>
                  <w:vAlign w:val="center"/>
                </w:tcPr>
                <w:p w14:paraId="5C34985E">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污染末端治理可行技术</w:t>
                  </w:r>
                </w:p>
              </w:tc>
              <w:tc>
                <w:tcPr>
                  <w:tcW w:w="740" w:type="dxa"/>
                  <w:vMerge w:val="restart"/>
                  <w:vAlign w:val="center"/>
                </w:tcPr>
                <w:p w14:paraId="2C6DDCE9">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涂装废气</w:t>
                  </w:r>
                </w:p>
              </w:tc>
              <w:tc>
                <w:tcPr>
                  <w:tcW w:w="1200" w:type="dxa"/>
                  <w:vAlign w:val="center"/>
                </w:tcPr>
                <w:p w14:paraId="0E1F736B">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颗粒物</w:t>
                  </w:r>
                </w:p>
              </w:tc>
              <w:tc>
                <w:tcPr>
                  <w:tcW w:w="1500" w:type="dxa"/>
                  <w:vAlign w:val="center"/>
                </w:tcPr>
                <w:p w14:paraId="43E32185">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水帘过滤</w:t>
                  </w:r>
                </w:p>
                <w:p w14:paraId="48F29E53">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干式过滤棉/过滤器</w:t>
                  </w:r>
                </w:p>
                <w:p w14:paraId="3CF7F8F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旋风除尘</w:t>
                  </w:r>
                </w:p>
              </w:tc>
              <w:tc>
                <w:tcPr>
                  <w:tcW w:w="1430" w:type="dxa"/>
                  <w:vMerge w:val="continue"/>
                  <w:vAlign w:val="center"/>
                </w:tcPr>
                <w:p w14:paraId="393A6F45">
                  <w:pPr>
                    <w:pStyle w:val="14"/>
                    <w:widowControl w:val="0"/>
                    <w:bidi w:val="0"/>
                    <w:rPr>
                      <w:rFonts w:hint="default" w:ascii="Times New Roman" w:hAnsi="Times New Roman" w:cs="Times New Roman"/>
                      <w:color w:val="auto"/>
                    </w:rPr>
                  </w:pPr>
                </w:p>
              </w:tc>
              <w:tc>
                <w:tcPr>
                  <w:tcW w:w="1604" w:type="dxa"/>
                  <w:vAlign w:val="center"/>
                </w:tcPr>
                <w:p w14:paraId="2D08228F">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r w14:paraId="04D5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6" w:type="dxa"/>
                  <w:vMerge w:val="continue"/>
                  <w:vAlign w:val="center"/>
                </w:tcPr>
                <w:p w14:paraId="71740E28">
                  <w:pPr>
                    <w:pStyle w:val="14"/>
                    <w:widowControl w:val="0"/>
                    <w:bidi w:val="0"/>
                    <w:rPr>
                      <w:rFonts w:hint="default" w:ascii="Times New Roman" w:hAnsi="Times New Roman" w:cs="Times New Roman"/>
                      <w:color w:val="auto"/>
                      <w:lang w:val="en-US" w:eastAsia="zh-CN"/>
                    </w:rPr>
                  </w:pPr>
                </w:p>
              </w:tc>
              <w:tc>
                <w:tcPr>
                  <w:tcW w:w="740" w:type="dxa"/>
                  <w:vMerge w:val="continue"/>
                  <w:vAlign w:val="center"/>
                </w:tcPr>
                <w:p w14:paraId="6A0929FE">
                  <w:pPr>
                    <w:pStyle w:val="14"/>
                    <w:widowControl w:val="0"/>
                    <w:bidi w:val="0"/>
                    <w:rPr>
                      <w:rFonts w:hint="default" w:ascii="Times New Roman" w:hAnsi="Times New Roman" w:cs="Times New Roman"/>
                      <w:color w:val="auto"/>
                      <w:lang w:val="en-US" w:eastAsia="zh-CN"/>
                    </w:rPr>
                  </w:pPr>
                </w:p>
              </w:tc>
              <w:tc>
                <w:tcPr>
                  <w:tcW w:w="1200" w:type="dxa"/>
                  <w:vAlign w:val="center"/>
                </w:tcPr>
                <w:p w14:paraId="6554841C">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挥发性有机物、二甲苯</w:t>
                  </w:r>
                </w:p>
              </w:tc>
              <w:tc>
                <w:tcPr>
                  <w:tcW w:w="1500" w:type="dxa"/>
                  <w:vAlign w:val="center"/>
                </w:tcPr>
                <w:p w14:paraId="5B73C090">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浓缩+燃烧/催化氧化</w:t>
                  </w:r>
                </w:p>
              </w:tc>
              <w:tc>
                <w:tcPr>
                  <w:tcW w:w="1430" w:type="dxa"/>
                  <w:vMerge w:val="continue"/>
                  <w:vAlign w:val="center"/>
                </w:tcPr>
                <w:p w14:paraId="02420CC5">
                  <w:pPr>
                    <w:pStyle w:val="14"/>
                    <w:widowControl w:val="0"/>
                    <w:bidi w:val="0"/>
                    <w:rPr>
                      <w:rFonts w:hint="default" w:ascii="Times New Roman" w:hAnsi="Times New Roman" w:cs="Times New Roman"/>
                      <w:color w:val="auto"/>
                    </w:rPr>
                  </w:pPr>
                </w:p>
              </w:tc>
              <w:tc>
                <w:tcPr>
                  <w:tcW w:w="1604" w:type="dxa"/>
                  <w:vAlign w:val="center"/>
                </w:tcPr>
                <w:p w14:paraId="354A3214">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非表列推荐技术，但根据核算，污染物可达到相关排放标准要求</w:t>
                  </w:r>
                </w:p>
              </w:tc>
            </w:tr>
          </w:tbl>
          <w:p w14:paraId="20ADFAF0">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综上，项目喷漆废气治理措施可行。</w:t>
            </w:r>
          </w:p>
          <w:p w14:paraId="60AEF865">
            <w:pPr>
              <w:bidi w:val="0"/>
              <w:rPr>
                <w:rFonts w:hint="default" w:ascii="Times New Roman" w:hAnsi="Times New Roman" w:cs="Times New Roman"/>
                <w:b/>
                <w:bCs/>
                <w:color w:val="auto"/>
                <w:lang w:val="en-US" w:eastAsia="zh-CN"/>
              </w:rPr>
            </w:pPr>
            <w:r>
              <w:rPr>
                <w:rFonts w:hint="eastAsia" w:cs="Times New Roman"/>
                <w:b/>
                <w:bCs/>
                <w:color w:val="auto"/>
                <w:lang w:val="en-US" w:eastAsia="zh-CN"/>
              </w:rPr>
              <w:t>2）排气筒高度设置合理性分析</w:t>
            </w:r>
          </w:p>
          <w:p w14:paraId="03CA2AF3">
            <w:pPr>
              <w:bidi w:val="0"/>
              <w:rPr>
                <w:rFonts w:hint="default" w:ascii="Times New Roman" w:hAnsi="Times New Roman" w:cs="Times New Roman"/>
                <w:color w:val="auto"/>
                <w:lang w:val="en-US" w:eastAsia="zh-CN"/>
              </w:rPr>
            </w:pPr>
            <w:r>
              <w:rPr>
                <w:rFonts w:hint="eastAsia" w:cs="Times New Roman"/>
                <w:color w:val="auto"/>
                <w:lang w:val="en-US" w:eastAsia="zh-CN"/>
              </w:rPr>
              <w:t>喷漆房</w:t>
            </w:r>
            <w:r>
              <w:rPr>
                <w:rFonts w:hint="default" w:ascii="Times New Roman" w:hAnsi="Times New Roman" w:cs="Times New Roman"/>
                <w:color w:val="auto"/>
                <w:lang w:val="en-US" w:eastAsia="zh-CN"/>
              </w:rPr>
              <w:t>废气通过一套</w:t>
            </w:r>
            <w:r>
              <w:rPr>
                <w:rFonts w:hint="eastAsia" w:cs="Times New Roman"/>
                <w:color w:val="auto"/>
                <w:lang w:val="en-US" w:eastAsia="zh-CN"/>
              </w:rPr>
              <w:t>水帘+活性炭吸附系统</w:t>
            </w:r>
            <w:r>
              <w:rPr>
                <w:rFonts w:hint="default" w:ascii="Times New Roman" w:hAnsi="Times New Roman" w:cs="Times New Roman"/>
                <w:color w:val="auto"/>
                <w:lang w:val="en-US" w:eastAsia="zh-CN"/>
              </w:rPr>
              <w:t>处理后排放经一根2</w:t>
            </w:r>
            <w:r>
              <w:rPr>
                <w:rFonts w:hint="eastAsia" w:cs="Times New Roman"/>
                <w:color w:val="auto"/>
                <w:lang w:val="en-US" w:eastAsia="zh-CN"/>
              </w:rPr>
              <w:t>5</w:t>
            </w:r>
            <w:r>
              <w:rPr>
                <w:rFonts w:hint="default" w:ascii="Times New Roman" w:hAnsi="Times New Roman" w:cs="Times New Roman"/>
                <w:color w:val="auto"/>
                <w:lang w:val="en-US" w:eastAsia="zh-CN"/>
              </w:rPr>
              <w:t>m高DA001排气筒排放</w:t>
            </w:r>
            <w:r>
              <w:rPr>
                <w:rFonts w:hint="eastAsia" w:ascii="Times New Roman" w:hAnsi="Times New Roman" w:cs="Times New Roman"/>
                <w:color w:val="auto"/>
                <w:lang w:val="en-US" w:eastAsia="zh-CN"/>
              </w:rPr>
              <w:t>。根据</w:t>
            </w:r>
            <w:r>
              <w:rPr>
                <w:rFonts w:hint="default" w:ascii="Times New Roman" w:hAnsi="Times New Roman" w:cs="Times New Roman"/>
                <w:color w:val="auto"/>
                <w:lang w:val="en-US" w:eastAsia="zh-CN"/>
              </w:rPr>
              <w:t>《大气污染物综合排放标准》（GB16297-1996）</w:t>
            </w:r>
            <w:r>
              <w:rPr>
                <w:rFonts w:hint="eastAsia" w:ascii="Times New Roman" w:hAnsi="Times New Roman" w:cs="Times New Roman"/>
                <w:color w:val="auto"/>
                <w:lang w:val="en-US" w:eastAsia="zh-CN"/>
              </w:rPr>
              <w:t>，“排气筒高度除须遵守表列排放速率标准外，还应高出周围200m半径范围的建筑5m以上，不能达到该要求的排气筒，应按其高度对应的表列排放速率标准值严格50%执行”。</w:t>
            </w:r>
            <w:r>
              <w:rPr>
                <w:rFonts w:hint="default" w:ascii="Times New Roman" w:hAnsi="Times New Roman" w:cs="Times New Roman"/>
                <w:color w:val="auto"/>
              </w:rPr>
              <w:t>项</w:t>
            </w:r>
            <w:r>
              <w:rPr>
                <w:rFonts w:hint="default" w:ascii="Times New Roman" w:hAnsi="Times New Roman" w:cs="Times New Roman"/>
                <w:color w:val="auto"/>
                <w:lang w:val="en-US" w:eastAsia="zh-CN"/>
              </w:rPr>
              <w:t>目</w:t>
            </w:r>
            <w:r>
              <w:rPr>
                <w:rFonts w:hint="default" w:ascii="Times New Roman" w:hAnsi="Times New Roman" w:cs="Times New Roman"/>
                <w:color w:val="auto"/>
              </w:rPr>
              <w:t>周围200m范围内最高建筑物</w:t>
            </w:r>
            <w:r>
              <w:rPr>
                <w:rFonts w:hint="default" w:ascii="Times New Roman" w:hAnsi="Times New Roman" w:cs="Times New Roman"/>
                <w:color w:val="auto"/>
                <w:lang w:val="en-US" w:eastAsia="zh-CN"/>
              </w:rPr>
              <w:t>20</w:t>
            </w:r>
            <w:r>
              <w:rPr>
                <w:rFonts w:hint="default" w:ascii="Times New Roman" w:hAnsi="Times New Roman" w:cs="Times New Roman"/>
                <w:color w:val="auto"/>
              </w:rPr>
              <w:t>m</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沿用一楼的厂房为4层砖混结构，楼高20m</w:t>
            </w:r>
            <w:r>
              <w:rPr>
                <w:rFonts w:hint="default" w:ascii="Times New Roman" w:hAnsi="Times New Roman" w:cs="Times New Roman"/>
                <w:color w:val="auto"/>
                <w:lang w:eastAsia="zh-CN"/>
              </w:rPr>
              <w:t>）</w:t>
            </w:r>
            <w:r>
              <w:rPr>
                <w:rFonts w:hint="default" w:ascii="Times New Roman" w:hAnsi="Times New Roman" w:cs="Times New Roman"/>
                <w:color w:val="auto"/>
              </w:rPr>
              <w:t>，</w:t>
            </w:r>
            <w:r>
              <w:rPr>
                <w:rFonts w:hint="eastAsia" w:ascii="Times New Roman" w:hAnsi="Times New Roman" w:cs="Times New Roman"/>
                <w:color w:val="auto"/>
                <w:lang w:val="en-US" w:eastAsia="zh-CN"/>
              </w:rPr>
              <w:t>则排气筒最低应设为25m，本次提出，该排气筒高度设置为2</w:t>
            </w:r>
            <w:r>
              <w:rPr>
                <w:rFonts w:hint="eastAsia" w:cs="Times New Roman"/>
                <w:color w:val="auto"/>
                <w:lang w:val="en-US" w:eastAsia="zh-CN"/>
              </w:rPr>
              <w:t>5</w:t>
            </w:r>
            <w:r>
              <w:rPr>
                <w:rFonts w:hint="eastAsia" w:ascii="Times New Roman" w:hAnsi="Times New Roman" w:cs="Times New Roman"/>
                <w:color w:val="auto"/>
                <w:lang w:val="en-US" w:eastAsia="zh-CN"/>
              </w:rPr>
              <w:t>m，根据核算，污染排放浓度及速率能达到排放标准。综上，排气筒设置合理。</w:t>
            </w:r>
          </w:p>
          <w:p w14:paraId="4D3DC1CD">
            <w:pPr>
              <w:bidi w:val="0"/>
              <w:rPr>
                <w:rFonts w:hint="default" w:ascii="Times New Roman" w:hAnsi="Times New Roman" w:cs="Times New Roman"/>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6</w:t>
            </w:r>
            <w:r>
              <w:rPr>
                <w:rFonts w:hint="default" w:ascii="Times New Roman" w:hAnsi="Times New Roman" w:cs="Times New Roman"/>
                <w:b/>
                <w:bCs/>
                <w:color w:val="auto"/>
              </w:rPr>
              <w:t>）污染物达标情况分析</w:t>
            </w:r>
          </w:p>
          <w:p w14:paraId="016AB71D">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1）有组织废气达标情况</w:t>
            </w:r>
          </w:p>
          <w:p w14:paraId="3A0BCC50">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①正常排放情况</w:t>
            </w:r>
          </w:p>
          <w:p w14:paraId="5E23A85B">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根据污染核算，喷漆过程产生的废气通过区域密封、负压抽风经</w:t>
            </w:r>
            <w:r>
              <w:rPr>
                <w:rFonts w:hint="eastAsia" w:cs="Times New Roman"/>
                <w:color w:val="auto"/>
                <w:lang w:val="en-US" w:eastAsia="zh-CN"/>
              </w:rPr>
              <w:t>水帘+活性炭吸附系统</w:t>
            </w:r>
            <w:r>
              <w:rPr>
                <w:rFonts w:hint="default" w:ascii="Times New Roman" w:hAnsi="Times New Roman" w:cs="Times New Roman"/>
                <w:color w:val="auto"/>
                <w:lang w:val="en-US" w:eastAsia="zh-CN"/>
              </w:rPr>
              <w:t>处理后能满足《</w:t>
            </w:r>
            <w:r>
              <w:rPr>
                <w:rFonts w:hint="default" w:ascii="Times New Roman" w:hAnsi="Times New Roman" w:cs="Times New Roman"/>
                <w:color w:val="auto"/>
              </w:rPr>
              <w:t>大气污染物综合排放标准》</w:t>
            </w:r>
            <w:r>
              <w:rPr>
                <w:rFonts w:hint="default" w:ascii="Times New Roman" w:hAnsi="Times New Roman" w:cs="Times New Roman"/>
                <w:color w:val="auto"/>
                <w:lang w:eastAsia="zh-CN"/>
              </w:rPr>
              <w:t>（</w:t>
            </w:r>
            <w:r>
              <w:rPr>
                <w:rFonts w:hint="default" w:ascii="Times New Roman" w:hAnsi="Times New Roman" w:cs="Times New Roman"/>
                <w:color w:val="auto"/>
              </w:rPr>
              <w:t>GB16297-1996）</w:t>
            </w:r>
            <w:r>
              <w:rPr>
                <w:rFonts w:hint="default" w:ascii="Times New Roman" w:hAnsi="Times New Roman" w:cs="Times New Roman"/>
                <w:color w:val="auto"/>
                <w:lang w:eastAsia="zh-CN"/>
              </w:rPr>
              <w:t>表2</w:t>
            </w:r>
            <w:r>
              <w:rPr>
                <w:rFonts w:hint="default" w:ascii="Times New Roman" w:hAnsi="Times New Roman" w:cs="Times New Roman"/>
                <w:color w:val="auto"/>
                <w:lang w:val="en-US" w:eastAsia="zh-CN"/>
              </w:rPr>
              <w:t>中颗粒物、非甲烷总烃及二甲苯最高允许排放速率及浓度二级污染排放标准要求。</w:t>
            </w:r>
          </w:p>
          <w:p w14:paraId="67797321">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②非正常排放情况</w:t>
            </w:r>
          </w:p>
          <w:p w14:paraId="6AA6BD12">
            <w:pPr>
              <w:bidi w:val="0"/>
              <w:rPr>
                <w:rFonts w:hint="default" w:ascii="Times New Roman" w:hAnsi="Times New Roman" w:cs="Times New Roman"/>
                <w:color w:val="auto"/>
                <w:lang w:val="en-US" w:eastAsia="zh-CN"/>
              </w:rPr>
            </w:pPr>
            <w:r>
              <w:rPr>
                <w:rFonts w:hint="eastAsia"/>
                <w:color w:val="auto"/>
                <w:lang w:val="en-US" w:eastAsia="zh-CN"/>
              </w:rPr>
              <w:t>根据项目生产工艺及产污环节、污染治理措施及污染物排放情况，本次环评主要考虑废气处理设备出现故障或活性炭吸附饱和未及时更换导致</w:t>
            </w:r>
            <w:r>
              <w:rPr>
                <w:rFonts w:hint="eastAsia"/>
                <w:color w:val="auto"/>
              </w:rPr>
              <w:t>系统</w:t>
            </w:r>
            <w:r>
              <w:rPr>
                <w:rFonts w:hint="eastAsia"/>
                <w:color w:val="auto"/>
                <w:lang w:val="en-US" w:eastAsia="zh-CN"/>
              </w:rPr>
              <w:t>对挥发性有机物无吸附效果。作为非正常排放情形，排放频次以每年1次计，每次排放持续时间1h。非正常情况下，污染物排放浓度如下表所示</w:t>
            </w:r>
            <w:r>
              <w:rPr>
                <w:rFonts w:hint="default" w:ascii="Times New Roman" w:hAnsi="Times New Roman" w:cs="Times New Roman"/>
                <w:color w:val="auto"/>
                <w:lang w:val="en-US" w:eastAsia="zh-CN"/>
              </w:rPr>
              <w:t>。</w:t>
            </w:r>
          </w:p>
          <w:p w14:paraId="1E8BC99C">
            <w:pPr>
              <w:bidi w:val="0"/>
              <w:ind w:left="0" w:leftChars="0" w:firstLine="0" w:firstLineChars="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表4-</w:t>
            </w:r>
            <w:r>
              <w:rPr>
                <w:rFonts w:hint="eastAsia" w:ascii="Times New Roman" w:hAnsi="Times New Roman" w:cs="Times New Roman"/>
                <w:b/>
                <w:bCs/>
                <w:color w:val="auto"/>
                <w:lang w:val="en-US" w:eastAsia="zh-CN"/>
              </w:rPr>
              <w:t>7</w:t>
            </w:r>
            <w:r>
              <w:rPr>
                <w:rFonts w:hint="default" w:ascii="Times New Roman" w:hAnsi="Times New Roman" w:cs="Times New Roman"/>
                <w:b/>
                <w:bCs/>
                <w:color w:val="auto"/>
                <w:lang w:val="en-US" w:eastAsia="zh-CN"/>
              </w:rPr>
              <w:t xml:space="preserve">  非正常情形下污染物排放情况</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
            <w:tblGrid>
              <w:gridCol w:w="1145"/>
              <w:gridCol w:w="3501"/>
              <w:gridCol w:w="2884"/>
            </w:tblGrid>
            <w:tr w14:paraId="6DD3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c>
                <w:tcPr>
                  <w:tcW w:w="760" w:type="pct"/>
                  <w:tcBorders>
                    <w:top w:val="single" w:color="auto" w:sz="4" w:space="0"/>
                    <w:left w:val="single" w:color="auto" w:sz="4" w:space="0"/>
                    <w:bottom w:val="single" w:color="auto" w:sz="4" w:space="0"/>
                    <w:right w:val="single" w:color="auto" w:sz="4" w:space="0"/>
                  </w:tcBorders>
                  <w:noWrap w:val="0"/>
                  <w:vAlign w:val="center"/>
                </w:tcPr>
                <w:p w14:paraId="202A81C3">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排放口</w:t>
                  </w:r>
                </w:p>
                <w:p w14:paraId="74398DD9">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rPr>
                    <w:t>编号</w:t>
                  </w:r>
                </w:p>
              </w:tc>
              <w:tc>
                <w:tcPr>
                  <w:tcW w:w="4239" w:type="pct"/>
                  <w:gridSpan w:val="2"/>
                  <w:tcBorders>
                    <w:top w:val="single" w:color="auto" w:sz="4" w:space="0"/>
                    <w:left w:val="single" w:color="auto" w:sz="4" w:space="0"/>
                    <w:bottom w:val="single" w:color="auto" w:sz="4" w:space="0"/>
                    <w:right w:val="single" w:color="auto" w:sz="4" w:space="0"/>
                  </w:tcBorders>
                  <w:noWrap w:val="0"/>
                  <w:vAlign w:val="center"/>
                </w:tcPr>
                <w:p w14:paraId="66645A60">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DA001</w:t>
                  </w:r>
                </w:p>
              </w:tc>
            </w:tr>
            <w:tr w14:paraId="57B94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c>
                <w:tcPr>
                  <w:tcW w:w="760" w:type="pct"/>
                  <w:tcBorders>
                    <w:top w:val="single" w:color="auto" w:sz="4" w:space="0"/>
                    <w:left w:val="single" w:color="auto" w:sz="4" w:space="0"/>
                    <w:bottom w:val="single" w:color="auto" w:sz="4" w:space="0"/>
                    <w:right w:val="single" w:color="auto" w:sz="4" w:space="0"/>
                  </w:tcBorders>
                  <w:noWrap w:val="0"/>
                  <w:vAlign w:val="center"/>
                </w:tcPr>
                <w:p w14:paraId="3A97568B">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措施</w:t>
                  </w:r>
                </w:p>
              </w:tc>
              <w:tc>
                <w:tcPr>
                  <w:tcW w:w="4239" w:type="pct"/>
                  <w:gridSpan w:val="2"/>
                  <w:tcBorders>
                    <w:top w:val="single" w:color="auto" w:sz="4" w:space="0"/>
                    <w:left w:val="single" w:color="auto" w:sz="4" w:space="0"/>
                    <w:bottom w:val="single" w:color="auto" w:sz="4" w:space="0"/>
                    <w:right w:val="single" w:color="auto" w:sz="4" w:space="0"/>
                  </w:tcBorders>
                  <w:noWrap w:val="0"/>
                  <w:vAlign w:val="center"/>
                </w:tcPr>
                <w:p w14:paraId="7E97663D">
                  <w:pPr>
                    <w:pStyle w:val="14"/>
                    <w:widowControl w:val="0"/>
                    <w:bidi w:val="0"/>
                    <w:rPr>
                      <w:rFonts w:hint="default" w:ascii="Times New Roman" w:hAnsi="Times New Roman" w:cs="Times New Roman"/>
                      <w:color w:val="auto"/>
                      <w:lang w:val="en-US" w:eastAsia="zh-CN"/>
                    </w:rPr>
                  </w:pPr>
                  <w:r>
                    <w:rPr>
                      <w:rFonts w:hint="eastAsia" w:cs="Times New Roman"/>
                      <w:color w:val="auto"/>
                      <w:lang w:val="en-US" w:eastAsia="zh-CN"/>
                    </w:rPr>
                    <w:t>喷漆房密封设置</w:t>
                  </w:r>
                  <w:r>
                    <w:rPr>
                      <w:rFonts w:hint="default" w:ascii="Times New Roman" w:hAnsi="Times New Roman" w:cs="Times New Roman"/>
                      <w:color w:val="auto"/>
                      <w:lang w:val="en-US" w:eastAsia="zh-CN"/>
                    </w:rPr>
                    <w:t>，经负压收集废气至1套</w:t>
                  </w:r>
                  <w:r>
                    <w:rPr>
                      <w:rFonts w:hint="eastAsia" w:cs="Times New Roman"/>
                      <w:color w:val="auto"/>
                      <w:lang w:val="en-US" w:eastAsia="zh-CN"/>
                    </w:rPr>
                    <w:t>“水帘+活性炭吸附系统”</w:t>
                  </w:r>
                  <w:r>
                    <w:rPr>
                      <w:rFonts w:hint="default" w:ascii="Times New Roman" w:hAnsi="Times New Roman" w:cs="Times New Roman"/>
                      <w:color w:val="auto"/>
                      <w:lang w:val="en-US" w:eastAsia="zh-CN"/>
                    </w:rPr>
                    <w:t>装置处理后通过</w:t>
                  </w:r>
                  <w:r>
                    <w:rPr>
                      <w:rFonts w:hint="eastAsia" w:cs="Times New Roman"/>
                      <w:color w:val="auto"/>
                      <w:lang w:val="en-US" w:eastAsia="zh-CN"/>
                    </w:rPr>
                    <w:t>25</w:t>
                  </w:r>
                  <w:r>
                    <w:rPr>
                      <w:rFonts w:hint="default" w:ascii="Times New Roman" w:hAnsi="Times New Roman" w:cs="Times New Roman"/>
                      <w:color w:val="auto"/>
                      <w:lang w:val="en-US" w:eastAsia="zh-CN"/>
                    </w:rPr>
                    <w:t>m高的排气筒（DA001）有组织排放</w:t>
                  </w:r>
                </w:p>
              </w:tc>
            </w:tr>
            <w:tr w14:paraId="3B68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c>
                <w:tcPr>
                  <w:tcW w:w="760" w:type="pct"/>
                  <w:tcBorders>
                    <w:top w:val="single" w:color="auto" w:sz="4" w:space="0"/>
                    <w:left w:val="single" w:color="auto" w:sz="4" w:space="0"/>
                    <w:bottom w:val="single" w:color="auto" w:sz="4" w:space="0"/>
                    <w:right w:val="single" w:color="auto" w:sz="4" w:space="0"/>
                  </w:tcBorders>
                  <w:noWrap w:val="0"/>
                  <w:vAlign w:val="center"/>
                </w:tcPr>
                <w:p w14:paraId="36892E9D">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rPr>
                    <w:t>产污环节</w:t>
                  </w:r>
                </w:p>
              </w:tc>
              <w:tc>
                <w:tcPr>
                  <w:tcW w:w="4239" w:type="pct"/>
                  <w:gridSpan w:val="2"/>
                  <w:tcBorders>
                    <w:top w:val="single" w:color="auto" w:sz="4" w:space="0"/>
                    <w:left w:val="single" w:color="auto" w:sz="4" w:space="0"/>
                    <w:bottom w:val="single" w:color="auto" w:sz="4" w:space="0"/>
                    <w:right w:val="single" w:color="auto" w:sz="4" w:space="0"/>
                  </w:tcBorders>
                  <w:noWrap w:val="0"/>
                  <w:vAlign w:val="center"/>
                </w:tcPr>
                <w:p w14:paraId="16A1CF25">
                  <w:pPr>
                    <w:pStyle w:val="14"/>
                    <w:widowControl w:val="0"/>
                    <w:bidi w:val="0"/>
                    <w:rPr>
                      <w:rFonts w:hint="default" w:ascii="Times New Roman" w:hAnsi="Times New Roman" w:cs="Times New Roman"/>
                      <w:color w:val="auto"/>
                      <w:lang w:val="en-US" w:eastAsia="zh-CN"/>
                    </w:rPr>
                  </w:pPr>
                  <w:r>
                    <w:rPr>
                      <w:rFonts w:hint="eastAsia" w:cs="Times New Roman"/>
                      <w:color w:val="auto"/>
                      <w:lang w:val="en-US" w:eastAsia="zh-CN"/>
                    </w:rPr>
                    <w:t>喷漆房</w:t>
                  </w:r>
                </w:p>
              </w:tc>
            </w:tr>
            <w:tr w14:paraId="31536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c>
                <w:tcPr>
                  <w:tcW w:w="760" w:type="pct"/>
                  <w:tcBorders>
                    <w:top w:val="single" w:color="auto" w:sz="4" w:space="0"/>
                    <w:left w:val="single" w:color="auto" w:sz="4" w:space="0"/>
                    <w:bottom w:val="single" w:color="auto" w:sz="4" w:space="0"/>
                    <w:right w:val="single" w:color="auto" w:sz="4" w:space="0"/>
                  </w:tcBorders>
                  <w:noWrap w:val="0"/>
                  <w:vAlign w:val="center"/>
                </w:tcPr>
                <w:p w14:paraId="3F0FDEB8">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rPr>
                    <w:t>污染物</w:t>
                  </w:r>
                </w:p>
              </w:tc>
              <w:tc>
                <w:tcPr>
                  <w:tcW w:w="2324" w:type="pct"/>
                  <w:tcBorders>
                    <w:top w:val="single" w:color="auto" w:sz="4" w:space="0"/>
                    <w:left w:val="single" w:color="auto" w:sz="4" w:space="0"/>
                    <w:bottom w:val="single" w:color="auto" w:sz="4" w:space="0"/>
                    <w:right w:val="single" w:color="auto" w:sz="4" w:space="0"/>
                  </w:tcBorders>
                  <w:noWrap w:val="0"/>
                  <w:vAlign w:val="center"/>
                </w:tcPr>
                <w:p w14:paraId="01A25344">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非甲烷总烃</w:t>
                  </w:r>
                </w:p>
              </w:tc>
              <w:tc>
                <w:tcPr>
                  <w:tcW w:w="1915" w:type="pct"/>
                  <w:tcBorders>
                    <w:top w:val="single" w:color="auto" w:sz="4" w:space="0"/>
                    <w:left w:val="single" w:color="auto" w:sz="4" w:space="0"/>
                    <w:bottom w:val="single" w:color="auto" w:sz="4" w:space="0"/>
                    <w:right w:val="single" w:color="auto" w:sz="4" w:space="0"/>
                  </w:tcBorders>
                  <w:noWrap w:val="0"/>
                  <w:vAlign w:val="center"/>
                </w:tcPr>
                <w:p w14:paraId="78374184">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二甲苯</w:t>
                  </w:r>
                </w:p>
              </w:tc>
            </w:tr>
            <w:tr w14:paraId="3790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0" w:type="pct"/>
                  <w:tcBorders>
                    <w:top w:val="single" w:color="auto" w:sz="4" w:space="0"/>
                    <w:left w:val="single" w:color="auto" w:sz="4" w:space="0"/>
                    <w:bottom w:val="single" w:color="auto" w:sz="4" w:space="0"/>
                    <w:right w:val="single" w:color="auto" w:sz="4" w:space="0"/>
                  </w:tcBorders>
                  <w:noWrap w:val="0"/>
                  <w:vAlign w:val="center"/>
                </w:tcPr>
                <w:p w14:paraId="4C1285B5">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排放量（t/a）</w:t>
                  </w:r>
                </w:p>
              </w:tc>
              <w:tc>
                <w:tcPr>
                  <w:tcW w:w="2324" w:type="pct"/>
                  <w:tcBorders>
                    <w:top w:val="single" w:color="auto" w:sz="4" w:space="0"/>
                    <w:left w:val="single" w:color="auto" w:sz="4" w:space="0"/>
                    <w:bottom w:val="single" w:color="auto" w:sz="4" w:space="0"/>
                    <w:right w:val="single" w:color="auto" w:sz="4" w:space="0"/>
                  </w:tcBorders>
                  <w:noWrap w:val="0"/>
                  <w:vAlign w:val="center"/>
                </w:tcPr>
                <w:p w14:paraId="46D26551">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lang w:val="en-US" w:eastAsia="zh-CN"/>
                    </w:rPr>
                    <w:t>0.</w:t>
                  </w:r>
                  <w:r>
                    <w:rPr>
                      <w:rFonts w:hint="eastAsia" w:cs="Times New Roman"/>
                      <w:color w:val="auto"/>
                      <w:lang w:val="en-US" w:eastAsia="zh-CN"/>
                    </w:rPr>
                    <w:t>18</w:t>
                  </w:r>
                  <w:r>
                    <w:rPr>
                      <w:rFonts w:hint="default" w:ascii="Times New Roman" w:hAnsi="Times New Roman" w:cs="Times New Roman"/>
                      <w:color w:val="auto"/>
                      <w:lang w:val="en-US" w:eastAsia="zh-CN"/>
                    </w:rPr>
                    <w:t>×10</w:t>
                  </w:r>
                  <w:r>
                    <w:rPr>
                      <w:rFonts w:hint="default" w:ascii="Times New Roman" w:hAnsi="Times New Roman" w:cs="Times New Roman"/>
                      <w:color w:val="auto"/>
                      <w:vertAlign w:val="superscript"/>
                      <w:lang w:val="en-US" w:eastAsia="zh-CN"/>
                    </w:rPr>
                    <w:t>-3</w:t>
                  </w:r>
                </w:p>
              </w:tc>
              <w:tc>
                <w:tcPr>
                  <w:tcW w:w="1915" w:type="pct"/>
                  <w:tcBorders>
                    <w:top w:val="single" w:color="auto" w:sz="4" w:space="0"/>
                    <w:left w:val="single" w:color="auto" w:sz="4" w:space="0"/>
                    <w:bottom w:val="single" w:color="auto" w:sz="4" w:space="0"/>
                    <w:right w:val="single" w:color="auto" w:sz="4" w:space="0"/>
                  </w:tcBorders>
                  <w:noWrap w:val="0"/>
                  <w:vAlign w:val="center"/>
                </w:tcPr>
                <w:p w14:paraId="36BC42A3">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lang w:val="en-US" w:eastAsia="zh-CN"/>
                    </w:rPr>
                    <w:t>0.</w:t>
                  </w:r>
                  <w:r>
                    <w:rPr>
                      <w:rFonts w:hint="eastAsia" w:cs="Times New Roman"/>
                      <w:color w:val="auto"/>
                      <w:lang w:val="en-US" w:eastAsia="zh-CN"/>
                    </w:rPr>
                    <w:t>12</w:t>
                  </w:r>
                  <w:r>
                    <w:rPr>
                      <w:rFonts w:hint="default" w:ascii="Times New Roman" w:hAnsi="Times New Roman" w:cs="Times New Roman"/>
                      <w:color w:val="auto"/>
                      <w:lang w:val="en-US" w:eastAsia="zh-CN"/>
                    </w:rPr>
                    <w:t>×10</w:t>
                  </w:r>
                  <w:r>
                    <w:rPr>
                      <w:rFonts w:hint="default" w:ascii="Times New Roman" w:hAnsi="Times New Roman" w:cs="Times New Roman"/>
                      <w:color w:val="auto"/>
                      <w:vertAlign w:val="superscript"/>
                      <w:lang w:val="en-US" w:eastAsia="zh-CN"/>
                    </w:rPr>
                    <w:t>-3</w:t>
                  </w:r>
                </w:p>
              </w:tc>
            </w:tr>
            <w:tr w14:paraId="28064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c>
                <w:tcPr>
                  <w:tcW w:w="760" w:type="pct"/>
                  <w:tcBorders>
                    <w:top w:val="single" w:color="auto" w:sz="4" w:space="0"/>
                    <w:left w:val="single" w:color="auto" w:sz="4" w:space="0"/>
                    <w:bottom w:val="single" w:color="auto" w:sz="4" w:space="0"/>
                    <w:right w:val="single" w:color="auto" w:sz="4" w:space="0"/>
                  </w:tcBorders>
                  <w:noWrap w:val="0"/>
                  <w:vAlign w:val="center"/>
                </w:tcPr>
                <w:p w14:paraId="46BCAA0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rPr>
                    <w:t>排放浓度</w:t>
                  </w:r>
                  <w:r>
                    <w:rPr>
                      <w:rFonts w:hint="default" w:ascii="Times New Roman" w:hAnsi="Times New Roman" w:cs="Times New Roman"/>
                      <w:color w:val="auto"/>
                      <w:lang w:eastAsia="zh-CN"/>
                    </w:rPr>
                    <w:t>（</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2324" w:type="pct"/>
                  <w:tcBorders>
                    <w:top w:val="single" w:color="auto" w:sz="4" w:space="0"/>
                    <w:left w:val="single" w:color="auto" w:sz="4" w:space="0"/>
                    <w:bottom w:val="single" w:color="auto" w:sz="4" w:space="0"/>
                    <w:right w:val="single" w:color="auto" w:sz="4" w:space="0"/>
                  </w:tcBorders>
                  <w:noWrap w:val="0"/>
                  <w:vAlign w:val="center"/>
                </w:tcPr>
                <w:p w14:paraId="0BCD2973">
                  <w:pPr>
                    <w:pStyle w:val="14"/>
                    <w:widowControl w:val="0"/>
                    <w:bidi w:val="0"/>
                    <w:rPr>
                      <w:rFonts w:hint="default" w:ascii="Times New Roman" w:hAnsi="Times New Roman" w:eastAsia="宋体" w:cs="Times New Roman"/>
                      <w:color w:val="auto"/>
                      <w:lang w:val="en-US" w:eastAsia="zh-CN"/>
                    </w:rPr>
                  </w:pPr>
                  <w:r>
                    <w:rPr>
                      <w:rFonts w:hint="eastAsia" w:cs="Times New Roman"/>
                      <w:color w:val="auto"/>
                      <w:lang w:val="en-US" w:eastAsia="zh-CN"/>
                    </w:rPr>
                    <w:t>73.1</w:t>
                  </w:r>
                </w:p>
              </w:tc>
              <w:tc>
                <w:tcPr>
                  <w:tcW w:w="1915" w:type="pct"/>
                  <w:tcBorders>
                    <w:top w:val="single" w:color="auto" w:sz="4" w:space="0"/>
                    <w:left w:val="single" w:color="auto" w:sz="4" w:space="0"/>
                    <w:bottom w:val="single" w:color="auto" w:sz="4" w:space="0"/>
                    <w:right w:val="single" w:color="auto" w:sz="4" w:space="0"/>
                  </w:tcBorders>
                  <w:noWrap w:val="0"/>
                  <w:vAlign w:val="center"/>
                </w:tcPr>
                <w:p w14:paraId="3E32BB44">
                  <w:pPr>
                    <w:pStyle w:val="14"/>
                    <w:widowControl w:val="0"/>
                    <w:bidi w:val="0"/>
                    <w:rPr>
                      <w:rFonts w:hint="default" w:ascii="Times New Roman" w:hAnsi="Times New Roman" w:eastAsia="宋体" w:cs="Times New Roman"/>
                      <w:color w:val="auto"/>
                      <w:lang w:val="en-US" w:eastAsia="zh-CN"/>
                    </w:rPr>
                  </w:pPr>
                  <w:r>
                    <w:rPr>
                      <w:rFonts w:hint="eastAsia" w:cs="Times New Roman"/>
                      <w:color w:val="auto"/>
                      <w:lang w:val="en-US" w:eastAsia="zh-CN"/>
                    </w:rPr>
                    <w:t>47.08</w:t>
                  </w:r>
                </w:p>
              </w:tc>
            </w:tr>
            <w:tr w14:paraId="79F9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c>
                <w:tcPr>
                  <w:tcW w:w="760" w:type="pct"/>
                  <w:tcBorders>
                    <w:top w:val="single" w:color="auto" w:sz="4" w:space="0"/>
                    <w:left w:val="single" w:color="auto" w:sz="4" w:space="0"/>
                    <w:bottom w:val="single" w:color="auto" w:sz="4" w:space="0"/>
                    <w:right w:val="single" w:color="auto" w:sz="4" w:space="0"/>
                  </w:tcBorders>
                  <w:noWrap w:val="0"/>
                  <w:vAlign w:val="center"/>
                </w:tcPr>
                <w:p w14:paraId="4D7F53E3">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排放速率（kg/h）</w:t>
                  </w:r>
                </w:p>
              </w:tc>
              <w:tc>
                <w:tcPr>
                  <w:tcW w:w="2324" w:type="pct"/>
                  <w:tcBorders>
                    <w:top w:val="single" w:color="auto" w:sz="4" w:space="0"/>
                    <w:left w:val="single" w:color="auto" w:sz="4" w:space="0"/>
                    <w:bottom w:val="single" w:color="auto" w:sz="4" w:space="0"/>
                    <w:right w:val="single" w:color="auto" w:sz="4" w:space="0"/>
                  </w:tcBorders>
                  <w:noWrap w:val="0"/>
                  <w:vAlign w:val="center"/>
                </w:tcPr>
                <w:p w14:paraId="76417B5B">
                  <w:pPr>
                    <w:pStyle w:val="14"/>
                    <w:widowControl w:val="0"/>
                    <w:bidi w:val="0"/>
                    <w:rPr>
                      <w:rFonts w:hint="default" w:ascii="Times New Roman" w:hAnsi="Times New Roman" w:eastAsia="宋体" w:cs="Times New Roman"/>
                      <w:color w:val="auto"/>
                      <w:lang w:val="en-US" w:eastAsia="zh-CN"/>
                    </w:rPr>
                  </w:pPr>
                  <w:r>
                    <w:rPr>
                      <w:rFonts w:hint="eastAsia" w:cs="Times New Roman"/>
                      <w:color w:val="auto"/>
                      <w:lang w:val="en-US" w:eastAsia="zh-CN"/>
                    </w:rPr>
                    <w:t>0.18</w:t>
                  </w:r>
                </w:p>
              </w:tc>
              <w:tc>
                <w:tcPr>
                  <w:tcW w:w="1915" w:type="pct"/>
                  <w:tcBorders>
                    <w:top w:val="single" w:color="auto" w:sz="4" w:space="0"/>
                    <w:left w:val="single" w:color="auto" w:sz="4" w:space="0"/>
                    <w:bottom w:val="single" w:color="auto" w:sz="4" w:space="0"/>
                    <w:right w:val="single" w:color="auto" w:sz="4" w:space="0"/>
                  </w:tcBorders>
                  <w:noWrap w:val="0"/>
                  <w:vAlign w:val="center"/>
                </w:tcPr>
                <w:p w14:paraId="7CAC53FD">
                  <w:pPr>
                    <w:pStyle w:val="14"/>
                    <w:widowControl w:val="0"/>
                    <w:bidi w:val="0"/>
                    <w:rPr>
                      <w:rFonts w:hint="default" w:ascii="Times New Roman" w:hAnsi="Times New Roman" w:eastAsia="宋体" w:cs="Times New Roman"/>
                      <w:color w:val="auto"/>
                      <w:lang w:val="en-US" w:eastAsia="zh-CN"/>
                    </w:rPr>
                  </w:pPr>
                  <w:r>
                    <w:rPr>
                      <w:rFonts w:hint="eastAsia" w:cs="Times New Roman"/>
                      <w:color w:val="auto"/>
                      <w:lang w:val="en-US" w:eastAsia="zh-CN"/>
                    </w:rPr>
                    <w:t>0.12</w:t>
                  </w:r>
                </w:p>
              </w:tc>
            </w:tr>
            <w:tr w14:paraId="63AC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c>
                <w:tcPr>
                  <w:tcW w:w="760" w:type="pct"/>
                  <w:tcBorders>
                    <w:top w:val="single" w:color="auto" w:sz="4" w:space="0"/>
                    <w:left w:val="single" w:color="auto" w:sz="4" w:space="0"/>
                    <w:bottom w:val="single" w:color="auto" w:sz="4" w:space="0"/>
                    <w:right w:val="single" w:color="auto" w:sz="4" w:space="0"/>
                  </w:tcBorders>
                  <w:noWrap w:val="0"/>
                  <w:vAlign w:val="center"/>
                </w:tcPr>
                <w:p w14:paraId="4D6402B8">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标准限值</w:t>
                  </w: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kg/h</w:t>
                  </w:r>
                  <w:r>
                    <w:rPr>
                      <w:rFonts w:hint="default" w:ascii="Times New Roman" w:hAnsi="Times New Roman" w:cs="Times New Roman"/>
                      <w:b/>
                      <w:bCs/>
                      <w:color w:val="auto"/>
                    </w:rPr>
                    <w:t>）</w:t>
                  </w:r>
                </w:p>
              </w:tc>
              <w:tc>
                <w:tcPr>
                  <w:tcW w:w="2324" w:type="pct"/>
                  <w:tcBorders>
                    <w:top w:val="single" w:color="auto" w:sz="4" w:space="0"/>
                    <w:left w:val="single" w:color="auto" w:sz="4" w:space="0"/>
                    <w:bottom w:val="single" w:color="auto" w:sz="4" w:space="0"/>
                    <w:right w:val="single" w:color="auto" w:sz="4" w:space="0"/>
                  </w:tcBorders>
                  <w:noWrap w:val="0"/>
                  <w:vAlign w:val="center"/>
                </w:tcPr>
                <w:p w14:paraId="72D32826">
                  <w:pPr>
                    <w:pStyle w:val="14"/>
                    <w:widowControl w:val="0"/>
                    <w:bidi w:val="0"/>
                    <w:ind w:firstLine="0" w:firstLineChars="0"/>
                    <w:rPr>
                      <w:rFonts w:hint="default" w:ascii="Times New Roman" w:hAnsi="Times New Roman" w:eastAsia="宋体" w:cs="Times New Roman"/>
                      <w:b/>
                      <w:bCs/>
                      <w:color w:val="auto"/>
                      <w:kern w:val="2"/>
                      <w:sz w:val="21"/>
                      <w:szCs w:val="24"/>
                      <w:lang w:val="en-US" w:eastAsia="zh-CN" w:bidi="ar-SA"/>
                    </w:rPr>
                  </w:pPr>
                  <w:r>
                    <w:rPr>
                      <w:rFonts w:hint="eastAsia" w:cs="Times New Roman"/>
                      <w:b/>
                      <w:bCs/>
                      <w:color w:val="auto"/>
                      <w:lang w:val="en-US" w:eastAsia="zh-CN"/>
                    </w:rPr>
                    <w:t>35</w:t>
                  </w:r>
                </w:p>
              </w:tc>
              <w:tc>
                <w:tcPr>
                  <w:tcW w:w="1915" w:type="pct"/>
                  <w:tcBorders>
                    <w:top w:val="single" w:color="auto" w:sz="4" w:space="0"/>
                    <w:left w:val="single" w:color="auto" w:sz="4" w:space="0"/>
                    <w:bottom w:val="single" w:color="auto" w:sz="4" w:space="0"/>
                    <w:right w:val="single" w:color="auto" w:sz="4" w:space="0"/>
                  </w:tcBorders>
                  <w:noWrap w:val="0"/>
                  <w:vAlign w:val="center"/>
                </w:tcPr>
                <w:p w14:paraId="7A1B318D">
                  <w:pPr>
                    <w:pStyle w:val="14"/>
                    <w:widowControl w:val="0"/>
                    <w:bidi w:val="0"/>
                    <w:ind w:firstLine="0" w:firstLineChars="0"/>
                    <w:rPr>
                      <w:rFonts w:hint="default" w:ascii="Times New Roman" w:hAnsi="Times New Roman" w:eastAsia="宋体" w:cs="Times New Roman"/>
                      <w:b/>
                      <w:bCs/>
                      <w:color w:val="auto"/>
                      <w:kern w:val="2"/>
                      <w:sz w:val="21"/>
                      <w:szCs w:val="24"/>
                      <w:lang w:val="en-US" w:eastAsia="zh-CN" w:bidi="ar-SA"/>
                    </w:rPr>
                  </w:pPr>
                  <w:r>
                    <w:rPr>
                      <w:rFonts w:hint="eastAsia" w:cs="Times New Roman"/>
                      <w:b/>
                      <w:bCs/>
                      <w:color w:val="auto"/>
                      <w:lang w:val="en-US" w:eastAsia="zh-CN"/>
                    </w:rPr>
                    <w:t>3.8</w:t>
                  </w:r>
                </w:p>
              </w:tc>
            </w:tr>
            <w:tr w14:paraId="48A7B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c>
                <w:tcPr>
                  <w:tcW w:w="760" w:type="pct"/>
                  <w:tcBorders>
                    <w:top w:val="single" w:color="auto" w:sz="4" w:space="0"/>
                    <w:left w:val="single" w:color="auto" w:sz="4" w:space="0"/>
                    <w:bottom w:val="single" w:color="auto" w:sz="4" w:space="0"/>
                    <w:right w:val="single" w:color="auto" w:sz="4" w:space="0"/>
                  </w:tcBorders>
                  <w:noWrap w:val="0"/>
                  <w:vAlign w:val="center"/>
                </w:tcPr>
                <w:p w14:paraId="57FCF766">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是否达标</w:t>
                  </w:r>
                </w:p>
              </w:tc>
              <w:tc>
                <w:tcPr>
                  <w:tcW w:w="2324" w:type="pct"/>
                  <w:tcBorders>
                    <w:top w:val="single" w:color="auto" w:sz="4" w:space="0"/>
                    <w:left w:val="single" w:color="auto" w:sz="4" w:space="0"/>
                    <w:bottom w:val="single" w:color="auto" w:sz="4" w:space="0"/>
                    <w:right w:val="single" w:color="auto" w:sz="4" w:space="0"/>
                  </w:tcBorders>
                  <w:noWrap w:val="0"/>
                  <w:vAlign w:val="center"/>
                </w:tcPr>
                <w:p w14:paraId="505FED0A">
                  <w:pPr>
                    <w:pStyle w:val="14"/>
                    <w:widowControl w:val="0"/>
                    <w:bidi w:val="0"/>
                    <w:ind w:firstLine="0" w:firstLineChars="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是</w:t>
                  </w:r>
                </w:p>
              </w:tc>
              <w:tc>
                <w:tcPr>
                  <w:tcW w:w="1915" w:type="pct"/>
                  <w:tcBorders>
                    <w:top w:val="single" w:color="auto" w:sz="4" w:space="0"/>
                    <w:left w:val="single" w:color="auto" w:sz="4" w:space="0"/>
                    <w:bottom w:val="single" w:color="auto" w:sz="4" w:space="0"/>
                    <w:right w:val="single" w:color="auto" w:sz="4" w:space="0"/>
                  </w:tcBorders>
                  <w:noWrap w:val="0"/>
                  <w:vAlign w:val="center"/>
                </w:tcPr>
                <w:p w14:paraId="3FBB6FA8">
                  <w:pPr>
                    <w:pStyle w:val="14"/>
                    <w:widowControl w:val="0"/>
                    <w:bidi w:val="0"/>
                    <w:ind w:firstLine="0" w:firstLineChars="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是</w:t>
                  </w:r>
                </w:p>
              </w:tc>
            </w:tr>
            <w:tr w14:paraId="21E5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c>
                <w:tcPr>
                  <w:tcW w:w="760" w:type="pct"/>
                  <w:tcBorders>
                    <w:top w:val="single" w:color="auto" w:sz="4" w:space="0"/>
                    <w:left w:val="single" w:color="auto" w:sz="4" w:space="0"/>
                    <w:bottom w:val="single" w:color="auto" w:sz="4" w:space="0"/>
                    <w:right w:val="single" w:color="auto" w:sz="4" w:space="0"/>
                  </w:tcBorders>
                  <w:noWrap w:val="0"/>
                  <w:vAlign w:val="center"/>
                </w:tcPr>
                <w:p w14:paraId="475F7CE8">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标准浓度</w:t>
                  </w: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mg/m³</w:t>
                  </w:r>
                  <w:r>
                    <w:rPr>
                      <w:rFonts w:hint="default" w:ascii="Times New Roman" w:hAnsi="Times New Roman" w:cs="Times New Roman"/>
                      <w:b/>
                      <w:bCs/>
                      <w:color w:val="auto"/>
                    </w:rPr>
                    <w:t>）</w:t>
                  </w:r>
                </w:p>
              </w:tc>
              <w:tc>
                <w:tcPr>
                  <w:tcW w:w="2324" w:type="pct"/>
                  <w:tcBorders>
                    <w:top w:val="single" w:color="auto" w:sz="4" w:space="0"/>
                    <w:left w:val="single" w:color="auto" w:sz="4" w:space="0"/>
                    <w:bottom w:val="single" w:color="auto" w:sz="4" w:space="0"/>
                    <w:right w:val="single" w:color="auto" w:sz="4" w:space="0"/>
                  </w:tcBorders>
                  <w:noWrap w:val="0"/>
                  <w:vAlign w:val="center"/>
                </w:tcPr>
                <w:p w14:paraId="60F7628E">
                  <w:pPr>
                    <w:pStyle w:val="14"/>
                    <w:widowControl w:val="0"/>
                    <w:bidi w:val="0"/>
                    <w:ind w:firstLine="0" w:firstLineChars="0"/>
                    <w:rPr>
                      <w:rFonts w:hint="default" w:ascii="Times New Roman" w:hAnsi="Times New Roman" w:eastAsia="宋体" w:cs="Times New Roman"/>
                      <w:b/>
                      <w:bCs/>
                      <w:color w:val="auto"/>
                      <w:kern w:val="2"/>
                      <w:sz w:val="21"/>
                      <w:szCs w:val="24"/>
                      <w:lang w:val="en-US" w:eastAsia="zh-CN" w:bidi="ar-SA"/>
                    </w:rPr>
                  </w:pPr>
                  <w:r>
                    <w:rPr>
                      <w:rFonts w:hint="default" w:ascii="Times New Roman" w:hAnsi="Times New Roman" w:cs="Times New Roman"/>
                      <w:b/>
                      <w:bCs/>
                      <w:color w:val="auto"/>
                      <w:lang w:val="en-US" w:eastAsia="zh-CN"/>
                    </w:rPr>
                    <w:t>120</w:t>
                  </w:r>
                </w:p>
              </w:tc>
              <w:tc>
                <w:tcPr>
                  <w:tcW w:w="1915" w:type="pct"/>
                  <w:tcBorders>
                    <w:top w:val="single" w:color="auto" w:sz="4" w:space="0"/>
                    <w:left w:val="single" w:color="auto" w:sz="4" w:space="0"/>
                    <w:bottom w:val="single" w:color="auto" w:sz="4" w:space="0"/>
                    <w:right w:val="single" w:color="auto" w:sz="4" w:space="0"/>
                  </w:tcBorders>
                  <w:noWrap w:val="0"/>
                  <w:vAlign w:val="center"/>
                </w:tcPr>
                <w:p w14:paraId="4A1EB3F3">
                  <w:pPr>
                    <w:pStyle w:val="14"/>
                    <w:widowControl w:val="0"/>
                    <w:bidi w:val="0"/>
                    <w:ind w:firstLine="0" w:firstLineChars="0"/>
                    <w:rPr>
                      <w:rFonts w:hint="default" w:ascii="Times New Roman" w:hAnsi="Times New Roman" w:eastAsia="宋体" w:cs="Times New Roman"/>
                      <w:b/>
                      <w:bCs/>
                      <w:color w:val="auto"/>
                      <w:kern w:val="2"/>
                      <w:sz w:val="21"/>
                      <w:szCs w:val="24"/>
                      <w:lang w:val="en-US" w:eastAsia="zh-CN" w:bidi="ar-SA"/>
                    </w:rPr>
                  </w:pPr>
                  <w:r>
                    <w:rPr>
                      <w:rFonts w:hint="default" w:ascii="Times New Roman" w:hAnsi="Times New Roman" w:cs="Times New Roman"/>
                      <w:b/>
                      <w:bCs/>
                      <w:color w:val="auto"/>
                      <w:lang w:val="en-US" w:eastAsia="zh-CN"/>
                    </w:rPr>
                    <w:t>70</w:t>
                  </w:r>
                </w:p>
              </w:tc>
            </w:tr>
            <w:tr w14:paraId="7BD7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c>
                <w:tcPr>
                  <w:tcW w:w="760" w:type="pct"/>
                  <w:tcBorders>
                    <w:top w:val="single" w:color="auto" w:sz="4" w:space="0"/>
                    <w:left w:val="single" w:color="auto" w:sz="4" w:space="0"/>
                    <w:bottom w:val="single" w:color="auto" w:sz="4" w:space="0"/>
                    <w:right w:val="single" w:color="auto" w:sz="4" w:space="0"/>
                  </w:tcBorders>
                  <w:noWrap w:val="0"/>
                  <w:vAlign w:val="center"/>
                </w:tcPr>
                <w:p w14:paraId="7038192F">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是否达标</w:t>
                  </w:r>
                </w:p>
              </w:tc>
              <w:tc>
                <w:tcPr>
                  <w:tcW w:w="2324" w:type="pct"/>
                  <w:tcBorders>
                    <w:top w:val="single" w:color="auto" w:sz="4" w:space="0"/>
                    <w:left w:val="single" w:color="auto" w:sz="4" w:space="0"/>
                    <w:bottom w:val="single" w:color="auto" w:sz="4" w:space="0"/>
                    <w:right w:val="single" w:color="auto" w:sz="4" w:space="0"/>
                  </w:tcBorders>
                  <w:noWrap w:val="0"/>
                  <w:vAlign w:val="center"/>
                </w:tcPr>
                <w:p w14:paraId="0A3A4E1B">
                  <w:pPr>
                    <w:pStyle w:val="14"/>
                    <w:widowControl w:val="0"/>
                    <w:bidi w:val="0"/>
                    <w:ind w:firstLine="0" w:firstLineChars="0"/>
                    <w:rPr>
                      <w:rFonts w:hint="default" w:ascii="Times New Roman" w:hAnsi="Times New Roman" w:eastAsia="宋体" w:cs="Times New Roman"/>
                      <w:b/>
                      <w:bCs/>
                      <w:color w:val="auto"/>
                      <w:kern w:val="2"/>
                      <w:sz w:val="21"/>
                      <w:szCs w:val="24"/>
                      <w:lang w:val="en-US" w:eastAsia="zh-CN" w:bidi="ar-SA"/>
                    </w:rPr>
                  </w:pPr>
                  <w:r>
                    <w:rPr>
                      <w:rFonts w:hint="default" w:ascii="Times New Roman" w:hAnsi="Times New Roman" w:cs="Times New Roman"/>
                      <w:b/>
                      <w:bCs/>
                      <w:color w:val="auto"/>
                      <w:lang w:val="en-US" w:eastAsia="zh-CN"/>
                    </w:rPr>
                    <w:t>否</w:t>
                  </w:r>
                </w:p>
              </w:tc>
              <w:tc>
                <w:tcPr>
                  <w:tcW w:w="1915" w:type="pct"/>
                  <w:tcBorders>
                    <w:top w:val="single" w:color="auto" w:sz="4" w:space="0"/>
                    <w:left w:val="single" w:color="auto" w:sz="4" w:space="0"/>
                    <w:bottom w:val="single" w:color="auto" w:sz="4" w:space="0"/>
                    <w:right w:val="single" w:color="auto" w:sz="4" w:space="0"/>
                  </w:tcBorders>
                  <w:noWrap w:val="0"/>
                  <w:vAlign w:val="center"/>
                </w:tcPr>
                <w:p w14:paraId="1C39F75E">
                  <w:pPr>
                    <w:pStyle w:val="14"/>
                    <w:widowControl w:val="0"/>
                    <w:bidi w:val="0"/>
                    <w:ind w:firstLine="0" w:firstLineChars="0"/>
                    <w:rPr>
                      <w:rFonts w:hint="default" w:ascii="Times New Roman" w:hAnsi="Times New Roman" w:eastAsia="宋体" w:cs="Times New Roman"/>
                      <w:b/>
                      <w:bCs/>
                      <w:color w:val="auto"/>
                      <w:kern w:val="2"/>
                      <w:sz w:val="21"/>
                      <w:szCs w:val="24"/>
                      <w:lang w:val="en-US" w:eastAsia="zh-CN" w:bidi="ar-SA"/>
                    </w:rPr>
                  </w:pPr>
                  <w:r>
                    <w:rPr>
                      <w:rFonts w:hint="default" w:ascii="Times New Roman" w:hAnsi="Times New Roman" w:cs="Times New Roman"/>
                      <w:b/>
                      <w:bCs/>
                      <w:color w:val="auto"/>
                      <w:lang w:val="en-US" w:eastAsia="zh-CN"/>
                    </w:rPr>
                    <w:t>否</w:t>
                  </w:r>
                </w:p>
              </w:tc>
            </w:tr>
            <w:tr w14:paraId="6879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c>
                <w:tcPr>
                  <w:tcW w:w="760" w:type="pct"/>
                  <w:tcBorders>
                    <w:top w:val="single" w:color="auto" w:sz="4" w:space="0"/>
                    <w:left w:val="single" w:color="auto" w:sz="4" w:space="0"/>
                    <w:bottom w:val="single" w:color="auto" w:sz="4" w:space="0"/>
                    <w:right w:val="single" w:color="auto" w:sz="4" w:space="0"/>
                  </w:tcBorders>
                  <w:noWrap w:val="0"/>
                  <w:vAlign w:val="center"/>
                </w:tcPr>
                <w:p w14:paraId="156F16AF">
                  <w:pPr>
                    <w:pStyle w:val="14"/>
                    <w:widowControl w:val="0"/>
                    <w:bidi w:val="0"/>
                    <w:rPr>
                      <w:rFonts w:hint="default" w:ascii="Times New Roman" w:hAnsi="Times New Roman" w:cs="Times New Roman"/>
                      <w:color w:val="auto"/>
                    </w:rPr>
                  </w:pPr>
                  <w:r>
                    <w:rPr>
                      <w:rFonts w:hint="default" w:ascii="Times New Roman" w:hAnsi="Times New Roman" w:cs="Times New Roman"/>
                      <w:color w:val="auto"/>
                    </w:rPr>
                    <w:t>频次</w:t>
                  </w:r>
                </w:p>
                <w:p w14:paraId="42477A94">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rPr>
                    <w:t>次/年）</w:t>
                  </w:r>
                </w:p>
              </w:tc>
              <w:tc>
                <w:tcPr>
                  <w:tcW w:w="2324" w:type="pct"/>
                  <w:tcBorders>
                    <w:top w:val="single" w:color="auto" w:sz="4" w:space="0"/>
                    <w:left w:val="single" w:color="auto" w:sz="4" w:space="0"/>
                    <w:bottom w:val="single" w:color="auto" w:sz="4" w:space="0"/>
                    <w:right w:val="single" w:color="auto" w:sz="4" w:space="0"/>
                  </w:tcBorders>
                  <w:noWrap w:val="0"/>
                  <w:vAlign w:val="center"/>
                </w:tcPr>
                <w:p w14:paraId="5419E52E">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1915" w:type="pct"/>
                  <w:tcBorders>
                    <w:top w:val="single" w:color="auto" w:sz="4" w:space="0"/>
                    <w:left w:val="single" w:color="auto" w:sz="4" w:space="0"/>
                    <w:bottom w:val="single" w:color="auto" w:sz="4" w:space="0"/>
                    <w:right w:val="single" w:color="auto" w:sz="4" w:space="0"/>
                  </w:tcBorders>
                  <w:noWrap w:val="0"/>
                  <w:vAlign w:val="center"/>
                </w:tcPr>
                <w:p w14:paraId="75D498D9">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14:paraId="1472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c>
                <w:tcPr>
                  <w:tcW w:w="760" w:type="pct"/>
                  <w:tcBorders>
                    <w:top w:val="single" w:color="auto" w:sz="4" w:space="0"/>
                    <w:left w:val="single" w:color="auto" w:sz="4" w:space="0"/>
                    <w:bottom w:val="single" w:color="auto" w:sz="4" w:space="0"/>
                    <w:right w:val="single" w:color="auto" w:sz="4" w:space="0"/>
                  </w:tcBorders>
                  <w:noWrap w:val="0"/>
                  <w:vAlign w:val="center"/>
                </w:tcPr>
                <w:p w14:paraId="0E6BE318">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rPr>
                    <w:t>持续时间</w:t>
                  </w:r>
                  <w:r>
                    <w:rPr>
                      <w:rFonts w:hint="default" w:ascii="Times New Roman" w:hAnsi="Times New Roman" w:cs="Times New Roman"/>
                      <w:color w:val="auto"/>
                      <w:lang w:eastAsia="zh-CN"/>
                    </w:rPr>
                    <w:t>（</w:t>
                  </w:r>
                  <w:r>
                    <w:rPr>
                      <w:rFonts w:hint="default" w:ascii="Times New Roman" w:hAnsi="Times New Roman" w:cs="Times New Roman"/>
                      <w:color w:val="auto"/>
                    </w:rPr>
                    <w:t>h/a）</w:t>
                  </w:r>
                </w:p>
              </w:tc>
              <w:tc>
                <w:tcPr>
                  <w:tcW w:w="2324" w:type="pct"/>
                  <w:tcBorders>
                    <w:top w:val="single" w:color="auto" w:sz="4" w:space="0"/>
                    <w:left w:val="single" w:color="auto" w:sz="4" w:space="0"/>
                    <w:bottom w:val="single" w:color="auto" w:sz="4" w:space="0"/>
                    <w:right w:val="single" w:color="auto" w:sz="4" w:space="0"/>
                  </w:tcBorders>
                  <w:noWrap w:val="0"/>
                  <w:vAlign w:val="center"/>
                </w:tcPr>
                <w:p w14:paraId="27BDDA44">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1915" w:type="pct"/>
                  <w:tcBorders>
                    <w:top w:val="single" w:color="auto" w:sz="4" w:space="0"/>
                    <w:left w:val="single" w:color="auto" w:sz="4" w:space="0"/>
                    <w:bottom w:val="single" w:color="auto" w:sz="4" w:space="0"/>
                    <w:right w:val="single" w:color="auto" w:sz="4" w:space="0"/>
                  </w:tcBorders>
                  <w:noWrap w:val="0"/>
                  <w:vAlign w:val="center"/>
                </w:tcPr>
                <w:p w14:paraId="5C5C06F5">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14:paraId="5AB7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c>
                <w:tcPr>
                  <w:tcW w:w="760" w:type="pct"/>
                  <w:tcBorders>
                    <w:top w:val="single" w:color="auto" w:sz="4" w:space="0"/>
                    <w:left w:val="single" w:color="auto" w:sz="4" w:space="0"/>
                    <w:bottom w:val="single" w:color="auto" w:sz="4" w:space="0"/>
                    <w:right w:val="single" w:color="auto" w:sz="4" w:space="0"/>
                  </w:tcBorders>
                  <w:noWrap w:val="0"/>
                  <w:vAlign w:val="center"/>
                </w:tcPr>
                <w:p w14:paraId="3CE59FD3">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rPr>
                    <w:t>措施</w:t>
                  </w:r>
                </w:p>
              </w:tc>
              <w:tc>
                <w:tcPr>
                  <w:tcW w:w="4239" w:type="pct"/>
                  <w:gridSpan w:val="2"/>
                  <w:tcBorders>
                    <w:top w:val="single" w:color="auto" w:sz="4" w:space="0"/>
                    <w:left w:val="single" w:color="auto" w:sz="4" w:space="0"/>
                    <w:bottom w:val="single" w:color="auto" w:sz="4" w:space="0"/>
                    <w:right w:val="single" w:color="auto" w:sz="4" w:space="0"/>
                  </w:tcBorders>
                  <w:noWrap w:val="0"/>
                  <w:vAlign w:val="center"/>
                </w:tcPr>
                <w:p w14:paraId="62166D07">
                  <w:pPr>
                    <w:pStyle w:val="14"/>
                    <w:widowControl w:val="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装置</w:t>
                  </w:r>
                  <w:r>
                    <w:rPr>
                      <w:rFonts w:hint="default" w:ascii="Times New Roman" w:hAnsi="Times New Roman" w:cs="Times New Roman"/>
                      <w:color w:val="auto"/>
                      <w:lang w:val="en-US" w:eastAsia="zh-CN"/>
                    </w:rPr>
                    <w:t>启动</w:t>
                  </w:r>
                  <w:r>
                    <w:rPr>
                      <w:rFonts w:hint="default" w:ascii="Times New Roman" w:hAnsi="Times New Roman" w:cs="Times New Roman"/>
                      <w:color w:val="auto"/>
                    </w:rPr>
                    <w:t>时先运行废气处理系统，</w:t>
                  </w:r>
                  <w:r>
                    <w:rPr>
                      <w:rFonts w:hint="default" w:ascii="Times New Roman" w:hAnsi="Times New Roman" w:cs="Times New Roman"/>
                      <w:color w:val="auto"/>
                      <w:lang w:val="en-US" w:eastAsia="zh-CN"/>
                    </w:rPr>
                    <w:t>停止</w:t>
                  </w:r>
                  <w:r>
                    <w:rPr>
                      <w:rFonts w:hint="default" w:ascii="Times New Roman" w:hAnsi="Times New Roman" w:cs="Times New Roman"/>
                      <w:color w:val="auto"/>
                    </w:rPr>
                    <w:t>时后停废气处理装置，这样可避免开停车时出现工艺废气事故排放</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及时更换活性炭</w:t>
                  </w:r>
                </w:p>
              </w:tc>
            </w:tr>
          </w:tbl>
          <w:p w14:paraId="27011C73">
            <w:pPr>
              <w:bidi w:val="0"/>
              <w:rPr>
                <w:rFonts w:hint="default" w:ascii="Times New Roman" w:hAnsi="Times New Roman" w:cs="Times New Roman"/>
                <w:color w:val="auto"/>
                <w:lang w:val="en-US" w:eastAsia="zh-CN"/>
              </w:rPr>
            </w:pPr>
            <w:r>
              <w:rPr>
                <w:color w:val="auto"/>
                <w:lang w:val="en-US" w:eastAsia="zh-CN"/>
              </w:rPr>
              <w:t>根据上表可知，</w:t>
            </w:r>
            <w:r>
              <w:rPr>
                <w:rFonts w:hint="eastAsia"/>
                <w:color w:val="auto"/>
                <w:lang w:val="en-US" w:eastAsia="zh-CN"/>
              </w:rPr>
              <w:t>当废气处理设备出现故障或活性炭吸附饱和未及时更换导致</w:t>
            </w:r>
            <w:r>
              <w:rPr>
                <w:rFonts w:hint="eastAsia"/>
                <w:color w:val="auto"/>
              </w:rPr>
              <w:t>系统</w:t>
            </w:r>
            <w:r>
              <w:rPr>
                <w:rFonts w:hint="eastAsia"/>
                <w:color w:val="auto"/>
                <w:lang w:val="en-US" w:eastAsia="zh-CN"/>
              </w:rPr>
              <w:t>对挥发性有机物无吸附效果</w:t>
            </w:r>
            <w:r>
              <w:rPr>
                <w:color w:val="auto"/>
                <w:lang w:val="en-US" w:eastAsia="zh-CN"/>
              </w:rPr>
              <w:t>，项目DA001排气筒排放的</w:t>
            </w:r>
            <w:r>
              <w:rPr>
                <w:rFonts w:hint="eastAsia"/>
                <w:color w:val="auto"/>
                <w:lang w:val="en-US" w:eastAsia="zh-CN"/>
              </w:rPr>
              <w:t>非甲烷总烃、二甲苯能达到排放浓度要求，但污染排放浓度及速率较处理系统正常运行增大</w:t>
            </w:r>
            <w:r>
              <w:rPr>
                <w:rFonts w:hint="default" w:ascii="Times New Roman" w:hAnsi="Times New Roman" w:cs="Times New Roman"/>
                <w:color w:val="auto"/>
                <w:lang w:val="en-US" w:eastAsia="zh-CN"/>
              </w:rPr>
              <w:t>。因此为了进一步降低对环境的影响，应避免出现非正常排放情况，企业应加强管理，定期对废气处理系统进行检查，确保其正常运行，杜绝非正常排放的情况发生。当出现非正常排放时，建设单位要及时停止生产，对设备进行关停检修，尽量控制对周围环境的影响。</w:t>
            </w:r>
          </w:p>
          <w:p w14:paraId="4774094D">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2）无组织废气达标情况</w:t>
            </w:r>
          </w:p>
          <w:p w14:paraId="6E83D5E0">
            <w:pPr>
              <w:bidi w:val="0"/>
              <w:rPr>
                <w:rFonts w:hint="default" w:ascii="Times New Roman" w:hAnsi="Times New Roman" w:cs="Times New Roman"/>
                <w:color w:val="auto"/>
              </w:rPr>
            </w:pPr>
            <w:r>
              <w:rPr>
                <w:rFonts w:hint="default" w:ascii="Times New Roman" w:hAnsi="Times New Roman" w:cs="Times New Roman"/>
                <w:color w:val="auto"/>
                <w:lang w:val="en-US" w:eastAsia="zh-CN"/>
              </w:rPr>
              <w:t>项目无组织废气主要是卸货的少量粉尘、逸散的喷漆废气、</w:t>
            </w:r>
            <w:r>
              <w:rPr>
                <w:rFonts w:hint="eastAsia" w:cs="Times New Roman"/>
                <w:color w:val="auto"/>
                <w:lang w:val="en-US" w:eastAsia="zh-CN"/>
              </w:rPr>
              <w:t>晾干废气、</w:t>
            </w:r>
            <w:r>
              <w:rPr>
                <w:rFonts w:hint="default" w:ascii="Times New Roman" w:hAnsi="Times New Roman" w:cs="Times New Roman"/>
                <w:color w:val="auto"/>
                <w:lang w:val="en-US" w:eastAsia="zh-CN"/>
              </w:rPr>
              <w:t>燃油机械尾气及旱厕异味等，项目生产设备均位于生产车间内，生产车间采用彩钢瓦进行封闭。卸货颗粒物多为车间沉降，及时进行清扫收集，减少厂外无组织排放。加强喷漆</w:t>
            </w:r>
            <w:r>
              <w:rPr>
                <w:rFonts w:hint="eastAsia" w:cs="Times New Roman"/>
                <w:color w:val="auto"/>
                <w:lang w:val="en-US" w:eastAsia="zh-CN"/>
              </w:rPr>
              <w:t>房</w:t>
            </w:r>
            <w:r>
              <w:rPr>
                <w:rFonts w:hint="default" w:ascii="Times New Roman" w:hAnsi="Times New Roman" w:cs="Times New Roman"/>
                <w:color w:val="auto"/>
                <w:lang w:val="en-US" w:eastAsia="zh-CN"/>
              </w:rPr>
              <w:t>的密封性，减少废气溢出，加强绿化，对燃油机械尾气及旱厕异味进行吸收扩散后对周围环境影响较小。项目无组织废气采取以上措施治理后可满足《大气污染物综合排放标准》（GB16297-1996）表2及</w:t>
            </w:r>
            <w:r>
              <w:rPr>
                <w:rFonts w:hint="default" w:ascii="Times New Roman" w:hAnsi="Times New Roman" w:cs="Times New Roman"/>
                <w:color w:val="auto"/>
              </w:rPr>
              <w:t>《挥发性有机物无组织排放控制标准》</w:t>
            </w:r>
            <w:r>
              <w:rPr>
                <w:rFonts w:hint="default" w:ascii="Times New Roman" w:hAnsi="Times New Roman" w:cs="Times New Roman"/>
                <w:color w:val="auto"/>
                <w:lang w:eastAsia="zh-CN"/>
              </w:rPr>
              <w:t>（</w:t>
            </w:r>
            <w:r>
              <w:rPr>
                <w:rFonts w:hint="default" w:ascii="Times New Roman" w:hAnsi="Times New Roman" w:cs="Times New Roman"/>
                <w:color w:val="auto"/>
              </w:rPr>
              <w:t>GB37822-2019）</w:t>
            </w:r>
            <w:r>
              <w:rPr>
                <w:rFonts w:hint="default" w:ascii="Times New Roman" w:hAnsi="Times New Roman" w:cs="Times New Roman"/>
                <w:color w:val="auto"/>
                <w:lang w:val="en-US" w:eastAsia="zh-CN"/>
              </w:rPr>
              <w:t>相关污染控制标准。</w:t>
            </w:r>
          </w:p>
          <w:p w14:paraId="01EF27E8">
            <w:pPr>
              <w:bidi w:val="0"/>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6</w:t>
            </w:r>
            <w:r>
              <w:rPr>
                <w:rFonts w:hint="default" w:ascii="Times New Roman" w:hAnsi="Times New Roman" w:cs="Times New Roman"/>
                <w:b/>
                <w:bCs/>
                <w:color w:val="auto"/>
              </w:rPr>
              <w:t>）监测计划</w:t>
            </w:r>
          </w:p>
          <w:p w14:paraId="00CE7461">
            <w:pPr>
              <w:bidi w:val="0"/>
              <w:rPr>
                <w:rFonts w:hint="default" w:ascii="Times New Roman" w:hAnsi="Times New Roman" w:cs="Times New Roman"/>
                <w:color w:val="auto"/>
              </w:rPr>
            </w:pPr>
            <w:r>
              <w:rPr>
                <w:rFonts w:hint="default" w:ascii="Times New Roman" w:hAnsi="Times New Roman" w:cs="Times New Roman"/>
                <w:color w:val="auto"/>
                <w:lang w:val="en-US" w:eastAsia="zh-CN"/>
              </w:rPr>
              <w:t>根据</w:t>
            </w:r>
            <w:r>
              <w:rPr>
                <w:rFonts w:hint="default" w:ascii="Times New Roman" w:hAnsi="Times New Roman" w:cs="Times New Roman"/>
                <w:color w:val="auto"/>
              </w:rPr>
              <w:t>《排污许可证申请与核发技术规范--家具制造工业》</w:t>
            </w:r>
            <w:r>
              <w:rPr>
                <w:rFonts w:hint="default" w:ascii="Times New Roman" w:hAnsi="Times New Roman" w:cs="Times New Roman"/>
                <w:color w:val="auto"/>
                <w:lang w:eastAsia="zh-CN"/>
              </w:rPr>
              <w:t>（</w:t>
            </w:r>
            <w:r>
              <w:rPr>
                <w:rFonts w:hint="default" w:ascii="Times New Roman" w:hAnsi="Times New Roman" w:cs="Times New Roman"/>
                <w:color w:val="auto"/>
              </w:rPr>
              <w:t>HJ1027-2019），本项目</w:t>
            </w:r>
            <w:r>
              <w:rPr>
                <w:rFonts w:hint="default" w:ascii="Times New Roman" w:hAnsi="Times New Roman" w:cs="Times New Roman"/>
                <w:color w:val="auto"/>
                <w:lang w:val="en-US" w:eastAsia="zh-CN"/>
              </w:rPr>
              <w:t>运营期废气</w:t>
            </w:r>
            <w:r>
              <w:rPr>
                <w:rFonts w:hint="default" w:ascii="Times New Roman" w:hAnsi="Times New Roman" w:cs="Times New Roman"/>
                <w:color w:val="auto"/>
              </w:rPr>
              <w:t>监测要求如下：</w:t>
            </w:r>
          </w:p>
          <w:p w14:paraId="420AE412">
            <w:pPr>
              <w:bidi w:val="0"/>
              <w:ind w:left="0" w:leftChars="0" w:firstLine="0" w:firstLineChars="0"/>
              <w:jc w:val="center"/>
              <w:rPr>
                <w:rFonts w:hint="default" w:ascii="Times New Roman" w:hAnsi="Times New Roman" w:cs="Times New Roman"/>
                <w:b/>
                <w:bCs/>
                <w:color w:val="auto"/>
              </w:rPr>
            </w:pPr>
          </w:p>
          <w:p w14:paraId="65464790">
            <w:pPr>
              <w:bidi w:val="0"/>
              <w:ind w:left="0" w:leftChars="0" w:firstLine="0" w:firstLineChars="0"/>
              <w:jc w:val="center"/>
              <w:rPr>
                <w:rFonts w:hint="default" w:ascii="Times New Roman" w:hAnsi="Times New Roman" w:cs="Times New Roman"/>
                <w:b/>
                <w:bCs/>
                <w:color w:val="auto"/>
              </w:rPr>
            </w:pPr>
          </w:p>
          <w:p w14:paraId="04615F8F">
            <w:pPr>
              <w:bidi w:val="0"/>
              <w:ind w:left="0" w:leftChars="0" w:firstLine="0" w:firstLineChars="0"/>
              <w:jc w:val="center"/>
              <w:rPr>
                <w:rFonts w:hint="default" w:ascii="Times New Roman" w:hAnsi="Times New Roman" w:cs="Times New Roman"/>
                <w:b/>
                <w:bCs/>
                <w:color w:val="auto"/>
              </w:rPr>
            </w:pPr>
          </w:p>
          <w:p w14:paraId="5F265F38">
            <w:pPr>
              <w:bidi w:val="0"/>
              <w:ind w:left="0" w:leftChars="0" w:firstLine="0" w:firstLineChars="0"/>
              <w:jc w:val="center"/>
              <w:rPr>
                <w:rFonts w:hint="default" w:ascii="Times New Roman" w:hAnsi="Times New Roman" w:cs="Times New Roman"/>
                <w:b/>
                <w:bCs/>
                <w:color w:val="auto"/>
              </w:rPr>
            </w:pPr>
          </w:p>
          <w:p w14:paraId="75077843">
            <w:pPr>
              <w:bidi w:val="0"/>
              <w:ind w:left="0" w:leftChars="0" w:firstLine="0" w:firstLineChars="0"/>
              <w:jc w:val="center"/>
              <w:rPr>
                <w:rFonts w:hint="default" w:ascii="Times New Roman" w:hAnsi="Times New Roman" w:cs="Times New Roman"/>
                <w:b/>
                <w:bCs/>
                <w:color w:val="auto"/>
              </w:rPr>
            </w:pPr>
          </w:p>
          <w:p w14:paraId="64E69A32">
            <w:pPr>
              <w:bidi w:val="0"/>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eastAsia" w:ascii="Times New Roman" w:hAnsi="Times New Roman" w:cs="Times New Roman"/>
                <w:b/>
                <w:bCs/>
                <w:color w:val="auto"/>
                <w:lang w:val="en-US" w:eastAsia="zh-CN"/>
              </w:rPr>
              <w:t>8</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 xml:space="preserve"> </w:t>
            </w:r>
            <w:r>
              <w:rPr>
                <w:rFonts w:hint="default" w:ascii="Times New Roman" w:hAnsi="Times New Roman" w:cs="Times New Roman"/>
                <w:b/>
                <w:bCs/>
                <w:color w:val="auto"/>
                <w:lang w:val="en-US" w:eastAsia="zh-CN"/>
              </w:rPr>
              <w:t>废气排放口</w:t>
            </w:r>
            <w:r>
              <w:rPr>
                <w:rFonts w:hint="default" w:ascii="Times New Roman" w:hAnsi="Times New Roman" w:cs="Times New Roman"/>
                <w:b/>
                <w:bCs/>
                <w:color w:val="auto"/>
              </w:rPr>
              <w:t>监测内容一览表</w:t>
            </w:r>
          </w:p>
          <w:tbl>
            <w:tblPr>
              <w:tblStyle w:val="17"/>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934"/>
              <w:gridCol w:w="830"/>
              <w:gridCol w:w="1166"/>
              <w:gridCol w:w="819"/>
              <w:gridCol w:w="1858"/>
              <w:gridCol w:w="1164"/>
            </w:tblGrid>
            <w:tr w14:paraId="54CBB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03" w:type="pct"/>
                  <w:noWrap w:val="0"/>
                  <w:vAlign w:val="center"/>
                </w:tcPr>
                <w:p w14:paraId="6DC92917">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排放</w:t>
                  </w:r>
                </w:p>
                <w:p w14:paraId="348B5214">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类型</w:t>
                  </w:r>
                </w:p>
              </w:tc>
              <w:tc>
                <w:tcPr>
                  <w:tcW w:w="1171" w:type="pct"/>
                  <w:gridSpan w:val="2"/>
                  <w:noWrap w:val="0"/>
                  <w:vAlign w:val="center"/>
                </w:tcPr>
                <w:p w14:paraId="696BED25">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监测点位</w:t>
                  </w:r>
                </w:p>
              </w:tc>
              <w:tc>
                <w:tcPr>
                  <w:tcW w:w="774" w:type="pct"/>
                  <w:noWrap w:val="0"/>
                  <w:vAlign w:val="center"/>
                </w:tcPr>
                <w:p w14:paraId="5D87395D">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监测因子</w:t>
                  </w:r>
                </w:p>
              </w:tc>
              <w:tc>
                <w:tcPr>
                  <w:tcW w:w="543" w:type="pct"/>
                  <w:noWrap w:val="0"/>
                  <w:vAlign w:val="center"/>
                </w:tcPr>
                <w:p w14:paraId="5F676EEF">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监测频次（简化管理）</w:t>
                  </w:r>
                </w:p>
              </w:tc>
              <w:tc>
                <w:tcPr>
                  <w:tcW w:w="1233" w:type="pct"/>
                  <w:tcBorders>
                    <w:right w:val="single" w:color="auto" w:sz="4" w:space="0"/>
                  </w:tcBorders>
                  <w:noWrap w:val="0"/>
                  <w:vAlign w:val="center"/>
                </w:tcPr>
                <w:p w14:paraId="055A84DD">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标准</w:t>
                  </w:r>
                </w:p>
              </w:tc>
              <w:tc>
                <w:tcPr>
                  <w:tcW w:w="773" w:type="pct"/>
                  <w:tcBorders>
                    <w:top w:val="single" w:color="auto" w:sz="4" w:space="0"/>
                    <w:left w:val="single" w:color="auto" w:sz="4" w:space="0"/>
                    <w:bottom w:val="single" w:color="auto" w:sz="4" w:space="0"/>
                    <w:right w:val="single" w:color="auto" w:sz="4" w:space="0"/>
                  </w:tcBorders>
                  <w:noWrap w:val="0"/>
                  <w:vAlign w:val="center"/>
                </w:tcPr>
                <w:p w14:paraId="37F8D8F3">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实施单位</w:t>
                  </w:r>
                </w:p>
              </w:tc>
            </w:tr>
            <w:tr w14:paraId="20BFB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jc w:val="center"/>
              </w:trPr>
              <w:tc>
                <w:tcPr>
                  <w:tcW w:w="503" w:type="pct"/>
                  <w:noWrap w:val="0"/>
                  <w:vAlign w:val="center"/>
                </w:tcPr>
                <w:p w14:paraId="637DA31E">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有组织废气</w:t>
                  </w:r>
                </w:p>
              </w:tc>
              <w:tc>
                <w:tcPr>
                  <w:tcW w:w="620" w:type="pct"/>
                  <w:noWrap w:val="0"/>
                  <w:vAlign w:val="center"/>
                </w:tcPr>
                <w:p w14:paraId="157C1DC9">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喷漆废气</w:t>
                  </w:r>
                </w:p>
              </w:tc>
              <w:tc>
                <w:tcPr>
                  <w:tcW w:w="551" w:type="pct"/>
                  <w:noWrap w:val="0"/>
                  <w:vAlign w:val="center"/>
                </w:tcPr>
                <w:p w14:paraId="213EEC54">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DA001</w:t>
                  </w:r>
                </w:p>
              </w:tc>
              <w:tc>
                <w:tcPr>
                  <w:tcW w:w="774" w:type="pct"/>
                  <w:noWrap w:val="0"/>
                  <w:vAlign w:val="center"/>
                </w:tcPr>
                <w:p w14:paraId="64800D69">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颗粒物、非甲烷总烃、二甲苯</w:t>
                  </w:r>
                </w:p>
              </w:tc>
              <w:tc>
                <w:tcPr>
                  <w:tcW w:w="543" w:type="pct"/>
                  <w:noWrap w:val="0"/>
                  <w:vAlign w:val="center"/>
                </w:tcPr>
                <w:p w14:paraId="7A852C07">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1次/半年</w:t>
                  </w:r>
                </w:p>
              </w:tc>
              <w:tc>
                <w:tcPr>
                  <w:tcW w:w="1233" w:type="pct"/>
                  <w:noWrap w:val="0"/>
                  <w:vAlign w:val="center"/>
                </w:tcPr>
                <w:p w14:paraId="51ED56F7">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《大气污染物综合排放标准》（GB16297-1996）</w:t>
                  </w:r>
                </w:p>
              </w:tc>
              <w:tc>
                <w:tcPr>
                  <w:tcW w:w="773" w:type="pct"/>
                  <w:tcBorders>
                    <w:top w:val="single" w:color="auto" w:sz="4" w:space="0"/>
                  </w:tcBorders>
                  <w:noWrap w:val="0"/>
                  <w:vAlign w:val="center"/>
                </w:tcPr>
                <w:p w14:paraId="49CFD3F5">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委托有资质</w:t>
                  </w:r>
                </w:p>
                <w:p w14:paraId="382FF2E0">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的环境监测</w:t>
                  </w:r>
                </w:p>
                <w:p w14:paraId="2329D068">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单位</w:t>
                  </w:r>
                </w:p>
              </w:tc>
            </w:tr>
            <w:tr w14:paraId="70974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03" w:type="pct"/>
                  <w:vMerge w:val="restart"/>
                  <w:noWrap w:val="0"/>
                  <w:vAlign w:val="center"/>
                </w:tcPr>
                <w:p w14:paraId="4030321F">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无组织废气</w:t>
                  </w:r>
                </w:p>
              </w:tc>
              <w:tc>
                <w:tcPr>
                  <w:tcW w:w="1171" w:type="pct"/>
                  <w:gridSpan w:val="2"/>
                  <w:noWrap w:val="0"/>
                  <w:vAlign w:val="center"/>
                </w:tcPr>
                <w:p w14:paraId="412E7954">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厂界</w:t>
                  </w:r>
                </w:p>
              </w:tc>
              <w:tc>
                <w:tcPr>
                  <w:tcW w:w="774" w:type="pct"/>
                  <w:noWrap w:val="0"/>
                  <w:vAlign w:val="center"/>
                </w:tcPr>
                <w:p w14:paraId="611089A8">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颗粒物、非甲烷总烃、二甲苯</w:t>
                  </w:r>
                </w:p>
              </w:tc>
              <w:tc>
                <w:tcPr>
                  <w:tcW w:w="543" w:type="pct"/>
                  <w:vMerge w:val="restart"/>
                  <w:noWrap w:val="0"/>
                  <w:vAlign w:val="center"/>
                </w:tcPr>
                <w:p w14:paraId="46D6A66D">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1次/年</w:t>
                  </w:r>
                </w:p>
              </w:tc>
              <w:tc>
                <w:tcPr>
                  <w:tcW w:w="1233" w:type="pct"/>
                  <w:noWrap w:val="0"/>
                  <w:vAlign w:val="center"/>
                </w:tcPr>
                <w:p w14:paraId="4C10415A">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《大气污染物综合排放标准》（GB16297-1996）</w:t>
                  </w:r>
                </w:p>
              </w:tc>
              <w:tc>
                <w:tcPr>
                  <w:tcW w:w="773" w:type="pct"/>
                  <w:vMerge w:val="restart"/>
                  <w:noWrap w:val="0"/>
                  <w:vAlign w:val="center"/>
                </w:tcPr>
                <w:p w14:paraId="4D723F14">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委托有资质</w:t>
                  </w:r>
                </w:p>
                <w:p w14:paraId="240A405A">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的环境监测</w:t>
                  </w:r>
                </w:p>
                <w:p w14:paraId="649FCF46">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单位</w:t>
                  </w:r>
                </w:p>
              </w:tc>
            </w:tr>
            <w:tr w14:paraId="27AE1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03" w:type="pct"/>
                  <w:vMerge w:val="continue"/>
                  <w:noWrap w:val="0"/>
                  <w:vAlign w:val="center"/>
                </w:tcPr>
                <w:p w14:paraId="2E5953B4">
                  <w:pPr>
                    <w:pStyle w:val="14"/>
                    <w:bidi w:val="0"/>
                    <w:rPr>
                      <w:rFonts w:hint="default" w:ascii="Times New Roman" w:hAnsi="Times New Roman" w:cs="Times New Roman"/>
                      <w:color w:val="auto"/>
                      <w:lang w:val="en-US" w:eastAsia="zh-CN"/>
                    </w:rPr>
                  </w:pPr>
                </w:p>
              </w:tc>
              <w:tc>
                <w:tcPr>
                  <w:tcW w:w="1171" w:type="pct"/>
                  <w:gridSpan w:val="2"/>
                  <w:noWrap w:val="0"/>
                  <w:vAlign w:val="center"/>
                </w:tcPr>
                <w:p w14:paraId="09821916">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厂区内</w:t>
                  </w:r>
                </w:p>
              </w:tc>
              <w:tc>
                <w:tcPr>
                  <w:tcW w:w="774" w:type="pct"/>
                  <w:noWrap w:val="0"/>
                  <w:vAlign w:val="center"/>
                </w:tcPr>
                <w:p w14:paraId="404C32E7">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非甲烷总烃</w:t>
                  </w:r>
                </w:p>
              </w:tc>
              <w:tc>
                <w:tcPr>
                  <w:tcW w:w="543" w:type="pct"/>
                  <w:vMerge w:val="continue"/>
                  <w:noWrap w:val="0"/>
                  <w:vAlign w:val="center"/>
                </w:tcPr>
                <w:p w14:paraId="63652EAD">
                  <w:pPr>
                    <w:pStyle w:val="14"/>
                    <w:bidi w:val="0"/>
                    <w:rPr>
                      <w:rFonts w:hint="default" w:ascii="Times New Roman" w:hAnsi="Times New Roman" w:cs="Times New Roman"/>
                      <w:color w:val="auto"/>
                      <w:lang w:val="en-US" w:eastAsia="zh-CN"/>
                    </w:rPr>
                  </w:pPr>
                </w:p>
              </w:tc>
              <w:tc>
                <w:tcPr>
                  <w:tcW w:w="1233" w:type="pct"/>
                  <w:noWrap w:val="0"/>
                  <w:vAlign w:val="center"/>
                </w:tcPr>
                <w:p w14:paraId="5E5F069F">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《挥发性有机物无组织排放控制标准》</w:t>
                  </w:r>
                  <w:r>
                    <w:rPr>
                      <w:rFonts w:hint="default" w:ascii="Times New Roman" w:hAnsi="Times New Roman" w:cs="Times New Roman"/>
                      <w:color w:val="auto"/>
                      <w:lang w:eastAsia="zh-CN"/>
                    </w:rPr>
                    <w:t>（</w:t>
                  </w:r>
                  <w:r>
                    <w:rPr>
                      <w:rFonts w:hint="default" w:ascii="Times New Roman" w:hAnsi="Times New Roman" w:cs="Times New Roman"/>
                      <w:color w:val="auto"/>
                    </w:rPr>
                    <w:t>GB37822-2019）</w:t>
                  </w:r>
                </w:p>
              </w:tc>
              <w:tc>
                <w:tcPr>
                  <w:tcW w:w="773" w:type="pct"/>
                  <w:vMerge w:val="continue"/>
                  <w:noWrap w:val="0"/>
                  <w:vAlign w:val="center"/>
                </w:tcPr>
                <w:p w14:paraId="70528623">
                  <w:pPr>
                    <w:pStyle w:val="14"/>
                    <w:bidi w:val="0"/>
                    <w:rPr>
                      <w:rFonts w:hint="default" w:ascii="Times New Roman" w:hAnsi="Times New Roman" w:cs="Times New Roman"/>
                      <w:color w:val="auto"/>
                      <w:lang w:val="en-US" w:eastAsia="zh-CN"/>
                    </w:rPr>
                  </w:pPr>
                </w:p>
              </w:tc>
            </w:tr>
          </w:tbl>
          <w:p w14:paraId="301F153A">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7</w:t>
            </w: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大气环境影响结论</w:t>
            </w:r>
          </w:p>
          <w:p w14:paraId="08EC3B24">
            <w:pPr>
              <w:bidi w:val="0"/>
              <w:rPr>
                <w:rFonts w:hint="default" w:ascii="Times New Roman" w:hAnsi="Times New Roman" w:cs="Times New Roman"/>
                <w:color w:val="auto"/>
              </w:rPr>
            </w:pPr>
            <w:r>
              <w:rPr>
                <w:rFonts w:hint="default" w:ascii="Times New Roman" w:hAnsi="Times New Roman" w:cs="Times New Roman"/>
                <w:color w:val="auto"/>
              </w:rPr>
              <w:t>本项目大气污染物主要为</w:t>
            </w:r>
            <w:r>
              <w:rPr>
                <w:rFonts w:hint="default" w:ascii="Times New Roman" w:hAnsi="Times New Roman" w:cs="Times New Roman"/>
                <w:color w:val="auto"/>
                <w:lang w:val="en-US" w:eastAsia="zh-CN"/>
              </w:rPr>
              <w:t>颗粒物、非甲烷总烃、二甲苯</w:t>
            </w:r>
            <w:r>
              <w:rPr>
                <w:rFonts w:hint="default" w:ascii="Times New Roman" w:hAnsi="Times New Roman" w:cs="Times New Roman"/>
                <w:color w:val="auto"/>
              </w:rPr>
              <w:t>，根据</w:t>
            </w:r>
            <w:r>
              <w:rPr>
                <w:rFonts w:hint="default" w:ascii="Times New Roman" w:hAnsi="Times New Roman" w:cs="Times New Roman"/>
                <w:color w:val="auto"/>
                <w:lang w:val="en-US" w:eastAsia="zh-CN"/>
              </w:rPr>
              <w:t>上文</w:t>
            </w:r>
            <w:r>
              <w:rPr>
                <w:rFonts w:hint="default" w:ascii="Times New Roman" w:hAnsi="Times New Roman" w:cs="Times New Roman"/>
                <w:color w:val="auto"/>
              </w:rPr>
              <w:t>分析，有组织排放的</w:t>
            </w:r>
            <w:r>
              <w:rPr>
                <w:rFonts w:hint="default" w:ascii="Times New Roman" w:hAnsi="Times New Roman" w:cs="Times New Roman"/>
                <w:color w:val="auto"/>
                <w:lang w:val="en-US" w:eastAsia="zh-CN"/>
              </w:rPr>
              <w:t>颗粒物、非甲烷总烃、二甲苯</w:t>
            </w:r>
            <w:r>
              <w:rPr>
                <w:rFonts w:hint="default" w:ascii="Times New Roman" w:hAnsi="Times New Roman" w:cs="Times New Roman"/>
                <w:color w:val="auto"/>
              </w:rPr>
              <w:t>浓度能够满足《大气污染物综合排放标准》</w:t>
            </w:r>
            <w:r>
              <w:rPr>
                <w:rFonts w:hint="default" w:ascii="Times New Roman" w:hAnsi="Times New Roman" w:cs="Times New Roman"/>
                <w:color w:val="auto"/>
                <w:lang w:eastAsia="zh-CN"/>
              </w:rPr>
              <w:t>（</w:t>
            </w:r>
            <w:r>
              <w:rPr>
                <w:rFonts w:hint="default" w:ascii="Times New Roman" w:hAnsi="Times New Roman" w:cs="Times New Roman"/>
                <w:color w:val="auto"/>
              </w:rPr>
              <w:t>GB16297-1996），为达标排放。</w:t>
            </w:r>
            <w:r>
              <w:rPr>
                <w:rFonts w:hint="default" w:ascii="Times New Roman" w:hAnsi="Times New Roman" w:cs="Times New Roman"/>
                <w:color w:val="auto"/>
                <w:lang w:val="en-US" w:eastAsia="zh-CN"/>
              </w:rPr>
              <w:t>项目无组织废气排放量较小，通过沉降清扫、通风扩散及绿化吸收后对周围环境影响较小</w:t>
            </w:r>
            <w:r>
              <w:rPr>
                <w:rFonts w:hint="eastAsia" w:cs="Times New Roman"/>
                <w:color w:val="auto"/>
                <w:lang w:val="en-US" w:eastAsia="zh-CN"/>
              </w:rPr>
              <w:t>，同时且本项目占地范围位于云南澄江动物群古生物国家地质公园规划范围以及澄江动物化石群省级自然保护区范围以外，对其影响较小</w:t>
            </w:r>
            <w:r>
              <w:rPr>
                <w:rFonts w:hint="default" w:ascii="Times New Roman" w:hAnsi="Times New Roman" w:cs="Times New Roman"/>
                <w:color w:val="auto"/>
                <w:lang w:val="en-US" w:eastAsia="zh-CN"/>
              </w:rPr>
              <w:t>。</w:t>
            </w:r>
          </w:p>
          <w:p w14:paraId="0F5C9989">
            <w:pPr>
              <w:bidi w:val="0"/>
              <w:rPr>
                <w:rFonts w:hint="default" w:ascii="Times New Roman" w:hAnsi="Times New Roman" w:cs="Times New Roman"/>
                <w:color w:val="auto"/>
              </w:rPr>
            </w:pPr>
            <w:r>
              <w:rPr>
                <w:rFonts w:hint="default" w:ascii="Times New Roman" w:hAnsi="Times New Roman" w:cs="Times New Roman"/>
                <w:color w:val="auto"/>
              </w:rPr>
              <w:t>综上所述，在采取本次评价提出的大气环境保护措施的前提下项目对周边大气环境影响较小。</w:t>
            </w:r>
          </w:p>
          <w:p w14:paraId="5D5D5A8C">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2、废水影响分析及保护措施</w:t>
            </w:r>
          </w:p>
          <w:p w14:paraId="276CE435">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1</w:t>
            </w: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用水及废水产生情况</w:t>
            </w:r>
          </w:p>
          <w:p w14:paraId="5F7CF000">
            <w:pPr>
              <w:bidi w:val="0"/>
              <w:rPr>
                <w:rFonts w:hint="default" w:ascii="Times New Roman" w:hAnsi="Times New Roman" w:cs="Times New Roman"/>
                <w:b w:val="0"/>
                <w:bCs w:val="0"/>
                <w:color w:val="auto"/>
                <w:lang w:val="en-US" w:eastAsia="zh-CN"/>
              </w:rPr>
            </w:pPr>
            <w:r>
              <w:rPr>
                <w:rFonts w:hint="eastAsia"/>
                <w:b w:val="0"/>
                <w:bCs w:val="0"/>
                <w:color w:val="auto"/>
                <w:lang w:val="en-US" w:eastAsia="zh-CN"/>
              </w:rPr>
              <w:t>项目区不设食宿，生产过程不使用水，仅员工洗手、绿化及废气处理设施中水帘处理系统定期更换使用水。废水主要为少量员工洗手废水、水帘更换废液（作危废处理）</w:t>
            </w:r>
            <w:r>
              <w:rPr>
                <w:rFonts w:hint="default" w:ascii="Times New Roman" w:hAnsi="Times New Roman" w:cs="Times New Roman"/>
                <w:b w:val="0"/>
                <w:bCs w:val="0"/>
                <w:color w:val="auto"/>
                <w:lang w:val="en-US" w:eastAsia="zh-CN"/>
              </w:rPr>
              <w:t>。</w:t>
            </w:r>
          </w:p>
          <w:p w14:paraId="6D1F201D">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①员工用水及废水产生情况</w:t>
            </w:r>
          </w:p>
          <w:p w14:paraId="623DDB9B">
            <w:pPr>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项目员工13人，员工办公废水本次按照用水量15L/d·人计，则用水量为0.2m³/d，60t/a，产污系数0.8，废水量为0.16m³/d，48t/a，污染因子主要为SS，环评提出设置一个1m³的沉淀池，洗手废水经沉淀后回用于厂区道路洒水降尘。</w:t>
            </w:r>
          </w:p>
          <w:p w14:paraId="34C5DB35">
            <w:pPr>
              <w:bidi w:val="0"/>
              <w:rPr>
                <w:rFonts w:hint="default" w:eastAsia="宋体"/>
                <w:b/>
                <w:bCs/>
                <w:color w:val="auto"/>
                <w:lang w:val="en-US" w:eastAsia="zh-CN"/>
              </w:rPr>
            </w:pPr>
            <w:r>
              <w:rPr>
                <w:rFonts w:hint="eastAsia"/>
                <w:b/>
                <w:bCs/>
                <w:color w:val="auto"/>
                <w:lang w:val="en-US" w:eastAsia="zh-CN"/>
              </w:rPr>
              <w:t>②水帘系统定期更换用水及废液产生情况</w:t>
            </w:r>
          </w:p>
          <w:p w14:paraId="2230EEAC">
            <w:pPr>
              <w:bidi w:val="0"/>
              <w:rPr>
                <w:rFonts w:hint="default" w:ascii="Times New Roman" w:hAnsi="Times New Roman" w:cs="Times New Roman"/>
                <w:b/>
                <w:bCs/>
                <w:color w:val="auto"/>
                <w:lang w:val="en-US" w:eastAsia="zh-CN"/>
              </w:rPr>
            </w:pPr>
            <w:r>
              <w:rPr>
                <w:rFonts w:hint="eastAsia"/>
                <w:color w:val="auto"/>
              </w:rPr>
              <w:t>本项目喷漆</w:t>
            </w:r>
            <w:r>
              <w:rPr>
                <w:rFonts w:hint="eastAsia"/>
                <w:color w:val="auto"/>
                <w:lang w:val="en-US" w:eastAsia="zh-CN"/>
              </w:rPr>
              <w:t>废气处理系统</w:t>
            </w:r>
            <w:r>
              <w:rPr>
                <w:rFonts w:hint="eastAsia"/>
                <w:color w:val="auto"/>
              </w:rPr>
              <w:t>设置一台水帘柜。喷漆房产生的漆雾随气流引至一体化水帘柜，附着漆雾后的废水经水帘柜底部的水槽收集，由设置于水槽中的过滤装置将废水中的漆渣过滤后循环使用。根据</w:t>
            </w:r>
            <w:r>
              <w:rPr>
                <w:rFonts w:hint="eastAsia"/>
                <w:color w:val="auto"/>
                <w:lang w:eastAsia="zh-CN"/>
              </w:rPr>
              <w:t>设</w:t>
            </w:r>
            <w:r>
              <w:rPr>
                <w:rFonts w:hint="eastAsia"/>
                <w:color w:val="auto"/>
                <w:lang w:val="en-US" w:eastAsia="zh-CN"/>
              </w:rPr>
              <w:t>计资料</w:t>
            </w:r>
            <w:r>
              <w:rPr>
                <w:rFonts w:hint="eastAsia"/>
                <w:color w:val="auto"/>
              </w:rPr>
              <w:t>，水帘柜储水容积0.</w:t>
            </w:r>
            <w:r>
              <w:rPr>
                <w:rFonts w:hint="eastAsia"/>
                <w:color w:val="auto"/>
                <w:lang w:val="en-US" w:eastAsia="zh-CN"/>
              </w:rPr>
              <w:t>5</w:t>
            </w:r>
            <w:r>
              <w:rPr>
                <w:rFonts w:hint="eastAsia"/>
                <w:color w:val="auto"/>
              </w:rPr>
              <w:t>m</w:t>
            </w:r>
            <w:r>
              <w:rPr>
                <w:rFonts w:hint="eastAsia"/>
                <w:color w:val="auto"/>
                <w:vertAlign w:val="superscript"/>
              </w:rPr>
              <w:t>3</w:t>
            </w:r>
            <w:r>
              <w:rPr>
                <w:rFonts w:hint="eastAsia"/>
                <w:color w:val="auto"/>
              </w:rPr>
              <w:t>，项目对水槽中的废水每季度更换一次，更换的废水量约为0.</w:t>
            </w:r>
            <w:r>
              <w:rPr>
                <w:rFonts w:hint="eastAsia"/>
                <w:color w:val="auto"/>
                <w:lang w:val="en-US" w:eastAsia="zh-CN"/>
              </w:rPr>
              <w:t>5</w:t>
            </w:r>
            <w:r>
              <w:rPr>
                <w:rFonts w:hint="eastAsia"/>
                <w:color w:val="auto"/>
              </w:rPr>
              <w:t>m</w:t>
            </w:r>
            <w:r>
              <w:rPr>
                <w:rFonts w:hint="eastAsia"/>
                <w:color w:val="auto"/>
                <w:vertAlign w:val="superscript"/>
              </w:rPr>
              <w:t>3</w:t>
            </w:r>
            <w:r>
              <w:rPr>
                <w:rFonts w:hint="eastAsia"/>
                <w:color w:val="auto"/>
              </w:rPr>
              <w:t>/次（2</w:t>
            </w:r>
            <w:r>
              <w:rPr>
                <w:rFonts w:hint="eastAsia"/>
                <w:color w:val="auto"/>
                <w:lang w:val="en-US" w:eastAsia="zh-CN"/>
              </w:rPr>
              <w:t>t</w:t>
            </w:r>
            <w:r>
              <w:rPr>
                <w:rFonts w:hint="eastAsia"/>
                <w:color w:val="auto"/>
              </w:rPr>
              <w:t>/a），废水为危废，收集暂存于危废暂存间委托有资质的单位进行处置。漆房日工作8h，水帘柜循环水水量为0.</w:t>
            </w:r>
            <w:r>
              <w:rPr>
                <w:rFonts w:hint="eastAsia"/>
                <w:color w:val="auto"/>
                <w:lang w:val="en-US" w:eastAsia="zh-CN"/>
              </w:rPr>
              <w:t>5</w:t>
            </w:r>
            <w:r>
              <w:rPr>
                <w:rFonts w:hint="eastAsia"/>
                <w:color w:val="auto"/>
              </w:rPr>
              <w:t>m</w:t>
            </w:r>
            <w:r>
              <w:rPr>
                <w:rFonts w:hint="eastAsia"/>
                <w:color w:val="auto"/>
                <w:vertAlign w:val="superscript"/>
              </w:rPr>
              <w:t>3</w:t>
            </w:r>
            <w:r>
              <w:rPr>
                <w:rFonts w:hint="eastAsia"/>
                <w:color w:val="auto"/>
              </w:rPr>
              <w:t>/h（4m</w:t>
            </w:r>
            <w:r>
              <w:rPr>
                <w:rFonts w:hint="eastAsia"/>
                <w:color w:val="auto"/>
                <w:vertAlign w:val="superscript"/>
              </w:rPr>
              <w:t>3</w:t>
            </w:r>
            <w:r>
              <w:rPr>
                <w:rFonts w:hint="eastAsia"/>
                <w:color w:val="auto"/>
              </w:rPr>
              <w:t>/d），损耗按10%计，则项目水帘柜补水量为</w:t>
            </w:r>
            <w:r>
              <w:rPr>
                <w:rFonts w:hint="eastAsia"/>
                <w:color w:val="auto"/>
                <w:lang w:val="en-US" w:eastAsia="zh-CN"/>
              </w:rPr>
              <w:t>0.4</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120</w:t>
            </w:r>
            <w:r>
              <w:rPr>
                <w:rFonts w:hint="eastAsia"/>
                <w:color w:val="auto"/>
              </w:rPr>
              <w:t>m</w:t>
            </w:r>
            <w:r>
              <w:rPr>
                <w:rFonts w:hint="eastAsia"/>
                <w:color w:val="auto"/>
                <w:vertAlign w:val="superscript"/>
              </w:rPr>
              <w:t>3</w:t>
            </w:r>
            <w:r>
              <w:rPr>
                <w:rFonts w:hint="eastAsia"/>
                <w:color w:val="auto"/>
              </w:rPr>
              <w:t>/a。补充水由新鲜水供给</w:t>
            </w:r>
            <w:r>
              <w:rPr>
                <w:rFonts w:hint="eastAsia"/>
                <w:color w:val="auto"/>
                <w:lang w:eastAsia="zh-CN"/>
              </w:rPr>
              <w:t>。</w:t>
            </w:r>
            <w:r>
              <w:rPr>
                <w:rFonts w:hint="eastAsia"/>
                <w:color w:val="auto"/>
                <w:lang w:val="en-US" w:eastAsia="zh-CN"/>
              </w:rPr>
              <w:t>水帘系统年总用水量122t/a。</w:t>
            </w:r>
          </w:p>
          <w:p w14:paraId="39652C8D">
            <w:pPr>
              <w:bidi w:val="0"/>
              <w:rPr>
                <w:rFonts w:hint="default" w:ascii="Times New Roman" w:hAnsi="Times New Roman" w:cs="Times New Roman"/>
                <w:b/>
                <w:bCs/>
                <w:color w:val="auto"/>
                <w:lang w:val="en-US" w:eastAsia="zh-CN"/>
              </w:rPr>
            </w:pPr>
            <w:r>
              <w:rPr>
                <w:rFonts w:hint="eastAsia" w:cs="Times New Roman"/>
                <w:b/>
                <w:bCs/>
                <w:color w:val="auto"/>
                <w:lang w:val="en-US" w:eastAsia="zh-CN"/>
              </w:rPr>
              <w:t>③</w:t>
            </w:r>
            <w:r>
              <w:rPr>
                <w:rFonts w:hint="default" w:ascii="Times New Roman" w:hAnsi="Times New Roman" w:cs="Times New Roman"/>
                <w:b/>
                <w:bCs/>
                <w:color w:val="auto"/>
                <w:lang w:val="en-US" w:eastAsia="zh-CN"/>
              </w:rPr>
              <w:t>绿化用水</w:t>
            </w:r>
          </w:p>
          <w:p w14:paraId="4996D844">
            <w:pPr>
              <w:bidi w:val="0"/>
              <w:rPr>
                <w:rFonts w:hint="default" w:ascii="Times New Roman" w:hAnsi="Times New Roman" w:cs="Times New Roman"/>
                <w:color w:val="auto"/>
              </w:rPr>
            </w:pPr>
            <w:r>
              <w:rPr>
                <w:rFonts w:hint="default" w:ascii="Times New Roman" w:hAnsi="Times New Roman" w:cs="Times New Roman"/>
                <w:color w:val="auto"/>
                <w:lang w:val="en-US" w:eastAsia="zh-CN"/>
              </w:rPr>
              <w:t>项目绿化面积约为300m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，绿地浇灌需要消耗一定的水量，绿化用水经植物吸收、蒸发损耗，不产生废水。根据《云南省地方标准用水定额》（DB/T168-2019）中相关标准及项目实际情况，绿化用水晴天取3L/（m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·d）的用水量，雨天不用水，则项目晴天需要消耗的绿化用水量为0.9m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/d，晴天按照210天计，则每年消耗的绿化用水量约为189t/a。</w:t>
            </w:r>
          </w:p>
          <w:p w14:paraId="223F198E">
            <w:pPr>
              <w:bidi w:val="0"/>
              <w:rPr>
                <w:rFonts w:hint="default" w:ascii="Times New Roman" w:hAnsi="Times New Roman" w:cs="Times New Roman"/>
                <w:color w:val="auto"/>
              </w:rPr>
            </w:pPr>
            <w:r>
              <w:rPr>
                <w:rFonts w:hint="default" w:ascii="Times New Roman" w:hAnsi="Times New Roman" w:cs="Times New Roman"/>
                <w:color w:val="auto"/>
              </w:rPr>
              <w:t>项目</w:t>
            </w:r>
            <w:r>
              <w:rPr>
                <w:rFonts w:hint="default" w:ascii="Times New Roman" w:hAnsi="Times New Roman" w:cs="Times New Roman"/>
                <w:color w:val="auto"/>
                <w:lang w:val="en-US" w:eastAsia="zh-CN"/>
              </w:rPr>
              <w:t>用水及废气</w:t>
            </w:r>
            <w:r>
              <w:rPr>
                <w:rFonts w:hint="default" w:ascii="Times New Roman" w:hAnsi="Times New Roman" w:cs="Times New Roman"/>
                <w:color w:val="auto"/>
              </w:rPr>
              <w:t>产生情况详见表</w:t>
            </w: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9</w:t>
            </w:r>
            <w:r>
              <w:rPr>
                <w:rFonts w:hint="default" w:ascii="Times New Roman" w:hAnsi="Times New Roman" w:cs="Times New Roman"/>
                <w:color w:val="auto"/>
              </w:rPr>
              <w:t>，项目水量平衡图详见</w:t>
            </w:r>
            <w:r>
              <w:rPr>
                <w:rFonts w:hint="default" w:ascii="Times New Roman" w:hAnsi="Times New Roman" w:cs="Times New Roman"/>
                <w:color w:val="auto"/>
                <w:lang w:val="en-US" w:eastAsia="zh-CN"/>
              </w:rPr>
              <w:t>下</w:t>
            </w:r>
            <w:r>
              <w:rPr>
                <w:rFonts w:hint="default" w:ascii="Times New Roman" w:hAnsi="Times New Roman" w:cs="Times New Roman"/>
                <w:color w:val="auto"/>
              </w:rPr>
              <w:t>图。</w:t>
            </w:r>
          </w:p>
          <w:p w14:paraId="2DC593E2">
            <w:pPr>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表4-</w:t>
            </w:r>
            <w:r>
              <w:rPr>
                <w:rFonts w:hint="eastAsia" w:ascii="Times New Roman" w:hAnsi="Times New Roman" w:cs="Times New Roman"/>
                <w:b/>
                <w:bCs/>
                <w:color w:val="auto"/>
                <w:lang w:val="en-US" w:eastAsia="zh-CN"/>
              </w:rPr>
              <w:t>9</w:t>
            </w:r>
            <w:r>
              <w:rPr>
                <w:rFonts w:hint="default" w:ascii="Times New Roman" w:hAnsi="Times New Roman" w:cs="Times New Roman"/>
                <w:b/>
                <w:bCs/>
                <w:color w:val="auto"/>
                <w:lang w:val="en-US" w:eastAsia="zh-CN"/>
              </w:rPr>
              <w:t xml:space="preserve">   项目运营期用水及废水产生情况表</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6"/>
              <w:gridCol w:w="1007"/>
              <w:gridCol w:w="665"/>
              <w:gridCol w:w="832"/>
              <w:gridCol w:w="1081"/>
              <w:gridCol w:w="1018"/>
              <w:gridCol w:w="739"/>
              <w:gridCol w:w="1492"/>
            </w:tblGrid>
            <w:tr w14:paraId="4D5E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96" w:type="dxa"/>
                  <w:noWrap w:val="0"/>
                  <w:vAlign w:val="center"/>
                </w:tcPr>
                <w:p w14:paraId="4DD5476B">
                  <w:pPr>
                    <w:pStyle w:val="14"/>
                    <w:bidi w:val="0"/>
                    <w:rPr>
                      <w:rFonts w:hint="default" w:ascii="Times New Roman" w:hAnsi="Times New Roman" w:cs="Times New Roman"/>
                      <w:b/>
                      <w:bCs/>
                      <w:color w:val="auto"/>
                    </w:rPr>
                  </w:pPr>
                  <w:r>
                    <w:rPr>
                      <w:rFonts w:hint="default" w:ascii="Times New Roman" w:hAnsi="Times New Roman" w:cs="Times New Roman"/>
                      <w:b/>
                      <w:bCs/>
                      <w:color w:val="auto"/>
                    </w:rPr>
                    <w:t>用水项目</w:t>
                  </w:r>
                </w:p>
              </w:tc>
              <w:tc>
                <w:tcPr>
                  <w:tcW w:w="1007" w:type="dxa"/>
                  <w:noWrap w:val="0"/>
                  <w:vAlign w:val="center"/>
                </w:tcPr>
                <w:p w14:paraId="393C0AF1">
                  <w:pPr>
                    <w:pStyle w:val="14"/>
                    <w:bidi w:val="0"/>
                    <w:rPr>
                      <w:rFonts w:hint="default" w:ascii="Times New Roman" w:hAnsi="Times New Roman" w:cs="Times New Roman"/>
                      <w:b/>
                      <w:bCs/>
                      <w:color w:val="auto"/>
                    </w:rPr>
                  </w:pPr>
                  <w:r>
                    <w:rPr>
                      <w:rFonts w:hint="default" w:ascii="Times New Roman" w:hAnsi="Times New Roman" w:cs="Times New Roman"/>
                      <w:b/>
                      <w:bCs/>
                      <w:color w:val="auto"/>
                    </w:rPr>
                    <w:t>日用水量</w:t>
                  </w:r>
                </w:p>
                <w:p w14:paraId="4AB602E3">
                  <w:pPr>
                    <w:pStyle w:val="14"/>
                    <w:bidi w:val="0"/>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rPr>
                    <w:t>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/d）</w:t>
                  </w:r>
                </w:p>
              </w:tc>
              <w:tc>
                <w:tcPr>
                  <w:tcW w:w="665" w:type="dxa"/>
                  <w:noWrap w:val="0"/>
                  <w:vAlign w:val="center"/>
                </w:tcPr>
                <w:p w14:paraId="5891C4F0">
                  <w:pPr>
                    <w:pStyle w:val="14"/>
                    <w:bidi w:val="0"/>
                    <w:rPr>
                      <w:rFonts w:hint="default" w:ascii="Times New Roman" w:hAnsi="Times New Roman" w:cs="Times New Roman"/>
                      <w:b/>
                      <w:bCs/>
                      <w:color w:val="auto"/>
                      <w:lang w:eastAsia="zh-CN"/>
                    </w:rPr>
                  </w:pPr>
                  <w:r>
                    <w:rPr>
                      <w:rFonts w:hint="default" w:ascii="Times New Roman" w:hAnsi="Times New Roman" w:cs="Times New Roman"/>
                      <w:b/>
                      <w:bCs/>
                      <w:color w:val="auto"/>
                    </w:rPr>
                    <w:t>年用水日</w:t>
                  </w:r>
                  <w:r>
                    <w:rPr>
                      <w:rFonts w:hint="default" w:ascii="Times New Roman" w:hAnsi="Times New Roman" w:cs="Times New Roman"/>
                      <w:b/>
                      <w:bCs/>
                      <w:color w:val="auto"/>
                      <w:lang w:eastAsia="zh-CN"/>
                    </w:rPr>
                    <w:t>（</w:t>
                  </w:r>
                  <w:r>
                    <w:rPr>
                      <w:rFonts w:hint="default" w:ascii="Times New Roman" w:hAnsi="Times New Roman" w:cs="Times New Roman"/>
                      <w:b/>
                      <w:bCs/>
                      <w:color w:val="auto"/>
                    </w:rPr>
                    <w:t>天</w:t>
                  </w:r>
                  <w:r>
                    <w:rPr>
                      <w:rFonts w:hint="default" w:ascii="Times New Roman" w:hAnsi="Times New Roman" w:cs="Times New Roman"/>
                      <w:b/>
                      <w:bCs/>
                      <w:color w:val="auto"/>
                      <w:lang w:eastAsia="zh-CN"/>
                    </w:rPr>
                    <w:t>）</w:t>
                  </w:r>
                </w:p>
              </w:tc>
              <w:tc>
                <w:tcPr>
                  <w:tcW w:w="832" w:type="dxa"/>
                  <w:noWrap w:val="0"/>
                  <w:vAlign w:val="center"/>
                </w:tcPr>
                <w:p w14:paraId="2B863C7A">
                  <w:pPr>
                    <w:pStyle w:val="14"/>
                    <w:bidi w:val="0"/>
                    <w:rPr>
                      <w:rFonts w:hint="default" w:ascii="Times New Roman" w:hAnsi="Times New Roman" w:cs="Times New Roman"/>
                      <w:b/>
                      <w:bCs/>
                      <w:color w:val="auto"/>
                      <w:lang w:eastAsia="zh-CN"/>
                    </w:rPr>
                  </w:pPr>
                  <w:r>
                    <w:rPr>
                      <w:rFonts w:hint="default" w:ascii="Times New Roman" w:hAnsi="Times New Roman" w:cs="Times New Roman"/>
                      <w:b/>
                      <w:bCs/>
                      <w:color w:val="auto"/>
                    </w:rPr>
                    <w:t>年用水量</w:t>
                  </w: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t</w:t>
                  </w:r>
                  <w:r>
                    <w:rPr>
                      <w:rFonts w:hint="default" w:ascii="Times New Roman" w:hAnsi="Times New Roman" w:cs="Times New Roman"/>
                      <w:b/>
                      <w:bCs/>
                      <w:color w:val="auto"/>
                    </w:rPr>
                    <w:t>/a</w:t>
                  </w:r>
                  <w:r>
                    <w:rPr>
                      <w:rFonts w:hint="default" w:ascii="Times New Roman" w:hAnsi="Times New Roman" w:cs="Times New Roman"/>
                      <w:b/>
                      <w:bCs/>
                      <w:color w:val="auto"/>
                      <w:lang w:eastAsia="zh-CN"/>
                    </w:rPr>
                    <w:t>）</w:t>
                  </w:r>
                </w:p>
              </w:tc>
              <w:tc>
                <w:tcPr>
                  <w:tcW w:w="1081" w:type="dxa"/>
                  <w:noWrap w:val="0"/>
                  <w:vAlign w:val="center"/>
                </w:tcPr>
                <w:p w14:paraId="13F89620">
                  <w:pPr>
                    <w:pStyle w:val="14"/>
                    <w:bidi w:val="0"/>
                    <w:rPr>
                      <w:rFonts w:hint="default" w:ascii="Times New Roman" w:hAnsi="Times New Roman" w:cs="Times New Roman"/>
                      <w:b/>
                      <w:bCs/>
                      <w:color w:val="auto"/>
                    </w:rPr>
                  </w:pPr>
                  <w:r>
                    <w:rPr>
                      <w:rFonts w:hint="default" w:ascii="Times New Roman" w:hAnsi="Times New Roman" w:cs="Times New Roman"/>
                      <w:b/>
                      <w:bCs/>
                      <w:color w:val="auto"/>
                    </w:rPr>
                    <w:t>日产废水量</w:t>
                  </w:r>
                  <w:r>
                    <w:rPr>
                      <w:rFonts w:hint="default" w:ascii="Times New Roman" w:hAnsi="Times New Roman" w:cs="Times New Roman"/>
                      <w:b/>
                      <w:bCs/>
                      <w:color w:val="auto"/>
                      <w:lang w:eastAsia="zh-CN"/>
                    </w:rPr>
                    <w:t>（</w:t>
                  </w:r>
                  <w:r>
                    <w:rPr>
                      <w:rFonts w:hint="default" w:ascii="Times New Roman" w:hAnsi="Times New Roman" w:cs="Times New Roman"/>
                      <w:b/>
                      <w:bCs/>
                      <w:color w:val="auto"/>
                    </w:rPr>
                    <w:t>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/d）</w:t>
                  </w:r>
                </w:p>
              </w:tc>
              <w:tc>
                <w:tcPr>
                  <w:tcW w:w="1018" w:type="dxa"/>
                  <w:noWrap w:val="0"/>
                  <w:vAlign w:val="center"/>
                </w:tcPr>
                <w:p w14:paraId="5058E190">
                  <w:pPr>
                    <w:pStyle w:val="14"/>
                    <w:bidi w:val="0"/>
                    <w:rPr>
                      <w:rFonts w:hint="default" w:ascii="Times New Roman" w:hAnsi="Times New Roman" w:cs="Times New Roman"/>
                      <w:b/>
                      <w:bCs/>
                      <w:color w:val="auto"/>
                      <w:lang w:eastAsia="zh-CN"/>
                    </w:rPr>
                  </w:pPr>
                  <w:r>
                    <w:rPr>
                      <w:rFonts w:hint="default" w:ascii="Times New Roman" w:hAnsi="Times New Roman" w:cs="Times New Roman"/>
                      <w:b/>
                      <w:bCs/>
                      <w:color w:val="auto"/>
                    </w:rPr>
                    <w:t>年产废水量</w:t>
                  </w: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t</w:t>
                  </w:r>
                  <w:r>
                    <w:rPr>
                      <w:rFonts w:hint="default" w:ascii="Times New Roman" w:hAnsi="Times New Roman" w:cs="Times New Roman"/>
                      <w:b/>
                      <w:bCs/>
                      <w:color w:val="auto"/>
                    </w:rPr>
                    <w:t>/a</w:t>
                  </w:r>
                  <w:r>
                    <w:rPr>
                      <w:rFonts w:hint="default" w:ascii="Times New Roman" w:hAnsi="Times New Roman" w:cs="Times New Roman"/>
                      <w:b/>
                      <w:bCs/>
                      <w:color w:val="auto"/>
                      <w:lang w:eastAsia="zh-CN"/>
                    </w:rPr>
                    <w:t>）</w:t>
                  </w:r>
                </w:p>
              </w:tc>
              <w:tc>
                <w:tcPr>
                  <w:tcW w:w="739" w:type="dxa"/>
                  <w:noWrap w:val="0"/>
                  <w:vAlign w:val="center"/>
                </w:tcPr>
                <w:p w14:paraId="37F679CF">
                  <w:pPr>
                    <w:pStyle w:val="14"/>
                    <w:bidi w:val="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预处理方式</w:t>
                  </w:r>
                </w:p>
              </w:tc>
              <w:tc>
                <w:tcPr>
                  <w:tcW w:w="1492" w:type="dxa"/>
                  <w:noWrap w:val="0"/>
                  <w:vAlign w:val="center"/>
                </w:tcPr>
                <w:p w14:paraId="770777B3">
                  <w:pPr>
                    <w:pStyle w:val="14"/>
                    <w:bidi w:val="0"/>
                    <w:rPr>
                      <w:rFonts w:hint="default" w:ascii="Times New Roman" w:hAnsi="Times New Roman" w:cs="Times New Roman"/>
                      <w:b/>
                      <w:bCs/>
                      <w:color w:val="auto"/>
                    </w:rPr>
                  </w:pPr>
                  <w:r>
                    <w:rPr>
                      <w:rFonts w:hint="default" w:ascii="Times New Roman" w:hAnsi="Times New Roman" w:cs="Times New Roman"/>
                      <w:b/>
                      <w:bCs/>
                      <w:color w:val="auto"/>
                    </w:rPr>
                    <w:t>处理去向</w:t>
                  </w:r>
                </w:p>
              </w:tc>
            </w:tr>
            <w:tr w14:paraId="72521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96" w:type="dxa"/>
                  <w:noWrap w:val="0"/>
                  <w:vAlign w:val="center"/>
                </w:tcPr>
                <w:p w14:paraId="33CCA5C4">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办公</w:t>
                  </w:r>
                  <w:r>
                    <w:rPr>
                      <w:rFonts w:hint="eastAsia" w:ascii="Times New Roman" w:hAnsi="Times New Roman" w:cs="Times New Roman"/>
                      <w:color w:val="auto"/>
                      <w:lang w:val="en-US" w:eastAsia="zh-CN"/>
                    </w:rPr>
                    <w:t>洗手</w:t>
                  </w:r>
                  <w:r>
                    <w:rPr>
                      <w:rFonts w:hint="default" w:ascii="Times New Roman" w:hAnsi="Times New Roman" w:cs="Times New Roman"/>
                      <w:color w:val="auto"/>
                      <w:lang w:val="en-US" w:eastAsia="zh-CN"/>
                    </w:rPr>
                    <w:t>用水</w:t>
                  </w:r>
                </w:p>
              </w:tc>
              <w:tc>
                <w:tcPr>
                  <w:tcW w:w="1007" w:type="dxa"/>
                  <w:noWrap w:val="0"/>
                  <w:vAlign w:val="center"/>
                </w:tcPr>
                <w:p w14:paraId="6ECFACBC">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0.2</w:t>
                  </w:r>
                </w:p>
              </w:tc>
              <w:tc>
                <w:tcPr>
                  <w:tcW w:w="665" w:type="dxa"/>
                  <w:noWrap w:val="0"/>
                  <w:vAlign w:val="center"/>
                </w:tcPr>
                <w:p w14:paraId="182B49DF">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300</w:t>
                  </w:r>
                </w:p>
              </w:tc>
              <w:tc>
                <w:tcPr>
                  <w:tcW w:w="832" w:type="dxa"/>
                  <w:noWrap w:val="0"/>
                  <w:vAlign w:val="center"/>
                </w:tcPr>
                <w:p w14:paraId="08BBF912">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60</w:t>
                  </w:r>
                </w:p>
              </w:tc>
              <w:tc>
                <w:tcPr>
                  <w:tcW w:w="1081" w:type="dxa"/>
                  <w:noWrap w:val="0"/>
                  <w:vAlign w:val="center"/>
                </w:tcPr>
                <w:p w14:paraId="34E67D34">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0.16</w:t>
                  </w:r>
                </w:p>
              </w:tc>
              <w:tc>
                <w:tcPr>
                  <w:tcW w:w="1018" w:type="dxa"/>
                  <w:noWrap w:val="0"/>
                  <w:vAlign w:val="center"/>
                </w:tcPr>
                <w:p w14:paraId="4A8A4E6A">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48</w:t>
                  </w:r>
                </w:p>
              </w:tc>
              <w:tc>
                <w:tcPr>
                  <w:tcW w:w="739" w:type="dxa"/>
                  <w:noWrap w:val="0"/>
                  <w:vAlign w:val="center"/>
                </w:tcPr>
                <w:p w14:paraId="494A6023">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沉淀池</w:t>
                  </w:r>
                </w:p>
              </w:tc>
              <w:tc>
                <w:tcPr>
                  <w:tcW w:w="1492" w:type="dxa"/>
                  <w:noWrap w:val="0"/>
                  <w:vAlign w:val="center"/>
                </w:tcPr>
                <w:p w14:paraId="72D5EDF3">
                  <w:pPr>
                    <w:pStyle w:val="14"/>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沉淀后回用于厂区道路洒水降尘</w:t>
                  </w:r>
                  <w:r>
                    <w:rPr>
                      <w:rFonts w:hint="default" w:ascii="Times New Roman" w:hAnsi="Times New Roman" w:cs="Times New Roman"/>
                      <w:color w:val="auto"/>
                      <w:lang w:eastAsia="zh-CN"/>
                    </w:rPr>
                    <w:t>，不外排</w:t>
                  </w:r>
                </w:p>
              </w:tc>
            </w:tr>
            <w:tr w14:paraId="447BF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96" w:type="dxa"/>
                  <w:noWrap w:val="0"/>
                  <w:vAlign w:val="center"/>
                </w:tcPr>
                <w:p w14:paraId="781943D2">
                  <w:pPr>
                    <w:pStyle w:val="14"/>
                    <w:bidi w:val="0"/>
                    <w:ind w:firstLine="0" w:firstLineChars="0"/>
                    <w:rPr>
                      <w:rFonts w:hint="default" w:ascii="Times New Roman" w:hAnsi="Times New Roman" w:eastAsia="宋体" w:cs="Times New Roman"/>
                      <w:color w:val="auto"/>
                      <w:sz w:val="21"/>
                      <w:lang w:val="en-US" w:eastAsia="zh-CN"/>
                    </w:rPr>
                  </w:pPr>
                  <w:r>
                    <w:rPr>
                      <w:rFonts w:hint="default"/>
                      <w:color w:val="auto"/>
                      <w:lang w:val="en-US" w:eastAsia="zh-CN"/>
                    </w:rPr>
                    <w:t>水帘更换</w:t>
                  </w:r>
                  <w:r>
                    <w:rPr>
                      <w:rFonts w:hint="eastAsia"/>
                      <w:color w:val="auto"/>
                      <w:lang w:val="en-US" w:eastAsia="zh-CN"/>
                    </w:rPr>
                    <w:t>用</w:t>
                  </w:r>
                  <w:r>
                    <w:rPr>
                      <w:rFonts w:hint="default"/>
                      <w:color w:val="auto"/>
                      <w:lang w:val="en-US" w:eastAsia="zh-CN"/>
                    </w:rPr>
                    <w:t>水</w:t>
                  </w:r>
                </w:p>
              </w:tc>
              <w:tc>
                <w:tcPr>
                  <w:tcW w:w="1007" w:type="dxa"/>
                  <w:noWrap w:val="0"/>
                  <w:vAlign w:val="center"/>
                </w:tcPr>
                <w:p w14:paraId="14BD613B">
                  <w:pPr>
                    <w:pStyle w:val="14"/>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0.4</w:t>
                  </w:r>
                </w:p>
              </w:tc>
              <w:tc>
                <w:tcPr>
                  <w:tcW w:w="665" w:type="dxa"/>
                  <w:noWrap w:val="0"/>
                  <w:vAlign w:val="center"/>
                </w:tcPr>
                <w:p w14:paraId="64D85AA8">
                  <w:pPr>
                    <w:pStyle w:val="14"/>
                    <w:bidi w:val="0"/>
                    <w:ind w:firstLine="0" w:firstLineChars="0"/>
                    <w:rPr>
                      <w:rFonts w:hint="default" w:ascii="Times New Roman" w:hAnsi="Times New Roman" w:eastAsia="宋体" w:cs="Times New Roman"/>
                      <w:color w:val="auto"/>
                      <w:sz w:val="21"/>
                      <w:lang w:val="en-US" w:eastAsia="zh-CN"/>
                    </w:rPr>
                  </w:pPr>
                  <w:r>
                    <w:rPr>
                      <w:rFonts w:hint="default"/>
                      <w:color w:val="auto"/>
                      <w:lang w:val="en-US" w:eastAsia="zh-CN"/>
                    </w:rPr>
                    <w:t>300</w:t>
                  </w:r>
                </w:p>
              </w:tc>
              <w:tc>
                <w:tcPr>
                  <w:tcW w:w="832" w:type="dxa"/>
                  <w:noWrap w:val="0"/>
                  <w:vAlign w:val="center"/>
                </w:tcPr>
                <w:p w14:paraId="70F17407">
                  <w:pPr>
                    <w:pStyle w:val="14"/>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122</w:t>
                  </w:r>
                </w:p>
              </w:tc>
              <w:tc>
                <w:tcPr>
                  <w:tcW w:w="1081" w:type="dxa"/>
                  <w:noWrap w:val="0"/>
                  <w:vAlign w:val="center"/>
                </w:tcPr>
                <w:p w14:paraId="18B5D97F">
                  <w:pPr>
                    <w:pStyle w:val="14"/>
                    <w:bidi w:val="0"/>
                    <w:ind w:firstLine="0" w:firstLineChars="0"/>
                    <w:rPr>
                      <w:rFonts w:hint="default" w:ascii="Times New Roman" w:hAnsi="Times New Roman" w:eastAsia="宋体" w:cs="Times New Roman"/>
                      <w:color w:val="auto"/>
                      <w:sz w:val="21"/>
                      <w:lang w:val="en-US" w:eastAsia="zh-CN"/>
                    </w:rPr>
                  </w:pPr>
                  <w:r>
                    <w:rPr>
                      <w:rFonts w:hint="default"/>
                      <w:color w:val="auto"/>
                      <w:lang w:val="en-US" w:eastAsia="zh-CN"/>
                    </w:rPr>
                    <w:t>—</w:t>
                  </w:r>
                </w:p>
              </w:tc>
              <w:tc>
                <w:tcPr>
                  <w:tcW w:w="1018" w:type="dxa"/>
                  <w:noWrap w:val="0"/>
                  <w:vAlign w:val="center"/>
                </w:tcPr>
                <w:p w14:paraId="3F921973">
                  <w:pPr>
                    <w:pStyle w:val="14"/>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2</w:t>
                  </w:r>
                </w:p>
              </w:tc>
              <w:tc>
                <w:tcPr>
                  <w:tcW w:w="739" w:type="dxa"/>
                  <w:noWrap w:val="0"/>
                  <w:vAlign w:val="center"/>
                </w:tcPr>
                <w:p w14:paraId="5636E35F">
                  <w:pPr>
                    <w:pStyle w:val="14"/>
                    <w:bidi w:val="0"/>
                    <w:ind w:firstLine="0" w:firstLineChars="0"/>
                    <w:rPr>
                      <w:rFonts w:hint="default" w:ascii="Times New Roman" w:hAnsi="Times New Roman" w:eastAsia="宋体" w:cs="Times New Roman"/>
                      <w:color w:val="auto"/>
                      <w:sz w:val="21"/>
                      <w:lang w:val="en-US" w:eastAsia="zh-CN"/>
                    </w:rPr>
                  </w:pPr>
                  <w:r>
                    <w:rPr>
                      <w:rFonts w:hint="default"/>
                      <w:color w:val="auto"/>
                      <w:lang w:val="en-US" w:eastAsia="zh-CN"/>
                    </w:rPr>
                    <w:t>—</w:t>
                  </w:r>
                </w:p>
              </w:tc>
              <w:tc>
                <w:tcPr>
                  <w:tcW w:w="1492" w:type="dxa"/>
                  <w:noWrap w:val="0"/>
                  <w:vAlign w:val="center"/>
                </w:tcPr>
                <w:p w14:paraId="3885C362">
                  <w:pPr>
                    <w:pStyle w:val="14"/>
                    <w:bidi w:val="0"/>
                    <w:ind w:firstLine="0" w:firstLineChars="0"/>
                    <w:rPr>
                      <w:rFonts w:hint="default" w:ascii="Times New Roman" w:hAnsi="Times New Roman" w:eastAsia="宋体" w:cs="Times New Roman"/>
                      <w:color w:val="auto"/>
                      <w:sz w:val="21"/>
                      <w:lang w:val="en-US" w:eastAsia="zh-CN"/>
                    </w:rPr>
                  </w:pPr>
                  <w:r>
                    <w:rPr>
                      <w:rFonts w:hint="default"/>
                      <w:color w:val="auto"/>
                      <w:lang w:val="en-US" w:eastAsia="zh-CN"/>
                    </w:rPr>
                    <w:t>废水</w:t>
                  </w:r>
                  <w:r>
                    <w:rPr>
                      <w:rFonts w:hint="eastAsia"/>
                      <w:color w:val="auto"/>
                      <w:lang w:val="en-US" w:eastAsia="zh-CN"/>
                    </w:rPr>
                    <w:t>作</w:t>
                  </w:r>
                  <w:r>
                    <w:rPr>
                      <w:rFonts w:hint="default"/>
                      <w:color w:val="auto"/>
                      <w:lang w:val="en-US" w:eastAsia="zh-CN"/>
                    </w:rPr>
                    <w:t>为危废，收集暂存于危废暂存间委托有资质单位进行处置</w:t>
                  </w:r>
                </w:p>
              </w:tc>
            </w:tr>
            <w:tr w14:paraId="4E30B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96" w:type="dxa"/>
                  <w:noWrap w:val="0"/>
                  <w:vAlign w:val="center"/>
                </w:tcPr>
                <w:p w14:paraId="1EF5420B">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绿化用水</w:t>
                  </w:r>
                </w:p>
              </w:tc>
              <w:tc>
                <w:tcPr>
                  <w:tcW w:w="1007" w:type="dxa"/>
                  <w:noWrap w:val="0"/>
                  <w:vAlign w:val="center"/>
                </w:tcPr>
                <w:p w14:paraId="76953472">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0.9</w:t>
                  </w:r>
                </w:p>
              </w:tc>
              <w:tc>
                <w:tcPr>
                  <w:tcW w:w="665" w:type="dxa"/>
                  <w:noWrap w:val="0"/>
                  <w:vAlign w:val="center"/>
                </w:tcPr>
                <w:p w14:paraId="20A0EF68">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210</w:t>
                  </w:r>
                </w:p>
              </w:tc>
              <w:tc>
                <w:tcPr>
                  <w:tcW w:w="832" w:type="dxa"/>
                  <w:noWrap w:val="0"/>
                  <w:vAlign w:val="center"/>
                </w:tcPr>
                <w:p w14:paraId="77C154D4">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189</w:t>
                  </w:r>
                </w:p>
              </w:tc>
              <w:tc>
                <w:tcPr>
                  <w:tcW w:w="1081" w:type="dxa"/>
                  <w:noWrap w:val="0"/>
                  <w:vAlign w:val="center"/>
                </w:tcPr>
                <w:p w14:paraId="5973C2E6">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018" w:type="dxa"/>
                  <w:noWrap w:val="0"/>
                  <w:vAlign w:val="center"/>
                </w:tcPr>
                <w:p w14:paraId="40A8821B">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739" w:type="dxa"/>
                  <w:noWrap w:val="0"/>
                  <w:vAlign w:val="center"/>
                </w:tcPr>
                <w:p w14:paraId="26755A6A">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492" w:type="dxa"/>
                  <w:noWrap w:val="0"/>
                  <w:vAlign w:val="center"/>
                </w:tcPr>
                <w:p w14:paraId="51B666FD">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植物吸收、蒸发损耗</w:t>
                  </w:r>
                </w:p>
              </w:tc>
            </w:tr>
            <w:tr w14:paraId="5FADF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96" w:type="dxa"/>
                  <w:noWrap w:val="0"/>
                  <w:vAlign w:val="center"/>
                </w:tcPr>
                <w:p w14:paraId="5D135B4C">
                  <w:pPr>
                    <w:pStyle w:val="14"/>
                    <w:bidi w:val="0"/>
                    <w:rPr>
                      <w:rFonts w:hint="default" w:ascii="Times New Roman" w:hAnsi="Times New Roman" w:cs="Times New Roman"/>
                      <w:color w:val="auto"/>
                    </w:rPr>
                  </w:pPr>
                  <w:r>
                    <w:rPr>
                      <w:rFonts w:hint="default" w:ascii="Times New Roman" w:hAnsi="Times New Roman" w:cs="Times New Roman"/>
                      <w:color w:val="auto"/>
                    </w:rPr>
                    <w:t>合计</w:t>
                  </w:r>
                </w:p>
              </w:tc>
              <w:tc>
                <w:tcPr>
                  <w:tcW w:w="1007" w:type="dxa"/>
                  <w:noWrap w:val="0"/>
                  <w:vAlign w:val="center"/>
                </w:tcPr>
                <w:p w14:paraId="5C479378">
                  <w:pPr>
                    <w:pStyle w:val="14"/>
                    <w:bidi w:val="0"/>
                    <w:rPr>
                      <w:rFonts w:hint="default"/>
                      <w:color w:val="auto"/>
                      <w:lang w:val="en-US" w:eastAsia="zh-CN"/>
                    </w:rPr>
                  </w:pPr>
                  <w:r>
                    <w:rPr>
                      <w:rFonts w:hint="eastAsia"/>
                      <w:color w:val="auto"/>
                      <w:lang w:val="en-US" w:eastAsia="zh-CN"/>
                    </w:rPr>
                    <w:t>1.5</w:t>
                  </w:r>
                  <w:r>
                    <w:rPr>
                      <w:rFonts w:hint="default"/>
                      <w:color w:val="auto"/>
                      <w:lang w:val="en-US" w:eastAsia="zh-CN"/>
                    </w:rPr>
                    <w:t>（晴天）</w:t>
                  </w:r>
                </w:p>
                <w:p w14:paraId="0420538D">
                  <w:pPr>
                    <w:pStyle w:val="14"/>
                    <w:bidi w:val="0"/>
                    <w:rPr>
                      <w:rFonts w:hint="default"/>
                      <w:color w:val="auto"/>
                      <w:lang w:val="en-US" w:eastAsia="zh-CN"/>
                    </w:rPr>
                  </w:pPr>
                  <w:r>
                    <w:rPr>
                      <w:rFonts w:hint="eastAsia"/>
                      <w:color w:val="auto"/>
                      <w:lang w:val="en-US" w:eastAsia="zh-CN"/>
                    </w:rPr>
                    <w:t>0.6（雨天）</w:t>
                  </w:r>
                </w:p>
              </w:tc>
              <w:tc>
                <w:tcPr>
                  <w:tcW w:w="665" w:type="dxa"/>
                  <w:noWrap w:val="0"/>
                  <w:vAlign w:val="center"/>
                </w:tcPr>
                <w:p w14:paraId="5104DFBB">
                  <w:pPr>
                    <w:pStyle w:val="14"/>
                    <w:bidi w:val="0"/>
                    <w:rPr>
                      <w:rFonts w:hint="default"/>
                      <w:color w:val="auto"/>
                    </w:rPr>
                  </w:pPr>
                  <w:r>
                    <w:rPr>
                      <w:rFonts w:hint="default"/>
                      <w:color w:val="auto"/>
                    </w:rPr>
                    <w:t>—</w:t>
                  </w:r>
                </w:p>
              </w:tc>
              <w:tc>
                <w:tcPr>
                  <w:tcW w:w="832" w:type="dxa"/>
                  <w:noWrap w:val="0"/>
                  <w:vAlign w:val="center"/>
                </w:tcPr>
                <w:p w14:paraId="186E05E7">
                  <w:pPr>
                    <w:pStyle w:val="14"/>
                    <w:bidi w:val="0"/>
                    <w:rPr>
                      <w:rFonts w:hint="default"/>
                      <w:color w:val="auto"/>
                      <w:lang w:val="en-US" w:eastAsia="zh-CN"/>
                    </w:rPr>
                  </w:pPr>
                  <w:r>
                    <w:rPr>
                      <w:rFonts w:hint="eastAsia"/>
                      <w:color w:val="auto"/>
                      <w:lang w:val="en-US" w:eastAsia="zh-CN"/>
                    </w:rPr>
                    <w:t>371</w:t>
                  </w:r>
                </w:p>
              </w:tc>
              <w:tc>
                <w:tcPr>
                  <w:tcW w:w="1081" w:type="dxa"/>
                  <w:noWrap w:val="0"/>
                  <w:vAlign w:val="center"/>
                </w:tcPr>
                <w:p w14:paraId="01E9A577">
                  <w:pPr>
                    <w:pStyle w:val="14"/>
                    <w:bidi w:val="0"/>
                    <w:rPr>
                      <w:rFonts w:hint="default"/>
                      <w:color w:val="auto"/>
                      <w:lang w:val="en-US" w:eastAsia="zh-CN"/>
                    </w:rPr>
                  </w:pPr>
                  <w:r>
                    <w:rPr>
                      <w:rFonts w:hint="default"/>
                      <w:color w:val="auto"/>
                      <w:lang w:val="en-US" w:eastAsia="zh-CN"/>
                    </w:rPr>
                    <w:t>0.16</w:t>
                  </w:r>
                </w:p>
              </w:tc>
              <w:tc>
                <w:tcPr>
                  <w:tcW w:w="1018" w:type="dxa"/>
                  <w:noWrap w:val="0"/>
                  <w:vAlign w:val="center"/>
                </w:tcPr>
                <w:p w14:paraId="7923F882">
                  <w:pPr>
                    <w:pStyle w:val="14"/>
                    <w:bidi w:val="0"/>
                    <w:rPr>
                      <w:rFonts w:hint="default"/>
                      <w:color w:val="auto"/>
                      <w:lang w:val="en-US" w:eastAsia="zh-CN"/>
                    </w:rPr>
                  </w:pPr>
                  <w:r>
                    <w:rPr>
                      <w:rFonts w:hint="default"/>
                      <w:color w:val="auto"/>
                      <w:lang w:val="en-US" w:eastAsia="zh-CN"/>
                    </w:rPr>
                    <w:t>48</w:t>
                  </w:r>
                </w:p>
              </w:tc>
              <w:tc>
                <w:tcPr>
                  <w:tcW w:w="739" w:type="dxa"/>
                  <w:noWrap w:val="0"/>
                  <w:vAlign w:val="center"/>
                </w:tcPr>
                <w:p w14:paraId="439B534A">
                  <w:pPr>
                    <w:pStyle w:val="14"/>
                    <w:bidi w:val="0"/>
                    <w:rPr>
                      <w:rFonts w:hint="default"/>
                      <w:color w:val="auto"/>
                    </w:rPr>
                  </w:pPr>
                  <w:r>
                    <w:rPr>
                      <w:rFonts w:hint="default"/>
                      <w:color w:val="auto"/>
                      <w:lang w:val="en-US" w:eastAsia="zh-CN"/>
                    </w:rPr>
                    <w:t>—</w:t>
                  </w:r>
                </w:p>
              </w:tc>
              <w:tc>
                <w:tcPr>
                  <w:tcW w:w="1492" w:type="dxa"/>
                  <w:noWrap w:val="0"/>
                  <w:vAlign w:val="center"/>
                </w:tcPr>
                <w:p w14:paraId="0FBA40D7">
                  <w:pPr>
                    <w:pStyle w:val="14"/>
                    <w:bidi w:val="0"/>
                    <w:rPr>
                      <w:rFonts w:hint="default"/>
                      <w:color w:val="auto"/>
                    </w:rPr>
                  </w:pPr>
                  <w:r>
                    <w:rPr>
                      <w:rFonts w:hint="default"/>
                      <w:color w:val="auto"/>
                      <w:lang w:val="en-US" w:eastAsia="zh-CN"/>
                    </w:rPr>
                    <w:t>—</w:t>
                  </w:r>
                </w:p>
              </w:tc>
            </w:tr>
          </w:tbl>
          <w:p w14:paraId="41474025">
            <w:pPr>
              <w:bidi w:val="0"/>
              <w:rPr>
                <w:rFonts w:hint="default" w:ascii="Times New Roman" w:hAnsi="Times New Roman" w:cs="Times New Roman"/>
                <w:color w:val="auto"/>
              </w:rPr>
            </w:pPr>
          </w:p>
          <w:p w14:paraId="33A0B465">
            <w:pPr>
              <w:bidi w:val="0"/>
              <w:rPr>
                <w:rFonts w:hint="eastAsia" w:cs="Times New Roman"/>
                <w:color w:val="auto"/>
                <w:lang w:val="en-US" w:eastAsia="zh-CN"/>
              </w:rPr>
            </w:pPr>
          </w:p>
          <w:p w14:paraId="02F5B1BD">
            <w:pPr>
              <w:bidi w:val="0"/>
              <w:rPr>
                <w:rFonts w:hint="eastAsia" w:cs="Times New Roman"/>
                <w:color w:val="auto"/>
                <w:lang w:val="en-US" w:eastAsia="zh-CN"/>
              </w:rPr>
            </w:pPr>
          </w:p>
          <w:p w14:paraId="5D69D50B">
            <w:pPr>
              <w:bidi w:val="0"/>
              <w:rPr>
                <w:rFonts w:hint="eastAsia" w:cs="Times New Roman"/>
                <w:color w:val="auto"/>
                <w:lang w:val="en-US" w:eastAsia="zh-CN"/>
              </w:rPr>
            </w:pPr>
          </w:p>
          <w:p w14:paraId="736DC9AD">
            <w:pPr>
              <w:bidi w:val="0"/>
              <w:rPr>
                <w:rFonts w:hint="eastAsia" w:ascii="Times New Roman" w:hAnsi="Times New Roman" w:eastAsia="宋体" w:cs="Times New Roman"/>
                <w:color w:val="auto"/>
                <w:lang w:val="en-US" w:eastAsia="zh-CN"/>
              </w:rPr>
            </w:pPr>
          </w:p>
          <w:p w14:paraId="2B235257">
            <w:pPr>
              <w:bidi w:val="0"/>
              <w:ind w:left="0" w:leftChars="0" w:firstLine="0" w:firstLineChars="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4784090" cy="7674610"/>
                  <wp:effectExtent l="0" t="0" r="16510" b="2540"/>
                  <wp:docPr id="6" name="图片 6" descr="吉步无打磨（评审后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吉步无打磨（评审后修改）"/>
                          <pic:cNvPicPr>
                            <a:picLocks noChangeAspect="1"/>
                          </pic:cNvPicPr>
                        </pic:nvPicPr>
                        <pic:blipFill>
                          <a:blip r:embed="rId15"/>
                          <a:stretch>
                            <a:fillRect/>
                          </a:stretch>
                        </pic:blipFill>
                        <pic:spPr>
                          <a:xfrm>
                            <a:off x="0" y="0"/>
                            <a:ext cx="4784090" cy="7674610"/>
                          </a:xfrm>
                          <a:prstGeom prst="rect">
                            <a:avLst/>
                          </a:prstGeom>
                        </pic:spPr>
                      </pic:pic>
                    </a:graphicData>
                  </a:graphic>
                </wp:inline>
              </w:drawing>
            </w:r>
          </w:p>
          <w:p w14:paraId="4D37A704">
            <w:pPr>
              <w:bidi w:val="0"/>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图4-2  项目水平衡图</w:t>
            </w:r>
          </w:p>
          <w:p w14:paraId="2D434CA3">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2</w:t>
            </w: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运营期废水影响分析</w:t>
            </w:r>
          </w:p>
          <w:p w14:paraId="7AF9D20D">
            <w:pPr>
              <w:bidi w:val="0"/>
              <w:rPr>
                <w:rFonts w:hint="default" w:ascii="Times New Roman" w:hAnsi="Times New Roman" w:eastAsia="宋体" w:cs="Times New Roman"/>
                <w:color w:val="auto"/>
                <w:lang w:eastAsia="zh-CN"/>
              </w:rPr>
            </w:pPr>
            <w:r>
              <w:rPr>
                <w:rFonts w:hint="eastAsia"/>
                <w:color w:val="auto"/>
              </w:rPr>
              <w:t>综上</w:t>
            </w:r>
            <w:r>
              <w:rPr>
                <w:rFonts w:hint="eastAsia"/>
                <w:color w:val="auto"/>
                <w:lang w:val="en-US" w:eastAsia="zh-CN"/>
              </w:rPr>
              <w:t>分析</w:t>
            </w:r>
            <w:r>
              <w:rPr>
                <w:rFonts w:hint="eastAsia"/>
                <w:color w:val="auto"/>
              </w:rPr>
              <w:t>，项目无生产废水产生，</w:t>
            </w:r>
            <w:r>
              <w:rPr>
                <w:rFonts w:hint="eastAsia"/>
                <w:color w:val="auto"/>
                <w:lang w:val="en-US" w:eastAsia="zh-CN"/>
              </w:rPr>
              <w:t>少量洗手废水经沉淀池收集沉淀后回用于厂区道路洒水降尘</w:t>
            </w:r>
            <w:r>
              <w:rPr>
                <w:rFonts w:hint="eastAsia"/>
                <w:color w:val="auto"/>
              </w:rPr>
              <w:t>，</w:t>
            </w:r>
            <w:r>
              <w:rPr>
                <w:rFonts w:hint="eastAsia"/>
                <w:color w:val="auto"/>
                <w:lang w:val="en-US" w:eastAsia="zh-CN"/>
              </w:rPr>
              <w:t>水帘更换废液作为危险废物委托有资质的单位处置。初期雨水经雨水池收集后回用于项目区洒水降尘</w:t>
            </w:r>
            <w:r>
              <w:rPr>
                <w:rFonts w:hint="eastAsia"/>
                <w:color w:val="auto"/>
              </w:rPr>
              <w:t>，</w:t>
            </w:r>
            <w:r>
              <w:rPr>
                <w:rFonts w:hint="eastAsia"/>
                <w:color w:val="auto"/>
                <w:lang w:val="en-US" w:eastAsia="zh-CN"/>
              </w:rPr>
              <w:t>项目生产过程无废水外排，</w:t>
            </w:r>
            <w:r>
              <w:rPr>
                <w:rFonts w:hint="eastAsia"/>
                <w:color w:val="auto"/>
              </w:rPr>
              <w:t>对周围水环境影响不大</w:t>
            </w:r>
            <w:r>
              <w:rPr>
                <w:rFonts w:hint="default" w:ascii="Times New Roman" w:hAnsi="Times New Roman" w:cs="Times New Roman"/>
                <w:color w:val="auto"/>
                <w:lang w:eastAsia="zh-CN"/>
              </w:rPr>
              <w:t>。</w:t>
            </w:r>
          </w:p>
          <w:p w14:paraId="557C45AE">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3）监测计划</w:t>
            </w:r>
          </w:p>
          <w:p w14:paraId="2F934C12">
            <w:pPr>
              <w:bidi w:val="0"/>
              <w:rPr>
                <w:rFonts w:hint="default" w:ascii="Times New Roman" w:hAnsi="Times New Roman" w:cs="Times New Roman"/>
                <w:color w:val="auto"/>
              </w:rPr>
            </w:pPr>
            <w:r>
              <w:rPr>
                <w:rFonts w:hint="default" w:ascii="Times New Roman" w:hAnsi="Times New Roman" w:cs="Times New Roman"/>
                <w:color w:val="auto"/>
                <w:lang w:val="en-US" w:eastAsia="zh-CN"/>
              </w:rPr>
              <w:t>根据</w:t>
            </w:r>
            <w:r>
              <w:rPr>
                <w:rFonts w:hint="default" w:ascii="Times New Roman" w:hAnsi="Times New Roman" w:cs="Times New Roman"/>
                <w:color w:val="auto"/>
              </w:rPr>
              <w:t>《排污许可证申请与核发技术规范--家具制造工业》</w:t>
            </w:r>
            <w:r>
              <w:rPr>
                <w:rFonts w:hint="default" w:ascii="Times New Roman" w:hAnsi="Times New Roman" w:cs="Times New Roman"/>
                <w:color w:val="auto"/>
                <w:lang w:eastAsia="zh-CN"/>
              </w:rPr>
              <w:t>（</w:t>
            </w:r>
            <w:r>
              <w:rPr>
                <w:rFonts w:hint="default" w:ascii="Times New Roman" w:hAnsi="Times New Roman" w:cs="Times New Roman"/>
                <w:color w:val="auto"/>
              </w:rPr>
              <w:t>HJ1027-2019），本项目</w:t>
            </w:r>
            <w:r>
              <w:rPr>
                <w:rFonts w:hint="default" w:ascii="Times New Roman" w:hAnsi="Times New Roman" w:cs="Times New Roman"/>
                <w:color w:val="auto"/>
                <w:lang w:val="en-US" w:eastAsia="zh-CN"/>
              </w:rPr>
              <w:t>运营期雨水排放口</w:t>
            </w:r>
            <w:r>
              <w:rPr>
                <w:rFonts w:hint="default" w:ascii="Times New Roman" w:hAnsi="Times New Roman" w:cs="Times New Roman"/>
                <w:color w:val="auto"/>
              </w:rPr>
              <w:t>监测要求如下：</w:t>
            </w:r>
          </w:p>
          <w:p w14:paraId="2275D84A">
            <w:pPr>
              <w:bidi w:val="0"/>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eastAsia" w:ascii="Times New Roman" w:hAnsi="Times New Roman" w:cs="Times New Roman"/>
                <w:b/>
                <w:bCs/>
                <w:color w:val="auto"/>
                <w:lang w:val="en-US" w:eastAsia="zh-CN"/>
              </w:rPr>
              <w:t>10</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 xml:space="preserve"> </w:t>
            </w:r>
            <w:r>
              <w:rPr>
                <w:rFonts w:hint="default" w:ascii="Times New Roman" w:hAnsi="Times New Roman" w:cs="Times New Roman"/>
                <w:b/>
                <w:bCs/>
                <w:color w:val="auto"/>
                <w:lang w:val="en-US" w:eastAsia="zh-CN"/>
              </w:rPr>
              <w:t>雨水排放口</w:t>
            </w:r>
            <w:r>
              <w:rPr>
                <w:rFonts w:hint="default" w:ascii="Times New Roman" w:hAnsi="Times New Roman" w:cs="Times New Roman"/>
                <w:b/>
                <w:bCs/>
                <w:color w:val="auto"/>
              </w:rPr>
              <w:t>监测内容一览表</w:t>
            </w:r>
          </w:p>
          <w:tbl>
            <w:tblPr>
              <w:tblStyle w:val="17"/>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92"/>
              <w:gridCol w:w="1978"/>
              <w:gridCol w:w="2562"/>
            </w:tblGrid>
            <w:tr w14:paraId="67A3A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1986" w:type="pct"/>
                  <w:noWrap w:val="0"/>
                  <w:vAlign w:val="center"/>
                </w:tcPr>
                <w:p w14:paraId="15D23CD8">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监测点位</w:t>
                  </w:r>
                </w:p>
              </w:tc>
              <w:tc>
                <w:tcPr>
                  <w:tcW w:w="1313" w:type="pct"/>
                  <w:noWrap w:val="0"/>
                  <w:vAlign w:val="center"/>
                </w:tcPr>
                <w:p w14:paraId="1FA8D07B">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监测因子</w:t>
                  </w:r>
                </w:p>
              </w:tc>
              <w:tc>
                <w:tcPr>
                  <w:tcW w:w="1700" w:type="pct"/>
                  <w:noWrap w:val="0"/>
                  <w:vAlign w:val="center"/>
                </w:tcPr>
                <w:p w14:paraId="079F1D7C">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监测频次（简化管理）</w:t>
                  </w:r>
                </w:p>
              </w:tc>
            </w:tr>
            <w:tr w14:paraId="17AFF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6" w:type="pct"/>
                  <w:noWrap w:val="0"/>
                  <w:vAlign w:val="center"/>
                </w:tcPr>
                <w:p w14:paraId="63B3A39D">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雨水排放口</w:t>
                  </w:r>
                </w:p>
              </w:tc>
              <w:tc>
                <w:tcPr>
                  <w:tcW w:w="1313" w:type="pct"/>
                  <w:noWrap w:val="0"/>
                  <w:vAlign w:val="center"/>
                </w:tcPr>
                <w:p w14:paraId="4BB0CDD0">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化学需氧量</w:t>
                  </w:r>
                </w:p>
              </w:tc>
              <w:tc>
                <w:tcPr>
                  <w:tcW w:w="1700" w:type="pct"/>
                  <w:noWrap w:val="0"/>
                  <w:vAlign w:val="center"/>
                </w:tcPr>
                <w:p w14:paraId="5E9F7790">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1次/日</w:t>
                  </w:r>
                  <w:r>
                    <w:rPr>
                      <w:rFonts w:hint="default" w:ascii="Times New Roman" w:hAnsi="Times New Roman" w:cs="Times New Roman"/>
                      <w:color w:val="auto"/>
                      <w:vertAlign w:val="superscript"/>
                      <w:lang w:val="en-US" w:eastAsia="zh-CN"/>
                    </w:rPr>
                    <w:t>a</w:t>
                  </w:r>
                </w:p>
              </w:tc>
            </w:tr>
            <w:tr w14:paraId="5614A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000" w:type="pct"/>
                  <w:gridSpan w:val="3"/>
                  <w:noWrap w:val="0"/>
                  <w:vAlign w:val="center"/>
                </w:tcPr>
                <w:p w14:paraId="31A628DA">
                  <w:pPr>
                    <w:pStyle w:val="14"/>
                    <w:bidi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a：排放口有流动水排放时开展监测，排放期间按日监测。如监测一年无异常情况，每季度第一次有流动水排放时开展按日监测。</w:t>
                  </w:r>
                </w:p>
              </w:tc>
            </w:tr>
          </w:tbl>
          <w:p w14:paraId="58DC3B0B">
            <w:pPr>
              <w:bidi w:val="0"/>
              <w:rPr>
                <w:rFonts w:hint="default" w:ascii="Times New Roman" w:hAnsi="Times New Roman" w:cs="Times New Roman"/>
                <w:color w:val="auto"/>
              </w:rPr>
            </w:pPr>
            <w:r>
              <w:rPr>
                <w:rFonts w:hint="default" w:ascii="Times New Roman" w:hAnsi="Times New Roman" w:cs="Times New Roman"/>
                <w:b/>
                <w:bCs/>
                <w:color w:val="auto"/>
                <w:lang w:val="en-US" w:eastAsia="zh-CN"/>
              </w:rPr>
              <w:t>3、噪声影响分析及保护措施</w:t>
            </w:r>
          </w:p>
          <w:p w14:paraId="30701943">
            <w:pPr>
              <w:bidi w:val="0"/>
              <w:rPr>
                <w:rFonts w:hint="default" w:ascii="Times New Roman" w:hAnsi="Times New Roman" w:cs="Times New Roman"/>
                <w:b/>
                <w:bCs/>
                <w:color w:val="auto"/>
              </w:rPr>
            </w:pPr>
            <w:r>
              <w:rPr>
                <w:rFonts w:hint="default" w:ascii="Times New Roman" w:hAnsi="Times New Roman" w:cs="Times New Roman"/>
                <w:b/>
                <w:bCs/>
                <w:color w:val="auto"/>
              </w:rPr>
              <w:t>1）源强分析</w:t>
            </w:r>
          </w:p>
          <w:p w14:paraId="3717B225">
            <w:pPr>
              <w:bidi w:val="0"/>
              <w:rPr>
                <w:rFonts w:hint="default" w:ascii="Times New Roman" w:hAnsi="Times New Roman" w:cs="Times New Roman"/>
                <w:color w:val="auto"/>
                <w:lang w:eastAsia="zh-CN"/>
              </w:rPr>
            </w:pPr>
            <w:r>
              <w:rPr>
                <w:rFonts w:hint="default" w:ascii="Times New Roman" w:hAnsi="Times New Roman" w:cs="Times New Roman"/>
                <w:color w:val="auto"/>
              </w:rPr>
              <w:t>项目营运期噪声主要</w:t>
            </w:r>
            <w:r>
              <w:rPr>
                <w:rFonts w:hint="default" w:ascii="Times New Roman" w:hAnsi="Times New Roman" w:cs="Times New Roman"/>
                <w:color w:val="auto"/>
                <w:lang w:val="en-US" w:eastAsia="zh-CN"/>
              </w:rPr>
              <w:t>为喷漆</w:t>
            </w:r>
            <w:r>
              <w:rPr>
                <w:rFonts w:hint="eastAsia" w:cs="Times New Roman"/>
                <w:color w:val="auto"/>
                <w:lang w:val="en-US" w:eastAsia="zh-CN"/>
              </w:rPr>
              <w:t>流水线、废气处理系统的风机</w:t>
            </w:r>
            <w:r>
              <w:rPr>
                <w:rFonts w:hint="default" w:ascii="Times New Roman" w:hAnsi="Times New Roman" w:cs="Times New Roman"/>
                <w:color w:val="auto"/>
                <w:lang w:val="en-US" w:eastAsia="zh-CN"/>
              </w:rPr>
              <w:t>等发出的噪声</w:t>
            </w:r>
            <w:r>
              <w:rPr>
                <w:rFonts w:hint="default" w:ascii="Times New Roman" w:hAnsi="Times New Roman" w:cs="Times New Roman"/>
                <w:color w:val="auto"/>
              </w:rPr>
              <w:t>，声源强度在</w:t>
            </w:r>
            <w:r>
              <w:rPr>
                <w:rFonts w:hint="default" w:ascii="Times New Roman" w:hAnsi="Times New Roman" w:cs="Times New Roman"/>
                <w:color w:val="auto"/>
                <w:lang w:val="en-US" w:eastAsia="zh-CN"/>
              </w:rPr>
              <w:t>70~75</w:t>
            </w:r>
            <w:r>
              <w:rPr>
                <w:rFonts w:hint="default" w:ascii="Times New Roman" w:hAnsi="Times New Roman" w:cs="Times New Roman"/>
                <w:color w:val="auto"/>
              </w:rPr>
              <w:t>dB</w:t>
            </w:r>
            <w:r>
              <w:rPr>
                <w:rFonts w:hint="default" w:ascii="Times New Roman" w:hAnsi="Times New Roman" w:cs="Times New Roman"/>
                <w:color w:val="auto"/>
                <w:lang w:eastAsia="zh-CN"/>
              </w:rPr>
              <w:t>（</w:t>
            </w:r>
            <w:r>
              <w:rPr>
                <w:rFonts w:hint="default" w:ascii="Times New Roman" w:hAnsi="Times New Roman" w:cs="Times New Roman"/>
                <w:color w:val="auto"/>
              </w:rPr>
              <w:t>A）之间，采取</w:t>
            </w:r>
            <w:r>
              <w:rPr>
                <w:rFonts w:hint="default" w:ascii="Times New Roman" w:hAnsi="Times New Roman" w:cs="Times New Roman"/>
                <w:color w:val="auto"/>
                <w:lang w:val="en-US" w:eastAsia="zh-CN"/>
              </w:rPr>
              <w:t>底噪设备</w:t>
            </w:r>
            <w:r>
              <w:rPr>
                <w:rFonts w:hint="default" w:ascii="Times New Roman" w:hAnsi="Times New Roman" w:cs="Times New Roman"/>
                <w:color w:val="auto"/>
              </w:rPr>
              <w:t>、厂房隔阻等降噪措施，噪声衰减1</w:t>
            </w:r>
            <w:r>
              <w:rPr>
                <w:rFonts w:hint="eastAsia" w:cs="Times New Roman"/>
                <w:color w:val="auto"/>
                <w:lang w:val="en-US" w:eastAsia="zh-CN"/>
              </w:rPr>
              <w:t>5</w:t>
            </w:r>
            <w:r>
              <w:rPr>
                <w:rFonts w:hint="default" w:ascii="Times New Roman" w:hAnsi="Times New Roman" w:cs="Times New Roman"/>
                <w:color w:val="auto"/>
              </w:rPr>
              <w:t>dB</w:t>
            </w:r>
            <w:r>
              <w:rPr>
                <w:rFonts w:hint="default" w:ascii="Times New Roman" w:hAnsi="Times New Roman" w:cs="Times New Roman"/>
                <w:color w:val="auto"/>
                <w:lang w:eastAsia="zh-CN"/>
              </w:rPr>
              <w:t>（</w:t>
            </w:r>
            <w:r>
              <w:rPr>
                <w:rFonts w:hint="default" w:ascii="Times New Roman" w:hAnsi="Times New Roman" w:cs="Times New Roman"/>
                <w:color w:val="auto"/>
              </w:rPr>
              <w:t>A）</w:t>
            </w:r>
            <w:r>
              <w:rPr>
                <w:rFonts w:hint="default" w:ascii="Times New Roman" w:hAnsi="Times New Roman" w:cs="Times New Roman"/>
                <w:color w:val="auto"/>
                <w:lang w:eastAsia="zh-CN"/>
              </w:rPr>
              <w:t>。</w:t>
            </w:r>
          </w:p>
          <w:p w14:paraId="5A47FBE4">
            <w:pPr>
              <w:bidi w:val="0"/>
              <w:ind w:left="0" w:leftChars="0" w:firstLine="0" w:firstLineChars="0"/>
              <w:jc w:val="center"/>
              <w:rPr>
                <w:rFonts w:hint="default" w:ascii="Times New Roman" w:hAnsi="Times New Roman" w:cs="Times New Roman"/>
                <w:b/>
                <w:bCs/>
                <w:color w:val="auto"/>
                <w:lang w:val="en-US" w:eastAsia="zh-CN"/>
              </w:rPr>
            </w:pPr>
            <w:r>
              <w:rPr>
                <w:rFonts w:hint="eastAsia" w:cs="Times New Roman"/>
                <w:b/>
                <w:bCs/>
                <w:color w:val="auto"/>
                <w:lang w:val="en-US" w:eastAsia="zh-CN"/>
              </w:rPr>
              <w:t>表4-11  项目噪声源调查清单</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787"/>
              <w:gridCol w:w="788"/>
              <w:gridCol w:w="2319"/>
              <w:gridCol w:w="2515"/>
            </w:tblGrid>
            <w:tr w14:paraId="599D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0" w:type="pct"/>
                  <w:gridSpan w:val="3"/>
                  <w:tcBorders>
                    <w:top w:val="single" w:color="auto" w:sz="4" w:space="0"/>
                    <w:left w:val="single" w:color="auto" w:sz="4" w:space="0"/>
                    <w:bottom w:val="single" w:color="auto" w:sz="4" w:space="0"/>
                    <w:right w:val="single" w:color="auto" w:sz="4" w:space="0"/>
                  </w:tcBorders>
                  <w:vAlign w:val="center"/>
                </w:tcPr>
                <w:p w14:paraId="60542D31">
                  <w:pPr>
                    <w:pStyle w:val="14"/>
                    <w:widowControl w:val="0"/>
                    <w:bidi w:val="0"/>
                    <w:rPr>
                      <w:rFonts w:hint="default"/>
                      <w:color w:val="auto"/>
                      <w:lang w:val="en-US" w:eastAsia="zh-CN"/>
                    </w:rPr>
                  </w:pPr>
                  <w:r>
                    <w:rPr>
                      <w:rFonts w:hint="eastAsia"/>
                      <w:color w:val="auto"/>
                      <w:lang w:val="en-US" w:eastAsia="zh-CN"/>
                    </w:rPr>
                    <w:t>序号</w:t>
                  </w:r>
                </w:p>
              </w:tc>
              <w:tc>
                <w:tcPr>
                  <w:tcW w:w="1539" w:type="pct"/>
                  <w:tcBorders>
                    <w:top w:val="single" w:color="auto" w:sz="4" w:space="0"/>
                    <w:left w:val="single" w:color="auto" w:sz="4" w:space="0"/>
                    <w:bottom w:val="single" w:color="auto" w:sz="4" w:space="0"/>
                    <w:right w:val="single" w:color="auto" w:sz="4" w:space="0"/>
                  </w:tcBorders>
                  <w:vAlign w:val="center"/>
                </w:tcPr>
                <w:p w14:paraId="084D06A6">
                  <w:pPr>
                    <w:pStyle w:val="14"/>
                    <w:widowControl w:val="0"/>
                    <w:bidi w:val="0"/>
                    <w:rPr>
                      <w:rFonts w:hint="default"/>
                      <w:color w:val="auto"/>
                      <w:lang w:val="en-US" w:eastAsia="zh-CN"/>
                    </w:rPr>
                  </w:pPr>
                  <w:r>
                    <w:rPr>
                      <w:rFonts w:hint="eastAsia"/>
                      <w:color w:val="auto"/>
                      <w:lang w:val="en-US" w:eastAsia="zh-CN"/>
                    </w:rPr>
                    <w:t>1</w:t>
                  </w:r>
                </w:p>
              </w:tc>
              <w:tc>
                <w:tcPr>
                  <w:tcW w:w="1669" w:type="pct"/>
                  <w:tcBorders>
                    <w:top w:val="single" w:color="auto" w:sz="4" w:space="0"/>
                    <w:left w:val="single" w:color="auto" w:sz="4" w:space="0"/>
                    <w:bottom w:val="single" w:color="auto" w:sz="4" w:space="0"/>
                    <w:right w:val="single" w:color="auto" w:sz="4" w:space="0"/>
                  </w:tcBorders>
                  <w:vAlign w:val="center"/>
                </w:tcPr>
                <w:p w14:paraId="45E0660E">
                  <w:pPr>
                    <w:pStyle w:val="14"/>
                    <w:widowControl w:val="0"/>
                    <w:bidi w:val="0"/>
                    <w:rPr>
                      <w:rFonts w:hint="default"/>
                      <w:color w:val="auto"/>
                      <w:lang w:val="en-US" w:eastAsia="zh-CN"/>
                    </w:rPr>
                  </w:pPr>
                  <w:r>
                    <w:rPr>
                      <w:rFonts w:hint="eastAsia"/>
                      <w:color w:val="auto"/>
                      <w:lang w:val="en-US" w:eastAsia="zh-CN"/>
                    </w:rPr>
                    <w:t>2</w:t>
                  </w:r>
                </w:p>
              </w:tc>
            </w:tr>
            <w:tr w14:paraId="2141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0" w:type="pct"/>
                  <w:gridSpan w:val="3"/>
                  <w:tcBorders>
                    <w:top w:val="single" w:color="auto" w:sz="4" w:space="0"/>
                    <w:left w:val="single" w:color="auto" w:sz="4" w:space="0"/>
                    <w:bottom w:val="single" w:color="auto" w:sz="4" w:space="0"/>
                    <w:right w:val="single" w:color="auto" w:sz="4" w:space="0"/>
                  </w:tcBorders>
                  <w:vAlign w:val="center"/>
                </w:tcPr>
                <w:p w14:paraId="4F1146D5">
                  <w:pPr>
                    <w:pStyle w:val="14"/>
                    <w:widowControl w:val="0"/>
                    <w:bidi w:val="0"/>
                    <w:rPr>
                      <w:rFonts w:hint="default"/>
                      <w:color w:val="auto"/>
                      <w:lang w:val="en-US" w:eastAsia="zh-CN"/>
                    </w:rPr>
                  </w:pPr>
                  <w:r>
                    <w:rPr>
                      <w:rFonts w:hint="eastAsia"/>
                      <w:color w:val="auto"/>
                      <w:lang w:val="en-US" w:eastAsia="zh-CN"/>
                    </w:rPr>
                    <w:t>建筑物名称</w:t>
                  </w:r>
                </w:p>
              </w:tc>
              <w:tc>
                <w:tcPr>
                  <w:tcW w:w="1539" w:type="pct"/>
                  <w:tcBorders>
                    <w:top w:val="single" w:color="auto" w:sz="4" w:space="0"/>
                    <w:left w:val="single" w:color="auto" w:sz="4" w:space="0"/>
                    <w:bottom w:val="single" w:color="auto" w:sz="4" w:space="0"/>
                    <w:right w:val="single" w:color="auto" w:sz="4" w:space="0"/>
                  </w:tcBorders>
                  <w:vAlign w:val="center"/>
                </w:tcPr>
                <w:p w14:paraId="6E00B2CD">
                  <w:pPr>
                    <w:pStyle w:val="14"/>
                    <w:widowControl w:val="0"/>
                    <w:bidi w:val="0"/>
                    <w:rPr>
                      <w:rFonts w:hint="default"/>
                      <w:color w:val="auto"/>
                      <w:lang w:val="en-US" w:eastAsia="zh-CN"/>
                    </w:rPr>
                  </w:pPr>
                  <w:r>
                    <w:rPr>
                      <w:rFonts w:hint="eastAsia"/>
                      <w:color w:val="auto"/>
                      <w:lang w:val="en-US" w:eastAsia="zh-CN"/>
                    </w:rPr>
                    <w:t>生产厂房</w:t>
                  </w:r>
                </w:p>
              </w:tc>
              <w:tc>
                <w:tcPr>
                  <w:tcW w:w="1669" w:type="pct"/>
                  <w:tcBorders>
                    <w:top w:val="single" w:color="auto" w:sz="4" w:space="0"/>
                    <w:left w:val="single" w:color="auto" w:sz="4" w:space="0"/>
                    <w:bottom w:val="single" w:color="auto" w:sz="4" w:space="0"/>
                    <w:right w:val="single" w:color="auto" w:sz="4" w:space="0"/>
                  </w:tcBorders>
                  <w:vAlign w:val="center"/>
                </w:tcPr>
                <w:p w14:paraId="496E1650">
                  <w:pPr>
                    <w:pStyle w:val="14"/>
                    <w:widowControl w:val="0"/>
                    <w:bidi w:val="0"/>
                    <w:rPr>
                      <w:rFonts w:hint="default"/>
                      <w:color w:val="auto"/>
                      <w:lang w:val="en-US" w:eastAsia="zh-CN"/>
                    </w:rPr>
                  </w:pPr>
                  <w:r>
                    <w:rPr>
                      <w:rFonts w:hint="eastAsia"/>
                      <w:color w:val="auto"/>
                      <w:lang w:val="en-US" w:eastAsia="zh-CN"/>
                    </w:rPr>
                    <w:t>生产厂房</w:t>
                  </w:r>
                </w:p>
              </w:tc>
            </w:tr>
            <w:tr w14:paraId="3A4C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0" w:type="pct"/>
                  <w:gridSpan w:val="3"/>
                  <w:tcBorders>
                    <w:top w:val="single" w:color="auto" w:sz="4" w:space="0"/>
                    <w:left w:val="single" w:color="auto" w:sz="4" w:space="0"/>
                    <w:bottom w:val="single" w:color="auto" w:sz="4" w:space="0"/>
                    <w:right w:val="single" w:color="auto" w:sz="4" w:space="0"/>
                  </w:tcBorders>
                  <w:vAlign w:val="center"/>
                </w:tcPr>
                <w:p w14:paraId="6F3AF133">
                  <w:pPr>
                    <w:pStyle w:val="14"/>
                    <w:widowControl w:val="0"/>
                    <w:bidi w:val="0"/>
                    <w:rPr>
                      <w:rFonts w:hint="default"/>
                      <w:color w:val="auto"/>
                      <w:lang w:val="en-US" w:eastAsia="zh-CN"/>
                    </w:rPr>
                  </w:pPr>
                  <w:r>
                    <w:rPr>
                      <w:rFonts w:hint="eastAsia"/>
                      <w:color w:val="auto"/>
                      <w:lang w:val="en-US" w:eastAsia="zh-CN"/>
                    </w:rPr>
                    <w:t>声源名称</w:t>
                  </w:r>
                </w:p>
              </w:tc>
              <w:tc>
                <w:tcPr>
                  <w:tcW w:w="1539" w:type="pct"/>
                  <w:tcBorders>
                    <w:top w:val="single" w:color="auto" w:sz="4" w:space="0"/>
                    <w:left w:val="single" w:color="auto" w:sz="4" w:space="0"/>
                    <w:bottom w:val="single" w:color="auto" w:sz="4" w:space="0"/>
                    <w:right w:val="single" w:color="auto" w:sz="4" w:space="0"/>
                  </w:tcBorders>
                  <w:vAlign w:val="center"/>
                </w:tcPr>
                <w:p w14:paraId="417CF819">
                  <w:pPr>
                    <w:pStyle w:val="14"/>
                    <w:widowControl w:val="0"/>
                    <w:bidi w:val="0"/>
                    <w:rPr>
                      <w:rFonts w:hint="default"/>
                      <w:color w:val="auto"/>
                      <w:lang w:val="en-US" w:eastAsia="zh-CN"/>
                    </w:rPr>
                  </w:pPr>
                  <w:r>
                    <w:rPr>
                      <w:rFonts w:hint="eastAsia"/>
                      <w:color w:val="auto"/>
                      <w:lang w:val="en-US" w:eastAsia="zh-CN"/>
                    </w:rPr>
                    <w:t>喷漆流水线</w:t>
                  </w:r>
                </w:p>
              </w:tc>
              <w:tc>
                <w:tcPr>
                  <w:tcW w:w="1669" w:type="pct"/>
                  <w:tcBorders>
                    <w:top w:val="single" w:color="auto" w:sz="4" w:space="0"/>
                    <w:left w:val="single" w:color="auto" w:sz="4" w:space="0"/>
                    <w:bottom w:val="single" w:color="auto" w:sz="4" w:space="0"/>
                    <w:right w:val="single" w:color="auto" w:sz="4" w:space="0"/>
                  </w:tcBorders>
                  <w:vAlign w:val="center"/>
                </w:tcPr>
                <w:p w14:paraId="395D8DD7">
                  <w:pPr>
                    <w:pStyle w:val="14"/>
                    <w:widowControl w:val="0"/>
                    <w:bidi w:val="0"/>
                    <w:rPr>
                      <w:rFonts w:hint="default"/>
                      <w:color w:val="auto"/>
                      <w:lang w:val="en-US" w:eastAsia="zh-CN"/>
                    </w:rPr>
                  </w:pPr>
                  <w:r>
                    <w:rPr>
                      <w:rFonts w:hint="eastAsia"/>
                      <w:color w:val="auto"/>
                      <w:lang w:val="en-US" w:eastAsia="zh-CN"/>
                    </w:rPr>
                    <w:t>废气处理系统风机</w:t>
                  </w:r>
                </w:p>
              </w:tc>
            </w:tr>
            <w:tr w14:paraId="59F6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0" w:type="pct"/>
                  <w:gridSpan w:val="3"/>
                  <w:tcBorders>
                    <w:top w:val="single" w:color="auto" w:sz="4" w:space="0"/>
                    <w:left w:val="single" w:color="auto" w:sz="4" w:space="0"/>
                    <w:bottom w:val="single" w:color="auto" w:sz="4" w:space="0"/>
                    <w:right w:val="single" w:color="auto" w:sz="4" w:space="0"/>
                  </w:tcBorders>
                  <w:vAlign w:val="center"/>
                </w:tcPr>
                <w:p w14:paraId="7E3E7834">
                  <w:pPr>
                    <w:pStyle w:val="14"/>
                    <w:widowControl w:val="0"/>
                    <w:bidi w:val="0"/>
                    <w:rPr>
                      <w:rFonts w:hint="default"/>
                      <w:color w:val="auto"/>
                      <w:lang w:val="en-US" w:eastAsia="zh-CN"/>
                    </w:rPr>
                  </w:pPr>
                  <w:r>
                    <w:rPr>
                      <w:rFonts w:hint="eastAsia"/>
                      <w:color w:val="auto"/>
                      <w:lang w:val="en-US" w:eastAsia="zh-CN"/>
                    </w:rPr>
                    <w:t>型号</w:t>
                  </w:r>
                </w:p>
              </w:tc>
              <w:tc>
                <w:tcPr>
                  <w:tcW w:w="1539" w:type="pct"/>
                  <w:tcBorders>
                    <w:top w:val="single" w:color="auto" w:sz="4" w:space="0"/>
                    <w:left w:val="single" w:color="auto" w:sz="4" w:space="0"/>
                    <w:bottom w:val="single" w:color="auto" w:sz="4" w:space="0"/>
                    <w:right w:val="single" w:color="auto" w:sz="4" w:space="0"/>
                  </w:tcBorders>
                  <w:vAlign w:val="center"/>
                </w:tcPr>
                <w:p w14:paraId="1AF30C0B">
                  <w:pPr>
                    <w:pStyle w:val="14"/>
                    <w:widowControl w:val="0"/>
                    <w:bidi w:val="0"/>
                    <w:rPr>
                      <w:rFonts w:hint="default"/>
                      <w:color w:val="auto"/>
                      <w:lang w:val="en-US" w:eastAsia="zh-CN"/>
                    </w:rPr>
                  </w:pPr>
                  <w:r>
                    <w:rPr>
                      <w:rFonts w:hint="eastAsia"/>
                      <w:color w:val="auto"/>
                      <w:lang w:val="en-US" w:eastAsia="zh-CN"/>
                    </w:rPr>
                    <w:t>/</w:t>
                  </w:r>
                </w:p>
              </w:tc>
              <w:tc>
                <w:tcPr>
                  <w:tcW w:w="1669" w:type="pct"/>
                  <w:tcBorders>
                    <w:top w:val="single" w:color="auto" w:sz="4" w:space="0"/>
                    <w:left w:val="single" w:color="auto" w:sz="4" w:space="0"/>
                    <w:bottom w:val="single" w:color="auto" w:sz="4" w:space="0"/>
                    <w:right w:val="single" w:color="auto" w:sz="4" w:space="0"/>
                  </w:tcBorders>
                  <w:vAlign w:val="center"/>
                </w:tcPr>
                <w:p w14:paraId="7730DD1A">
                  <w:pPr>
                    <w:pStyle w:val="14"/>
                    <w:widowControl w:val="0"/>
                    <w:bidi w:val="0"/>
                    <w:rPr>
                      <w:rFonts w:hint="default"/>
                      <w:color w:val="auto"/>
                      <w:lang w:val="en-US" w:eastAsia="zh-CN"/>
                    </w:rPr>
                  </w:pPr>
                  <w:r>
                    <w:rPr>
                      <w:rFonts w:hint="eastAsia"/>
                      <w:color w:val="auto"/>
                      <w:lang w:val="en-US" w:eastAsia="zh-CN"/>
                    </w:rPr>
                    <w:t>2500m³/h</w:t>
                  </w:r>
                </w:p>
              </w:tc>
            </w:tr>
            <w:tr w14:paraId="7E80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tcBorders>
                    <w:top w:val="single" w:color="auto" w:sz="4" w:space="0"/>
                    <w:left w:val="single" w:color="auto" w:sz="4" w:space="0"/>
                    <w:bottom w:val="single" w:color="auto" w:sz="4" w:space="0"/>
                    <w:right w:val="single" w:color="auto" w:sz="4" w:space="0"/>
                  </w:tcBorders>
                  <w:vAlign w:val="center"/>
                </w:tcPr>
                <w:p w14:paraId="01DA9C96">
                  <w:pPr>
                    <w:pStyle w:val="14"/>
                    <w:widowControl w:val="0"/>
                    <w:bidi w:val="0"/>
                    <w:rPr>
                      <w:rFonts w:hint="default"/>
                      <w:color w:val="auto"/>
                      <w:lang w:val="en-US" w:eastAsia="zh-CN"/>
                    </w:rPr>
                  </w:pPr>
                  <w:r>
                    <w:rPr>
                      <w:rFonts w:hint="eastAsia"/>
                      <w:color w:val="auto"/>
                      <w:lang w:val="en-US" w:eastAsia="zh-CN"/>
                    </w:rPr>
                    <w:t>声源源强</w:t>
                  </w:r>
                </w:p>
              </w:tc>
              <w:tc>
                <w:tcPr>
                  <w:tcW w:w="1045" w:type="pct"/>
                  <w:gridSpan w:val="2"/>
                  <w:tcBorders>
                    <w:top w:val="single" w:color="auto" w:sz="4" w:space="0"/>
                    <w:left w:val="single" w:color="auto" w:sz="4" w:space="0"/>
                    <w:bottom w:val="single" w:color="auto" w:sz="4" w:space="0"/>
                    <w:right w:val="single" w:color="auto" w:sz="4" w:space="0"/>
                  </w:tcBorders>
                  <w:vAlign w:val="center"/>
                </w:tcPr>
                <w:p w14:paraId="30922774">
                  <w:pPr>
                    <w:pStyle w:val="14"/>
                    <w:widowControl w:val="0"/>
                    <w:bidi w:val="0"/>
                    <w:rPr>
                      <w:rFonts w:hint="eastAsia"/>
                      <w:color w:val="auto"/>
                      <w:lang w:val="en-US" w:eastAsia="zh-CN"/>
                    </w:rPr>
                  </w:pPr>
                  <w:r>
                    <w:rPr>
                      <w:rFonts w:hint="eastAsia"/>
                      <w:color w:val="auto"/>
                      <w:lang w:val="en-US" w:eastAsia="zh-CN"/>
                    </w:rPr>
                    <w:t>声功率级/dB（A）</w:t>
                  </w:r>
                </w:p>
              </w:tc>
              <w:tc>
                <w:tcPr>
                  <w:tcW w:w="1539" w:type="pct"/>
                  <w:tcBorders>
                    <w:top w:val="single" w:color="auto" w:sz="4" w:space="0"/>
                    <w:left w:val="single" w:color="auto" w:sz="4" w:space="0"/>
                    <w:bottom w:val="single" w:color="auto" w:sz="4" w:space="0"/>
                    <w:right w:val="single" w:color="auto" w:sz="4" w:space="0"/>
                  </w:tcBorders>
                  <w:vAlign w:val="center"/>
                </w:tcPr>
                <w:p w14:paraId="54636CC6">
                  <w:pPr>
                    <w:pStyle w:val="14"/>
                    <w:widowControl w:val="0"/>
                    <w:bidi w:val="0"/>
                    <w:rPr>
                      <w:rFonts w:hint="default"/>
                      <w:color w:val="auto"/>
                      <w:lang w:val="en-US" w:eastAsia="zh-CN"/>
                    </w:rPr>
                  </w:pPr>
                  <w:r>
                    <w:rPr>
                      <w:rFonts w:hint="eastAsia"/>
                      <w:color w:val="auto"/>
                      <w:lang w:val="en-US" w:eastAsia="zh-CN"/>
                    </w:rPr>
                    <w:t>75</w:t>
                  </w:r>
                </w:p>
              </w:tc>
              <w:tc>
                <w:tcPr>
                  <w:tcW w:w="1669" w:type="pct"/>
                  <w:tcBorders>
                    <w:top w:val="single" w:color="auto" w:sz="4" w:space="0"/>
                    <w:left w:val="single" w:color="auto" w:sz="4" w:space="0"/>
                    <w:bottom w:val="single" w:color="auto" w:sz="4" w:space="0"/>
                    <w:right w:val="single" w:color="auto" w:sz="4" w:space="0"/>
                  </w:tcBorders>
                  <w:vAlign w:val="center"/>
                </w:tcPr>
                <w:p w14:paraId="760F82E2">
                  <w:pPr>
                    <w:pStyle w:val="14"/>
                    <w:widowControl w:val="0"/>
                    <w:bidi w:val="0"/>
                    <w:rPr>
                      <w:rFonts w:hint="default"/>
                      <w:color w:val="auto"/>
                      <w:lang w:val="en-US" w:eastAsia="zh-CN"/>
                    </w:rPr>
                  </w:pPr>
                  <w:r>
                    <w:rPr>
                      <w:rFonts w:hint="eastAsia"/>
                      <w:color w:val="auto"/>
                      <w:lang w:val="en-US" w:eastAsia="zh-CN"/>
                    </w:rPr>
                    <w:t>90</w:t>
                  </w:r>
                </w:p>
              </w:tc>
            </w:tr>
            <w:tr w14:paraId="4ADF5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0" w:type="pct"/>
                  <w:gridSpan w:val="3"/>
                  <w:tcBorders>
                    <w:top w:val="single" w:color="auto" w:sz="4" w:space="0"/>
                    <w:left w:val="single" w:color="auto" w:sz="4" w:space="0"/>
                    <w:bottom w:val="single" w:color="auto" w:sz="4" w:space="0"/>
                    <w:right w:val="single" w:color="auto" w:sz="4" w:space="0"/>
                  </w:tcBorders>
                  <w:vAlign w:val="center"/>
                </w:tcPr>
                <w:p w14:paraId="090CB28B">
                  <w:pPr>
                    <w:pStyle w:val="14"/>
                    <w:widowControl w:val="0"/>
                    <w:bidi w:val="0"/>
                    <w:rPr>
                      <w:rFonts w:hint="default"/>
                      <w:color w:val="auto"/>
                      <w:lang w:val="en-US" w:eastAsia="zh-CN"/>
                    </w:rPr>
                  </w:pPr>
                  <w:r>
                    <w:rPr>
                      <w:rFonts w:hint="eastAsia"/>
                      <w:color w:val="auto"/>
                      <w:lang w:val="en-US" w:eastAsia="zh-CN"/>
                    </w:rPr>
                    <w:t>声源控制措施</w:t>
                  </w:r>
                </w:p>
              </w:tc>
              <w:tc>
                <w:tcPr>
                  <w:tcW w:w="1539" w:type="pct"/>
                  <w:tcBorders>
                    <w:top w:val="single" w:color="auto" w:sz="4" w:space="0"/>
                    <w:left w:val="single" w:color="auto" w:sz="4" w:space="0"/>
                    <w:bottom w:val="single" w:color="auto" w:sz="4" w:space="0"/>
                    <w:right w:val="single" w:color="auto" w:sz="4" w:space="0"/>
                  </w:tcBorders>
                  <w:vAlign w:val="center"/>
                </w:tcPr>
                <w:p w14:paraId="45001510">
                  <w:pPr>
                    <w:pStyle w:val="14"/>
                    <w:widowControl w:val="0"/>
                    <w:bidi w:val="0"/>
                    <w:rPr>
                      <w:rFonts w:hint="default"/>
                      <w:color w:val="auto"/>
                      <w:lang w:val="en-US" w:eastAsia="zh-CN"/>
                    </w:rPr>
                  </w:pPr>
                  <w:r>
                    <w:rPr>
                      <w:rFonts w:hint="default" w:ascii="Times New Roman" w:hAnsi="Times New Roman" w:cs="Times New Roman"/>
                      <w:color w:val="auto"/>
                      <w:sz w:val="21"/>
                      <w:szCs w:val="21"/>
                    </w:rPr>
                    <w:t>低噪设备，</w:t>
                  </w:r>
                  <w:r>
                    <w:rPr>
                      <w:rFonts w:hint="eastAsia" w:ascii="Times New Roman" w:hAnsi="Times New Roman" w:cs="Times New Roman"/>
                      <w:color w:val="auto"/>
                      <w:sz w:val="21"/>
                      <w:szCs w:val="21"/>
                      <w:lang w:val="en-US" w:eastAsia="zh-CN"/>
                    </w:rPr>
                    <w:t>基础减震，</w:t>
                  </w:r>
                  <w:r>
                    <w:rPr>
                      <w:rFonts w:hint="default" w:ascii="Times New Roman" w:hAnsi="Times New Roman" w:cs="Times New Roman"/>
                      <w:color w:val="auto"/>
                      <w:sz w:val="21"/>
                      <w:szCs w:val="21"/>
                      <w:lang w:val="en-US" w:eastAsia="zh-CN"/>
                    </w:rPr>
                    <w:t>厂房隔声</w:t>
                  </w:r>
                </w:p>
              </w:tc>
              <w:tc>
                <w:tcPr>
                  <w:tcW w:w="1669" w:type="pct"/>
                  <w:tcBorders>
                    <w:top w:val="single" w:color="auto" w:sz="4" w:space="0"/>
                    <w:left w:val="single" w:color="auto" w:sz="4" w:space="0"/>
                    <w:bottom w:val="single" w:color="auto" w:sz="4" w:space="0"/>
                    <w:right w:val="single" w:color="auto" w:sz="4" w:space="0"/>
                  </w:tcBorders>
                  <w:vAlign w:val="center"/>
                </w:tcPr>
                <w:p w14:paraId="5746C2BA">
                  <w:pPr>
                    <w:pStyle w:val="14"/>
                    <w:widowControl w:val="0"/>
                    <w:bidi w:val="0"/>
                    <w:rPr>
                      <w:rFonts w:hint="default"/>
                      <w:color w:val="auto"/>
                      <w:lang w:val="en-US" w:eastAsia="zh-CN"/>
                    </w:rPr>
                  </w:pPr>
                  <w:r>
                    <w:rPr>
                      <w:rFonts w:hint="default" w:ascii="Times New Roman" w:hAnsi="Times New Roman" w:cs="Times New Roman"/>
                      <w:color w:val="auto"/>
                      <w:sz w:val="21"/>
                      <w:szCs w:val="21"/>
                    </w:rPr>
                    <w:t>低噪设备，</w:t>
                  </w:r>
                  <w:r>
                    <w:rPr>
                      <w:rFonts w:hint="eastAsia" w:ascii="Times New Roman" w:hAnsi="Times New Roman" w:cs="Times New Roman"/>
                      <w:color w:val="auto"/>
                      <w:sz w:val="21"/>
                      <w:szCs w:val="21"/>
                      <w:lang w:val="en-US" w:eastAsia="zh-CN"/>
                    </w:rPr>
                    <w:t>基础减震，</w:t>
                  </w:r>
                  <w:r>
                    <w:rPr>
                      <w:rFonts w:hint="default" w:ascii="Times New Roman" w:hAnsi="Times New Roman" w:cs="Times New Roman"/>
                      <w:color w:val="auto"/>
                      <w:sz w:val="21"/>
                      <w:szCs w:val="21"/>
                      <w:lang w:val="en-US" w:eastAsia="zh-CN"/>
                    </w:rPr>
                    <w:t>厂房隔声</w:t>
                  </w:r>
                </w:p>
              </w:tc>
            </w:tr>
            <w:tr w14:paraId="7FBF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vMerge w:val="restart"/>
                  <w:tcBorders>
                    <w:top w:val="single" w:color="auto" w:sz="4" w:space="0"/>
                    <w:left w:val="single" w:color="auto" w:sz="4" w:space="0"/>
                    <w:right w:val="single" w:color="auto" w:sz="4" w:space="0"/>
                  </w:tcBorders>
                  <w:vAlign w:val="center"/>
                </w:tcPr>
                <w:p w14:paraId="3910296D">
                  <w:pPr>
                    <w:pStyle w:val="14"/>
                    <w:widowControl w:val="0"/>
                    <w:bidi w:val="0"/>
                    <w:rPr>
                      <w:rFonts w:hint="default"/>
                      <w:color w:val="auto"/>
                      <w:lang w:val="en-US" w:eastAsia="zh-CN"/>
                    </w:rPr>
                  </w:pPr>
                  <w:r>
                    <w:rPr>
                      <w:rFonts w:hint="eastAsia"/>
                      <w:color w:val="auto"/>
                      <w:lang w:val="en-US" w:eastAsia="zh-CN"/>
                    </w:rPr>
                    <w:t>空间相对位置/m</w:t>
                  </w:r>
                </w:p>
              </w:tc>
              <w:tc>
                <w:tcPr>
                  <w:tcW w:w="1045" w:type="pct"/>
                  <w:gridSpan w:val="2"/>
                  <w:tcBorders>
                    <w:top w:val="single" w:color="auto" w:sz="4" w:space="0"/>
                    <w:left w:val="single" w:color="auto" w:sz="4" w:space="0"/>
                    <w:bottom w:val="single" w:color="auto" w:sz="4" w:space="0"/>
                    <w:right w:val="single" w:color="auto" w:sz="4" w:space="0"/>
                  </w:tcBorders>
                  <w:vAlign w:val="center"/>
                </w:tcPr>
                <w:p w14:paraId="492FAC5F">
                  <w:pPr>
                    <w:pStyle w:val="14"/>
                    <w:widowControl w:val="0"/>
                    <w:bidi w:val="0"/>
                    <w:rPr>
                      <w:rFonts w:hint="default"/>
                      <w:color w:val="auto"/>
                      <w:lang w:val="en-US" w:eastAsia="zh-CN"/>
                    </w:rPr>
                  </w:pPr>
                  <w:r>
                    <w:rPr>
                      <w:rFonts w:hint="eastAsia"/>
                      <w:color w:val="auto"/>
                      <w:lang w:val="en-US" w:eastAsia="zh-CN"/>
                    </w:rPr>
                    <w:t>X</w:t>
                  </w:r>
                </w:p>
              </w:tc>
              <w:tc>
                <w:tcPr>
                  <w:tcW w:w="1539" w:type="pct"/>
                  <w:tcBorders>
                    <w:top w:val="single" w:color="auto" w:sz="4" w:space="0"/>
                    <w:left w:val="single" w:color="auto" w:sz="4" w:space="0"/>
                    <w:bottom w:val="single" w:color="auto" w:sz="4" w:space="0"/>
                    <w:right w:val="single" w:color="auto" w:sz="4" w:space="0"/>
                  </w:tcBorders>
                  <w:vAlign w:val="center"/>
                </w:tcPr>
                <w:p w14:paraId="73BC9E3A">
                  <w:pPr>
                    <w:pStyle w:val="14"/>
                    <w:widowControl w:val="0"/>
                    <w:bidi w:val="0"/>
                    <w:rPr>
                      <w:rFonts w:hint="default"/>
                      <w:color w:val="auto"/>
                      <w:lang w:val="en-US" w:eastAsia="zh-CN"/>
                    </w:rPr>
                  </w:pPr>
                  <w:r>
                    <w:rPr>
                      <w:rFonts w:hint="eastAsia"/>
                      <w:color w:val="auto"/>
                      <w:lang w:val="en-US" w:eastAsia="zh-CN"/>
                    </w:rPr>
                    <w:t>24.5</w:t>
                  </w:r>
                </w:p>
              </w:tc>
              <w:tc>
                <w:tcPr>
                  <w:tcW w:w="1669" w:type="pct"/>
                  <w:tcBorders>
                    <w:top w:val="single" w:color="auto" w:sz="4" w:space="0"/>
                    <w:left w:val="single" w:color="auto" w:sz="4" w:space="0"/>
                    <w:bottom w:val="single" w:color="auto" w:sz="4" w:space="0"/>
                    <w:right w:val="single" w:color="auto" w:sz="4" w:space="0"/>
                  </w:tcBorders>
                  <w:vAlign w:val="center"/>
                </w:tcPr>
                <w:p w14:paraId="07CF58B8">
                  <w:pPr>
                    <w:pStyle w:val="14"/>
                    <w:widowControl w:val="0"/>
                    <w:bidi w:val="0"/>
                    <w:rPr>
                      <w:rFonts w:hint="default"/>
                      <w:color w:val="auto"/>
                      <w:lang w:val="en-US" w:eastAsia="zh-CN"/>
                    </w:rPr>
                  </w:pPr>
                  <w:r>
                    <w:rPr>
                      <w:rFonts w:hint="eastAsia"/>
                      <w:color w:val="auto"/>
                      <w:lang w:val="en-US" w:eastAsia="zh-CN"/>
                    </w:rPr>
                    <w:t>27.3</w:t>
                  </w:r>
                </w:p>
              </w:tc>
            </w:tr>
            <w:tr w14:paraId="380F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vMerge w:val="continue"/>
                  <w:tcBorders>
                    <w:left w:val="single" w:color="auto" w:sz="4" w:space="0"/>
                    <w:right w:val="single" w:color="auto" w:sz="4" w:space="0"/>
                  </w:tcBorders>
                  <w:vAlign w:val="center"/>
                </w:tcPr>
                <w:p w14:paraId="48B8571D">
                  <w:pPr>
                    <w:pStyle w:val="14"/>
                    <w:widowControl w:val="0"/>
                    <w:bidi w:val="0"/>
                    <w:rPr>
                      <w:rFonts w:hint="default"/>
                      <w:color w:val="auto"/>
                      <w:lang w:val="en-US" w:eastAsia="zh-CN"/>
                    </w:rPr>
                  </w:pPr>
                </w:p>
              </w:tc>
              <w:tc>
                <w:tcPr>
                  <w:tcW w:w="1045" w:type="pct"/>
                  <w:gridSpan w:val="2"/>
                  <w:tcBorders>
                    <w:top w:val="single" w:color="auto" w:sz="4" w:space="0"/>
                    <w:left w:val="single" w:color="auto" w:sz="4" w:space="0"/>
                    <w:bottom w:val="single" w:color="auto" w:sz="4" w:space="0"/>
                    <w:right w:val="single" w:color="auto" w:sz="4" w:space="0"/>
                  </w:tcBorders>
                  <w:vAlign w:val="center"/>
                </w:tcPr>
                <w:p w14:paraId="4D9339B6">
                  <w:pPr>
                    <w:pStyle w:val="14"/>
                    <w:widowControl w:val="0"/>
                    <w:bidi w:val="0"/>
                    <w:rPr>
                      <w:rFonts w:hint="default"/>
                      <w:color w:val="auto"/>
                      <w:lang w:val="en-US" w:eastAsia="zh-CN"/>
                    </w:rPr>
                  </w:pPr>
                  <w:r>
                    <w:rPr>
                      <w:rFonts w:hint="eastAsia"/>
                      <w:color w:val="auto"/>
                      <w:lang w:val="en-US" w:eastAsia="zh-CN"/>
                    </w:rPr>
                    <w:t>Y</w:t>
                  </w:r>
                </w:p>
              </w:tc>
              <w:tc>
                <w:tcPr>
                  <w:tcW w:w="1539" w:type="pct"/>
                  <w:tcBorders>
                    <w:top w:val="single" w:color="auto" w:sz="4" w:space="0"/>
                    <w:left w:val="single" w:color="auto" w:sz="4" w:space="0"/>
                    <w:bottom w:val="single" w:color="auto" w:sz="4" w:space="0"/>
                    <w:right w:val="single" w:color="auto" w:sz="4" w:space="0"/>
                  </w:tcBorders>
                  <w:vAlign w:val="center"/>
                </w:tcPr>
                <w:p w14:paraId="0A8D88A5">
                  <w:pPr>
                    <w:pStyle w:val="14"/>
                    <w:widowControl w:val="0"/>
                    <w:bidi w:val="0"/>
                    <w:rPr>
                      <w:rFonts w:hint="default"/>
                      <w:color w:val="auto"/>
                      <w:lang w:val="en-US" w:eastAsia="zh-CN"/>
                    </w:rPr>
                  </w:pPr>
                  <w:r>
                    <w:rPr>
                      <w:rFonts w:hint="eastAsia"/>
                      <w:color w:val="auto"/>
                      <w:lang w:val="en-US" w:eastAsia="zh-CN"/>
                    </w:rPr>
                    <w:t>2.3</w:t>
                  </w:r>
                </w:p>
              </w:tc>
              <w:tc>
                <w:tcPr>
                  <w:tcW w:w="1669" w:type="pct"/>
                  <w:tcBorders>
                    <w:top w:val="single" w:color="auto" w:sz="4" w:space="0"/>
                    <w:left w:val="single" w:color="auto" w:sz="4" w:space="0"/>
                    <w:bottom w:val="single" w:color="auto" w:sz="4" w:space="0"/>
                    <w:right w:val="single" w:color="auto" w:sz="4" w:space="0"/>
                  </w:tcBorders>
                  <w:vAlign w:val="center"/>
                </w:tcPr>
                <w:p w14:paraId="7CD76D0A">
                  <w:pPr>
                    <w:pStyle w:val="14"/>
                    <w:widowControl w:val="0"/>
                    <w:bidi w:val="0"/>
                    <w:rPr>
                      <w:rFonts w:hint="default"/>
                      <w:color w:val="auto"/>
                      <w:lang w:val="en-US" w:eastAsia="zh-CN"/>
                    </w:rPr>
                  </w:pPr>
                  <w:r>
                    <w:rPr>
                      <w:rFonts w:hint="eastAsia"/>
                      <w:color w:val="auto"/>
                      <w:lang w:val="en-US" w:eastAsia="zh-CN"/>
                    </w:rPr>
                    <w:t>10.5</w:t>
                  </w:r>
                </w:p>
              </w:tc>
            </w:tr>
            <w:tr w14:paraId="5ED4C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vMerge w:val="continue"/>
                  <w:tcBorders>
                    <w:left w:val="single" w:color="auto" w:sz="4" w:space="0"/>
                    <w:bottom w:val="single" w:color="auto" w:sz="4" w:space="0"/>
                    <w:right w:val="single" w:color="auto" w:sz="4" w:space="0"/>
                  </w:tcBorders>
                  <w:vAlign w:val="center"/>
                </w:tcPr>
                <w:p w14:paraId="055149BA">
                  <w:pPr>
                    <w:pStyle w:val="14"/>
                    <w:widowControl w:val="0"/>
                    <w:bidi w:val="0"/>
                    <w:rPr>
                      <w:rFonts w:hint="default"/>
                      <w:color w:val="auto"/>
                      <w:lang w:val="en-US" w:eastAsia="zh-CN"/>
                    </w:rPr>
                  </w:pPr>
                </w:p>
              </w:tc>
              <w:tc>
                <w:tcPr>
                  <w:tcW w:w="1045" w:type="pct"/>
                  <w:gridSpan w:val="2"/>
                  <w:tcBorders>
                    <w:top w:val="single" w:color="auto" w:sz="4" w:space="0"/>
                    <w:left w:val="single" w:color="auto" w:sz="4" w:space="0"/>
                    <w:bottom w:val="single" w:color="auto" w:sz="4" w:space="0"/>
                    <w:right w:val="single" w:color="auto" w:sz="4" w:space="0"/>
                  </w:tcBorders>
                  <w:vAlign w:val="center"/>
                </w:tcPr>
                <w:p w14:paraId="577A42B9">
                  <w:pPr>
                    <w:pStyle w:val="14"/>
                    <w:widowControl w:val="0"/>
                    <w:bidi w:val="0"/>
                    <w:rPr>
                      <w:rFonts w:hint="default"/>
                      <w:color w:val="auto"/>
                      <w:lang w:val="en-US" w:eastAsia="zh-CN"/>
                    </w:rPr>
                  </w:pPr>
                  <w:r>
                    <w:rPr>
                      <w:rFonts w:hint="eastAsia"/>
                      <w:color w:val="auto"/>
                      <w:lang w:val="en-US" w:eastAsia="zh-CN"/>
                    </w:rPr>
                    <w:t>Z</w:t>
                  </w:r>
                </w:p>
              </w:tc>
              <w:tc>
                <w:tcPr>
                  <w:tcW w:w="1539" w:type="pct"/>
                  <w:tcBorders>
                    <w:top w:val="single" w:color="auto" w:sz="4" w:space="0"/>
                    <w:left w:val="single" w:color="auto" w:sz="4" w:space="0"/>
                    <w:bottom w:val="single" w:color="auto" w:sz="4" w:space="0"/>
                    <w:right w:val="single" w:color="auto" w:sz="4" w:space="0"/>
                  </w:tcBorders>
                  <w:vAlign w:val="center"/>
                </w:tcPr>
                <w:p w14:paraId="426FEFC9">
                  <w:pPr>
                    <w:pStyle w:val="14"/>
                    <w:widowControl w:val="0"/>
                    <w:bidi w:val="0"/>
                    <w:rPr>
                      <w:rFonts w:hint="default"/>
                      <w:color w:val="auto"/>
                      <w:lang w:val="en-US" w:eastAsia="zh-CN"/>
                    </w:rPr>
                  </w:pPr>
                  <w:r>
                    <w:rPr>
                      <w:rFonts w:hint="eastAsia"/>
                      <w:color w:val="auto"/>
                      <w:lang w:val="en-US" w:eastAsia="zh-CN"/>
                    </w:rPr>
                    <w:t>1</w:t>
                  </w:r>
                </w:p>
              </w:tc>
              <w:tc>
                <w:tcPr>
                  <w:tcW w:w="1669" w:type="pct"/>
                  <w:tcBorders>
                    <w:top w:val="single" w:color="auto" w:sz="4" w:space="0"/>
                    <w:left w:val="single" w:color="auto" w:sz="4" w:space="0"/>
                    <w:bottom w:val="single" w:color="auto" w:sz="4" w:space="0"/>
                    <w:right w:val="single" w:color="auto" w:sz="4" w:space="0"/>
                  </w:tcBorders>
                  <w:vAlign w:val="center"/>
                </w:tcPr>
                <w:p w14:paraId="0FB37E3B">
                  <w:pPr>
                    <w:pStyle w:val="14"/>
                    <w:widowControl w:val="0"/>
                    <w:bidi w:val="0"/>
                    <w:rPr>
                      <w:rFonts w:hint="default"/>
                      <w:color w:val="auto"/>
                      <w:lang w:val="en-US" w:eastAsia="zh-CN"/>
                    </w:rPr>
                  </w:pPr>
                  <w:r>
                    <w:rPr>
                      <w:rFonts w:hint="eastAsia"/>
                      <w:color w:val="auto"/>
                      <w:lang w:val="en-US" w:eastAsia="zh-CN"/>
                    </w:rPr>
                    <w:t>1</w:t>
                  </w:r>
                </w:p>
              </w:tc>
            </w:tr>
            <w:tr w14:paraId="36D6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vMerge w:val="restart"/>
                  <w:tcBorders>
                    <w:top w:val="single" w:color="auto" w:sz="4" w:space="0"/>
                    <w:left w:val="single" w:color="auto" w:sz="4" w:space="0"/>
                    <w:right w:val="single" w:color="auto" w:sz="4" w:space="0"/>
                  </w:tcBorders>
                  <w:vAlign w:val="center"/>
                </w:tcPr>
                <w:p w14:paraId="5B829569">
                  <w:pPr>
                    <w:pStyle w:val="14"/>
                    <w:widowControl w:val="0"/>
                    <w:bidi w:val="0"/>
                    <w:rPr>
                      <w:rFonts w:hint="default"/>
                      <w:color w:val="auto"/>
                      <w:lang w:val="en-US" w:eastAsia="zh-CN"/>
                    </w:rPr>
                  </w:pPr>
                  <w:r>
                    <w:rPr>
                      <w:rFonts w:hint="eastAsia"/>
                      <w:color w:val="auto"/>
                      <w:lang w:val="en-US" w:eastAsia="zh-CN"/>
                    </w:rPr>
                    <w:t>距室内边界距离/m</w:t>
                  </w:r>
                </w:p>
              </w:tc>
              <w:tc>
                <w:tcPr>
                  <w:tcW w:w="1045" w:type="pct"/>
                  <w:gridSpan w:val="2"/>
                  <w:tcBorders>
                    <w:top w:val="single" w:color="auto" w:sz="4" w:space="0"/>
                    <w:left w:val="single" w:color="auto" w:sz="4" w:space="0"/>
                    <w:bottom w:val="single" w:color="auto" w:sz="4" w:space="0"/>
                    <w:right w:val="single" w:color="auto" w:sz="4" w:space="0"/>
                  </w:tcBorders>
                  <w:vAlign w:val="center"/>
                </w:tcPr>
                <w:p w14:paraId="5C19988B">
                  <w:pPr>
                    <w:pStyle w:val="14"/>
                    <w:widowControl w:val="0"/>
                    <w:bidi w:val="0"/>
                    <w:rPr>
                      <w:rFonts w:hint="default"/>
                      <w:color w:val="auto"/>
                      <w:lang w:val="en-US" w:eastAsia="zh-CN"/>
                    </w:rPr>
                  </w:pPr>
                  <w:r>
                    <w:rPr>
                      <w:rFonts w:hint="eastAsia"/>
                      <w:color w:val="auto"/>
                      <w:lang w:val="en-US" w:eastAsia="zh-CN"/>
                    </w:rPr>
                    <w:t>东</w:t>
                  </w:r>
                </w:p>
              </w:tc>
              <w:tc>
                <w:tcPr>
                  <w:tcW w:w="1539" w:type="pct"/>
                  <w:tcBorders>
                    <w:top w:val="single" w:color="auto" w:sz="4" w:space="0"/>
                    <w:left w:val="single" w:color="auto" w:sz="4" w:space="0"/>
                    <w:bottom w:val="single" w:color="auto" w:sz="4" w:space="0"/>
                    <w:right w:val="single" w:color="auto" w:sz="4" w:space="0"/>
                  </w:tcBorders>
                  <w:vAlign w:val="center"/>
                </w:tcPr>
                <w:p w14:paraId="46554540">
                  <w:pPr>
                    <w:pStyle w:val="14"/>
                    <w:widowControl w:val="0"/>
                    <w:bidi w:val="0"/>
                    <w:rPr>
                      <w:rFonts w:hint="default"/>
                      <w:color w:val="auto"/>
                      <w:lang w:val="en-US" w:eastAsia="zh-CN"/>
                    </w:rPr>
                  </w:pPr>
                  <w:r>
                    <w:rPr>
                      <w:rFonts w:hint="eastAsia"/>
                      <w:color w:val="auto"/>
                      <w:lang w:val="en-US" w:eastAsia="zh-CN"/>
                    </w:rPr>
                    <w:t>53.5</w:t>
                  </w:r>
                </w:p>
              </w:tc>
              <w:tc>
                <w:tcPr>
                  <w:tcW w:w="1669" w:type="pct"/>
                  <w:tcBorders>
                    <w:top w:val="single" w:color="auto" w:sz="4" w:space="0"/>
                    <w:left w:val="single" w:color="auto" w:sz="4" w:space="0"/>
                    <w:bottom w:val="single" w:color="auto" w:sz="4" w:space="0"/>
                    <w:right w:val="single" w:color="auto" w:sz="4" w:space="0"/>
                  </w:tcBorders>
                  <w:vAlign w:val="center"/>
                </w:tcPr>
                <w:p w14:paraId="2F8DE620">
                  <w:pPr>
                    <w:pStyle w:val="14"/>
                    <w:widowControl w:val="0"/>
                    <w:bidi w:val="0"/>
                    <w:rPr>
                      <w:rFonts w:hint="default"/>
                      <w:color w:val="auto"/>
                      <w:lang w:val="en-US" w:eastAsia="zh-CN"/>
                    </w:rPr>
                  </w:pPr>
                  <w:r>
                    <w:rPr>
                      <w:rFonts w:hint="eastAsia"/>
                      <w:color w:val="auto"/>
                      <w:lang w:val="en-US" w:eastAsia="zh-CN"/>
                    </w:rPr>
                    <w:t>51.8</w:t>
                  </w:r>
                </w:p>
              </w:tc>
            </w:tr>
            <w:tr w14:paraId="32939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vMerge w:val="continue"/>
                  <w:tcBorders>
                    <w:left w:val="single" w:color="auto" w:sz="4" w:space="0"/>
                    <w:right w:val="single" w:color="auto" w:sz="4" w:space="0"/>
                  </w:tcBorders>
                  <w:vAlign w:val="center"/>
                </w:tcPr>
                <w:p w14:paraId="65A03BA0">
                  <w:pPr>
                    <w:pStyle w:val="14"/>
                    <w:widowControl w:val="0"/>
                    <w:bidi w:val="0"/>
                    <w:rPr>
                      <w:rFonts w:hint="eastAsia"/>
                      <w:color w:val="auto"/>
                      <w:lang w:val="en-US" w:eastAsia="zh-CN"/>
                    </w:rPr>
                  </w:pPr>
                </w:p>
              </w:tc>
              <w:tc>
                <w:tcPr>
                  <w:tcW w:w="1045" w:type="pct"/>
                  <w:gridSpan w:val="2"/>
                  <w:tcBorders>
                    <w:top w:val="single" w:color="auto" w:sz="4" w:space="0"/>
                    <w:left w:val="single" w:color="auto" w:sz="4" w:space="0"/>
                    <w:bottom w:val="single" w:color="auto" w:sz="4" w:space="0"/>
                    <w:right w:val="single" w:color="auto" w:sz="4" w:space="0"/>
                  </w:tcBorders>
                  <w:vAlign w:val="center"/>
                </w:tcPr>
                <w:p w14:paraId="4A427FE8">
                  <w:pPr>
                    <w:pStyle w:val="14"/>
                    <w:widowControl w:val="0"/>
                    <w:bidi w:val="0"/>
                    <w:rPr>
                      <w:rFonts w:hint="default"/>
                      <w:color w:val="auto"/>
                      <w:lang w:val="en-US" w:eastAsia="zh-CN"/>
                    </w:rPr>
                  </w:pPr>
                  <w:r>
                    <w:rPr>
                      <w:rFonts w:hint="eastAsia"/>
                      <w:color w:val="auto"/>
                      <w:lang w:val="en-US" w:eastAsia="zh-CN"/>
                    </w:rPr>
                    <w:t>南</w:t>
                  </w:r>
                </w:p>
              </w:tc>
              <w:tc>
                <w:tcPr>
                  <w:tcW w:w="1539" w:type="pct"/>
                  <w:tcBorders>
                    <w:top w:val="single" w:color="auto" w:sz="4" w:space="0"/>
                    <w:left w:val="single" w:color="auto" w:sz="4" w:space="0"/>
                    <w:bottom w:val="single" w:color="auto" w:sz="4" w:space="0"/>
                    <w:right w:val="single" w:color="auto" w:sz="4" w:space="0"/>
                  </w:tcBorders>
                  <w:vAlign w:val="center"/>
                </w:tcPr>
                <w:p w14:paraId="40F97F3F">
                  <w:pPr>
                    <w:pStyle w:val="14"/>
                    <w:widowControl w:val="0"/>
                    <w:bidi w:val="0"/>
                    <w:rPr>
                      <w:rFonts w:hint="default"/>
                      <w:color w:val="auto"/>
                      <w:lang w:val="en-US" w:eastAsia="zh-CN"/>
                    </w:rPr>
                  </w:pPr>
                  <w:r>
                    <w:rPr>
                      <w:rFonts w:hint="eastAsia"/>
                      <w:color w:val="auto"/>
                      <w:lang w:val="en-US" w:eastAsia="zh-CN"/>
                    </w:rPr>
                    <w:t>29.3</w:t>
                  </w:r>
                </w:p>
              </w:tc>
              <w:tc>
                <w:tcPr>
                  <w:tcW w:w="1669" w:type="pct"/>
                  <w:tcBorders>
                    <w:top w:val="single" w:color="auto" w:sz="4" w:space="0"/>
                    <w:left w:val="single" w:color="auto" w:sz="4" w:space="0"/>
                    <w:bottom w:val="single" w:color="auto" w:sz="4" w:space="0"/>
                    <w:right w:val="single" w:color="auto" w:sz="4" w:space="0"/>
                  </w:tcBorders>
                  <w:vAlign w:val="center"/>
                </w:tcPr>
                <w:p w14:paraId="23C8A9D9">
                  <w:pPr>
                    <w:pStyle w:val="14"/>
                    <w:widowControl w:val="0"/>
                    <w:bidi w:val="0"/>
                    <w:rPr>
                      <w:rFonts w:hint="default"/>
                      <w:color w:val="auto"/>
                      <w:lang w:val="en-US" w:eastAsia="zh-CN"/>
                    </w:rPr>
                  </w:pPr>
                  <w:r>
                    <w:rPr>
                      <w:rFonts w:hint="eastAsia"/>
                      <w:color w:val="auto"/>
                      <w:lang w:val="en-US" w:eastAsia="zh-CN"/>
                    </w:rPr>
                    <w:t>38.1</w:t>
                  </w:r>
                </w:p>
              </w:tc>
            </w:tr>
            <w:tr w14:paraId="3EBFB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vMerge w:val="continue"/>
                  <w:tcBorders>
                    <w:left w:val="single" w:color="auto" w:sz="4" w:space="0"/>
                    <w:right w:val="single" w:color="auto" w:sz="4" w:space="0"/>
                  </w:tcBorders>
                  <w:vAlign w:val="center"/>
                </w:tcPr>
                <w:p w14:paraId="27DB0F83">
                  <w:pPr>
                    <w:pStyle w:val="14"/>
                    <w:widowControl w:val="0"/>
                    <w:bidi w:val="0"/>
                    <w:rPr>
                      <w:rFonts w:hint="eastAsia"/>
                      <w:color w:val="auto"/>
                      <w:lang w:val="en-US" w:eastAsia="zh-CN"/>
                    </w:rPr>
                  </w:pPr>
                </w:p>
              </w:tc>
              <w:tc>
                <w:tcPr>
                  <w:tcW w:w="1045" w:type="pct"/>
                  <w:gridSpan w:val="2"/>
                  <w:tcBorders>
                    <w:top w:val="single" w:color="auto" w:sz="4" w:space="0"/>
                    <w:left w:val="single" w:color="auto" w:sz="4" w:space="0"/>
                    <w:bottom w:val="single" w:color="auto" w:sz="4" w:space="0"/>
                    <w:right w:val="single" w:color="auto" w:sz="4" w:space="0"/>
                  </w:tcBorders>
                  <w:vAlign w:val="center"/>
                </w:tcPr>
                <w:p w14:paraId="76894C78">
                  <w:pPr>
                    <w:pStyle w:val="14"/>
                    <w:widowControl w:val="0"/>
                    <w:bidi w:val="0"/>
                    <w:rPr>
                      <w:rFonts w:hint="default"/>
                      <w:color w:val="auto"/>
                      <w:lang w:val="en-US" w:eastAsia="zh-CN"/>
                    </w:rPr>
                  </w:pPr>
                  <w:r>
                    <w:rPr>
                      <w:rFonts w:hint="eastAsia"/>
                      <w:color w:val="auto"/>
                      <w:lang w:val="en-US" w:eastAsia="zh-CN"/>
                    </w:rPr>
                    <w:t>西</w:t>
                  </w:r>
                </w:p>
              </w:tc>
              <w:tc>
                <w:tcPr>
                  <w:tcW w:w="1539" w:type="pct"/>
                  <w:tcBorders>
                    <w:top w:val="single" w:color="auto" w:sz="4" w:space="0"/>
                    <w:left w:val="single" w:color="auto" w:sz="4" w:space="0"/>
                    <w:bottom w:val="single" w:color="auto" w:sz="4" w:space="0"/>
                    <w:right w:val="single" w:color="auto" w:sz="4" w:space="0"/>
                  </w:tcBorders>
                  <w:vAlign w:val="center"/>
                </w:tcPr>
                <w:p w14:paraId="21817347">
                  <w:pPr>
                    <w:pStyle w:val="14"/>
                    <w:widowControl w:val="0"/>
                    <w:bidi w:val="0"/>
                    <w:rPr>
                      <w:rFonts w:hint="default"/>
                      <w:color w:val="auto"/>
                      <w:lang w:val="en-US" w:eastAsia="zh-CN"/>
                    </w:rPr>
                  </w:pPr>
                  <w:r>
                    <w:rPr>
                      <w:rFonts w:hint="eastAsia"/>
                      <w:color w:val="auto"/>
                      <w:lang w:val="en-US" w:eastAsia="zh-CN"/>
                    </w:rPr>
                    <w:t>24.5</w:t>
                  </w:r>
                </w:p>
              </w:tc>
              <w:tc>
                <w:tcPr>
                  <w:tcW w:w="1669" w:type="pct"/>
                  <w:tcBorders>
                    <w:top w:val="single" w:color="auto" w:sz="4" w:space="0"/>
                    <w:left w:val="single" w:color="auto" w:sz="4" w:space="0"/>
                    <w:bottom w:val="single" w:color="auto" w:sz="4" w:space="0"/>
                    <w:right w:val="single" w:color="auto" w:sz="4" w:space="0"/>
                  </w:tcBorders>
                  <w:vAlign w:val="center"/>
                </w:tcPr>
                <w:p w14:paraId="07CA0725">
                  <w:pPr>
                    <w:pStyle w:val="14"/>
                    <w:widowControl w:val="0"/>
                    <w:bidi w:val="0"/>
                    <w:rPr>
                      <w:rFonts w:hint="default"/>
                      <w:color w:val="auto"/>
                      <w:lang w:val="en-US" w:eastAsia="zh-CN"/>
                    </w:rPr>
                  </w:pPr>
                  <w:r>
                    <w:rPr>
                      <w:rFonts w:hint="eastAsia"/>
                      <w:color w:val="auto"/>
                      <w:lang w:val="en-US" w:eastAsia="zh-CN"/>
                    </w:rPr>
                    <w:t>27.3</w:t>
                  </w:r>
                </w:p>
              </w:tc>
            </w:tr>
            <w:tr w14:paraId="66A78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vMerge w:val="continue"/>
                  <w:tcBorders>
                    <w:left w:val="single" w:color="auto" w:sz="4" w:space="0"/>
                    <w:bottom w:val="single" w:color="auto" w:sz="4" w:space="0"/>
                    <w:right w:val="single" w:color="auto" w:sz="4" w:space="0"/>
                  </w:tcBorders>
                  <w:vAlign w:val="center"/>
                </w:tcPr>
                <w:p w14:paraId="6CF52EEF">
                  <w:pPr>
                    <w:pStyle w:val="14"/>
                    <w:widowControl w:val="0"/>
                    <w:bidi w:val="0"/>
                    <w:rPr>
                      <w:rFonts w:hint="eastAsia"/>
                      <w:color w:val="auto"/>
                      <w:lang w:val="en-US" w:eastAsia="zh-CN"/>
                    </w:rPr>
                  </w:pPr>
                </w:p>
              </w:tc>
              <w:tc>
                <w:tcPr>
                  <w:tcW w:w="1045" w:type="pct"/>
                  <w:gridSpan w:val="2"/>
                  <w:tcBorders>
                    <w:top w:val="single" w:color="auto" w:sz="4" w:space="0"/>
                    <w:left w:val="single" w:color="auto" w:sz="4" w:space="0"/>
                    <w:bottom w:val="single" w:color="auto" w:sz="4" w:space="0"/>
                    <w:right w:val="single" w:color="auto" w:sz="4" w:space="0"/>
                  </w:tcBorders>
                  <w:vAlign w:val="center"/>
                </w:tcPr>
                <w:p w14:paraId="5970451E">
                  <w:pPr>
                    <w:pStyle w:val="14"/>
                    <w:widowControl w:val="0"/>
                    <w:bidi w:val="0"/>
                    <w:rPr>
                      <w:rFonts w:hint="default"/>
                      <w:color w:val="auto"/>
                      <w:lang w:val="en-US" w:eastAsia="zh-CN"/>
                    </w:rPr>
                  </w:pPr>
                  <w:r>
                    <w:rPr>
                      <w:rFonts w:hint="eastAsia"/>
                      <w:color w:val="auto"/>
                      <w:lang w:val="en-US" w:eastAsia="zh-CN"/>
                    </w:rPr>
                    <w:t>北</w:t>
                  </w:r>
                </w:p>
              </w:tc>
              <w:tc>
                <w:tcPr>
                  <w:tcW w:w="1539" w:type="pct"/>
                  <w:tcBorders>
                    <w:top w:val="single" w:color="auto" w:sz="4" w:space="0"/>
                    <w:left w:val="single" w:color="auto" w:sz="4" w:space="0"/>
                    <w:bottom w:val="single" w:color="auto" w:sz="4" w:space="0"/>
                    <w:right w:val="single" w:color="auto" w:sz="4" w:space="0"/>
                  </w:tcBorders>
                  <w:vAlign w:val="center"/>
                </w:tcPr>
                <w:p w14:paraId="46529F96">
                  <w:pPr>
                    <w:pStyle w:val="14"/>
                    <w:widowControl w:val="0"/>
                    <w:bidi w:val="0"/>
                    <w:rPr>
                      <w:rFonts w:hint="default"/>
                      <w:color w:val="auto"/>
                      <w:lang w:val="en-US" w:eastAsia="zh-CN"/>
                    </w:rPr>
                  </w:pPr>
                  <w:r>
                    <w:rPr>
                      <w:rFonts w:hint="eastAsia"/>
                      <w:color w:val="auto"/>
                      <w:lang w:val="en-US" w:eastAsia="zh-CN"/>
                    </w:rPr>
                    <w:t>13.6</w:t>
                  </w:r>
                </w:p>
              </w:tc>
              <w:tc>
                <w:tcPr>
                  <w:tcW w:w="1669" w:type="pct"/>
                  <w:tcBorders>
                    <w:top w:val="single" w:color="auto" w:sz="4" w:space="0"/>
                    <w:left w:val="single" w:color="auto" w:sz="4" w:space="0"/>
                    <w:bottom w:val="single" w:color="auto" w:sz="4" w:space="0"/>
                    <w:right w:val="single" w:color="auto" w:sz="4" w:space="0"/>
                  </w:tcBorders>
                  <w:vAlign w:val="center"/>
                </w:tcPr>
                <w:p w14:paraId="7E8A4D6F">
                  <w:pPr>
                    <w:pStyle w:val="14"/>
                    <w:widowControl w:val="0"/>
                    <w:bidi w:val="0"/>
                    <w:rPr>
                      <w:rFonts w:hint="default"/>
                      <w:color w:val="auto"/>
                      <w:lang w:val="en-US" w:eastAsia="zh-CN"/>
                    </w:rPr>
                  </w:pPr>
                  <w:r>
                    <w:rPr>
                      <w:rFonts w:hint="eastAsia"/>
                      <w:color w:val="auto"/>
                      <w:lang w:val="en-US" w:eastAsia="zh-CN"/>
                    </w:rPr>
                    <w:t>4.2</w:t>
                  </w:r>
                </w:p>
              </w:tc>
            </w:tr>
            <w:tr w14:paraId="7A15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vMerge w:val="restart"/>
                  <w:tcBorders>
                    <w:top w:val="single" w:color="auto" w:sz="4" w:space="0"/>
                    <w:left w:val="single" w:color="auto" w:sz="4" w:space="0"/>
                    <w:right w:val="single" w:color="auto" w:sz="4" w:space="0"/>
                  </w:tcBorders>
                  <w:vAlign w:val="center"/>
                </w:tcPr>
                <w:p w14:paraId="62888D0A">
                  <w:pPr>
                    <w:pStyle w:val="14"/>
                    <w:widowControl w:val="0"/>
                    <w:bidi w:val="0"/>
                    <w:rPr>
                      <w:rFonts w:hint="default"/>
                      <w:color w:val="auto"/>
                      <w:lang w:val="en-US" w:eastAsia="zh-CN"/>
                    </w:rPr>
                  </w:pPr>
                  <w:r>
                    <w:rPr>
                      <w:rFonts w:hint="eastAsia"/>
                      <w:color w:val="auto"/>
                      <w:lang w:val="en-US" w:eastAsia="zh-CN"/>
                    </w:rPr>
                    <w:t>室内边界声级/dB（A）</w:t>
                  </w:r>
                </w:p>
              </w:tc>
              <w:tc>
                <w:tcPr>
                  <w:tcW w:w="1045" w:type="pct"/>
                  <w:gridSpan w:val="2"/>
                  <w:tcBorders>
                    <w:top w:val="single" w:color="auto" w:sz="4" w:space="0"/>
                    <w:left w:val="single" w:color="auto" w:sz="4" w:space="0"/>
                    <w:bottom w:val="single" w:color="auto" w:sz="4" w:space="0"/>
                    <w:right w:val="single" w:color="auto" w:sz="4" w:space="0"/>
                  </w:tcBorders>
                  <w:vAlign w:val="center"/>
                </w:tcPr>
                <w:p w14:paraId="2A9A8FAF">
                  <w:pPr>
                    <w:pStyle w:val="14"/>
                    <w:widowControl w:val="0"/>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东</w:t>
                  </w:r>
                </w:p>
              </w:tc>
              <w:tc>
                <w:tcPr>
                  <w:tcW w:w="2319" w:type="dxa"/>
                  <w:tcBorders>
                    <w:top w:val="single" w:color="auto" w:sz="4" w:space="0"/>
                    <w:left w:val="single" w:color="auto" w:sz="4" w:space="0"/>
                    <w:bottom w:val="single" w:color="auto" w:sz="4" w:space="0"/>
                    <w:right w:val="single" w:color="auto" w:sz="4" w:space="0"/>
                  </w:tcBorders>
                  <w:vAlign w:val="center"/>
                </w:tcPr>
                <w:p w14:paraId="631270E2">
                  <w:pPr>
                    <w:pStyle w:val="14"/>
                    <w:widowControl w:val="0"/>
                    <w:bidi w:val="0"/>
                    <w:rPr>
                      <w:rFonts w:hint="default"/>
                      <w:color w:val="auto"/>
                      <w:lang w:val="en-US" w:eastAsia="zh-CN"/>
                    </w:rPr>
                  </w:pPr>
                  <w:r>
                    <w:rPr>
                      <w:rFonts w:hint="default"/>
                      <w:color w:val="auto"/>
                      <w:lang w:val="en-US" w:eastAsia="zh-CN"/>
                    </w:rPr>
                    <w:t>35.4</w:t>
                  </w:r>
                </w:p>
              </w:tc>
              <w:tc>
                <w:tcPr>
                  <w:tcW w:w="2515" w:type="dxa"/>
                  <w:tcBorders>
                    <w:top w:val="single" w:color="auto" w:sz="4" w:space="0"/>
                    <w:left w:val="single" w:color="auto" w:sz="4" w:space="0"/>
                    <w:bottom w:val="single" w:color="auto" w:sz="4" w:space="0"/>
                    <w:right w:val="single" w:color="auto" w:sz="4" w:space="0"/>
                  </w:tcBorders>
                  <w:vAlign w:val="center"/>
                </w:tcPr>
                <w:p w14:paraId="37F4EF37">
                  <w:pPr>
                    <w:pStyle w:val="14"/>
                    <w:widowControl w:val="0"/>
                    <w:bidi w:val="0"/>
                    <w:rPr>
                      <w:rFonts w:hint="default"/>
                      <w:color w:val="auto"/>
                      <w:lang w:val="en-US" w:eastAsia="zh-CN"/>
                    </w:rPr>
                  </w:pPr>
                  <w:r>
                    <w:rPr>
                      <w:rFonts w:hint="default"/>
                      <w:color w:val="auto"/>
                      <w:lang w:val="en-US" w:eastAsia="zh-CN"/>
                    </w:rPr>
                    <w:t>40.7</w:t>
                  </w:r>
                </w:p>
              </w:tc>
            </w:tr>
            <w:tr w14:paraId="0F7ED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vMerge w:val="continue"/>
                  <w:tcBorders>
                    <w:left w:val="single" w:color="auto" w:sz="4" w:space="0"/>
                    <w:right w:val="single" w:color="auto" w:sz="4" w:space="0"/>
                  </w:tcBorders>
                  <w:vAlign w:val="center"/>
                </w:tcPr>
                <w:p w14:paraId="1F4AB149">
                  <w:pPr>
                    <w:pStyle w:val="14"/>
                    <w:widowControl w:val="0"/>
                    <w:bidi w:val="0"/>
                    <w:rPr>
                      <w:rFonts w:hint="eastAsia"/>
                      <w:color w:val="auto"/>
                      <w:lang w:val="en-US" w:eastAsia="zh-CN"/>
                    </w:rPr>
                  </w:pPr>
                </w:p>
              </w:tc>
              <w:tc>
                <w:tcPr>
                  <w:tcW w:w="1045" w:type="pct"/>
                  <w:gridSpan w:val="2"/>
                  <w:tcBorders>
                    <w:top w:val="single" w:color="auto" w:sz="4" w:space="0"/>
                    <w:left w:val="single" w:color="auto" w:sz="4" w:space="0"/>
                    <w:bottom w:val="single" w:color="auto" w:sz="4" w:space="0"/>
                    <w:right w:val="single" w:color="auto" w:sz="4" w:space="0"/>
                  </w:tcBorders>
                  <w:vAlign w:val="center"/>
                </w:tcPr>
                <w:p w14:paraId="0F5DB7E8">
                  <w:pPr>
                    <w:pStyle w:val="14"/>
                    <w:widowControl w:val="0"/>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南</w:t>
                  </w:r>
                </w:p>
              </w:tc>
              <w:tc>
                <w:tcPr>
                  <w:tcW w:w="2319" w:type="dxa"/>
                  <w:tcBorders>
                    <w:top w:val="single" w:color="auto" w:sz="4" w:space="0"/>
                    <w:left w:val="single" w:color="auto" w:sz="4" w:space="0"/>
                    <w:bottom w:val="single" w:color="auto" w:sz="4" w:space="0"/>
                    <w:right w:val="single" w:color="auto" w:sz="4" w:space="0"/>
                  </w:tcBorders>
                  <w:vAlign w:val="center"/>
                </w:tcPr>
                <w:p w14:paraId="6DE09FDB">
                  <w:pPr>
                    <w:pStyle w:val="14"/>
                    <w:widowControl w:val="0"/>
                    <w:bidi w:val="0"/>
                    <w:rPr>
                      <w:rFonts w:hint="eastAsia"/>
                      <w:color w:val="auto"/>
                      <w:lang w:val="en-US" w:eastAsia="zh-CN"/>
                    </w:rPr>
                  </w:pPr>
                  <w:r>
                    <w:rPr>
                      <w:rFonts w:hint="default"/>
                      <w:color w:val="auto"/>
                      <w:lang w:val="en-US" w:eastAsia="zh-CN"/>
                    </w:rPr>
                    <w:t>40.7</w:t>
                  </w:r>
                </w:p>
              </w:tc>
              <w:tc>
                <w:tcPr>
                  <w:tcW w:w="2515" w:type="dxa"/>
                  <w:tcBorders>
                    <w:top w:val="single" w:color="auto" w:sz="4" w:space="0"/>
                    <w:left w:val="single" w:color="auto" w:sz="4" w:space="0"/>
                    <w:bottom w:val="single" w:color="auto" w:sz="4" w:space="0"/>
                    <w:right w:val="single" w:color="auto" w:sz="4" w:space="0"/>
                  </w:tcBorders>
                  <w:vAlign w:val="center"/>
                </w:tcPr>
                <w:p w14:paraId="33BBF2ED">
                  <w:pPr>
                    <w:pStyle w:val="14"/>
                    <w:widowControl w:val="0"/>
                    <w:bidi w:val="0"/>
                    <w:rPr>
                      <w:rFonts w:hint="eastAsia"/>
                      <w:color w:val="auto"/>
                      <w:lang w:val="en-US" w:eastAsia="zh-CN"/>
                    </w:rPr>
                  </w:pPr>
                  <w:r>
                    <w:rPr>
                      <w:rFonts w:hint="default"/>
                      <w:color w:val="auto"/>
                      <w:lang w:val="en-US" w:eastAsia="zh-CN"/>
                    </w:rPr>
                    <w:t>43.4</w:t>
                  </w:r>
                </w:p>
              </w:tc>
            </w:tr>
            <w:tr w14:paraId="449F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vMerge w:val="continue"/>
                  <w:tcBorders>
                    <w:left w:val="single" w:color="auto" w:sz="4" w:space="0"/>
                    <w:right w:val="single" w:color="auto" w:sz="4" w:space="0"/>
                  </w:tcBorders>
                  <w:vAlign w:val="center"/>
                </w:tcPr>
                <w:p w14:paraId="276BB3EA">
                  <w:pPr>
                    <w:pStyle w:val="14"/>
                    <w:widowControl w:val="0"/>
                    <w:bidi w:val="0"/>
                    <w:rPr>
                      <w:rFonts w:hint="eastAsia"/>
                      <w:color w:val="auto"/>
                      <w:lang w:val="en-US" w:eastAsia="zh-CN"/>
                    </w:rPr>
                  </w:pPr>
                </w:p>
              </w:tc>
              <w:tc>
                <w:tcPr>
                  <w:tcW w:w="1045" w:type="pct"/>
                  <w:gridSpan w:val="2"/>
                  <w:tcBorders>
                    <w:top w:val="single" w:color="auto" w:sz="4" w:space="0"/>
                    <w:left w:val="single" w:color="auto" w:sz="4" w:space="0"/>
                    <w:bottom w:val="single" w:color="auto" w:sz="4" w:space="0"/>
                    <w:right w:val="single" w:color="auto" w:sz="4" w:space="0"/>
                  </w:tcBorders>
                  <w:vAlign w:val="center"/>
                </w:tcPr>
                <w:p w14:paraId="5D259116">
                  <w:pPr>
                    <w:pStyle w:val="14"/>
                    <w:widowControl w:val="0"/>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西</w:t>
                  </w:r>
                </w:p>
              </w:tc>
              <w:tc>
                <w:tcPr>
                  <w:tcW w:w="2319" w:type="dxa"/>
                  <w:tcBorders>
                    <w:top w:val="single" w:color="auto" w:sz="4" w:space="0"/>
                    <w:left w:val="single" w:color="auto" w:sz="4" w:space="0"/>
                    <w:bottom w:val="single" w:color="auto" w:sz="4" w:space="0"/>
                    <w:right w:val="single" w:color="auto" w:sz="4" w:space="0"/>
                  </w:tcBorders>
                  <w:vAlign w:val="center"/>
                </w:tcPr>
                <w:p w14:paraId="310724E3">
                  <w:pPr>
                    <w:pStyle w:val="14"/>
                    <w:widowControl w:val="0"/>
                    <w:bidi w:val="0"/>
                    <w:rPr>
                      <w:rFonts w:hint="eastAsia"/>
                      <w:color w:val="auto"/>
                      <w:lang w:val="en-US" w:eastAsia="zh-CN"/>
                    </w:rPr>
                  </w:pPr>
                  <w:r>
                    <w:rPr>
                      <w:rFonts w:hint="default"/>
                      <w:color w:val="auto"/>
                      <w:lang w:val="en-US" w:eastAsia="zh-CN"/>
                    </w:rPr>
                    <w:t>42.2</w:t>
                  </w:r>
                </w:p>
              </w:tc>
              <w:tc>
                <w:tcPr>
                  <w:tcW w:w="2515" w:type="dxa"/>
                  <w:tcBorders>
                    <w:top w:val="single" w:color="auto" w:sz="4" w:space="0"/>
                    <w:left w:val="single" w:color="auto" w:sz="4" w:space="0"/>
                    <w:bottom w:val="single" w:color="auto" w:sz="4" w:space="0"/>
                    <w:right w:val="single" w:color="auto" w:sz="4" w:space="0"/>
                  </w:tcBorders>
                  <w:vAlign w:val="center"/>
                </w:tcPr>
                <w:p w14:paraId="0AC33FC2">
                  <w:pPr>
                    <w:pStyle w:val="14"/>
                    <w:widowControl w:val="0"/>
                    <w:bidi w:val="0"/>
                    <w:rPr>
                      <w:rFonts w:hint="eastAsia"/>
                      <w:color w:val="auto"/>
                      <w:lang w:val="en-US" w:eastAsia="zh-CN"/>
                    </w:rPr>
                  </w:pPr>
                  <w:r>
                    <w:rPr>
                      <w:rFonts w:hint="default"/>
                      <w:color w:val="auto"/>
                      <w:lang w:val="en-US" w:eastAsia="zh-CN"/>
                    </w:rPr>
                    <w:t>46.3</w:t>
                  </w:r>
                </w:p>
              </w:tc>
            </w:tr>
            <w:tr w14:paraId="4BF5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vMerge w:val="continue"/>
                  <w:tcBorders>
                    <w:left w:val="single" w:color="auto" w:sz="4" w:space="0"/>
                    <w:bottom w:val="single" w:color="auto" w:sz="4" w:space="0"/>
                    <w:right w:val="single" w:color="auto" w:sz="4" w:space="0"/>
                  </w:tcBorders>
                  <w:vAlign w:val="center"/>
                </w:tcPr>
                <w:p w14:paraId="26079828">
                  <w:pPr>
                    <w:pStyle w:val="14"/>
                    <w:widowControl w:val="0"/>
                    <w:bidi w:val="0"/>
                    <w:rPr>
                      <w:rFonts w:hint="eastAsia"/>
                      <w:color w:val="auto"/>
                      <w:lang w:val="en-US" w:eastAsia="zh-CN"/>
                    </w:rPr>
                  </w:pPr>
                </w:p>
              </w:tc>
              <w:tc>
                <w:tcPr>
                  <w:tcW w:w="1045" w:type="pct"/>
                  <w:gridSpan w:val="2"/>
                  <w:tcBorders>
                    <w:top w:val="single" w:color="auto" w:sz="4" w:space="0"/>
                    <w:left w:val="single" w:color="auto" w:sz="4" w:space="0"/>
                    <w:bottom w:val="single" w:color="auto" w:sz="4" w:space="0"/>
                    <w:right w:val="single" w:color="auto" w:sz="4" w:space="0"/>
                  </w:tcBorders>
                  <w:vAlign w:val="center"/>
                </w:tcPr>
                <w:p w14:paraId="05C394F8">
                  <w:pPr>
                    <w:pStyle w:val="14"/>
                    <w:widowControl w:val="0"/>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北</w:t>
                  </w:r>
                </w:p>
              </w:tc>
              <w:tc>
                <w:tcPr>
                  <w:tcW w:w="2319" w:type="dxa"/>
                  <w:tcBorders>
                    <w:top w:val="single" w:color="auto" w:sz="4" w:space="0"/>
                    <w:left w:val="single" w:color="auto" w:sz="4" w:space="0"/>
                    <w:bottom w:val="single" w:color="auto" w:sz="4" w:space="0"/>
                    <w:right w:val="single" w:color="auto" w:sz="4" w:space="0"/>
                  </w:tcBorders>
                  <w:vAlign w:val="center"/>
                </w:tcPr>
                <w:p w14:paraId="0A7B4998">
                  <w:pPr>
                    <w:pStyle w:val="14"/>
                    <w:widowControl w:val="0"/>
                    <w:bidi w:val="0"/>
                    <w:rPr>
                      <w:rFonts w:hint="eastAsia"/>
                      <w:color w:val="auto"/>
                      <w:lang w:val="en-US" w:eastAsia="zh-CN"/>
                    </w:rPr>
                  </w:pPr>
                  <w:r>
                    <w:rPr>
                      <w:rFonts w:hint="default"/>
                      <w:color w:val="auto"/>
                      <w:lang w:val="en-US" w:eastAsia="zh-CN"/>
                    </w:rPr>
                    <w:t>47.3</w:t>
                  </w:r>
                </w:p>
              </w:tc>
              <w:tc>
                <w:tcPr>
                  <w:tcW w:w="2515" w:type="dxa"/>
                  <w:tcBorders>
                    <w:top w:val="single" w:color="auto" w:sz="4" w:space="0"/>
                    <w:left w:val="single" w:color="auto" w:sz="4" w:space="0"/>
                    <w:bottom w:val="single" w:color="auto" w:sz="4" w:space="0"/>
                    <w:right w:val="single" w:color="auto" w:sz="4" w:space="0"/>
                  </w:tcBorders>
                  <w:vAlign w:val="center"/>
                </w:tcPr>
                <w:p w14:paraId="7478D5C4">
                  <w:pPr>
                    <w:pStyle w:val="14"/>
                    <w:widowControl w:val="0"/>
                    <w:bidi w:val="0"/>
                    <w:rPr>
                      <w:rFonts w:hint="eastAsia"/>
                      <w:color w:val="auto"/>
                      <w:lang w:val="en-US" w:eastAsia="zh-CN"/>
                    </w:rPr>
                  </w:pPr>
                  <w:r>
                    <w:rPr>
                      <w:rFonts w:hint="default"/>
                      <w:color w:val="auto"/>
                      <w:lang w:val="en-US" w:eastAsia="zh-CN"/>
                    </w:rPr>
                    <w:t>62.5</w:t>
                  </w:r>
                </w:p>
              </w:tc>
            </w:tr>
            <w:tr w14:paraId="4DE7A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0" w:type="pct"/>
                  <w:gridSpan w:val="3"/>
                  <w:tcBorders>
                    <w:top w:val="single" w:color="auto" w:sz="4" w:space="0"/>
                    <w:left w:val="single" w:color="auto" w:sz="4" w:space="0"/>
                    <w:bottom w:val="single" w:color="auto" w:sz="4" w:space="0"/>
                    <w:right w:val="single" w:color="auto" w:sz="4" w:space="0"/>
                  </w:tcBorders>
                  <w:vAlign w:val="center"/>
                </w:tcPr>
                <w:p w14:paraId="7A29921C">
                  <w:pPr>
                    <w:pStyle w:val="14"/>
                    <w:widowControl w:val="0"/>
                    <w:bidi w:val="0"/>
                    <w:rPr>
                      <w:rFonts w:hint="default"/>
                      <w:color w:val="auto"/>
                      <w:lang w:val="en-US" w:eastAsia="zh-CN"/>
                    </w:rPr>
                  </w:pPr>
                  <w:r>
                    <w:rPr>
                      <w:rFonts w:hint="eastAsia"/>
                      <w:color w:val="auto"/>
                      <w:lang w:val="en-US" w:eastAsia="zh-CN"/>
                    </w:rPr>
                    <w:t>运行时段</w:t>
                  </w:r>
                </w:p>
              </w:tc>
              <w:tc>
                <w:tcPr>
                  <w:tcW w:w="2319" w:type="dxa"/>
                  <w:tcBorders>
                    <w:top w:val="single" w:color="auto" w:sz="4" w:space="0"/>
                    <w:left w:val="single" w:color="auto" w:sz="4" w:space="0"/>
                    <w:bottom w:val="single" w:color="auto" w:sz="4" w:space="0"/>
                    <w:right w:val="single" w:color="auto" w:sz="4" w:space="0"/>
                  </w:tcBorders>
                  <w:vAlign w:val="center"/>
                </w:tcPr>
                <w:p w14:paraId="4AC297BB">
                  <w:pPr>
                    <w:pStyle w:val="14"/>
                    <w:widowControl w:val="0"/>
                    <w:bidi w:val="0"/>
                    <w:rPr>
                      <w:rFonts w:hint="default"/>
                      <w:color w:val="auto"/>
                      <w:lang w:val="en-US" w:eastAsia="zh-CN"/>
                    </w:rPr>
                  </w:pPr>
                  <w:r>
                    <w:rPr>
                      <w:color w:val="auto"/>
                      <w:lang w:val="en-US" w:eastAsia="zh-CN"/>
                    </w:rPr>
                    <w:t>昼间</w:t>
                  </w:r>
                </w:p>
              </w:tc>
              <w:tc>
                <w:tcPr>
                  <w:tcW w:w="2515" w:type="dxa"/>
                  <w:tcBorders>
                    <w:top w:val="single" w:color="auto" w:sz="4" w:space="0"/>
                    <w:left w:val="single" w:color="auto" w:sz="4" w:space="0"/>
                    <w:bottom w:val="single" w:color="auto" w:sz="4" w:space="0"/>
                    <w:right w:val="single" w:color="auto" w:sz="4" w:space="0"/>
                  </w:tcBorders>
                  <w:vAlign w:val="center"/>
                </w:tcPr>
                <w:p w14:paraId="4CD13E7D">
                  <w:pPr>
                    <w:pStyle w:val="14"/>
                    <w:widowControl w:val="0"/>
                    <w:bidi w:val="0"/>
                    <w:rPr>
                      <w:rFonts w:hint="default"/>
                      <w:color w:val="auto"/>
                      <w:lang w:val="en-US" w:eastAsia="zh-CN"/>
                    </w:rPr>
                  </w:pPr>
                  <w:r>
                    <w:rPr>
                      <w:color w:val="auto"/>
                      <w:lang w:val="en-US" w:eastAsia="zh-CN"/>
                    </w:rPr>
                    <w:t>昼间</w:t>
                  </w:r>
                </w:p>
              </w:tc>
            </w:tr>
            <w:tr w14:paraId="0D17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0" w:type="pct"/>
                  <w:gridSpan w:val="3"/>
                  <w:tcBorders>
                    <w:top w:val="single" w:color="auto" w:sz="4" w:space="0"/>
                    <w:left w:val="single" w:color="auto" w:sz="4" w:space="0"/>
                    <w:bottom w:val="single" w:color="auto" w:sz="4" w:space="0"/>
                    <w:right w:val="single" w:color="auto" w:sz="4" w:space="0"/>
                  </w:tcBorders>
                  <w:vAlign w:val="center"/>
                </w:tcPr>
                <w:p w14:paraId="5DD1C595">
                  <w:pPr>
                    <w:pStyle w:val="14"/>
                    <w:widowControl w:val="0"/>
                    <w:bidi w:val="0"/>
                    <w:rPr>
                      <w:rFonts w:hint="default"/>
                      <w:color w:val="auto"/>
                      <w:lang w:val="en-US" w:eastAsia="zh-CN"/>
                    </w:rPr>
                  </w:pPr>
                  <w:r>
                    <w:rPr>
                      <w:rFonts w:hint="eastAsia"/>
                      <w:color w:val="auto"/>
                      <w:lang w:val="en-US" w:eastAsia="zh-CN"/>
                    </w:rPr>
                    <w:t>建筑物插入损失/dB（A）</w:t>
                  </w:r>
                </w:p>
              </w:tc>
              <w:tc>
                <w:tcPr>
                  <w:tcW w:w="2319" w:type="dxa"/>
                  <w:tcBorders>
                    <w:top w:val="single" w:color="auto" w:sz="4" w:space="0"/>
                    <w:left w:val="single" w:color="auto" w:sz="4" w:space="0"/>
                    <w:bottom w:val="single" w:color="auto" w:sz="4" w:space="0"/>
                    <w:right w:val="single" w:color="auto" w:sz="4" w:space="0"/>
                  </w:tcBorders>
                  <w:vAlign w:val="center"/>
                </w:tcPr>
                <w:p w14:paraId="3C09806D">
                  <w:pPr>
                    <w:pStyle w:val="14"/>
                    <w:widowControl w:val="0"/>
                    <w:bidi w:val="0"/>
                    <w:rPr>
                      <w:rFonts w:hint="default"/>
                      <w:color w:val="auto"/>
                      <w:lang w:val="en-US" w:eastAsia="zh-CN"/>
                    </w:rPr>
                  </w:pPr>
                  <w:r>
                    <w:rPr>
                      <w:rFonts w:hint="default"/>
                      <w:color w:val="auto"/>
                      <w:lang w:val="en-US" w:eastAsia="zh-CN"/>
                    </w:rPr>
                    <w:t>15</w:t>
                  </w:r>
                </w:p>
              </w:tc>
              <w:tc>
                <w:tcPr>
                  <w:tcW w:w="2515" w:type="dxa"/>
                  <w:tcBorders>
                    <w:top w:val="single" w:color="auto" w:sz="4" w:space="0"/>
                    <w:left w:val="single" w:color="auto" w:sz="4" w:space="0"/>
                    <w:bottom w:val="single" w:color="auto" w:sz="4" w:space="0"/>
                    <w:right w:val="single" w:color="auto" w:sz="4" w:space="0"/>
                  </w:tcBorders>
                  <w:vAlign w:val="center"/>
                </w:tcPr>
                <w:p w14:paraId="381384D7">
                  <w:pPr>
                    <w:pStyle w:val="14"/>
                    <w:widowControl w:val="0"/>
                    <w:bidi w:val="0"/>
                    <w:rPr>
                      <w:rFonts w:hint="default"/>
                      <w:color w:val="auto"/>
                      <w:lang w:val="en-US" w:eastAsia="zh-CN"/>
                    </w:rPr>
                  </w:pPr>
                  <w:r>
                    <w:rPr>
                      <w:rFonts w:hint="default"/>
                      <w:color w:val="auto"/>
                      <w:lang w:val="en-US" w:eastAsia="zh-CN"/>
                    </w:rPr>
                    <w:t>15</w:t>
                  </w:r>
                </w:p>
              </w:tc>
            </w:tr>
            <w:tr w14:paraId="6B97D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vMerge w:val="restart"/>
                  <w:tcBorders>
                    <w:top w:val="single" w:color="auto" w:sz="4" w:space="0"/>
                    <w:left w:val="single" w:color="auto" w:sz="4" w:space="0"/>
                    <w:right w:val="single" w:color="auto" w:sz="4" w:space="0"/>
                  </w:tcBorders>
                  <w:vAlign w:val="center"/>
                </w:tcPr>
                <w:p w14:paraId="358EAB84">
                  <w:pPr>
                    <w:pStyle w:val="14"/>
                    <w:widowControl w:val="0"/>
                    <w:bidi w:val="0"/>
                    <w:rPr>
                      <w:rFonts w:hint="default"/>
                      <w:color w:val="auto"/>
                      <w:lang w:val="en-US" w:eastAsia="zh-CN"/>
                    </w:rPr>
                  </w:pPr>
                  <w:r>
                    <w:rPr>
                      <w:rFonts w:hint="eastAsia"/>
                      <w:color w:val="auto"/>
                      <w:lang w:val="en-US" w:eastAsia="zh-CN"/>
                    </w:rPr>
                    <w:t>建筑物外噪声</w:t>
                  </w:r>
                </w:p>
              </w:tc>
              <w:tc>
                <w:tcPr>
                  <w:tcW w:w="522" w:type="pct"/>
                  <w:vMerge w:val="restart"/>
                  <w:tcBorders>
                    <w:top w:val="single" w:color="auto" w:sz="4" w:space="0"/>
                    <w:left w:val="single" w:color="auto" w:sz="4" w:space="0"/>
                    <w:right w:val="single" w:color="auto" w:sz="4" w:space="0"/>
                  </w:tcBorders>
                  <w:vAlign w:val="center"/>
                </w:tcPr>
                <w:p w14:paraId="410866BA">
                  <w:pPr>
                    <w:pStyle w:val="14"/>
                    <w:widowControl w:val="0"/>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声压级/dB（A）</w:t>
                  </w:r>
                </w:p>
              </w:tc>
              <w:tc>
                <w:tcPr>
                  <w:tcW w:w="523" w:type="pct"/>
                  <w:tcBorders>
                    <w:top w:val="single" w:color="auto" w:sz="4" w:space="0"/>
                    <w:left w:val="single" w:color="auto" w:sz="4" w:space="0"/>
                    <w:bottom w:val="single" w:color="auto" w:sz="4" w:space="0"/>
                    <w:right w:val="single" w:color="auto" w:sz="4" w:space="0"/>
                  </w:tcBorders>
                  <w:vAlign w:val="center"/>
                </w:tcPr>
                <w:p w14:paraId="02DFAAA0">
                  <w:pPr>
                    <w:pStyle w:val="14"/>
                    <w:widowControl w:val="0"/>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东</w:t>
                  </w:r>
                </w:p>
              </w:tc>
              <w:tc>
                <w:tcPr>
                  <w:tcW w:w="2319" w:type="dxa"/>
                  <w:tcBorders>
                    <w:top w:val="single" w:color="auto" w:sz="4" w:space="0"/>
                    <w:left w:val="single" w:color="auto" w:sz="4" w:space="0"/>
                    <w:bottom w:val="single" w:color="auto" w:sz="4" w:space="0"/>
                    <w:right w:val="single" w:color="auto" w:sz="4" w:space="0"/>
                  </w:tcBorders>
                  <w:vAlign w:val="center"/>
                </w:tcPr>
                <w:p w14:paraId="549EDF8B">
                  <w:pPr>
                    <w:pStyle w:val="14"/>
                    <w:widowControl w:val="0"/>
                    <w:bidi w:val="0"/>
                    <w:rPr>
                      <w:rFonts w:hint="default"/>
                      <w:color w:val="auto"/>
                      <w:lang w:val="en-US" w:eastAsia="zh-CN"/>
                    </w:rPr>
                  </w:pPr>
                  <w:r>
                    <w:rPr>
                      <w:rFonts w:hint="default"/>
                      <w:color w:val="auto"/>
                      <w:lang w:val="en-US" w:eastAsia="zh-CN"/>
                    </w:rPr>
                    <w:t>20.4</w:t>
                  </w:r>
                </w:p>
              </w:tc>
              <w:tc>
                <w:tcPr>
                  <w:tcW w:w="2515" w:type="dxa"/>
                  <w:tcBorders>
                    <w:top w:val="single" w:color="auto" w:sz="4" w:space="0"/>
                    <w:left w:val="single" w:color="auto" w:sz="4" w:space="0"/>
                    <w:bottom w:val="single" w:color="auto" w:sz="4" w:space="0"/>
                    <w:right w:val="single" w:color="auto" w:sz="4" w:space="0"/>
                  </w:tcBorders>
                  <w:vAlign w:val="center"/>
                </w:tcPr>
                <w:p w14:paraId="09EC2025">
                  <w:pPr>
                    <w:pStyle w:val="14"/>
                    <w:widowControl w:val="0"/>
                    <w:bidi w:val="0"/>
                    <w:rPr>
                      <w:rFonts w:hint="default"/>
                      <w:color w:val="auto"/>
                      <w:lang w:val="en-US" w:eastAsia="zh-CN"/>
                    </w:rPr>
                  </w:pPr>
                  <w:r>
                    <w:rPr>
                      <w:rFonts w:hint="default"/>
                      <w:color w:val="auto"/>
                      <w:lang w:val="en-US" w:eastAsia="zh-CN"/>
                    </w:rPr>
                    <w:t>25.7</w:t>
                  </w:r>
                </w:p>
              </w:tc>
            </w:tr>
            <w:tr w14:paraId="14153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vMerge w:val="continue"/>
                  <w:tcBorders>
                    <w:left w:val="single" w:color="auto" w:sz="4" w:space="0"/>
                    <w:right w:val="single" w:color="auto" w:sz="4" w:space="0"/>
                  </w:tcBorders>
                  <w:vAlign w:val="center"/>
                </w:tcPr>
                <w:p w14:paraId="687650FD">
                  <w:pPr>
                    <w:pStyle w:val="14"/>
                    <w:widowControl w:val="0"/>
                    <w:bidi w:val="0"/>
                    <w:rPr>
                      <w:rFonts w:hint="eastAsia"/>
                      <w:color w:val="auto"/>
                      <w:lang w:val="en-US" w:eastAsia="zh-CN"/>
                    </w:rPr>
                  </w:pPr>
                </w:p>
              </w:tc>
              <w:tc>
                <w:tcPr>
                  <w:tcW w:w="522" w:type="pct"/>
                  <w:vMerge w:val="continue"/>
                  <w:tcBorders>
                    <w:left w:val="single" w:color="auto" w:sz="4" w:space="0"/>
                    <w:right w:val="single" w:color="auto" w:sz="4" w:space="0"/>
                  </w:tcBorders>
                  <w:vAlign w:val="center"/>
                </w:tcPr>
                <w:p w14:paraId="77363C9D">
                  <w:pPr>
                    <w:pStyle w:val="14"/>
                    <w:widowControl w:val="0"/>
                    <w:bidi w:val="0"/>
                    <w:ind w:firstLine="0" w:firstLineChars="0"/>
                    <w:rPr>
                      <w:rFonts w:hint="eastAsia"/>
                      <w:color w:val="auto"/>
                      <w:lang w:val="en-US" w:eastAsia="zh-CN"/>
                    </w:rPr>
                  </w:pPr>
                </w:p>
              </w:tc>
              <w:tc>
                <w:tcPr>
                  <w:tcW w:w="523" w:type="pct"/>
                  <w:tcBorders>
                    <w:top w:val="single" w:color="auto" w:sz="4" w:space="0"/>
                    <w:left w:val="single" w:color="auto" w:sz="4" w:space="0"/>
                    <w:bottom w:val="single" w:color="auto" w:sz="4" w:space="0"/>
                    <w:right w:val="single" w:color="auto" w:sz="4" w:space="0"/>
                  </w:tcBorders>
                  <w:vAlign w:val="center"/>
                </w:tcPr>
                <w:p w14:paraId="4A614629">
                  <w:pPr>
                    <w:pStyle w:val="14"/>
                    <w:widowControl w:val="0"/>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南</w:t>
                  </w:r>
                </w:p>
              </w:tc>
              <w:tc>
                <w:tcPr>
                  <w:tcW w:w="2319" w:type="dxa"/>
                  <w:tcBorders>
                    <w:top w:val="single" w:color="auto" w:sz="4" w:space="0"/>
                    <w:left w:val="single" w:color="auto" w:sz="4" w:space="0"/>
                    <w:bottom w:val="single" w:color="auto" w:sz="4" w:space="0"/>
                    <w:right w:val="single" w:color="auto" w:sz="4" w:space="0"/>
                  </w:tcBorders>
                  <w:vAlign w:val="center"/>
                </w:tcPr>
                <w:p w14:paraId="50888F62">
                  <w:pPr>
                    <w:pStyle w:val="14"/>
                    <w:widowControl w:val="0"/>
                    <w:bidi w:val="0"/>
                    <w:rPr>
                      <w:rFonts w:hint="eastAsia"/>
                      <w:color w:val="auto"/>
                      <w:lang w:val="en-US" w:eastAsia="zh-CN"/>
                    </w:rPr>
                  </w:pPr>
                  <w:r>
                    <w:rPr>
                      <w:rFonts w:hint="default"/>
                      <w:color w:val="auto"/>
                      <w:lang w:val="en-US" w:eastAsia="zh-CN"/>
                    </w:rPr>
                    <w:t>25.7</w:t>
                  </w:r>
                </w:p>
              </w:tc>
              <w:tc>
                <w:tcPr>
                  <w:tcW w:w="2515" w:type="dxa"/>
                  <w:tcBorders>
                    <w:top w:val="single" w:color="auto" w:sz="4" w:space="0"/>
                    <w:left w:val="single" w:color="auto" w:sz="4" w:space="0"/>
                    <w:bottom w:val="single" w:color="auto" w:sz="4" w:space="0"/>
                    <w:right w:val="single" w:color="auto" w:sz="4" w:space="0"/>
                  </w:tcBorders>
                  <w:vAlign w:val="center"/>
                </w:tcPr>
                <w:p w14:paraId="38CA60E5">
                  <w:pPr>
                    <w:pStyle w:val="14"/>
                    <w:widowControl w:val="0"/>
                    <w:bidi w:val="0"/>
                    <w:rPr>
                      <w:rFonts w:hint="eastAsia"/>
                      <w:color w:val="auto"/>
                      <w:lang w:val="en-US" w:eastAsia="zh-CN"/>
                    </w:rPr>
                  </w:pPr>
                  <w:r>
                    <w:rPr>
                      <w:rFonts w:hint="default"/>
                      <w:color w:val="auto"/>
                      <w:lang w:val="en-US" w:eastAsia="zh-CN"/>
                    </w:rPr>
                    <w:t>28.4</w:t>
                  </w:r>
                </w:p>
              </w:tc>
            </w:tr>
            <w:tr w14:paraId="2636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vMerge w:val="continue"/>
                  <w:tcBorders>
                    <w:left w:val="single" w:color="auto" w:sz="4" w:space="0"/>
                    <w:right w:val="single" w:color="auto" w:sz="4" w:space="0"/>
                  </w:tcBorders>
                  <w:vAlign w:val="center"/>
                </w:tcPr>
                <w:p w14:paraId="0B9D51E7">
                  <w:pPr>
                    <w:pStyle w:val="14"/>
                    <w:widowControl w:val="0"/>
                    <w:bidi w:val="0"/>
                    <w:rPr>
                      <w:rFonts w:hint="eastAsia"/>
                      <w:color w:val="auto"/>
                      <w:lang w:val="en-US" w:eastAsia="zh-CN"/>
                    </w:rPr>
                  </w:pPr>
                </w:p>
              </w:tc>
              <w:tc>
                <w:tcPr>
                  <w:tcW w:w="522" w:type="pct"/>
                  <w:vMerge w:val="continue"/>
                  <w:tcBorders>
                    <w:left w:val="single" w:color="auto" w:sz="4" w:space="0"/>
                    <w:right w:val="single" w:color="auto" w:sz="4" w:space="0"/>
                  </w:tcBorders>
                  <w:vAlign w:val="center"/>
                </w:tcPr>
                <w:p w14:paraId="65D5CEF9">
                  <w:pPr>
                    <w:pStyle w:val="14"/>
                    <w:widowControl w:val="0"/>
                    <w:bidi w:val="0"/>
                    <w:ind w:firstLine="0" w:firstLineChars="0"/>
                    <w:rPr>
                      <w:rFonts w:hint="eastAsia"/>
                      <w:color w:val="auto"/>
                      <w:lang w:val="en-US" w:eastAsia="zh-CN"/>
                    </w:rPr>
                  </w:pPr>
                </w:p>
              </w:tc>
              <w:tc>
                <w:tcPr>
                  <w:tcW w:w="523" w:type="pct"/>
                  <w:tcBorders>
                    <w:top w:val="single" w:color="auto" w:sz="4" w:space="0"/>
                    <w:left w:val="single" w:color="auto" w:sz="4" w:space="0"/>
                    <w:bottom w:val="single" w:color="auto" w:sz="4" w:space="0"/>
                    <w:right w:val="single" w:color="auto" w:sz="4" w:space="0"/>
                  </w:tcBorders>
                  <w:vAlign w:val="center"/>
                </w:tcPr>
                <w:p w14:paraId="4B399067">
                  <w:pPr>
                    <w:pStyle w:val="14"/>
                    <w:widowControl w:val="0"/>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西</w:t>
                  </w:r>
                </w:p>
              </w:tc>
              <w:tc>
                <w:tcPr>
                  <w:tcW w:w="2319" w:type="dxa"/>
                  <w:tcBorders>
                    <w:top w:val="single" w:color="auto" w:sz="4" w:space="0"/>
                    <w:left w:val="single" w:color="auto" w:sz="4" w:space="0"/>
                    <w:bottom w:val="single" w:color="auto" w:sz="4" w:space="0"/>
                    <w:right w:val="single" w:color="auto" w:sz="4" w:space="0"/>
                  </w:tcBorders>
                  <w:vAlign w:val="center"/>
                </w:tcPr>
                <w:p w14:paraId="0D26B9E3">
                  <w:pPr>
                    <w:pStyle w:val="14"/>
                    <w:widowControl w:val="0"/>
                    <w:bidi w:val="0"/>
                    <w:rPr>
                      <w:rFonts w:hint="eastAsia"/>
                      <w:color w:val="auto"/>
                      <w:lang w:val="en-US" w:eastAsia="zh-CN"/>
                    </w:rPr>
                  </w:pPr>
                  <w:r>
                    <w:rPr>
                      <w:rFonts w:hint="default"/>
                      <w:color w:val="auto"/>
                      <w:lang w:val="en-US" w:eastAsia="zh-CN"/>
                    </w:rPr>
                    <w:t>27.2</w:t>
                  </w:r>
                </w:p>
              </w:tc>
              <w:tc>
                <w:tcPr>
                  <w:tcW w:w="2515" w:type="dxa"/>
                  <w:tcBorders>
                    <w:top w:val="single" w:color="auto" w:sz="4" w:space="0"/>
                    <w:left w:val="single" w:color="auto" w:sz="4" w:space="0"/>
                    <w:bottom w:val="single" w:color="auto" w:sz="4" w:space="0"/>
                    <w:right w:val="single" w:color="auto" w:sz="4" w:space="0"/>
                  </w:tcBorders>
                  <w:vAlign w:val="center"/>
                </w:tcPr>
                <w:p w14:paraId="3AAA6C24">
                  <w:pPr>
                    <w:pStyle w:val="14"/>
                    <w:widowControl w:val="0"/>
                    <w:bidi w:val="0"/>
                    <w:rPr>
                      <w:rFonts w:hint="eastAsia"/>
                      <w:color w:val="auto"/>
                      <w:lang w:val="en-US" w:eastAsia="zh-CN"/>
                    </w:rPr>
                  </w:pPr>
                  <w:r>
                    <w:rPr>
                      <w:rFonts w:hint="default"/>
                      <w:color w:val="auto"/>
                      <w:lang w:val="en-US" w:eastAsia="zh-CN"/>
                    </w:rPr>
                    <w:t>31.3</w:t>
                  </w:r>
                </w:p>
              </w:tc>
            </w:tr>
            <w:tr w14:paraId="6022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vMerge w:val="continue"/>
                  <w:tcBorders>
                    <w:left w:val="single" w:color="auto" w:sz="4" w:space="0"/>
                    <w:right w:val="single" w:color="auto" w:sz="4" w:space="0"/>
                  </w:tcBorders>
                  <w:vAlign w:val="center"/>
                </w:tcPr>
                <w:p w14:paraId="2A42D81E">
                  <w:pPr>
                    <w:pStyle w:val="14"/>
                    <w:widowControl w:val="0"/>
                    <w:bidi w:val="0"/>
                    <w:rPr>
                      <w:rFonts w:hint="eastAsia"/>
                      <w:color w:val="auto"/>
                      <w:lang w:val="en-US" w:eastAsia="zh-CN"/>
                    </w:rPr>
                  </w:pPr>
                </w:p>
              </w:tc>
              <w:tc>
                <w:tcPr>
                  <w:tcW w:w="522" w:type="pct"/>
                  <w:vMerge w:val="continue"/>
                  <w:tcBorders>
                    <w:left w:val="single" w:color="auto" w:sz="4" w:space="0"/>
                    <w:bottom w:val="single" w:color="auto" w:sz="4" w:space="0"/>
                    <w:right w:val="single" w:color="auto" w:sz="4" w:space="0"/>
                  </w:tcBorders>
                  <w:vAlign w:val="center"/>
                </w:tcPr>
                <w:p w14:paraId="6FAF3D58">
                  <w:pPr>
                    <w:pStyle w:val="14"/>
                    <w:widowControl w:val="0"/>
                    <w:bidi w:val="0"/>
                    <w:ind w:firstLine="0" w:firstLineChars="0"/>
                    <w:rPr>
                      <w:rFonts w:hint="eastAsia"/>
                      <w:color w:val="auto"/>
                      <w:lang w:val="en-US" w:eastAsia="zh-CN"/>
                    </w:rPr>
                  </w:pPr>
                </w:p>
              </w:tc>
              <w:tc>
                <w:tcPr>
                  <w:tcW w:w="523" w:type="pct"/>
                  <w:tcBorders>
                    <w:top w:val="single" w:color="auto" w:sz="4" w:space="0"/>
                    <w:left w:val="single" w:color="auto" w:sz="4" w:space="0"/>
                    <w:bottom w:val="single" w:color="auto" w:sz="4" w:space="0"/>
                    <w:right w:val="single" w:color="auto" w:sz="4" w:space="0"/>
                  </w:tcBorders>
                  <w:vAlign w:val="center"/>
                </w:tcPr>
                <w:p w14:paraId="44E25E72">
                  <w:pPr>
                    <w:pStyle w:val="14"/>
                    <w:widowControl w:val="0"/>
                    <w:bidi w:val="0"/>
                    <w:ind w:firstLine="0" w:firstLineChars="0"/>
                    <w:rPr>
                      <w:rFonts w:hint="eastAsia" w:ascii="Times New Roman" w:hAnsi="Times New Roman" w:eastAsia="宋体" w:cs="Times New Roman"/>
                      <w:color w:val="auto"/>
                      <w:sz w:val="21"/>
                      <w:lang w:val="en-US" w:eastAsia="zh-CN"/>
                    </w:rPr>
                  </w:pPr>
                  <w:r>
                    <w:rPr>
                      <w:rFonts w:hint="eastAsia"/>
                      <w:color w:val="auto"/>
                      <w:lang w:val="en-US" w:eastAsia="zh-CN"/>
                    </w:rPr>
                    <w:t>北</w:t>
                  </w:r>
                </w:p>
              </w:tc>
              <w:tc>
                <w:tcPr>
                  <w:tcW w:w="2319" w:type="dxa"/>
                  <w:tcBorders>
                    <w:top w:val="single" w:color="auto" w:sz="4" w:space="0"/>
                    <w:left w:val="single" w:color="auto" w:sz="4" w:space="0"/>
                    <w:bottom w:val="single" w:color="auto" w:sz="4" w:space="0"/>
                    <w:right w:val="single" w:color="auto" w:sz="4" w:space="0"/>
                  </w:tcBorders>
                  <w:vAlign w:val="center"/>
                </w:tcPr>
                <w:p w14:paraId="76B20A3B">
                  <w:pPr>
                    <w:pStyle w:val="14"/>
                    <w:widowControl w:val="0"/>
                    <w:bidi w:val="0"/>
                    <w:rPr>
                      <w:rFonts w:hint="eastAsia"/>
                      <w:color w:val="auto"/>
                      <w:lang w:val="en-US" w:eastAsia="zh-CN"/>
                    </w:rPr>
                  </w:pPr>
                  <w:r>
                    <w:rPr>
                      <w:rFonts w:hint="default"/>
                      <w:color w:val="auto"/>
                      <w:lang w:val="en-US" w:eastAsia="zh-CN"/>
                    </w:rPr>
                    <w:t>32.3</w:t>
                  </w:r>
                </w:p>
              </w:tc>
              <w:tc>
                <w:tcPr>
                  <w:tcW w:w="2515" w:type="dxa"/>
                  <w:tcBorders>
                    <w:top w:val="single" w:color="auto" w:sz="4" w:space="0"/>
                    <w:left w:val="single" w:color="auto" w:sz="4" w:space="0"/>
                    <w:bottom w:val="single" w:color="auto" w:sz="4" w:space="0"/>
                    <w:right w:val="single" w:color="auto" w:sz="4" w:space="0"/>
                  </w:tcBorders>
                  <w:vAlign w:val="center"/>
                </w:tcPr>
                <w:p w14:paraId="6CDF932C">
                  <w:pPr>
                    <w:pStyle w:val="14"/>
                    <w:widowControl w:val="0"/>
                    <w:bidi w:val="0"/>
                    <w:rPr>
                      <w:rFonts w:hint="eastAsia"/>
                      <w:color w:val="auto"/>
                      <w:lang w:val="en-US" w:eastAsia="zh-CN"/>
                    </w:rPr>
                  </w:pPr>
                  <w:r>
                    <w:rPr>
                      <w:rFonts w:hint="default"/>
                      <w:color w:val="auto"/>
                      <w:lang w:val="en-US" w:eastAsia="zh-CN"/>
                    </w:rPr>
                    <w:t>47.5</w:t>
                  </w:r>
                </w:p>
              </w:tc>
            </w:tr>
            <w:tr w14:paraId="0E3A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vMerge w:val="continue"/>
                  <w:tcBorders>
                    <w:left w:val="single" w:color="auto" w:sz="4" w:space="0"/>
                    <w:right w:val="single" w:color="auto" w:sz="4" w:space="0"/>
                  </w:tcBorders>
                  <w:vAlign w:val="center"/>
                </w:tcPr>
                <w:p w14:paraId="294CC24F">
                  <w:pPr>
                    <w:pStyle w:val="14"/>
                    <w:widowControl w:val="0"/>
                    <w:bidi w:val="0"/>
                    <w:rPr>
                      <w:rFonts w:hint="default"/>
                      <w:color w:val="auto"/>
                      <w:lang w:val="en-US" w:eastAsia="zh-CN"/>
                    </w:rPr>
                  </w:pPr>
                </w:p>
              </w:tc>
              <w:tc>
                <w:tcPr>
                  <w:tcW w:w="1045" w:type="pct"/>
                  <w:gridSpan w:val="2"/>
                  <w:tcBorders>
                    <w:top w:val="single" w:color="auto" w:sz="4" w:space="0"/>
                    <w:left w:val="single" w:color="auto" w:sz="4" w:space="0"/>
                    <w:bottom w:val="single" w:color="auto" w:sz="4" w:space="0"/>
                    <w:right w:val="single" w:color="auto" w:sz="4" w:space="0"/>
                  </w:tcBorders>
                  <w:vAlign w:val="center"/>
                </w:tcPr>
                <w:p w14:paraId="2B246ABD">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建筑物外距离</w:t>
                  </w:r>
                </w:p>
              </w:tc>
              <w:tc>
                <w:tcPr>
                  <w:tcW w:w="1539" w:type="pct"/>
                  <w:tcBorders>
                    <w:top w:val="single" w:color="auto" w:sz="4" w:space="0"/>
                    <w:left w:val="single" w:color="auto" w:sz="4" w:space="0"/>
                    <w:bottom w:val="single" w:color="auto" w:sz="4" w:space="0"/>
                    <w:right w:val="single" w:color="auto" w:sz="4" w:space="0"/>
                  </w:tcBorders>
                  <w:vAlign w:val="center"/>
                </w:tcPr>
                <w:p w14:paraId="350D1827">
                  <w:pPr>
                    <w:pStyle w:val="14"/>
                    <w:widowControl w:val="0"/>
                    <w:bidi w:val="0"/>
                    <w:rPr>
                      <w:rFonts w:hint="default"/>
                      <w:color w:val="auto"/>
                      <w:lang w:val="en-US" w:eastAsia="zh-CN"/>
                    </w:rPr>
                  </w:pPr>
                  <w:r>
                    <w:rPr>
                      <w:rFonts w:hint="eastAsia"/>
                      <w:color w:val="auto"/>
                      <w:lang w:val="en-US" w:eastAsia="zh-CN"/>
                    </w:rPr>
                    <w:t>1</w:t>
                  </w:r>
                </w:p>
              </w:tc>
              <w:tc>
                <w:tcPr>
                  <w:tcW w:w="1669" w:type="pct"/>
                  <w:tcBorders>
                    <w:top w:val="single" w:color="auto" w:sz="4" w:space="0"/>
                    <w:left w:val="single" w:color="auto" w:sz="4" w:space="0"/>
                    <w:bottom w:val="single" w:color="auto" w:sz="4" w:space="0"/>
                    <w:right w:val="single" w:color="auto" w:sz="4" w:space="0"/>
                  </w:tcBorders>
                  <w:vAlign w:val="center"/>
                </w:tcPr>
                <w:p w14:paraId="20BE2F72">
                  <w:pPr>
                    <w:pStyle w:val="14"/>
                    <w:widowControl w:val="0"/>
                    <w:bidi w:val="0"/>
                    <w:rPr>
                      <w:rFonts w:hint="default"/>
                      <w:color w:val="auto"/>
                      <w:lang w:val="en-US" w:eastAsia="zh-CN"/>
                    </w:rPr>
                  </w:pPr>
                  <w:r>
                    <w:rPr>
                      <w:rFonts w:hint="eastAsia"/>
                      <w:color w:val="auto"/>
                      <w:lang w:val="en-US" w:eastAsia="zh-CN"/>
                    </w:rPr>
                    <w:t>1</w:t>
                  </w:r>
                </w:p>
              </w:tc>
            </w:tr>
            <w:tr w14:paraId="29DEE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left w:val="single" w:color="auto" w:sz="4" w:space="0"/>
                    <w:bottom w:val="single" w:color="auto" w:sz="4" w:space="0"/>
                    <w:right w:val="single" w:color="auto" w:sz="4" w:space="0"/>
                  </w:tcBorders>
                  <w:vAlign w:val="center"/>
                </w:tcPr>
                <w:p w14:paraId="595BFF38">
                  <w:pPr>
                    <w:pStyle w:val="14"/>
                    <w:widowControl w:val="0"/>
                    <w:bidi w:val="0"/>
                    <w:jc w:val="left"/>
                    <w:rPr>
                      <w:rFonts w:hint="default"/>
                      <w:color w:val="auto"/>
                      <w:lang w:val="en-US" w:eastAsia="zh-CN"/>
                    </w:rPr>
                  </w:pPr>
                  <w:r>
                    <w:rPr>
                      <w:rFonts w:hint="eastAsia"/>
                      <w:color w:val="auto"/>
                      <w:lang w:val="en-US" w:eastAsia="zh-CN"/>
                    </w:rPr>
                    <w:t>注：①原点以项目厂址西北角计。</w:t>
                  </w:r>
                </w:p>
              </w:tc>
            </w:tr>
          </w:tbl>
          <w:p w14:paraId="34ABCED4">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2</w:t>
            </w:r>
            <w:r>
              <w:rPr>
                <w:rFonts w:hint="default" w:ascii="Times New Roman" w:hAnsi="Times New Roman" w:cs="Times New Roman"/>
                <w:b/>
                <w:bCs/>
                <w:color w:val="auto"/>
                <w:lang w:eastAsia="zh-CN"/>
              </w:rPr>
              <w:t>）</w:t>
            </w:r>
            <w:r>
              <w:rPr>
                <w:rFonts w:hint="default" w:ascii="Times New Roman" w:hAnsi="Times New Roman" w:cs="Times New Roman"/>
                <w:b/>
                <w:bCs/>
                <w:color w:val="auto"/>
              </w:rPr>
              <w:t>声环境保护目标</w:t>
            </w:r>
          </w:p>
          <w:p w14:paraId="53AB10B7">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根据现场踏勘，项目周边50m范围内主要为企业，不存在声环境保护目标。</w:t>
            </w:r>
          </w:p>
          <w:p w14:paraId="383F5F2B">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3）预测范围和预测点</w:t>
            </w:r>
          </w:p>
          <w:p w14:paraId="2531EC59">
            <w:pPr>
              <w:bidi w:val="0"/>
              <w:rPr>
                <w:rFonts w:hint="default" w:ascii="Times New Roman" w:hAnsi="Times New Roman" w:cs="Times New Roman"/>
                <w:color w:val="auto"/>
                <w:lang w:eastAsia="zh-CN"/>
              </w:rPr>
            </w:pPr>
            <w:r>
              <w:rPr>
                <w:rFonts w:hint="default" w:ascii="Times New Roman" w:hAnsi="Times New Roman" w:cs="Times New Roman"/>
                <w:color w:val="auto"/>
              </w:rPr>
              <w:t>根据项目周边环境关系，项目周边</w:t>
            </w:r>
            <w:r>
              <w:rPr>
                <w:rFonts w:hint="default" w:ascii="Times New Roman" w:hAnsi="Times New Roman" w:cs="Times New Roman"/>
                <w:color w:val="auto"/>
                <w:lang w:val="en-US" w:eastAsia="zh-CN"/>
              </w:rPr>
              <w:t>50</w:t>
            </w:r>
            <w:r>
              <w:rPr>
                <w:rFonts w:hint="default" w:ascii="Times New Roman" w:hAnsi="Times New Roman" w:cs="Times New Roman"/>
                <w:color w:val="auto"/>
              </w:rPr>
              <w:t>m范围内</w:t>
            </w:r>
            <w:r>
              <w:rPr>
                <w:rFonts w:hint="default" w:ascii="Times New Roman" w:hAnsi="Times New Roman" w:cs="Times New Roman"/>
                <w:color w:val="auto"/>
                <w:lang w:val="en-US" w:eastAsia="zh-CN"/>
              </w:rPr>
              <w:t>不存在声环境保护目标</w:t>
            </w:r>
            <w:r>
              <w:rPr>
                <w:rFonts w:hint="default" w:ascii="Times New Roman" w:hAnsi="Times New Roman" w:cs="Times New Roman"/>
                <w:color w:val="auto"/>
              </w:rPr>
              <w:t>，</w:t>
            </w:r>
            <w:r>
              <w:rPr>
                <w:rFonts w:hint="default" w:ascii="Times New Roman" w:hAnsi="Times New Roman" w:cs="Times New Roman"/>
                <w:color w:val="auto"/>
                <w:lang w:val="en-US" w:eastAsia="zh-CN"/>
              </w:rPr>
              <w:t>故</w:t>
            </w:r>
            <w:r>
              <w:rPr>
                <w:rFonts w:hint="default" w:ascii="Times New Roman" w:hAnsi="Times New Roman" w:cs="Times New Roman"/>
                <w:color w:val="auto"/>
              </w:rPr>
              <w:t>本次评价对东、南、西、北四个</w:t>
            </w:r>
            <w:r>
              <w:rPr>
                <w:rFonts w:hint="default" w:ascii="Times New Roman" w:hAnsi="Times New Roman" w:cs="Times New Roman"/>
                <w:color w:val="auto"/>
                <w:lang w:eastAsia="zh-CN"/>
              </w:rPr>
              <w:t>厂界</w:t>
            </w:r>
            <w:r>
              <w:rPr>
                <w:rFonts w:hint="default" w:ascii="Times New Roman" w:hAnsi="Times New Roman" w:cs="Times New Roman"/>
                <w:color w:val="auto"/>
              </w:rPr>
              <w:t>噪声进行预测</w:t>
            </w:r>
            <w:r>
              <w:rPr>
                <w:rFonts w:hint="default" w:ascii="Times New Roman" w:hAnsi="Times New Roman" w:cs="Times New Roman"/>
                <w:color w:val="auto"/>
                <w:lang w:eastAsia="zh-CN"/>
              </w:rPr>
              <w:t>，预测</w:t>
            </w:r>
            <w:r>
              <w:rPr>
                <w:rFonts w:hint="default" w:ascii="Times New Roman" w:hAnsi="Times New Roman" w:cs="Times New Roman"/>
                <w:color w:val="auto"/>
                <w:lang w:val="en-US" w:eastAsia="zh-CN"/>
              </w:rPr>
              <w:t>项目</w:t>
            </w:r>
            <w:r>
              <w:rPr>
                <w:rFonts w:hint="default" w:ascii="Times New Roman" w:hAnsi="Times New Roman" w:cs="Times New Roman"/>
                <w:color w:val="auto"/>
                <w:lang w:eastAsia="zh-CN"/>
              </w:rPr>
              <w:t>噪声贡献值</w:t>
            </w:r>
            <w:r>
              <w:rPr>
                <w:rFonts w:hint="default" w:ascii="Times New Roman" w:hAnsi="Times New Roman" w:cs="Times New Roman"/>
                <w:color w:val="auto"/>
                <w:lang w:val="en-US" w:eastAsia="zh-CN"/>
              </w:rPr>
              <w:t>厂界</w:t>
            </w:r>
            <w:r>
              <w:rPr>
                <w:rFonts w:hint="default" w:ascii="Times New Roman" w:hAnsi="Times New Roman" w:cs="Times New Roman"/>
                <w:color w:val="auto"/>
                <w:lang w:eastAsia="zh-CN"/>
              </w:rPr>
              <w:t>达标分析。</w:t>
            </w:r>
            <w:r>
              <w:rPr>
                <w:rFonts w:hint="default" w:ascii="Times New Roman" w:hAnsi="Times New Roman" w:cs="Times New Roman"/>
                <w:color w:val="auto"/>
                <w:lang w:val="en-US" w:eastAsia="zh-CN"/>
              </w:rPr>
              <w:t>项目厂界</w:t>
            </w:r>
            <w:r>
              <w:rPr>
                <w:rFonts w:hint="default" w:ascii="Times New Roman" w:hAnsi="Times New Roman" w:cs="Times New Roman"/>
                <w:color w:val="auto"/>
                <w:lang w:eastAsia="zh-CN"/>
              </w:rPr>
              <w:t>分别</w:t>
            </w:r>
            <w:r>
              <w:rPr>
                <w:rFonts w:hint="default" w:ascii="Times New Roman" w:hAnsi="Times New Roman" w:cs="Times New Roman"/>
                <w:color w:val="auto"/>
              </w:rPr>
              <w:t>设置</w:t>
            </w:r>
            <w:r>
              <w:rPr>
                <w:rFonts w:hint="default" w:ascii="Times New Roman" w:hAnsi="Times New Roman" w:cs="Times New Roman"/>
                <w:color w:val="auto"/>
                <w:lang w:val="en-US" w:eastAsia="zh-CN"/>
              </w:rPr>
              <w:t>4</w:t>
            </w:r>
            <w:r>
              <w:rPr>
                <w:rFonts w:hint="default" w:ascii="Times New Roman" w:hAnsi="Times New Roman" w:cs="Times New Roman"/>
                <w:color w:val="auto"/>
              </w:rPr>
              <w:t>个预测点：分别在东、南、西、北厂界外1米处各设置1个预测点</w:t>
            </w:r>
            <w:r>
              <w:rPr>
                <w:rFonts w:hint="default" w:ascii="Times New Roman" w:hAnsi="Times New Roman" w:cs="Times New Roman"/>
                <w:color w:val="auto"/>
                <w:lang w:eastAsia="zh-CN"/>
              </w:rPr>
              <w:t>。</w:t>
            </w:r>
          </w:p>
          <w:p w14:paraId="56105ACA">
            <w:pPr>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4</w:t>
            </w:r>
            <w:r>
              <w:rPr>
                <w:rFonts w:hint="default" w:ascii="Times New Roman" w:hAnsi="Times New Roman" w:cs="Times New Roman"/>
                <w:b/>
                <w:bCs/>
                <w:color w:val="auto"/>
              </w:rPr>
              <w:t>）预测模型及方法</w:t>
            </w:r>
          </w:p>
          <w:p w14:paraId="565FC80C">
            <w:pPr>
              <w:bidi w:val="0"/>
              <w:rPr>
                <w:rFonts w:hint="default" w:ascii="Times New Roman" w:hAnsi="Times New Roman" w:cs="Times New Roman"/>
                <w:color w:val="auto"/>
              </w:rPr>
            </w:pPr>
            <w:r>
              <w:rPr>
                <w:rFonts w:hint="default" w:ascii="Times New Roman" w:hAnsi="Times New Roman" w:cs="Times New Roman"/>
                <w:color w:val="auto"/>
              </w:rPr>
              <w:t>本项目噪声源</w:t>
            </w:r>
            <w:r>
              <w:rPr>
                <w:rFonts w:hint="default" w:ascii="Times New Roman" w:hAnsi="Times New Roman" w:cs="Times New Roman"/>
                <w:color w:val="auto"/>
                <w:lang w:eastAsia="zh-CN"/>
              </w:rPr>
              <w:t>主要</w:t>
            </w:r>
            <w:r>
              <w:rPr>
                <w:rFonts w:hint="default" w:ascii="Times New Roman" w:hAnsi="Times New Roman" w:cs="Times New Roman"/>
                <w:color w:val="auto"/>
              </w:rPr>
              <w:t>分布在厂房内，预测计算中，采用点声源等距离衰减预测模型，预测计算中主要公式有：</w:t>
            </w:r>
          </w:p>
          <w:p w14:paraId="21EA1F9E">
            <w:pPr>
              <w:bidi w:val="0"/>
              <w:rPr>
                <w:rFonts w:hint="default" w:ascii="Times New Roman" w:hAnsi="Times New Roman" w:cs="Times New Roman"/>
                <w:b/>
                <w:bCs/>
                <w:i/>
                <w:iCs/>
                <w:color w:val="auto"/>
              </w:rPr>
            </w:pPr>
            <w:r>
              <w:rPr>
                <w:rFonts w:hint="default" w:ascii="Times New Roman" w:hAnsi="Times New Roman" w:cs="Times New Roman"/>
                <w:b/>
                <w:bCs/>
                <w:color w:val="auto"/>
              </w:rPr>
              <w:t>a、噪声衰减预测模式</w:t>
            </w:r>
          </w:p>
          <w:p w14:paraId="43A51C02">
            <w:pPr>
              <w:bidi w:val="0"/>
              <w:rPr>
                <w:rFonts w:hint="default" w:ascii="Times New Roman" w:hAnsi="Times New Roman" w:cs="Times New Roman"/>
                <w:color w:val="auto"/>
              </w:rPr>
            </w:pPr>
            <w:r>
              <w:rPr>
                <w:rFonts w:hint="default" w:ascii="Times New Roman" w:hAnsi="Times New Roman" w:cs="Times New Roman"/>
                <w:color w:val="auto"/>
              </w:rPr>
              <w:t>噪声传播到受声源，受传播距离，空气吸收，阻挡物的反射与屏障等因素的影响而产生衰减。其预测模式如下：</w:t>
            </w:r>
          </w:p>
          <w:p w14:paraId="283EFD17">
            <w:pPr>
              <w:bidi w:val="0"/>
              <w:jc w:val="center"/>
              <w:rPr>
                <w:rFonts w:hint="default" w:ascii="Times New Roman" w:hAnsi="Times New Roman" w:cs="Times New Roman"/>
                <w:color w:val="auto"/>
              </w:rPr>
            </w:pPr>
            <w:r>
              <w:rPr>
                <w:rFonts w:hint="default" w:ascii="Times New Roman" w:hAnsi="Times New Roman" w:cs="Times New Roman"/>
                <w:color w:val="auto"/>
              </w:rPr>
              <w:t>LA</w:t>
            </w:r>
            <w:r>
              <w:rPr>
                <w:rFonts w:hint="default" w:ascii="Times New Roman" w:hAnsi="Times New Roman" w:cs="Times New Roman"/>
                <w:color w:val="auto"/>
                <w:lang w:eastAsia="zh-CN"/>
              </w:rPr>
              <w:t>（</w:t>
            </w:r>
            <w:r>
              <w:rPr>
                <w:rFonts w:hint="default" w:ascii="Times New Roman" w:hAnsi="Times New Roman" w:cs="Times New Roman"/>
                <w:color w:val="auto"/>
              </w:rPr>
              <w:t>r）=LA</w:t>
            </w:r>
            <w:r>
              <w:rPr>
                <w:rFonts w:hint="default" w:ascii="Times New Roman" w:hAnsi="Times New Roman" w:cs="Times New Roman"/>
                <w:color w:val="auto"/>
                <w:lang w:eastAsia="zh-CN"/>
              </w:rPr>
              <w:t>（</w:t>
            </w:r>
            <w:r>
              <w:rPr>
                <w:rFonts w:hint="default" w:ascii="Times New Roman" w:hAnsi="Times New Roman" w:cs="Times New Roman"/>
                <w:color w:val="auto"/>
              </w:rPr>
              <w:t>r0）－A</w:t>
            </w:r>
          </w:p>
          <w:p w14:paraId="461C67E1">
            <w:pPr>
              <w:bidi w:val="0"/>
              <w:jc w:val="center"/>
              <w:rPr>
                <w:rFonts w:hint="default" w:ascii="Times New Roman" w:hAnsi="Times New Roman" w:cs="Times New Roman"/>
                <w:color w:val="auto"/>
              </w:rPr>
            </w:pPr>
            <w:r>
              <w:rPr>
                <w:rFonts w:hint="default" w:ascii="Times New Roman" w:hAnsi="Times New Roman" w:cs="Times New Roman"/>
                <w:color w:val="auto"/>
              </w:rPr>
              <w:t>A=Adiv+Abar+Aatm+Agr+Amisc</w:t>
            </w:r>
          </w:p>
          <w:p w14:paraId="107AD414">
            <w:pPr>
              <w:bidi w:val="0"/>
              <w:rPr>
                <w:rFonts w:hint="eastAsia" w:ascii="Times New Roman" w:hAnsi="Times New Roman" w:eastAsia="宋体" w:cs="Times New Roman"/>
                <w:color w:val="auto"/>
                <w:lang w:eastAsia="zh-CN"/>
              </w:rPr>
            </w:pPr>
            <w:r>
              <w:rPr>
                <w:rFonts w:hint="default" w:ascii="Times New Roman" w:hAnsi="Times New Roman" w:cs="Times New Roman"/>
                <w:color w:val="auto"/>
              </w:rPr>
              <w:t>式中：LA</w:t>
            </w:r>
            <w:r>
              <w:rPr>
                <w:rFonts w:hint="default" w:ascii="Times New Roman" w:hAnsi="Times New Roman" w:cs="Times New Roman"/>
                <w:color w:val="auto"/>
                <w:lang w:eastAsia="zh-CN"/>
              </w:rPr>
              <w:t>（</w:t>
            </w:r>
            <w:r>
              <w:rPr>
                <w:rFonts w:hint="default" w:ascii="Times New Roman" w:hAnsi="Times New Roman" w:cs="Times New Roman"/>
                <w:color w:val="auto"/>
              </w:rPr>
              <w:t>r</w:t>
            </w:r>
            <w:r>
              <w:rPr>
                <w:rFonts w:hint="default" w:ascii="Times New Roman" w:hAnsi="Times New Roman" w:cs="Times New Roman"/>
                <w:color w:val="auto"/>
                <w:lang w:eastAsia="zh-CN"/>
              </w:rPr>
              <w:t>）</w:t>
            </w:r>
            <w:r>
              <w:rPr>
                <w:rFonts w:hint="default" w:ascii="Times New Roman" w:hAnsi="Times New Roman" w:cs="Times New Roman"/>
                <w:color w:val="auto"/>
              </w:rPr>
              <w:t>－距声源r处的A声级，dB</w:t>
            </w:r>
            <w:r>
              <w:rPr>
                <w:rFonts w:hint="default" w:ascii="Times New Roman" w:hAnsi="Times New Roman" w:cs="Times New Roman"/>
                <w:color w:val="auto"/>
                <w:lang w:eastAsia="zh-CN"/>
              </w:rPr>
              <w:t>（</w:t>
            </w:r>
            <w:r>
              <w:rPr>
                <w:rFonts w:hint="default" w:ascii="Times New Roman" w:hAnsi="Times New Roman" w:cs="Times New Roman"/>
                <w:color w:val="auto"/>
              </w:rPr>
              <w:t>A）</w:t>
            </w:r>
            <w:r>
              <w:rPr>
                <w:rFonts w:hint="eastAsia" w:cs="Times New Roman"/>
                <w:color w:val="auto"/>
                <w:lang w:eastAsia="zh-CN"/>
              </w:rPr>
              <w:t>；</w:t>
            </w:r>
          </w:p>
          <w:p w14:paraId="7B1ACA42">
            <w:pPr>
              <w:bidi w:val="0"/>
              <w:ind w:firstLine="1200" w:firstLineChars="500"/>
              <w:rPr>
                <w:rFonts w:hint="eastAsia" w:ascii="Times New Roman" w:hAnsi="Times New Roman" w:eastAsia="宋体" w:cs="Times New Roman"/>
                <w:color w:val="auto"/>
                <w:lang w:eastAsia="zh-CN"/>
              </w:rPr>
            </w:pPr>
            <w:r>
              <w:rPr>
                <w:rFonts w:hint="default" w:ascii="Times New Roman" w:hAnsi="Times New Roman" w:cs="Times New Roman"/>
                <w:color w:val="auto"/>
              </w:rPr>
              <w:t>LA</w:t>
            </w:r>
            <w:r>
              <w:rPr>
                <w:rFonts w:hint="default" w:ascii="Times New Roman" w:hAnsi="Times New Roman" w:cs="Times New Roman"/>
                <w:color w:val="auto"/>
                <w:lang w:eastAsia="zh-CN"/>
              </w:rPr>
              <w:t>（</w:t>
            </w:r>
            <w:r>
              <w:rPr>
                <w:rFonts w:hint="default" w:ascii="Times New Roman" w:hAnsi="Times New Roman" w:cs="Times New Roman"/>
                <w:color w:val="auto"/>
              </w:rPr>
              <w:t>r0</w:t>
            </w:r>
            <w:r>
              <w:rPr>
                <w:rFonts w:hint="default" w:ascii="Times New Roman" w:hAnsi="Times New Roman" w:cs="Times New Roman"/>
                <w:color w:val="auto"/>
                <w:lang w:eastAsia="zh-CN"/>
              </w:rPr>
              <w:t>）</w:t>
            </w:r>
            <w:r>
              <w:rPr>
                <w:rFonts w:hint="default" w:ascii="Times New Roman" w:hAnsi="Times New Roman" w:cs="Times New Roman"/>
                <w:color w:val="auto"/>
              </w:rPr>
              <w:t>－参考位置r0处的A声级，dB</w:t>
            </w:r>
            <w:r>
              <w:rPr>
                <w:rFonts w:hint="default" w:ascii="Times New Roman" w:hAnsi="Times New Roman" w:cs="Times New Roman"/>
                <w:color w:val="auto"/>
                <w:lang w:eastAsia="zh-CN"/>
              </w:rPr>
              <w:t>（</w:t>
            </w:r>
            <w:r>
              <w:rPr>
                <w:rFonts w:hint="default" w:ascii="Times New Roman" w:hAnsi="Times New Roman" w:cs="Times New Roman"/>
                <w:color w:val="auto"/>
              </w:rPr>
              <w:t>A）</w:t>
            </w:r>
            <w:r>
              <w:rPr>
                <w:rFonts w:hint="eastAsia" w:cs="Times New Roman"/>
                <w:color w:val="auto"/>
                <w:lang w:eastAsia="zh-CN"/>
              </w:rPr>
              <w:t>；</w:t>
            </w:r>
          </w:p>
          <w:p w14:paraId="69473648">
            <w:pPr>
              <w:bidi w:val="0"/>
              <w:ind w:firstLine="1200" w:firstLineChars="500"/>
              <w:rPr>
                <w:rFonts w:hint="eastAsia" w:ascii="Times New Roman" w:hAnsi="Times New Roman" w:eastAsia="宋体" w:cs="Times New Roman"/>
                <w:color w:val="auto"/>
                <w:lang w:eastAsia="zh-CN"/>
              </w:rPr>
            </w:pPr>
            <w:r>
              <w:rPr>
                <w:rFonts w:hint="default" w:ascii="Times New Roman" w:hAnsi="Times New Roman" w:cs="Times New Roman"/>
                <w:color w:val="auto"/>
              </w:rPr>
              <w:t>A—倍频带衰减，dB</w:t>
            </w:r>
            <w:r>
              <w:rPr>
                <w:rFonts w:hint="eastAsia" w:cs="Times New Roman"/>
                <w:color w:val="auto"/>
                <w:lang w:eastAsia="zh-CN"/>
              </w:rPr>
              <w:t>；</w:t>
            </w:r>
          </w:p>
          <w:p w14:paraId="6A7531CF">
            <w:pPr>
              <w:bidi w:val="0"/>
              <w:ind w:firstLine="1200" w:firstLineChars="500"/>
              <w:rPr>
                <w:rFonts w:hint="eastAsia" w:ascii="Times New Roman" w:hAnsi="Times New Roman" w:eastAsia="宋体" w:cs="Times New Roman"/>
                <w:color w:val="auto"/>
                <w:lang w:eastAsia="zh-CN"/>
              </w:rPr>
            </w:pPr>
            <w:r>
              <w:rPr>
                <w:rFonts w:hint="default" w:ascii="Times New Roman" w:hAnsi="Times New Roman" w:cs="Times New Roman"/>
                <w:color w:val="auto"/>
              </w:rPr>
              <w:t>Adiv－几何发散所引起的倍频带衰减，即距离所引起的衰减，无指向性点声源几何发散衰减的基本公式为：Adiv＝20lg</w:t>
            </w:r>
            <w:r>
              <w:rPr>
                <w:rFonts w:hint="default" w:ascii="Times New Roman" w:hAnsi="Times New Roman" w:cs="Times New Roman"/>
                <w:color w:val="auto"/>
                <w:lang w:eastAsia="zh-CN"/>
              </w:rPr>
              <w:t>（</w:t>
            </w:r>
            <w:r>
              <w:rPr>
                <w:rFonts w:hint="default" w:ascii="Times New Roman" w:hAnsi="Times New Roman" w:cs="Times New Roman"/>
                <w:color w:val="auto"/>
              </w:rPr>
              <w:t>r/r0</w:t>
            </w:r>
            <w:r>
              <w:rPr>
                <w:rFonts w:hint="default" w:ascii="Times New Roman" w:hAnsi="Times New Roman" w:cs="Times New Roman"/>
                <w:color w:val="auto"/>
                <w:lang w:eastAsia="zh-CN"/>
              </w:rPr>
              <w:t>）</w:t>
            </w:r>
            <w:r>
              <w:rPr>
                <w:rFonts w:hint="eastAsia" w:cs="Times New Roman"/>
                <w:color w:val="auto"/>
                <w:lang w:eastAsia="zh-CN"/>
              </w:rPr>
              <w:t>；</w:t>
            </w:r>
          </w:p>
          <w:p w14:paraId="6BBBA2C4">
            <w:pPr>
              <w:bidi w:val="0"/>
              <w:ind w:firstLine="1200" w:firstLineChars="500"/>
              <w:rPr>
                <w:rFonts w:hint="default" w:ascii="Times New Roman" w:hAnsi="Times New Roman" w:cs="Times New Roman"/>
                <w:color w:val="auto"/>
              </w:rPr>
            </w:pPr>
            <w:r>
              <w:rPr>
                <w:rFonts w:hint="default" w:ascii="Times New Roman" w:hAnsi="Times New Roman" w:cs="Times New Roman"/>
                <w:color w:val="auto"/>
              </w:rPr>
              <w:t>Abar－屏障物所引起</w:t>
            </w:r>
            <w:r>
              <w:rPr>
                <w:rFonts w:hint="default" w:ascii="Times New Roman" w:hAnsi="Times New Roman" w:cs="Times New Roman"/>
                <w:color w:val="auto"/>
                <w:lang w:eastAsia="zh-CN"/>
              </w:rPr>
              <w:t>的</w:t>
            </w:r>
            <w:r>
              <w:rPr>
                <w:rFonts w:hint="default" w:ascii="Times New Roman" w:hAnsi="Times New Roman" w:cs="Times New Roman"/>
                <w:color w:val="auto"/>
              </w:rPr>
              <w:t>倍频带衰减。</w:t>
            </w:r>
          </w:p>
          <w:p w14:paraId="0A63A908">
            <w:pPr>
              <w:bidi w:val="0"/>
              <w:ind w:firstLine="1200" w:firstLineChars="500"/>
              <w:rPr>
                <w:rFonts w:hint="default" w:ascii="Times New Roman" w:hAnsi="Times New Roman" w:cs="Times New Roman"/>
                <w:color w:val="auto"/>
              </w:rPr>
            </w:pPr>
            <w:r>
              <w:rPr>
                <w:rFonts w:hint="default" w:ascii="Times New Roman" w:hAnsi="Times New Roman" w:cs="Times New Roman"/>
                <w:color w:val="auto"/>
              </w:rPr>
              <w:t>Aatm－空气吸收所引起的倍频带衰减，一般情况下可忽略不计。</w:t>
            </w:r>
          </w:p>
          <w:p w14:paraId="7FC7D4F5">
            <w:pPr>
              <w:bidi w:val="0"/>
              <w:ind w:firstLine="1200" w:firstLineChars="500"/>
              <w:rPr>
                <w:rFonts w:hint="default" w:ascii="Times New Roman" w:hAnsi="Times New Roman" w:cs="Times New Roman"/>
                <w:color w:val="auto"/>
              </w:rPr>
            </w:pPr>
            <w:r>
              <w:rPr>
                <w:rFonts w:hint="default" w:ascii="Times New Roman" w:hAnsi="Times New Roman" w:cs="Times New Roman"/>
                <w:color w:val="auto"/>
              </w:rPr>
              <w:t>Agr－地面效应所引起的倍频带衰减，本项目不考虑地面效应。</w:t>
            </w:r>
          </w:p>
          <w:p w14:paraId="43966BD9">
            <w:pPr>
              <w:bidi w:val="0"/>
              <w:ind w:firstLine="1200" w:firstLineChars="500"/>
              <w:rPr>
                <w:rFonts w:hint="default" w:ascii="Times New Roman" w:hAnsi="Times New Roman" w:cs="Times New Roman"/>
                <w:color w:val="auto"/>
              </w:rPr>
            </w:pPr>
            <w:r>
              <w:rPr>
                <w:rFonts w:hint="default" w:ascii="Times New Roman" w:hAnsi="Times New Roman" w:cs="Times New Roman"/>
                <w:color w:val="auto"/>
              </w:rPr>
              <w:t>Amisc－其他多方面倍频带衰减，一般情况下环境影响评价中，不需考虑附加影响。</w:t>
            </w:r>
          </w:p>
          <w:p w14:paraId="79E2F4A1">
            <w:pPr>
              <w:bidi w:val="0"/>
              <w:jc w:val="left"/>
              <w:rPr>
                <w:rFonts w:hint="default" w:ascii="Times New Roman" w:hAnsi="Times New Roman" w:cs="Times New Roman"/>
                <w:b/>
                <w:bCs/>
                <w:color w:val="auto"/>
              </w:rPr>
            </w:pPr>
            <w:r>
              <w:rPr>
                <w:rFonts w:hint="default" w:ascii="Times New Roman" w:hAnsi="Times New Roman" w:cs="Times New Roman"/>
                <w:b/>
                <w:bCs/>
                <w:color w:val="auto"/>
              </w:rPr>
              <w:t>b、预测点的A声级叠加公式：</w:t>
            </w:r>
          </w:p>
          <w:p w14:paraId="4CF52314">
            <w:pPr>
              <w:bidi w:val="0"/>
              <w:jc w:val="center"/>
              <w:rPr>
                <w:rFonts w:hint="default" w:ascii="Times New Roman" w:hAnsi="Times New Roman" w:cs="Times New Roman"/>
                <w:color w:val="auto"/>
              </w:rPr>
            </w:pPr>
            <w:r>
              <w:rPr>
                <w:rFonts w:hint="default" w:ascii="Times New Roman" w:hAnsi="Times New Roman" w:cs="Times New Roman"/>
                <w:color w:val="auto"/>
              </w:rPr>
              <w:t>LA=</w:t>
            </w:r>
            <w:r>
              <w:rPr>
                <w:rFonts w:hint="default" w:ascii="Times New Roman" w:hAnsi="Times New Roman" w:cs="Times New Roman"/>
                <w:color w:val="auto"/>
              </w:rPr>
              <w:object>
                <v:shape id="_x0000_i1025" o:spt="75" type="#_x0000_t75" style="height:33.75pt;width:80.25pt;" o:ole="t" filled="f" o:preferrelative="t" stroked="f" coordsize="21600,21600">
                  <v:path/>
                  <v:fill on="f" focussize="0,0"/>
                  <v:stroke on="f"/>
                  <v:imagedata r:id="rId17" o:title=""/>
                  <o:lock v:ext="edit" aspectratio="t"/>
                  <w10:wrap type="none"/>
                  <w10:anchorlock/>
                </v:shape>
                <o:OLEObject Type="Embed" ProgID="Equation.3" ShapeID="_x0000_i1025" DrawAspect="Content" ObjectID="_1468075725" r:id="rId16">
                  <o:LockedField>false</o:LockedField>
                </o:OLEObject>
              </w:object>
            </w:r>
          </w:p>
          <w:p w14:paraId="31F719D6">
            <w:pPr>
              <w:bidi w:val="0"/>
              <w:rPr>
                <w:rFonts w:hint="eastAsia" w:ascii="Times New Roman" w:hAnsi="Times New Roman" w:eastAsia="宋体" w:cs="Times New Roman"/>
                <w:color w:val="auto"/>
                <w:lang w:eastAsia="zh-CN"/>
              </w:rPr>
            </w:pPr>
            <w:r>
              <w:rPr>
                <w:rFonts w:hint="default" w:ascii="Times New Roman" w:hAnsi="Times New Roman" w:cs="Times New Roman"/>
                <w:color w:val="auto"/>
              </w:rPr>
              <w:t>式中：Li——第i个声源在预测点的声级，dB</w:t>
            </w:r>
            <w:r>
              <w:rPr>
                <w:rFonts w:hint="default" w:ascii="Times New Roman" w:hAnsi="Times New Roman" w:cs="Times New Roman"/>
                <w:color w:val="auto"/>
                <w:lang w:eastAsia="zh-CN"/>
              </w:rPr>
              <w:t>（</w:t>
            </w:r>
            <w:r>
              <w:rPr>
                <w:rFonts w:hint="default" w:ascii="Times New Roman" w:hAnsi="Times New Roman" w:cs="Times New Roman"/>
                <w:color w:val="auto"/>
              </w:rPr>
              <w:t>A）</w:t>
            </w:r>
            <w:r>
              <w:rPr>
                <w:rFonts w:hint="eastAsia" w:cs="Times New Roman"/>
                <w:color w:val="auto"/>
                <w:lang w:eastAsia="zh-CN"/>
              </w:rPr>
              <w:t>；</w:t>
            </w:r>
          </w:p>
          <w:p w14:paraId="43651B0E">
            <w:pPr>
              <w:bidi w:val="0"/>
              <w:ind w:firstLine="1200" w:firstLineChars="500"/>
              <w:rPr>
                <w:rFonts w:hint="eastAsia" w:ascii="Times New Roman" w:hAnsi="Times New Roman" w:eastAsia="宋体" w:cs="Times New Roman"/>
                <w:color w:val="auto"/>
                <w:lang w:eastAsia="zh-CN"/>
              </w:rPr>
            </w:pPr>
            <w:r>
              <w:rPr>
                <w:rFonts w:hint="default" w:ascii="Times New Roman" w:hAnsi="Times New Roman" w:cs="Times New Roman"/>
                <w:color w:val="auto"/>
              </w:rPr>
              <w:t>LA——某预测点噪声总叠加值</w:t>
            </w:r>
            <w:r>
              <w:rPr>
                <w:rFonts w:hint="eastAsia" w:cs="Times New Roman"/>
                <w:color w:val="auto"/>
                <w:lang w:eastAsia="zh-CN"/>
              </w:rPr>
              <w:t>；</w:t>
            </w:r>
          </w:p>
          <w:p w14:paraId="514692A1">
            <w:pPr>
              <w:bidi w:val="0"/>
              <w:ind w:firstLine="1200" w:firstLineChars="500"/>
              <w:rPr>
                <w:rFonts w:hint="default" w:ascii="Times New Roman" w:hAnsi="Times New Roman" w:cs="Times New Roman"/>
                <w:color w:val="auto"/>
              </w:rPr>
            </w:pPr>
            <w:r>
              <w:rPr>
                <w:rFonts w:hint="default" w:ascii="Times New Roman" w:hAnsi="Times New Roman" w:cs="Times New Roman"/>
                <w:color w:val="auto"/>
              </w:rPr>
              <w:t>n——声源个数</w:t>
            </w:r>
          </w:p>
          <w:p w14:paraId="7875182F">
            <w:pPr>
              <w:bidi w:val="0"/>
              <w:rPr>
                <w:rFonts w:hint="default" w:ascii="Times New Roman" w:hAnsi="Times New Roman" w:cs="Times New Roman"/>
                <w:color w:val="auto"/>
              </w:rPr>
            </w:pPr>
            <w:r>
              <w:rPr>
                <w:rFonts w:hint="default" w:ascii="Times New Roman" w:hAnsi="Times New Roman" w:cs="Times New Roman"/>
                <w:color w:val="auto"/>
              </w:rPr>
              <w:t>本项目噪声衰减除几何发散衰减后的其他衰减</w:t>
            </w:r>
            <w:r>
              <w:rPr>
                <w:rFonts w:hint="default" w:ascii="Times New Roman" w:hAnsi="Times New Roman" w:cs="Times New Roman"/>
                <w:color w:val="auto"/>
                <w:lang w:eastAsia="zh-CN"/>
              </w:rPr>
              <w:t>（</w:t>
            </w:r>
            <w:r>
              <w:rPr>
                <w:rFonts w:hint="default" w:ascii="Times New Roman" w:hAnsi="Times New Roman" w:cs="Times New Roman"/>
                <w:color w:val="auto"/>
              </w:rPr>
              <w:t>包括空气吸收衰减、屏障物和地面效应引起的衰减、其他附加衰减）取值的因素很多，项目加工设备均位于车间内，本报告主要考虑</w:t>
            </w:r>
            <w:r>
              <w:rPr>
                <w:rFonts w:hint="default" w:ascii="Times New Roman" w:hAnsi="Times New Roman" w:cs="Times New Roman"/>
                <w:color w:val="auto"/>
                <w:lang w:eastAsia="zh-CN"/>
              </w:rPr>
              <w:t>厂房隔声</w:t>
            </w:r>
            <w:r>
              <w:rPr>
                <w:rFonts w:hint="default" w:ascii="Times New Roman" w:hAnsi="Times New Roman" w:cs="Times New Roman"/>
                <w:color w:val="auto"/>
              </w:rPr>
              <w:t>和距离衰减影响，墙体隔声衰减值取1</w:t>
            </w:r>
            <w:r>
              <w:rPr>
                <w:rFonts w:hint="default" w:ascii="Times New Roman" w:hAnsi="Times New Roman" w:cs="Times New Roman"/>
                <w:color w:val="auto"/>
                <w:lang w:val="en-US" w:eastAsia="zh-CN"/>
              </w:rPr>
              <w:t>5</w:t>
            </w:r>
            <w:r>
              <w:rPr>
                <w:rFonts w:hint="default" w:ascii="Times New Roman" w:hAnsi="Times New Roman" w:cs="Times New Roman"/>
                <w:color w:val="auto"/>
              </w:rPr>
              <w:t>dB</w:t>
            </w:r>
            <w:r>
              <w:rPr>
                <w:rFonts w:hint="default" w:ascii="Times New Roman" w:hAnsi="Times New Roman" w:cs="Times New Roman"/>
                <w:color w:val="auto"/>
                <w:lang w:eastAsia="zh-CN"/>
              </w:rPr>
              <w:t>（</w:t>
            </w: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rPr>
              <w:t>。</w:t>
            </w:r>
          </w:p>
          <w:p w14:paraId="26FC581A">
            <w:pPr>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5</w:t>
            </w:r>
            <w:r>
              <w:rPr>
                <w:rFonts w:hint="default" w:ascii="Times New Roman" w:hAnsi="Times New Roman" w:cs="Times New Roman"/>
                <w:b/>
                <w:bCs/>
                <w:color w:val="auto"/>
              </w:rPr>
              <w:t>）厂界噪声预测结果</w:t>
            </w:r>
          </w:p>
          <w:p w14:paraId="21C7ACB6">
            <w:pPr>
              <w:bidi w:val="0"/>
              <w:rPr>
                <w:rFonts w:hint="default" w:ascii="Times New Roman" w:hAnsi="Times New Roman" w:cs="Times New Roman"/>
                <w:color w:val="auto"/>
              </w:rPr>
            </w:pPr>
            <w:r>
              <w:rPr>
                <w:rFonts w:hint="default" w:ascii="Times New Roman" w:hAnsi="Times New Roman" w:cs="Times New Roman"/>
                <w:color w:val="auto"/>
              </w:rPr>
              <w:t>本项目采用将设备安置于车间内，</w:t>
            </w:r>
            <w:r>
              <w:rPr>
                <w:rFonts w:hint="default" w:ascii="Times New Roman" w:hAnsi="Times New Roman" w:cs="Times New Roman"/>
                <w:color w:val="auto"/>
                <w:lang w:eastAsia="zh-CN"/>
              </w:rPr>
              <w:t>通过遮挡衰减</w:t>
            </w:r>
            <w:r>
              <w:rPr>
                <w:rFonts w:hint="default" w:ascii="Times New Roman" w:hAnsi="Times New Roman" w:cs="Times New Roman"/>
                <w:color w:val="auto"/>
              </w:rPr>
              <w:t>，距离衰减来降低噪声对周围环境的影响。</w:t>
            </w:r>
            <w:r>
              <w:rPr>
                <w:rFonts w:hint="default" w:ascii="Times New Roman" w:hAnsi="Times New Roman" w:cs="Times New Roman"/>
                <w:color w:val="auto"/>
                <w:lang w:eastAsia="zh-CN"/>
              </w:rPr>
              <w:t>具体措施</w:t>
            </w:r>
            <w:r>
              <w:rPr>
                <w:rFonts w:hint="default" w:ascii="Times New Roman" w:hAnsi="Times New Roman" w:cs="Times New Roman"/>
                <w:color w:val="auto"/>
              </w:rPr>
              <w:t>有</w:t>
            </w:r>
            <w:r>
              <w:rPr>
                <w:rFonts w:hint="default" w:ascii="Times New Roman" w:hAnsi="Times New Roman" w:cs="Times New Roman"/>
                <w:color w:val="auto"/>
                <w:lang w:val="en-US" w:eastAsia="zh-CN"/>
              </w:rPr>
              <w:t>选用低噪设备、</w:t>
            </w:r>
            <w:r>
              <w:rPr>
                <w:rFonts w:hint="default" w:ascii="Times New Roman" w:hAnsi="Times New Roman" w:cs="Times New Roman"/>
                <w:color w:val="auto"/>
              </w:rPr>
              <w:t>厂房围墙的阻挡，空气吸收和距离衰减，其中厂房阻挡可以降噪</w:t>
            </w:r>
            <w:r>
              <w:rPr>
                <w:rFonts w:hint="default" w:ascii="Times New Roman" w:hAnsi="Times New Roman" w:cs="Times New Roman"/>
                <w:color w:val="auto"/>
                <w:lang w:val="en-US" w:eastAsia="zh-CN"/>
              </w:rPr>
              <w:t>15</w:t>
            </w:r>
            <w:r>
              <w:rPr>
                <w:rFonts w:hint="default" w:ascii="Times New Roman" w:hAnsi="Times New Roman" w:cs="Times New Roman"/>
                <w:color w:val="auto"/>
              </w:rPr>
              <w:t>dB</w:t>
            </w:r>
            <w:r>
              <w:rPr>
                <w:rFonts w:hint="default" w:ascii="Times New Roman" w:hAnsi="Times New Roman" w:cs="Times New Roman"/>
                <w:color w:val="auto"/>
                <w:lang w:eastAsia="zh-CN"/>
              </w:rPr>
              <w:t>（</w:t>
            </w: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rPr>
              <w:t>。</w:t>
            </w:r>
          </w:p>
          <w:p w14:paraId="611D841E">
            <w:pPr>
              <w:bidi w:val="0"/>
              <w:rPr>
                <w:rFonts w:hint="default" w:ascii="Times New Roman" w:hAnsi="Times New Roman" w:cs="Times New Roman"/>
                <w:color w:val="auto"/>
                <w:lang w:eastAsia="zh-CN"/>
              </w:rPr>
            </w:pPr>
            <w:r>
              <w:rPr>
                <w:rFonts w:hint="default" w:ascii="Times New Roman" w:hAnsi="Times New Roman" w:eastAsia="宋体" w:cs="Times New Roman"/>
                <w:color w:val="auto"/>
                <w:highlight w:val="none"/>
              </w:rPr>
              <w:t>本次声环境影响评价使用</w:t>
            </w:r>
            <w:r>
              <w:rPr>
                <w:rFonts w:hint="eastAsia" w:cs="Times New Roman"/>
                <w:color w:val="auto"/>
                <w:highlight w:val="none"/>
                <w:lang w:eastAsia="zh-CN"/>
              </w:rPr>
              <w:t>“</w:t>
            </w:r>
            <w:r>
              <w:rPr>
                <w:rFonts w:hint="default" w:ascii="Times New Roman" w:hAnsi="Times New Roman" w:eastAsia="宋体" w:cs="Times New Roman"/>
                <w:color w:val="auto"/>
                <w:highlight w:val="none"/>
              </w:rPr>
              <w:t>噪声影响评价系统</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noisesystem）</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.0</w:t>
            </w:r>
            <w:r>
              <w:rPr>
                <w:rFonts w:hint="eastAsia" w:cs="Times New Roman"/>
                <w:color w:val="auto"/>
                <w:highlight w:val="none"/>
                <w:lang w:eastAsia="zh-CN"/>
              </w:rPr>
              <w:t>”</w:t>
            </w:r>
            <w:r>
              <w:rPr>
                <w:rFonts w:hint="default" w:ascii="Times New Roman" w:hAnsi="Times New Roman" w:eastAsia="宋体" w:cs="Times New Roman"/>
                <w:color w:val="auto"/>
                <w:highlight w:val="none"/>
              </w:rPr>
              <w:t>软件进行预测</w:t>
            </w:r>
            <w:r>
              <w:rPr>
                <w:rFonts w:hint="default" w:ascii="Times New Roman" w:hAnsi="Times New Roman" w:cs="Times New Roman"/>
                <w:color w:val="auto"/>
                <w:highlight w:val="none"/>
                <w:lang w:val="en-US" w:eastAsia="zh-CN"/>
              </w:rPr>
              <w:t>东南西北厂界</w:t>
            </w:r>
            <w:r>
              <w:rPr>
                <w:rFonts w:hint="default" w:ascii="Times New Roman" w:hAnsi="Times New Roman" w:eastAsia="宋体" w:cs="Times New Roman"/>
                <w:color w:val="auto"/>
                <w:sz w:val="24"/>
                <w:highlight w:val="none"/>
                <w:lang w:val="en-US" w:eastAsia="zh-CN"/>
              </w:rPr>
              <w:t>各设置1个预测点</w:t>
            </w:r>
            <w:r>
              <w:rPr>
                <w:rFonts w:hint="default" w:ascii="Times New Roman" w:hAnsi="Times New Roman" w:cs="Times New Roman"/>
                <w:color w:val="auto"/>
                <w:lang w:eastAsia="zh-CN"/>
              </w:rPr>
              <w:t>。</w:t>
            </w:r>
          </w:p>
          <w:p w14:paraId="4B5F9D6A">
            <w:pPr>
              <w:bidi w:val="0"/>
              <w:jc w:val="center"/>
              <w:rPr>
                <w:rFonts w:hint="default" w:ascii="Times New Roman" w:hAnsi="Times New Roman" w:cs="Times New Roman"/>
                <w:b/>
                <w:bCs/>
                <w:color w:val="auto"/>
              </w:rPr>
            </w:pPr>
            <w:r>
              <w:rPr>
                <w:rFonts w:hint="default" w:ascii="Times New Roman" w:hAnsi="Times New Roman" w:cs="Times New Roman"/>
                <w:b/>
                <w:bCs/>
                <w:color w:val="auto"/>
                <w:lang w:val="en-US" w:eastAsia="zh-CN"/>
              </w:rPr>
              <w:t>4-1</w:t>
            </w:r>
            <w:r>
              <w:rPr>
                <w:rFonts w:hint="eastAsia" w:ascii="Times New Roman" w:hAnsi="Times New Roman" w:cs="Times New Roman"/>
                <w:b/>
                <w:bCs/>
                <w:color w:val="auto"/>
                <w:lang w:val="en-US" w:eastAsia="zh-CN"/>
              </w:rPr>
              <w:t>1</w:t>
            </w:r>
            <w:r>
              <w:rPr>
                <w:rFonts w:hint="default" w:ascii="Times New Roman" w:hAnsi="Times New Roman" w:cs="Times New Roman"/>
                <w:b/>
                <w:bCs/>
                <w:color w:val="auto"/>
                <w:lang w:val="en-US" w:eastAsia="zh-CN"/>
              </w:rPr>
              <w:t xml:space="preserve">  项目昼间</w:t>
            </w:r>
            <w:r>
              <w:rPr>
                <w:rFonts w:hint="default" w:ascii="Times New Roman" w:hAnsi="Times New Roman" w:cs="Times New Roman"/>
                <w:b/>
                <w:bCs/>
                <w:color w:val="auto"/>
              </w:rPr>
              <w:t>厂界四周噪声预测值</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 xml:space="preserve">  单位：dB</w:t>
            </w:r>
            <w:r>
              <w:rPr>
                <w:rFonts w:hint="default" w:ascii="Times New Roman" w:hAnsi="Times New Roman" w:cs="Times New Roman"/>
                <w:b/>
                <w:bCs/>
                <w:color w:val="auto"/>
                <w:lang w:eastAsia="zh-CN"/>
              </w:rPr>
              <w:t>（</w:t>
            </w:r>
            <w:r>
              <w:rPr>
                <w:rFonts w:hint="default" w:ascii="Times New Roman" w:hAnsi="Times New Roman" w:cs="Times New Roman"/>
                <w:b/>
                <w:bCs/>
                <w:color w:val="auto"/>
              </w:rPr>
              <w:t>A）</w:t>
            </w:r>
          </w:p>
          <w:tbl>
            <w:tblPr>
              <w:tblStyle w:val="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3958"/>
              <w:gridCol w:w="899"/>
              <w:gridCol w:w="1162"/>
            </w:tblGrid>
            <w:tr w14:paraId="4673B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pct"/>
                  <w:vMerge w:val="restart"/>
                  <w:noWrap w:val="0"/>
                  <w:vAlign w:val="center"/>
                </w:tcPr>
                <w:p w14:paraId="6605FC11">
                  <w:pPr>
                    <w:pStyle w:val="14"/>
                    <w:bidi w:val="0"/>
                    <w:rPr>
                      <w:rFonts w:hint="default" w:ascii="Times New Roman" w:hAnsi="Times New Roman" w:cs="Times New Roman"/>
                      <w:b/>
                      <w:bCs/>
                      <w:color w:val="auto"/>
                    </w:rPr>
                  </w:pPr>
                  <w:r>
                    <w:rPr>
                      <w:rFonts w:hint="default" w:ascii="Times New Roman" w:hAnsi="Times New Roman" w:cs="Times New Roman"/>
                      <w:b/>
                      <w:bCs/>
                      <w:color w:val="auto"/>
                    </w:rPr>
                    <w:t>项目厂界</w:t>
                  </w:r>
                </w:p>
              </w:tc>
              <w:tc>
                <w:tcPr>
                  <w:tcW w:w="2629" w:type="pct"/>
                  <w:noWrap w:val="0"/>
                  <w:vAlign w:val="center"/>
                </w:tcPr>
                <w:p w14:paraId="2D27DFAC">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昼间</w:t>
                  </w:r>
                </w:p>
              </w:tc>
              <w:tc>
                <w:tcPr>
                  <w:tcW w:w="597" w:type="pct"/>
                  <w:vMerge w:val="restart"/>
                  <w:noWrap w:val="0"/>
                  <w:vAlign w:val="center"/>
                </w:tcPr>
                <w:p w14:paraId="0BE3AA12">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标准值</w:t>
                  </w:r>
                </w:p>
              </w:tc>
              <w:tc>
                <w:tcPr>
                  <w:tcW w:w="771" w:type="pct"/>
                  <w:vMerge w:val="restart"/>
                  <w:noWrap w:val="0"/>
                  <w:vAlign w:val="center"/>
                </w:tcPr>
                <w:p w14:paraId="51B0ACCD">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rPr>
                    <w:t>达标情况</w:t>
                  </w:r>
                </w:p>
              </w:tc>
            </w:tr>
            <w:tr w14:paraId="221E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pct"/>
                  <w:vMerge w:val="continue"/>
                  <w:noWrap w:val="0"/>
                  <w:vAlign w:val="center"/>
                </w:tcPr>
                <w:p w14:paraId="32B514EE">
                  <w:pPr>
                    <w:pStyle w:val="14"/>
                    <w:bidi w:val="0"/>
                    <w:rPr>
                      <w:rFonts w:hint="default" w:ascii="Times New Roman" w:hAnsi="Times New Roman" w:cs="Times New Roman"/>
                      <w:b/>
                      <w:bCs/>
                      <w:color w:val="auto"/>
                    </w:rPr>
                  </w:pPr>
                </w:p>
              </w:tc>
              <w:tc>
                <w:tcPr>
                  <w:tcW w:w="2629" w:type="pct"/>
                  <w:noWrap w:val="0"/>
                  <w:vAlign w:val="center"/>
                </w:tcPr>
                <w:p w14:paraId="088F6FBD">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rPr>
                    <w:t>贡献值</w:t>
                  </w:r>
                </w:p>
              </w:tc>
              <w:tc>
                <w:tcPr>
                  <w:tcW w:w="597" w:type="pct"/>
                  <w:vMerge w:val="continue"/>
                  <w:noWrap w:val="0"/>
                  <w:vAlign w:val="center"/>
                </w:tcPr>
                <w:p w14:paraId="725DA281">
                  <w:pPr>
                    <w:pStyle w:val="14"/>
                    <w:bidi w:val="0"/>
                    <w:rPr>
                      <w:rFonts w:hint="default" w:ascii="Times New Roman" w:hAnsi="Times New Roman" w:cs="Times New Roman"/>
                      <w:color w:val="auto"/>
                      <w:lang w:val="en-US" w:eastAsia="zh-CN"/>
                    </w:rPr>
                  </w:pPr>
                </w:p>
              </w:tc>
              <w:tc>
                <w:tcPr>
                  <w:tcW w:w="771" w:type="pct"/>
                  <w:vMerge w:val="continue"/>
                  <w:noWrap w:val="0"/>
                  <w:vAlign w:val="center"/>
                </w:tcPr>
                <w:p w14:paraId="1AA15383">
                  <w:pPr>
                    <w:pStyle w:val="14"/>
                    <w:bidi w:val="0"/>
                    <w:rPr>
                      <w:rFonts w:hint="default" w:ascii="Times New Roman" w:hAnsi="Times New Roman" w:cs="Times New Roman"/>
                      <w:color w:val="auto"/>
                      <w:lang w:val="en-US" w:eastAsia="zh-CN"/>
                    </w:rPr>
                  </w:pPr>
                </w:p>
              </w:tc>
            </w:tr>
            <w:tr w14:paraId="2123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pct"/>
                  <w:noWrap w:val="0"/>
                  <w:vAlign w:val="center"/>
                </w:tcPr>
                <w:p w14:paraId="4E70FA1F">
                  <w:pPr>
                    <w:pStyle w:val="14"/>
                    <w:bidi w:val="0"/>
                    <w:rPr>
                      <w:rFonts w:hint="default" w:ascii="Times New Roman" w:hAnsi="Times New Roman" w:cs="Times New Roman"/>
                      <w:color w:val="auto"/>
                    </w:rPr>
                  </w:pPr>
                  <w:r>
                    <w:rPr>
                      <w:rFonts w:hint="default" w:ascii="Times New Roman" w:hAnsi="Times New Roman" w:cs="Times New Roman"/>
                      <w:color w:val="auto"/>
                    </w:rPr>
                    <w:t>东厂界</w:t>
                  </w:r>
                </w:p>
              </w:tc>
              <w:tc>
                <w:tcPr>
                  <w:tcW w:w="2629" w:type="pct"/>
                  <w:noWrap w:val="0"/>
                  <w:vAlign w:val="center"/>
                </w:tcPr>
                <w:p w14:paraId="7B5F01BE">
                  <w:pPr>
                    <w:pStyle w:val="14"/>
                    <w:bidi w:val="0"/>
                    <w:ind w:firstLine="0" w:firstLineChars="0"/>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46.2</w:t>
                  </w:r>
                </w:p>
              </w:tc>
              <w:tc>
                <w:tcPr>
                  <w:tcW w:w="597" w:type="pct"/>
                  <w:noWrap w:val="0"/>
                  <w:vAlign w:val="center"/>
                </w:tcPr>
                <w:p w14:paraId="55429397">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w:t>
                  </w:r>
                  <w:r>
                    <w:rPr>
                      <w:rFonts w:hint="eastAsia" w:cs="Times New Roman"/>
                      <w:color w:val="auto"/>
                      <w:lang w:val="en-US" w:eastAsia="zh-CN"/>
                    </w:rPr>
                    <w:t>5</w:t>
                  </w:r>
                </w:p>
              </w:tc>
              <w:tc>
                <w:tcPr>
                  <w:tcW w:w="771" w:type="pct"/>
                  <w:noWrap w:val="0"/>
                  <w:vAlign w:val="center"/>
                </w:tcPr>
                <w:p w14:paraId="1C00AA30">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达标</w:t>
                  </w:r>
                </w:p>
              </w:tc>
            </w:tr>
            <w:tr w14:paraId="39F90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pct"/>
                  <w:noWrap w:val="0"/>
                  <w:vAlign w:val="center"/>
                </w:tcPr>
                <w:p w14:paraId="25AE4BA5">
                  <w:pPr>
                    <w:pStyle w:val="14"/>
                    <w:bidi w:val="0"/>
                    <w:rPr>
                      <w:rFonts w:hint="default" w:ascii="Times New Roman" w:hAnsi="Times New Roman" w:cs="Times New Roman"/>
                      <w:color w:val="auto"/>
                    </w:rPr>
                  </w:pPr>
                  <w:r>
                    <w:rPr>
                      <w:rFonts w:hint="default" w:ascii="Times New Roman" w:hAnsi="Times New Roman" w:cs="Times New Roman"/>
                      <w:color w:val="auto"/>
                    </w:rPr>
                    <w:t>南厂界</w:t>
                  </w:r>
                </w:p>
              </w:tc>
              <w:tc>
                <w:tcPr>
                  <w:tcW w:w="2629" w:type="pct"/>
                  <w:noWrap w:val="0"/>
                  <w:vAlign w:val="center"/>
                </w:tcPr>
                <w:p w14:paraId="5C42E381">
                  <w:pPr>
                    <w:pStyle w:val="14"/>
                    <w:bidi w:val="0"/>
                    <w:ind w:firstLine="0" w:firstLineChars="0"/>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49.3</w:t>
                  </w:r>
                </w:p>
              </w:tc>
              <w:tc>
                <w:tcPr>
                  <w:tcW w:w="597" w:type="pct"/>
                  <w:noWrap w:val="0"/>
                  <w:vAlign w:val="center"/>
                </w:tcPr>
                <w:p w14:paraId="0C02C673">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w:t>
                  </w:r>
                  <w:r>
                    <w:rPr>
                      <w:rFonts w:hint="eastAsia" w:cs="Times New Roman"/>
                      <w:color w:val="auto"/>
                      <w:lang w:val="en-US" w:eastAsia="zh-CN"/>
                    </w:rPr>
                    <w:t>5</w:t>
                  </w:r>
                </w:p>
              </w:tc>
              <w:tc>
                <w:tcPr>
                  <w:tcW w:w="771" w:type="pct"/>
                  <w:noWrap w:val="0"/>
                  <w:vAlign w:val="center"/>
                </w:tcPr>
                <w:p w14:paraId="2D730D66">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达标</w:t>
                  </w:r>
                </w:p>
              </w:tc>
            </w:tr>
            <w:tr w14:paraId="0BFB3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pct"/>
                  <w:noWrap w:val="0"/>
                  <w:vAlign w:val="center"/>
                </w:tcPr>
                <w:p w14:paraId="2BBB903A">
                  <w:pPr>
                    <w:pStyle w:val="14"/>
                    <w:bidi w:val="0"/>
                    <w:rPr>
                      <w:rFonts w:hint="default" w:ascii="Times New Roman" w:hAnsi="Times New Roman" w:cs="Times New Roman"/>
                      <w:color w:val="auto"/>
                    </w:rPr>
                  </w:pPr>
                  <w:r>
                    <w:rPr>
                      <w:rFonts w:hint="default" w:ascii="Times New Roman" w:hAnsi="Times New Roman" w:cs="Times New Roman"/>
                      <w:color w:val="auto"/>
                    </w:rPr>
                    <w:t>西厂界</w:t>
                  </w:r>
                </w:p>
              </w:tc>
              <w:tc>
                <w:tcPr>
                  <w:tcW w:w="2629" w:type="pct"/>
                  <w:noWrap w:val="0"/>
                  <w:vAlign w:val="center"/>
                </w:tcPr>
                <w:p w14:paraId="3407E560">
                  <w:pPr>
                    <w:pStyle w:val="14"/>
                    <w:bidi w:val="0"/>
                    <w:ind w:firstLine="0" w:firstLineChars="0"/>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47.1</w:t>
                  </w:r>
                </w:p>
              </w:tc>
              <w:tc>
                <w:tcPr>
                  <w:tcW w:w="597" w:type="pct"/>
                  <w:noWrap w:val="0"/>
                  <w:vAlign w:val="center"/>
                </w:tcPr>
                <w:p w14:paraId="6038A0E2">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w:t>
                  </w:r>
                  <w:r>
                    <w:rPr>
                      <w:rFonts w:hint="eastAsia" w:cs="Times New Roman"/>
                      <w:color w:val="auto"/>
                      <w:lang w:val="en-US" w:eastAsia="zh-CN"/>
                    </w:rPr>
                    <w:t>5</w:t>
                  </w:r>
                </w:p>
              </w:tc>
              <w:tc>
                <w:tcPr>
                  <w:tcW w:w="771" w:type="pct"/>
                  <w:noWrap w:val="0"/>
                  <w:vAlign w:val="center"/>
                </w:tcPr>
                <w:p w14:paraId="0E718AC3">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达标</w:t>
                  </w:r>
                </w:p>
              </w:tc>
            </w:tr>
            <w:tr w14:paraId="3485E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pct"/>
                  <w:noWrap w:val="0"/>
                  <w:vAlign w:val="center"/>
                </w:tcPr>
                <w:p w14:paraId="08828527">
                  <w:pPr>
                    <w:pStyle w:val="14"/>
                    <w:bidi w:val="0"/>
                    <w:rPr>
                      <w:rFonts w:hint="default" w:ascii="Times New Roman" w:hAnsi="Times New Roman" w:cs="Times New Roman"/>
                      <w:color w:val="auto"/>
                    </w:rPr>
                  </w:pPr>
                  <w:r>
                    <w:rPr>
                      <w:rFonts w:hint="default" w:ascii="Times New Roman" w:hAnsi="Times New Roman" w:cs="Times New Roman"/>
                      <w:color w:val="auto"/>
                    </w:rPr>
                    <w:t>北厂界</w:t>
                  </w:r>
                </w:p>
              </w:tc>
              <w:tc>
                <w:tcPr>
                  <w:tcW w:w="2629" w:type="pct"/>
                  <w:noWrap w:val="0"/>
                  <w:vAlign w:val="center"/>
                </w:tcPr>
                <w:p w14:paraId="5A5CFBF2">
                  <w:pPr>
                    <w:pStyle w:val="14"/>
                    <w:bidi w:val="0"/>
                    <w:ind w:firstLine="0" w:firstLineChars="0"/>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52.7</w:t>
                  </w:r>
                </w:p>
              </w:tc>
              <w:tc>
                <w:tcPr>
                  <w:tcW w:w="597" w:type="pct"/>
                  <w:noWrap w:val="0"/>
                  <w:vAlign w:val="center"/>
                </w:tcPr>
                <w:p w14:paraId="31411BDF">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w:t>
                  </w:r>
                  <w:r>
                    <w:rPr>
                      <w:rFonts w:hint="eastAsia" w:cs="Times New Roman"/>
                      <w:color w:val="auto"/>
                      <w:lang w:val="en-US" w:eastAsia="zh-CN"/>
                    </w:rPr>
                    <w:t>5</w:t>
                  </w:r>
                </w:p>
              </w:tc>
              <w:tc>
                <w:tcPr>
                  <w:tcW w:w="771" w:type="pct"/>
                  <w:noWrap w:val="0"/>
                  <w:vAlign w:val="center"/>
                </w:tcPr>
                <w:p w14:paraId="084D487E">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达标</w:t>
                  </w:r>
                </w:p>
              </w:tc>
            </w:tr>
          </w:tbl>
          <w:p w14:paraId="369C1669">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由上表可知，在厂房隔声围墙阻隔、空气吸收、距离衰减情况下，项目昼间各厂界均可达到《工业企业厂界环境噪声排放标准》（GB12348-2008）中相应标准要求，项目选用低噪设备，产噪设备置于室内，加强对生产设备的管理和维护等，且项目夜间不生产，对周围环境影响较小。</w:t>
            </w:r>
          </w:p>
          <w:p w14:paraId="256F5966">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（3）监测要求</w:t>
            </w:r>
          </w:p>
          <w:p w14:paraId="7AE83AF3">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根据《排污单位自行监测技术指南 总则》（HJ819-2017）运营期噪声监测计划见表4-1</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w:t>
            </w:r>
          </w:p>
          <w:p w14:paraId="367B11D6">
            <w:pPr>
              <w:bidi w:val="0"/>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lang w:val="en-US" w:eastAsia="zh-CN"/>
              </w:rPr>
              <w:t>表4-1</w:t>
            </w:r>
            <w:r>
              <w:rPr>
                <w:rFonts w:hint="eastAsia" w:ascii="Times New Roman" w:hAnsi="Times New Roman" w:cs="Times New Roman"/>
                <w:b/>
                <w:bCs/>
                <w:color w:val="auto"/>
                <w:lang w:val="en-US" w:eastAsia="zh-CN"/>
              </w:rPr>
              <w:t>2</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营运期</w:t>
            </w:r>
            <w:r>
              <w:rPr>
                <w:rFonts w:hint="default" w:ascii="Times New Roman" w:hAnsi="Times New Roman" w:cs="Times New Roman"/>
                <w:b/>
                <w:bCs/>
                <w:color w:val="auto"/>
                <w:lang w:val="en-US" w:eastAsia="zh-CN"/>
              </w:rPr>
              <w:t>噪声</w:t>
            </w:r>
            <w:r>
              <w:rPr>
                <w:rFonts w:hint="default" w:ascii="Times New Roman" w:hAnsi="Times New Roman" w:cs="Times New Roman"/>
                <w:b/>
                <w:bCs/>
                <w:color w:val="auto"/>
              </w:rPr>
              <w:t>监测计划表</w:t>
            </w:r>
          </w:p>
          <w:tbl>
            <w:tblPr>
              <w:tblStyle w:val="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1172"/>
              <w:gridCol w:w="1265"/>
              <w:gridCol w:w="1299"/>
              <w:gridCol w:w="2683"/>
            </w:tblGrid>
            <w:tr w14:paraId="0A38F5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78" w:type="dxa"/>
                  <w:tcBorders>
                    <w:left w:val="single" w:color="auto" w:sz="4" w:space="0"/>
                  </w:tcBorders>
                  <w:noWrap w:val="0"/>
                  <w:vAlign w:val="center"/>
                </w:tcPr>
                <w:p w14:paraId="3EDC4FDD">
                  <w:pPr>
                    <w:pStyle w:val="14"/>
                    <w:bidi w:val="0"/>
                    <w:rPr>
                      <w:rFonts w:hint="default" w:ascii="Times New Roman" w:hAnsi="Times New Roman" w:cs="Times New Roman"/>
                      <w:b/>
                      <w:bCs/>
                      <w:color w:val="auto"/>
                    </w:rPr>
                  </w:pPr>
                  <w:r>
                    <w:rPr>
                      <w:rFonts w:hint="default" w:ascii="Times New Roman" w:hAnsi="Times New Roman" w:cs="Times New Roman"/>
                      <w:b/>
                      <w:bCs/>
                      <w:color w:val="auto"/>
                    </w:rPr>
                    <w:t>监测项目</w:t>
                  </w:r>
                </w:p>
              </w:tc>
              <w:tc>
                <w:tcPr>
                  <w:tcW w:w="1232" w:type="dxa"/>
                  <w:noWrap w:val="0"/>
                  <w:vAlign w:val="center"/>
                </w:tcPr>
                <w:p w14:paraId="2496E386">
                  <w:pPr>
                    <w:pStyle w:val="14"/>
                    <w:bidi w:val="0"/>
                    <w:rPr>
                      <w:rFonts w:hint="default" w:ascii="Times New Roman" w:hAnsi="Times New Roman" w:cs="Times New Roman"/>
                      <w:b/>
                      <w:bCs/>
                      <w:color w:val="auto"/>
                    </w:rPr>
                  </w:pPr>
                  <w:r>
                    <w:rPr>
                      <w:rFonts w:hint="default" w:ascii="Times New Roman" w:hAnsi="Times New Roman" w:cs="Times New Roman"/>
                      <w:b/>
                      <w:bCs/>
                      <w:color w:val="auto"/>
                    </w:rPr>
                    <w:t>监测地点</w:t>
                  </w:r>
                </w:p>
              </w:tc>
              <w:tc>
                <w:tcPr>
                  <w:tcW w:w="1331" w:type="dxa"/>
                  <w:noWrap w:val="0"/>
                  <w:vAlign w:val="center"/>
                </w:tcPr>
                <w:p w14:paraId="6ED8C3F4">
                  <w:pPr>
                    <w:pStyle w:val="14"/>
                    <w:bidi w:val="0"/>
                    <w:rPr>
                      <w:rFonts w:hint="default" w:ascii="Times New Roman" w:hAnsi="Times New Roman" w:cs="Times New Roman"/>
                      <w:b/>
                      <w:bCs/>
                      <w:color w:val="auto"/>
                    </w:rPr>
                  </w:pPr>
                  <w:r>
                    <w:rPr>
                      <w:rFonts w:hint="default" w:ascii="Times New Roman" w:hAnsi="Times New Roman" w:cs="Times New Roman"/>
                      <w:b/>
                      <w:bCs/>
                      <w:color w:val="auto"/>
                    </w:rPr>
                    <w:t>监测参数</w:t>
                  </w:r>
                </w:p>
              </w:tc>
              <w:tc>
                <w:tcPr>
                  <w:tcW w:w="1367" w:type="dxa"/>
                  <w:noWrap w:val="0"/>
                  <w:vAlign w:val="center"/>
                </w:tcPr>
                <w:p w14:paraId="4F9472EC">
                  <w:pPr>
                    <w:pStyle w:val="14"/>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监测频次</w:t>
                  </w:r>
                </w:p>
              </w:tc>
              <w:tc>
                <w:tcPr>
                  <w:tcW w:w="2838" w:type="dxa"/>
                  <w:tcBorders>
                    <w:right w:val="single" w:color="auto" w:sz="4" w:space="0"/>
                  </w:tcBorders>
                  <w:noWrap w:val="0"/>
                  <w:vAlign w:val="center"/>
                </w:tcPr>
                <w:p w14:paraId="7A45747D">
                  <w:pPr>
                    <w:pStyle w:val="14"/>
                    <w:bidi w:val="0"/>
                    <w:rPr>
                      <w:rFonts w:hint="default" w:ascii="Times New Roman" w:hAnsi="Times New Roman" w:cs="Times New Roman"/>
                      <w:b/>
                      <w:bCs/>
                      <w:color w:val="auto"/>
                    </w:rPr>
                  </w:pPr>
                  <w:r>
                    <w:rPr>
                      <w:rFonts w:hint="default" w:ascii="Times New Roman" w:hAnsi="Times New Roman" w:cs="Times New Roman"/>
                      <w:b/>
                      <w:bCs/>
                      <w:color w:val="auto"/>
                    </w:rPr>
                    <w:t>执行排放标准</w:t>
                  </w:r>
                </w:p>
              </w:tc>
            </w:tr>
            <w:tr w14:paraId="3832CA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178" w:type="dxa"/>
                  <w:tcBorders>
                    <w:left w:val="single" w:color="auto" w:sz="4" w:space="0"/>
                  </w:tcBorders>
                  <w:noWrap w:val="0"/>
                  <w:vAlign w:val="center"/>
                </w:tcPr>
                <w:p w14:paraId="69F449EF">
                  <w:pPr>
                    <w:pStyle w:val="14"/>
                    <w:bidi w:val="0"/>
                    <w:rPr>
                      <w:rFonts w:hint="default" w:ascii="Times New Roman" w:hAnsi="Times New Roman" w:cs="Times New Roman"/>
                      <w:color w:val="auto"/>
                    </w:rPr>
                  </w:pPr>
                  <w:r>
                    <w:rPr>
                      <w:rFonts w:hint="default" w:ascii="Times New Roman" w:hAnsi="Times New Roman" w:cs="Times New Roman"/>
                      <w:color w:val="auto"/>
                    </w:rPr>
                    <w:t>声环境</w:t>
                  </w:r>
                </w:p>
              </w:tc>
              <w:tc>
                <w:tcPr>
                  <w:tcW w:w="1232" w:type="dxa"/>
                  <w:noWrap w:val="0"/>
                  <w:vAlign w:val="center"/>
                </w:tcPr>
                <w:p w14:paraId="416FB074">
                  <w:pPr>
                    <w:pStyle w:val="14"/>
                    <w:bidi w:val="0"/>
                    <w:rPr>
                      <w:rFonts w:hint="default" w:ascii="Times New Roman" w:hAnsi="Times New Roman" w:cs="Times New Roman"/>
                      <w:color w:val="auto"/>
                    </w:rPr>
                  </w:pPr>
                  <w:r>
                    <w:rPr>
                      <w:rFonts w:hint="default" w:ascii="Times New Roman" w:hAnsi="Times New Roman" w:cs="Times New Roman"/>
                      <w:color w:val="auto"/>
                    </w:rPr>
                    <w:t>项目</w:t>
                  </w:r>
                  <w:r>
                    <w:rPr>
                      <w:rFonts w:hint="default" w:ascii="Times New Roman" w:hAnsi="Times New Roman" w:cs="Times New Roman"/>
                      <w:color w:val="auto"/>
                      <w:lang w:val="en-US" w:eastAsia="zh-CN"/>
                    </w:rPr>
                    <w:t>四周</w:t>
                  </w:r>
                  <w:r>
                    <w:rPr>
                      <w:rFonts w:hint="default" w:ascii="Times New Roman" w:hAnsi="Times New Roman" w:cs="Times New Roman"/>
                      <w:color w:val="auto"/>
                    </w:rPr>
                    <w:t>厂界</w:t>
                  </w:r>
                </w:p>
              </w:tc>
              <w:tc>
                <w:tcPr>
                  <w:tcW w:w="1331" w:type="dxa"/>
                  <w:noWrap w:val="0"/>
                  <w:vAlign w:val="center"/>
                </w:tcPr>
                <w:p w14:paraId="6F953350">
                  <w:pPr>
                    <w:pStyle w:val="14"/>
                    <w:bidi w:val="0"/>
                    <w:rPr>
                      <w:rFonts w:hint="default" w:ascii="Times New Roman" w:hAnsi="Times New Roman" w:cs="Times New Roman"/>
                      <w:color w:val="auto"/>
                    </w:rPr>
                  </w:pPr>
                  <w:r>
                    <w:rPr>
                      <w:rFonts w:hint="default" w:ascii="Times New Roman" w:hAnsi="Times New Roman" w:cs="Times New Roman"/>
                      <w:color w:val="auto"/>
                    </w:rPr>
                    <w:t>Leq</w:t>
                  </w:r>
                  <w:r>
                    <w:rPr>
                      <w:rFonts w:hint="default" w:ascii="Times New Roman" w:hAnsi="Times New Roman" w:cs="Times New Roman"/>
                      <w:color w:val="auto"/>
                      <w:lang w:val="en-US" w:eastAsia="zh-CN"/>
                    </w:rPr>
                    <w:t xml:space="preserve"> dB</w:t>
                  </w:r>
                  <w:r>
                    <w:rPr>
                      <w:rFonts w:hint="default" w:ascii="Times New Roman" w:hAnsi="Times New Roman" w:cs="Times New Roman"/>
                      <w:color w:val="auto"/>
                      <w:lang w:eastAsia="zh-CN"/>
                    </w:rPr>
                    <w:t>（</w:t>
                  </w:r>
                  <w:r>
                    <w:rPr>
                      <w:rFonts w:hint="default" w:ascii="Times New Roman" w:hAnsi="Times New Roman" w:cs="Times New Roman"/>
                      <w:color w:val="auto"/>
                    </w:rPr>
                    <w:t>A）</w:t>
                  </w:r>
                </w:p>
              </w:tc>
              <w:tc>
                <w:tcPr>
                  <w:tcW w:w="1367" w:type="dxa"/>
                  <w:tcBorders>
                    <w:right w:val="single" w:color="auto" w:sz="4" w:space="0"/>
                  </w:tcBorders>
                  <w:noWrap w:val="0"/>
                  <w:vAlign w:val="center"/>
                </w:tcPr>
                <w:p w14:paraId="3362F1DE">
                  <w:pPr>
                    <w:pStyle w:val="14"/>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1次/季度</w:t>
                  </w:r>
                </w:p>
              </w:tc>
              <w:tc>
                <w:tcPr>
                  <w:tcW w:w="2838" w:type="dxa"/>
                  <w:tcBorders>
                    <w:right w:val="single" w:color="auto" w:sz="4" w:space="0"/>
                  </w:tcBorders>
                  <w:noWrap w:val="0"/>
                  <w:vAlign w:val="center"/>
                </w:tcPr>
                <w:p w14:paraId="0FA60D18">
                  <w:pPr>
                    <w:pStyle w:val="14"/>
                    <w:bidi w:val="0"/>
                    <w:rPr>
                      <w:rFonts w:hint="default" w:ascii="Times New Roman" w:hAnsi="Times New Roman" w:cs="Times New Roman"/>
                      <w:color w:val="auto"/>
                    </w:rPr>
                  </w:pPr>
                  <w:r>
                    <w:rPr>
                      <w:rFonts w:hint="default" w:ascii="Times New Roman" w:hAnsi="Times New Roman" w:cs="Times New Roman"/>
                      <w:color w:val="auto"/>
                      <w:lang w:val="en-US" w:eastAsia="zh-CN"/>
                    </w:rPr>
                    <w:t>执行《工业企业厂界环境噪声排放标准》（GB12348-2008）</w:t>
                  </w:r>
                  <w:r>
                    <w:rPr>
                      <w:rFonts w:hint="eastAsia" w:cs="Times New Roman"/>
                      <w:color w:val="auto"/>
                      <w:lang w:val="en-US" w:eastAsia="zh-CN"/>
                    </w:rPr>
                    <w:t>3</w:t>
                  </w:r>
                  <w:r>
                    <w:rPr>
                      <w:rFonts w:hint="default" w:ascii="Times New Roman" w:hAnsi="Times New Roman" w:cs="Times New Roman"/>
                      <w:color w:val="auto"/>
                      <w:lang w:val="en-US" w:eastAsia="zh-CN"/>
                    </w:rPr>
                    <w:t>类标准</w:t>
                  </w:r>
                </w:p>
              </w:tc>
            </w:tr>
          </w:tbl>
          <w:p w14:paraId="6B76FB6D">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4、固体废物</w:t>
            </w:r>
          </w:p>
          <w:p w14:paraId="604B39A0">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项目运营期产生的固体废物包括一般固体废物和危险危废。</w:t>
            </w:r>
          </w:p>
          <w:p w14:paraId="623AB623">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（1）一般固废</w:t>
            </w:r>
          </w:p>
          <w:p w14:paraId="18CAD3C9">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①生活垃圾</w:t>
            </w:r>
          </w:p>
          <w:p w14:paraId="6556D22A">
            <w:pPr>
              <w:bidi w:val="0"/>
              <w:rPr>
                <w:rFonts w:hint="default" w:ascii="Times New Roman" w:hAnsi="Times New Roman" w:cs="Times New Roman"/>
                <w:color w:val="auto"/>
              </w:rPr>
            </w:pPr>
            <w:r>
              <w:rPr>
                <w:rFonts w:hint="default" w:ascii="Times New Roman" w:hAnsi="Times New Roman" w:cs="Times New Roman"/>
                <w:color w:val="auto"/>
              </w:rPr>
              <w:t>本项目劳动定员</w:t>
            </w:r>
            <w:r>
              <w:rPr>
                <w:rFonts w:hint="default" w:ascii="Times New Roman" w:hAnsi="Times New Roman" w:cs="Times New Roman"/>
                <w:color w:val="auto"/>
                <w:lang w:val="en-US" w:eastAsia="zh-CN"/>
              </w:rPr>
              <w:t>13</w:t>
            </w:r>
            <w:r>
              <w:rPr>
                <w:rFonts w:hint="default" w:ascii="Times New Roman" w:hAnsi="Times New Roman" w:cs="Times New Roman"/>
                <w:color w:val="auto"/>
              </w:rPr>
              <w:t>人，</w:t>
            </w:r>
            <w:r>
              <w:rPr>
                <w:rFonts w:hint="default" w:ascii="Times New Roman" w:hAnsi="Times New Roman" w:cs="Times New Roman"/>
                <w:color w:val="auto"/>
                <w:lang w:val="en-US" w:eastAsia="zh-CN"/>
              </w:rPr>
              <w:t>均不在项目内食宿，</w:t>
            </w:r>
            <w:r>
              <w:rPr>
                <w:rFonts w:hint="default" w:ascii="Times New Roman" w:hAnsi="Times New Roman" w:cs="Times New Roman"/>
                <w:color w:val="auto"/>
              </w:rPr>
              <w:t>生活垃圾按0.</w:t>
            </w:r>
            <w:r>
              <w:rPr>
                <w:rFonts w:hint="default" w:ascii="Times New Roman" w:hAnsi="Times New Roman" w:cs="Times New Roman"/>
                <w:color w:val="auto"/>
                <w:lang w:val="en-US" w:eastAsia="zh-CN"/>
              </w:rPr>
              <w:t>15</w:t>
            </w:r>
            <w:r>
              <w:rPr>
                <w:rFonts w:hint="default" w:ascii="Times New Roman" w:hAnsi="Times New Roman" w:cs="Times New Roman"/>
                <w:color w:val="auto"/>
              </w:rPr>
              <w:t>kg/人·d计</w:t>
            </w:r>
            <w:r>
              <w:rPr>
                <w:rFonts w:hint="default" w:ascii="Times New Roman" w:hAnsi="Times New Roman" w:cs="Times New Roman"/>
                <w:color w:val="auto"/>
                <w:lang w:val="en-US" w:eastAsia="zh-CN"/>
              </w:rPr>
              <w:t>，</w:t>
            </w:r>
            <w:r>
              <w:rPr>
                <w:rFonts w:hint="default" w:ascii="Times New Roman" w:hAnsi="Times New Roman" w:cs="Times New Roman"/>
                <w:color w:val="auto"/>
              </w:rPr>
              <w:t>年工作天数为3</w:t>
            </w:r>
            <w:r>
              <w:rPr>
                <w:rFonts w:hint="default" w:ascii="Times New Roman" w:hAnsi="Times New Roman" w:cs="Times New Roman"/>
                <w:color w:val="auto"/>
                <w:lang w:val="en-US" w:eastAsia="zh-CN"/>
              </w:rPr>
              <w:t>0</w:t>
            </w:r>
            <w:r>
              <w:rPr>
                <w:rFonts w:hint="default" w:ascii="Times New Roman" w:hAnsi="Times New Roman" w:cs="Times New Roman"/>
                <w:color w:val="auto"/>
              </w:rPr>
              <w:t>0d，则年产生生活垃圾约</w:t>
            </w:r>
            <w:r>
              <w:rPr>
                <w:rFonts w:hint="default" w:ascii="Times New Roman" w:hAnsi="Times New Roman" w:cs="Times New Roman"/>
                <w:color w:val="auto"/>
                <w:lang w:val="en-US" w:eastAsia="zh-CN"/>
              </w:rPr>
              <w:t>0.6</w:t>
            </w:r>
            <w:r>
              <w:rPr>
                <w:rFonts w:hint="default" w:ascii="Times New Roman" w:hAnsi="Times New Roman" w:cs="Times New Roman"/>
                <w:color w:val="auto"/>
              </w:rPr>
              <w:t>t。</w:t>
            </w:r>
            <w:r>
              <w:rPr>
                <w:rFonts w:hint="default" w:ascii="Times New Roman" w:hAnsi="Times New Roman" w:cs="Times New Roman"/>
                <w:color w:val="auto"/>
                <w:lang w:eastAsia="zh-CN"/>
              </w:rPr>
              <w:t>厂区</w:t>
            </w:r>
            <w:r>
              <w:rPr>
                <w:rFonts w:hint="default" w:ascii="Times New Roman" w:hAnsi="Times New Roman" w:cs="Times New Roman"/>
                <w:color w:val="auto"/>
              </w:rPr>
              <w:t>内设置垃圾桶，生活垃圾分类收集后委托环卫部门统一清运处理。</w:t>
            </w:r>
          </w:p>
          <w:p w14:paraId="140B0D71">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②旱厕粪污</w:t>
            </w:r>
          </w:p>
          <w:p w14:paraId="5F6F4CDF">
            <w:pPr>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项目设置旱厕，粪污产生系数按照0.2kg/</w:t>
            </w:r>
            <w:r>
              <w:rPr>
                <w:rFonts w:hint="default" w:ascii="Times New Roman" w:hAnsi="Times New Roman" w:cs="Times New Roman"/>
                <w:color w:val="auto"/>
              </w:rPr>
              <w:t>人·d计</w:t>
            </w:r>
            <w:r>
              <w:rPr>
                <w:rFonts w:hint="default" w:ascii="Times New Roman" w:hAnsi="Times New Roman" w:cs="Times New Roman"/>
                <w:color w:val="auto"/>
                <w:lang w:val="en-US" w:eastAsia="zh-CN"/>
              </w:rPr>
              <w:t>，</w:t>
            </w:r>
            <w:r>
              <w:rPr>
                <w:rFonts w:hint="default" w:ascii="Times New Roman" w:hAnsi="Times New Roman" w:cs="Times New Roman"/>
                <w:color w:val="auto"/>
              </w:rPr>
              <w:t>年工作天数为3</w:t>
            </w:r>
            <w:r>
              <w:rPr>
                <w:rFonts w:hint="default" w:ascii="Times New Roman" w:hAnsi="Times New Roman" w:cs="Times New Roman"/>
                <w:color w:val="auto"/>
                <w:lang w:val="en-US" w:eastAsia="zh-CN"/>
              </w:rPr>
              <w:t>0</w:t>
            </w:r>
            <w:r>
              <w:rPr>
                <w:rFonts w:hint="default" w:ascii="Times New Roman" w:hAnsi="Times New Roman" w:cs="Times New Roman"/>
                <w:color w:val="auto"/>
              </w:rPr>
              <w:t>0d，则</w:t>
            </w:r>
            <w:r>
              <w:rPr>
                <w:rFonts w:hint="default" w:ascii="Times New Roman" w:hAnsi="Times New Roman" w:cs="Times New Roman"/>
                <w:color w:val="auto"/>
                <w:lang w:val="en-US" w:eastAsia="zh-CN"/>
              </w:rPr>
              <w:t>旱厕化粪池粪污</w:t>
            </w:r>
            <w:r>
              <w:rPr>
                <w:rFonts w:hint="default" w:ascii="Times New Roman" w:hAnsi="Times New Roman" w:cs="Times New Roman"/>
                <w:color w:val="auto"/>
              </w:rPr>
              <w:t>约</w:t>
            </w:r>
            <w:r>
              <w:rPr>
                <w:rFonts w:hint="default" w:ascii="Times New Roman" w:hAnsi="Times New Roman" w:cs="Times New Roman"/>
                <w:color w:val="auto"/>
                <w:lang w:val="en-US" w:eastAsia="zh-CN"/>
              </w:rPr>
              <w:t>0.78</w:t>
            </w:r>
            <w:r>
              <w:rPr>
                <w:rFonts w:hint="default" w:ascii="Times New Roman" w:hAnsi="Times New Roman" w:cs="Times New Roman"/>
                <w:color w:val="auto"/>
              </w:rPr>
              <w:t>t</w:t>
            </w:r>
            <w:r>
              <w:rPr>
                <w:rFonts w:hint="default" w:ascii="Times New Roman" w:hAnsi="Times New Roman" w:cs="Times New Roman"/>
                <w:color w:val="auto"/>
                <w:lang w:val="en-US" w:eastAsia="zh-CN"/>
              </w:rPr>
              <w:t>/a</w:t>
            </w:r>
            <w:r>
              <w:rPr>
                <w:rFonts w:hint="default" w:ascii="Times New Roman" w:hAnsi="Times New Roman" w:cs="Times New Roman"/>
                <w:color w:val="auto"/>
              </w:rPr>
              <w:t>。委托周边村民</w:t>
            </w:r>
            <w:r>
              <w:rPr>
                <w:rFonts w:hint="default" w:ascii="Times New Roman" w:hAnsi="Times New Roman" w:cs="Times New Roman"/>
                <w:color w:val="auto"/>
                <w:lang w:val="en-US" w:eastAsia="zh-CN"/>
              </w:rPr>
              <w:t>定期</w:t>
            </w:r>
            <w:r>
              <w:rPr>
                <w:rFonts w:hint="default" w:ascii="Times New Roman" w:hAnsi="Times New Roman" w:cs="Times New Roman"/>
                <w:color w:val="auto"/>
              </w:rPr>
              <w:t>清掏</w:t>
            </w:r>
            <w:r>
              <w:rPr>
                <w:rFonts w:hint="default" w:ascii="Times New Roman" w:hAnsi="Times New Roman" w:cs="Times New Roman"/>
                <w:color w:val="auto"/>
                <w:lang w:val="en-US" w:eastAsia="zh-CN"/>
              </w:rPr>
              <w:t>作农家肥使用。</w:t>
            </w:r>
          </w:p>
          <w:p w14:paraId="7E34AE24">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rPr>
              <w:t>③</w:t>
            </w:r>
            <w:r>
              <w:rPr>
                <w:rFonts w:hint="default" w:ascii="Times New Roman" w:hAnsi="Times New Roman" w:cs="Times New Roman"/>
                <w:b/>
                <w:bCs/>
                <w:color w:val="auto"/>
                <w:lang w:val="en-US" w:eastAsia="zh-CN"/>
              </w:rPr>
              <w:t>加工残次品</w:t>
            </w:r>
          </w:p>
          <w:p w14:paraId="575E140F">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项目卸货等过程损坏率取1‰，则损坏</w:t>
            </w:r>
            <w:r>
              <w:rPr>
                <w:rFonts w:hint="eastAsia" w:cs="Times New Roman"/>
                <w:color w:val="auto"/>
                <w:lang w:val="en-US" w:eastAsia="zh-CN"/>
              </w:rPr>
              <w:t>楼梯</w:t>
            </w:r>
            <w:r>
              <w:rPr>
                <w:rFonts w:hint="default" w:ascii="Times New Roman" w:hAnsi="Times New Roman" w:cs="Times New Roman"/>
                <w:color w:val="auto"/>
                <w:lang w:val="en-US" w:eastAsia="zh-CN"/>
              </w:rPr>
              <w:t>约100支/a，平均一支重量约2.5kg，则残次品年产生量0.25t/a，运回公司其他加工厂重新加工。</w:t>
            </w:r>
          </w:p>
          <w:p w14:paraId="05B5991A">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④包装废料</w:t>
            </w:r>
          </w:p>
          <w:p w14:paraId="08ED04CA">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成品包装捆扎过程会产生少量包装废料，产生量约5t/a，主要为塑料包装条带，收集后出售废品回收站。</w:t>
            </w:r>
          </w:p>
          <w:p w14:paraId="15A98EC5">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⑤废劳保用品</w:t>
            </w:r>
          </w:p>
          <w:p w14:paraId="67FA3E27">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项目员工工作时会涉及使用手套、安全帽等，根据建设方提供资料，项目所产生废弃劳保用品量约为0.5t</w:t>
            </w:r>
            <w:r>
              <w:rPr>
                <w:rFonts w:hint="default" w:ascii="Times New Roman" w:hAnsi="Times New Roman" w:cs="Times New Roman"/>
                <w:color w:val="auto"/>
                <w:lang w:eastAsia="zh-CN"/>
              </w:rPr>
              <w:t>/a。</w:t>
            </w:r>
            <w:r>
              <w:rPr>
                <w:rFonts w:hint="default" w:ascii="Times New Roman" w:hAnsi="Times New Roman" w:cs="Times New Roman"/>
                <w:color w:val="auto"/>
                <w:lang w:val="en-US" w:eastAsia="zh-CN"/>
              </w:rPr>
              <w:t>收集后出售废品回收站。</w:t>
            </w:r>
          </w:p>
          <w:p w14:paraId="4C783B1E">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（2）危险废物</w:t>
            </w:r>
          </w:p>
          <w:p w14:paraId="38EBB224">
            <w:pPr>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①废机油、机油桶、机油沾染物</w:t>
            </w:r>
          </w:p>
          <w:p w14:paraId="2B484E86">
            <w:pPr>
              <w:bidi w:val="0"/>
              <w:rPr>
                <w:rFonts w:hint="default" w:ascii="Times New Roman" w:hAnsi="Times New Roman" w:cs="Times New Roman"/>
                <w:color w:val="auto"/>
              </w:rPr>
            </w:pPr>
            <w:r>
              <w:rPr>
                <w:rFonts w:hint="default" w:ascii="Times New Roman" w:hAnsi="Times New Roman" w:cs="Times New Roman"/>
                <w:color w:val="auto"/>
              </w:rPr>
              <w:t>主要来自设备液压，润滑系统换油</w:t>
            </w:r>
            <w:r>
              <w:rPr>
                <w:rFonts w:hint="default" w:ascii="Times New Roman" w:hAnsi="Times New Roman" w:cs="Times New Roman"/>
                <w:color w:val="auto"/>
                <w:lang w:val="en-US" w:eastAsia="zh-CN"/>
              </w:rPr>
              <w:t>及设备维修</w:t>
            </w:r>
            <w:r>
              <w:rPr>
                <w:rFonts w:hint="default" w:ascii="Times New Roman" w:hAnsi="Times New Roman" w:cs="Times New Roman"/>
                <w:color w:val="auto"/>
              </w:rPr>
              <w:t>，产生量</w:t>
            </w:r>
            <w:r>
              <w:rPr>
                <w:rFonts w:hint="default" w:ascii="Times New Roman" w:hAnsi="Times New Roman" w:cs="Times New Roman"/>
                <w:color w:val="auto"/>
                <w:lang w:val="en-US" w:eastAsia="zh-CN"/>
              </w:rPr>
              <w:t>约</w:t>
            </w:r>
            <w:r>
              <w:rPr>
                <w:rFonts w:hint="default" w:ascii="Times New Roman" w:hAnsi="Times New Roman" w:cs="Times New Roman"/>
                <w:color w:val="auto"/>
              </w:rPr>
              <w:t>为0.</w:t>
            </w:r>
            <w:r>
              <w:rPr>
                <w:rFonts w:hint="default" w:ascii="Times New Roman" w:hAnsi="Times New Roman" w:cs="Times New Roman"/>
                <w:color w:val="auto"/>
                <w:lang w:val="en-US" w:eastAsia="zh-CN"/>
              </w:rPr>
              <w:t>3</w:t>
            </w:r>
            <w:r>
              <w:rPr>
                <w:rFonts w:hint="default" w:ascii="Times New Roman" w:hAnsi="Times New Roman" w:cs="Times New Roman"/>
                <w:color w:val="auto"/>
              </w:rPr>
              <w:t>t/a。根据</w:t>
            </w:r>
            <w:r>
              <w:rPr>
                <w:rFonts w:hint="eastAsia" w:cs="Times New Roman"/>
                <w:color w:val="auto"/>
                <w:lang w:eastAsia="zh-CN"/>
              </w:rPr>
              <w:t>《国家危险废物名录》（2025年）</w:t>
            </w:r>
            <w:r>
              <w:rPr>
                <w:rFonts w:hint="default" w:ascii="Times New Roman" w:hAnsi="Times New Roman" w:cs="Times New Roman"/>
                <w:color w:val="auto"/>
              </w:rPr>
              <w:t>，废机油属于HW08废矿物油与含矿物油废物中的900-249-08</w:t>
            </w:r>
            <w:r>
              <w:rPr>
                <w:rFonts w:hint="default" w:ascii="Times New Roman" w:hAnsi="Times New Roman" w:cs="Times New Roman"/>
                <w:color w:val="auto"/>
                <w:lang w:eastAsia="zh-CN"/>
              </w:rPr>
              <w:t>，</w:t>
            </w:r>
            <w:r>
              <w:rPr>
                <w:rFonts w:hint="default" w:ascii="Times New Roman" w:hAnsi="Times New Roman" w:cs="Times New Roman"/>
                <w:color w:val="auto"/>
              </w:rPr>
              <w:t>集中收集后委托资质单位处置。</w:t>
            </w:r>
          </w:p>
          <w:p w14:paraId="7B8254CB">
            <w:pPr>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②</w:t>
            </w:r>
            <w:r>
              <w:rPr>
                <w:rFonts w:hint="default" w:ascii="Times New Roman" w:hAnsi="Times New Roman" w:cs="Times New Roman"/>
                <w:b/>
                <w:bCs/>
                <w:color w:val="auto"/>
              </w:rPr>
              <w:t>废活性炭</w:t>
            </w:r>
          </w:p>
          <w:p w14:paraId="7C1C08EF">
            <w:pPr>
              <w:bidi w:val="0"/>
              <w:rPr>
                <w:rFonts w:hint="default" w:ascii="Times New Roman" w:hAnsi="Times New Roman" w:cs="Times New Roman"/>
                <w:color w:val="auto"/>
              </w:rPr>
            </w:pPr>
            <w:r>
              <w:rPr>
                <w:rFonts w:hint="default" w:ascii="Times New Roman" w:hAnsi="Times New Roman" w:cs="Times New Roman"/>
                <w:color w:val="auto"/>
                <w:lang w:val="en-US" w:eastAsia="zh-CN"/>
              </w:rPr>
              <w:t>项目</w:t>
            </w:r>
            <w:r>
              <w:rPr>
                <w:rFonts w:hint="default" w:ascii="Times New Roman" w:hAnsi="Times New Roman" w:cs="Times New Roman"/>
                <w:color w:val="auto"/>
              </w:rPr>
              <w:t>生产过程中使用活性炭吸附装置对产生的有机废气进行处理，根据</w:t>
            </w:r>
            <w:r>
              <w:rPr>
                <w:rFonts w:hint="default"/>
                <w:color w:val="auto"/>
              </w:rPr>
              <w:t>《国家危险废物名录》（20</w:t>
            </w:r>
            <w:r>
              <w:rPr>
                <w:rFonts w:hint="default"/>
                <w:color w:val="auto"/>
                <w:lang w:val="en-US" w:eastAsia="zh-CN"/>
              </w:rPr>
              <w:t>2</w:t>
            </w:r>
            <w:r>
              <w:rPr>
                <w:rFonts w:hint="eastAsia"/>
                <w:color w:val="auto"/>
                <w:lang w:val="en-US" w:eastAsia="zh-CN"/>
              </w:rPr>
              <w:t>5</w:t>
            </w:r>
            <w:r>
              <w:rPr>
                <w:rFonts w:hint="default"/>
                <w:color w:val="auto"/>
              </w:rPr>
              <w:t>年）</w:t>
            </w:r>
            <w:r>
              <w:rPr>
                <w:rFonts w:hint="default" w:ascii="Times New Roman" w:hAnsi="Times New Roman" w:cs="Times New Roman"/>
                <w:color w:val="auto"/>
              </w:rPr>
              <w:t>，废活性炭属HW49其他废物中的900-039-49。根据《简明通风设计手册》计算，有机废气与废活性炭产生比例约1</w:t>
            </w:r>
            <w:r>
              <w:rPr>
                <w:rFonts w:hint="default" w:ascii="Times New Roman" w:hAnsi="Times New Roman" w:cs="Times New Roman"/>
                <w:color w:val="auto"/>
                <w:lang w:eastAsia="zh-CN"/>
              </w:rPr>
              <w:t>：</w:t>
            </w:r>
            <w:r>
              <w:rPr>
                <w:rFonts w:hint="default" w:ascii="Times New Roman" w:hAnsi="Times New Roman" w:cs="Times New Roman"/>
                <w:color w:val="auto"/>
              </w:rPr>
              <w:t>2.5，即1t废气处理后产生废活性炭量约2.5t。项目</w:t>
            </w:r>
            <w:r>
              <w:rPr>
                <w:rFonts w:hint="default" w:ascii="Times New Roman" w:hAnsi="Times New Roman" w:cs="Times New Roman"/>
                <w:color w:val="auto"/>
                <w:lang w:val="en-US" w:eastAsia="zh-CN"/>
              </w:rPr>
              <w:t>处理有机废气量为</w:t>
            </w:r>
            <w:r>
              <w:rPr>
                <w:rFonts w:hint="eastAsia" w:cs="Times New Roman"/>
                <w:color w:val="auto"/>
                <w:lang w:val="en-US" w:eastAsia="zh-CN"/>
              </w:rPr>
              <w:t>0.17</w:t>
            </w:r>
            <w:r>
              <w:rPr>
                <w:rFonts w:hint="default" w:ascii="Times New Roman" w:hAnsi="Times New Roman" w:cs="Times New Roman"/>
                <w:color w:val="auto"/>
              </w:rPr>
              <w:t>t/a，则本项目产生废活性炭约为</w:t>
            </w:r>
            <w:r>
              <w:rPr>
                <w:rFonts w:hint="eastAsia" w:cs="Times New Roman"/>
                <w:color w:val="auto"/>
                <w:lang w:val="en-US" w:eastAsia="zh-CN"/>
              </w:rPr>
              <w:t>0.59</w:t>
            </w:r>
            <w:r>
              <w:rPr>
                <w:rFonts w:hint="default" w:ascii="Times New Roman" w:hAnsi="Times New Roman" w:cs="Times New Roman"/>
                <w:color w:val="auto"/>
              </w:rPr>
              <w:t>t/a</w:t>
            </w:r>
            <w:r>
              <w:rPr>
                <w:rFonts w:hint="default" w:ascii="Times New Roman" w:hAnsi="Times New Roman" w:cs="Times New Roman"/>
                <w:color w:val="auto"/>
                <w:lang w:eastAsia="zh-CN"/>
              </w:rPr>
              <w:t>（</w:t>
            </w:r>
            <w:r>
              <w:rPr>
                <w:rFonts w:hint="default" w:ascii="Times New Roman" w:hAnsi="Times New Roman" w:cs="Times New Roman"/>
                <w:color w:val="auto"/>
              </w:rPr>
              <w:t>包括活性炭及有机物）。废活性炭统一收集后交由有资质的单位回收处置</w:t>
            </w:r>
            <w:r>
              <w:rPr>
                <w:rFonts w:hint="default" w:ascii="Times New Roman" w:hAnsi="Times New Roman" w:cs="Times New Roman"/>
                <w:color w:val="auto"/>
                <w:lang w:val="en-US" w:eastAsia="zh-CN"/>
              </w:rPr>
              <w:t>。</w:t>
            </w:r>
          </w:p>
          <w:p w14:paraId="114AD696">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rPr>
              <w:t>③</w:t>
            </w:r>
            <w:r>
              <w:rPr>
                <w:rFonts w:hint="default" w:ascii="Times New Roman" w:hAnsi="Times New Roman" w:cs="Times New Roman"/>
                <w:b/>
                <w:bCs/>
                <w:color w:val="auto"/>
                <w:lang w:val="en-US" w:eastAsia="zh-CN"/>
              </w:rPr>
              <w:t>油漆、稀释剂、固化剂等废包装桶</w:t>
            </w:r>
          </w:p>
          <w:p w14:paraId="3B078326">
            <w:pPr>
              <w:bidi w:val="0"/>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t>项目在生产过程中，会产生一定量的废油漆桶，根据建设单位提供资料，</w:t>
            </w:r>
            <w:r>
              <w:rPr>
                <w:rFonts w:hint="default" w:ascii="Times New Roman" w:hAnsi="Times New Roman" w:cs="Times New Roman"/>
                <w:color w:val="auto"/>
                <w:lang w:val="en-US" w:eastAsia="zh-CN"/>
              </w:rPr>
              <w:t>项目使用油漆、稀释剂等总量为5.5t/a，使用油漆规格为25kg/桶，项目一年使用包装桶为220个，每个油漆桶约0.5kg，废漆桶</w:t>
            </w:r>
            <w:r>
              <w:rPr>
                <w:rFonts w:hint="default" w:ascii="Times New Roman" w:hAnsi="Times New Roman" w:cs="Times New Roman"/>
                <w:color w:val="auto"/>
                <w:lang w:val="zh-CN" w:eastAsia="zh-CN"/>
              </w:rPr>
              <w:t>产生量为</w:t>
            </w:r>
            <w:r>
              <w:rPr>
                <w:rFonts w:hint="default" w:ascii="Times New Roman" w:hAnsi="Times New Roman" w:cs="Times New Roman"/>
                <w:color w:val="auto"/>
                <w:lang w:val="en-US" w:eastAsia="zh-CN"/>
              </w:rPr>
              <w:t>0.11</w:t>
            </w:r>
            <w:r>
              <w:rPr>
                <w:rFonts w:hint="default" w:ascii="Times New Roman" w:hAnsi="Times New Roman" w:cs="Times New Roman"/>
                <w:color w:val="auto"/>
                <w:lang w:val="zh-CN" w:eastAsia="zh-CN"/>
              </w:rPr>
              <w:t>t/a，根据</w:t>
            </w:r>
            <w:r>
              <w:rPr>
                <w:rFonts w:hint="default"/>
                <w:color w:val="auto"/>
              </w:rPr>
              <w:t>《国家危险废物名录》（20</w:t>
            </w:r>
            <w:r>
              <w:rPr>
                <w:rFonts w:hint="default"/>
                <w:color w:val="auto"/>
                <w:lang w:val="en-US" w:eastAsia="zh-CN"/>
              </w:rPr>
              <w:t>2</w:t>
            </w:r>
            <w:r>
              <w:rPr>
                <w:rFonts w:hint="eastAsia"/>
                <w:color w:val="auto"/>
                <w:lang w:val="en-US" w:eastAsia="zh-CN"/>
              </w:rPr>
              <w:t>5</w:t>
            </w:r>
            <w:r>
              <w:rPr>
                <w:rFonts w:hint="default"/>
                <w:color w:val="auto"/>
              </w:rPr>
              <w:t>年）</w:t>
            </w:r>
            <w:r>
              <w:rPr>
                <w:rFonts w:hint="default" w:ascii="Times New Roman" w:hAnsi="Times New Roman" w:cs="Times New Roman"/>
                <w:color w:val="auto"/>
                <w:lang w:val="zh-CN" w:eastAsia="zh-CN"/>
              </w:rPr>
              <w:t>，分类编号为HW49其他废物</w:t>
            </w:r>
            <w:r>
              <w:rPr>
                <w:rFonts w:hint="default" w:ascii="Times New Roman" w:hAnsi="Times New Roman" w:cs="Times New Roman"/>
                <w:color w:val="auto"/>
                <w:lang w:val="en-US" w:eastAsia="zh-CN"/>
              </w:rPr>
              <w:t>中</w:t>
            </w:r>
            <w:r>
              <w:rPr>
                <w:rFonts w:hint="default" w:ascii="Times New Roman" w:hAnsi="Times New Roman" w:cs="Times New Roman"/>
                <w:color w:val="auto"/>
                <w:lang w:val="zh-CN" w:eastAsia="zh-CN"/>
              </w:rPr>
              <w:t>900-041-49含有或沾染毒性、感染性危险废物的废弃包装物、容器、过滤吸附介质。</w:t>
            </w:r>
            <w:r>
              <w:rPr>
                <w:rFonts w:hint="default" w:ascii="Times New Roman" w:hAnsi="Times New Roman" w:cs="Times New Roman"/>
                <w:color w:val="auto"/>
                <w:lang w:val="en-US" w:eastAsia="zh-CN"/>
              </w:rPr>
              <w:t>经收集后暂存危废间，</w:t>
            </w:r>
            <w:r>
              <w:rPr>
                <w:rFonts w:hint="default" w:ascii="Times New Roman" w:hAnsi="Times New Roman" w:cs="Times New Roman"/>
                <w:color w:val="auto"/>
                <w:lang w:val="zh-CN" w:eastAsia="zh-CN"/>
              </w:rPr>
              <w:t>定期委托资质单位清运处置。</w:t>
            </w:r>
          </w:p>
          <w:p w14:paraId="45E170F6">
            <w:pPr>
              <w:bidi w:val="0"/>
              <w:rPr>
                <w:rFonts w:hint="default" w:ascii="Times New Roman" w:hAnsi="Times New Roman" w:cs="Times New Roman"/>
                <w:b/>
                <w:bCs/>
                <w:color w:val="auto"/>
                <w:lang w:val="zh-CN" w:eastAsia="zh-CN"/>
              </w:rPr>
            </w:pPr>
            <w:r>
              <w:rPr>
                <w:rFonts w:hint="default" w:ascii="Times New Roman" w:hAnsi="Times New Roman" w:cs="Times New Roman"/>
                <w:b/>
                <w:bCs/>
                <w:color w:val="auto"/>
              </w:rPr>
              <w:t>④</w:t>
            </w:r>
            <w:r>
              <w:rPr>
                <w:rFonts w:hint="eastAsia" w:cs="Times New Roman"/>
                <w:b/>
                <w:bCs/>
                <w:color w:val="auto"/>
                <w:lang w:val="en-US" w:eastAsia="zh-CN"/>
              </w:rPr>
              <w:t>水帘废液</w:t>
            </w:r>
            <w:r>
              <w:rPr>
                <w:rFonts w:hint="default" w:ascii="Times New Roman" w:hAnsi="Times New Roman" w:cs="Times New Roman"/>
                <w:b/>
                <w:bCs/>
                <w:color w:val="auto"/>
                <w:lang w:val="zh-CN" w:eastAsia="zh-CN"/>
              </w:rPr>
              <w:t>及漆渣</w:t>
            </w:r>
          </w:p>
          <w:p w14:paraId="4B4E3682">
            <w:pPr>
              <w:bidi w:val="0"/>
              <w:rPr>
                <w:rFonts w:hint="default" w:ascii="Times New Roman" w:hAnsi="Times New Roman" w:cs="Times New Roman"/>
                <w:color w:val="auto"/>
                <w:lang w:val="en-US" w:eastAsia="zh-CN"/>
              </w:rPr>
            </w:pPr>
            <w:r>
              <w:rPr>
                <w:rFonts w:hint="default"/>
                <w:color w:val="auto"/>
                <w:lang w:val="zh-CN" w:eastAsia="zh-CN"/>
              </w:rPr>
              <w:t>水帘废</w:t>
            </w:r>
            <w:r>
              <w:rPr>
                <w:rFonts w:hint="eastAsia"/>
                <w:color w:val="auto"/>
                <w:lang w:val="zh-CN" w:eastAsia="zh-CN"/>
              </w:rPr>
              <w:t>液</w:t>
            </w:r>
            <w:r>
              <w:rPr>
                <w:rFonts w:hint="default"/>
                <w:color w:val="auto"/>
                <w:lang w:val="zh-CN" w:eastAsia="zh-CN"/>
              </w:rPr>
              <w:t>：喷漆水帘废水需定期更换，根据建设单位提供的资料，水帘废水每</w:t>
            </w:r>
            <w:r>
              <w:rPr>
                <w:rFonts w:hint="default"/>
                <w:color w:val="auto"/>
                <w:lang w:val="en-US" w:eastAsia="zh-CN"/>
              </w:rPr>
              <w:t>季度</w:t>
            </w:r>
            <w:r>
              <w:rPr>
                <w:rFonts w:hint="default"/>
                <w:color w:val="auto"/>
                <w:lang w:val="zh-CN" w:eastAsia="zh-CN"/>
              </w:rPr>
              <w:t>更换一次，产生量约</w:t>
            </w:r>
            <w:r>
              <w:rPr>
                <w:rFonts w:hint="eastAsia"/>
                <w:color w:val="auto"/>
                <w:lang w:val="en-US" w:eastAsia="zh-CN"/>
              </w:rPr>
              <w:t>2t</w:t>
            </w:r>
            <w:r>
              <w:rPr>
                <w:rFonts w:hint="default"/>
                <w:color w:val="auto"/>
                <w:lang w:val="zh-CN" w:eastAsia="zh-CN"/>
              </w:rPr>
              <w:t>/</w:t>
            </w:r>
            <w:r>
              <w:rPr>
                <w:rFonts w:hint="default"/>
                <w:color w:val="auto"/>
                <w:lang w:val="en-US" w:eastAsia="zh-CN"/>
              </w:rPr>
              <w:t>a</w:t>
            </w:r>
            <w:r>
              <w:rPr>
                <w:rFonts w:hint="default"/>
                <w:color w:val="auto"/>
                <w:lang w:val="zh-CN" w:eastAsia="zh-CN"/>
              </w:rPr>
              <w:t>，根据</w:t>
            </w:r>
            <w:r>
              <w:rPr>
                <w:rFonts w:hint="default"/>
                <w:color w:val="auto"/>
              </w:rPr>
              <w:t>《国家危险废物名录》（20</w:t>
            </w:r>
            <w:r>
              <w:rPr>
                <w:rFonts w:hint="default"/>
                <w:color w:val="auto"/>
                <w:lang w:val="en-US" w:eastAsia="zh-CN"/>
              </w:rPr>
              <w:t>2</w:t>
            </w:r>
            <w:r>
              <w:rPr>
                <w:rFonts w:hint="eastAsia"/>
                <w:color w:val="auto"/>
                <w:lang w:val="en-US" w:eastAsia="zh-CN"/>
              </w:rPr>
              <w:t>5</w:t>
            </w:r>
            <w:r>
              <w:rPr>
                <w:rFonts w:hint="default"/>
                <w:color w:val="auto"/>
              </w:rPr>
              <w:t>年）</w:t>
            </w:r>
            <w:r>
              <w:rPr>
                <w:rFonts w:hint="default"/>
                <w:color w:val="auto"/>
                <w:lang w:val="zh-CN" w:eastAsia="zh-CN"/>
              </w:rPr>
              <w:t>，</w:t>
            </w:r>
            <w:r>
              <w:rPr>
                <w:color w:val="auto"/>
                <w:lang w:val="zh-CN"/>
              </w:rPr>
              <w:t>分类编号为HW49其他废物</w:t>
            </w:r>
            <w:r>
              <w:rPr>
                <w:color w:val="auto"/>
              </w:rPr>
              <w:t>中</w:t>
            </w:r>
            <w:r>
              <w:rPr>
                <w:color w:val="auto"/>
                <w:lang w:val="zh-CN"/>
              </w:rPr>
              <w:t>900-041-49含有或沾染毒性、感染性危险废物的废弃包装物、容器、过滤吸附介质</w:t>
            </w:r>
            <w:r>
              <w:rPr>
                <w:rFonts w:hint="default" w:ascii="Times New Roman" w:hAnsi="Times New Roman" w:cs="Times New Roman"/>
                <w:color w:val="auto"/>
                <w:lang w:eastAsia="zh-CN"/>
              </w:rPr>
              <w:t>。</w:t>
            </w:r>
          </w:p>
          <w:p w14:paraId="3AB4B54D">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zh-CN" w:eastAsia="zh-CN"/>
              </w:rPr>
              <w:t>漆渣：</w:t>
            </w:r>
            <w:r>
              <w:rPr>
                <w:rFonts w:hint="default" w:ascii="Times New Roman" w:hAnsi="Times New Roman" w:cs="Times New Roman"/>
                <w:color w:val="auto"/>
                <w:lang w:val="en-US" w:eastAsia="zh-CN"/>
              </w:rPr>
              <w:t>根据计算，漆渣</w:t>
            </w:r>
            <w:r>
              <w:rPr>
                <w:rFonts w:hint="default" w:ascii="Times New Roman" w:hAnsi="Times New Roman" w:cs="Times New Roman"/>
                <w:color w:val="auto"/>
                <w:lang w:val="zh-CN" w:eastAsia="zh-CN"/>
              </w:rPr>
              <w:t>产生量为</w:t>
            </w:r>
            <w:r>
              <w:rPr>
                <w:rFonts w:hint="default" w:ascii="Times New Roman" w:hAnsi="Times New Roman" w:cs="Times New Roman"/>
                <w:color w:val="auto"/>
                <w:lang w:val="en-US" w:eastAsia="zh-CN"/>
              </w:rPr>
              <w:t>0.39</w:t>
            </w:r>
            <w:r>
              <w:rPr>
                <w:rFonts w:hint="default" w:ascii="Times New Roman" w:hAnsi="Times New Roman" w:cs="Times New Roman"/>
                <w:color w:val="auto"/>
                <w:lang w:val="zh-CN" w:eastAsia="zh-CN"/>
              </w:rPr>
              <w:t>t/a，漆渣定期清扫收集。根据</w:t>
            </w:r>
            <w:r>
              <w:rPr>
                <w:rFonts w:hint="default"/>
                <w:color w:val="auto"/>
              </w:rPr>
              <w:t>《国家危险废物名录》（20</w:t>
            </w:r>
            <w:r>
              <w:rPr>
                <w:rFonts w:hint="default"/>
                <w:color w:val="auto"/>
                <w:lang w:val="en-US" w:eastAsia="zh-CN"/>
              </w:rPr>
              <w:t>2</w:t>
            </w:r>
            <w:r>
              <w:rPr>
                <w:rFonts w:hint="eastAsia"/>
                <w:color w:val="auto"/>
                <w:lang w:val="en-US" w:eastAsia="zh-CN"/>
              </w:rPr>
              <w:t>5</w:t>
            </w:r>
            <w:r>
              <w:rPr>
                <w:rFonts w:hint="default"/>
                <w:color w:val="auto"/>
              </w:rPr>
              <w:t>年）</w:t>
            </w:r>
            <w:r>
              <w:rPr>
                <w:rFonts w:hint="default" w:ascii="Times New Roman" w:hAnsi="Times New Roman" w:cs="Times New Roman"/>
                <w:color w:val="auto"/>
                <w:lang w:val="zh-CN" w:eastAsia="zh-CN"/>
              </w:rPr>
              <w:t>，废油漆渣属</w:t>
            </w:r>
            <w:r>
              <w:rPr>
                <w:rFonts w:hint="default" w:ascii="Times New Roman" w:hAnsi="Times New Roman" w:cs="Times New Roman"/>
                <w:color w:val="auto"/>
                <w:lang w:val="en-US" w:eastAsia="zh-CN"/>
              </w:rPr>
              <w:t>于</w:t>
            </w:r>
            <w:r>
              <w:rPr>
                <w:rFonts w:hint="default" w:ascii="Times New Roman" w:hAnsi="Times New Roman" w:cs="Times New Roman"/>
                <w:color w:val="auto"/>
                <w:lang w:val="zh-CN" w:eastAsia="zh-CN"/>
              </w:rPr>
              <w:t>HW12</w:t>
            </w:r>
            <w:r>
              <w:rPr>
                <w:rFonts w:hint="default" w:ascii="Times New Roman" w:hAnsi="Times New Roman" w:cs="Times New Roman"/>
                <w:color w:val="auto"/>
                <w:lang w:val="en-US" w:eastAsia="zh-CN"/>
              </w:rPr>
              <w:t>染料涂料废物中</w:t>
            </w:r>
            <w:r>
              <w:rPr>
                <w:rFonts w:hint="default" w:ascii="Times New Roman" w:hAnsi="Times New Roman" w:cs="Times New Roman"/>
                <w:color w:val="auto"/>
                <w:lang w:val="zh-CN" w:eastAsia="zh-CN"/>
              </w:rPr>
              <w:t>900-252-12类</w:t>
            </w:r>
            <w:r>
              <w:rPr>
                <w:rFonts w:hint="eastAsia" w:cs="Times New Roman"/>
                <w:color w:val="auto"/>
                <w:lang w:val="zh-CN" w:eastAsia="zh-CN"/>
              </w:rPr>
              <w:t>“使用油漆（不包括水性漆）、有机溶剂进行喷漆、上漆过程中过喷漆雾湿法捕集产生的漆渣、以及喷涂工位和管道清理过程产生的落地漆渣”</w:t>
            </w:r>
            <w:r>
              <w:rPr>
                <w:rFonts w:hint="default" w:ascii="Times New Roman" w:hAnsi="Times New Roman" w:cs="Times New Roman"/>
                <w:color w:val="auto"/>
                <w:lang w:val="zh-CN" w:eastAsia="zh-CN"/>
              </w:rPr>
              <w:t>。采用专用容器收集后暂存于危废暂存间，定期交由资质单位清运处置。</w:t>
            </w:r>
          </w:p>
          <w:p w14:paraId="7699E034">
            <w:pPr>
              <w:bidi w:val="0"/>
              <w:rPr>
                <w:rFonts w:hint="default" w:ascii="Times New Roman" w:hAnsi="Times New Roman" w:cs="Times New Roman"/>
                <w:color w:val="auto"/>
                <w:lang w:eastAsia="zh-CN"/>
              </w:rPr>
            </w:pPr>
            <w:r>
              <w:rPr>
                <w:rFonts w:hint="default" w:ascii="Times New Roman" w:hAnsi="Times New Roman" w:cs="Times New Roman"/>
                <w:color w:val="auto"/>
              </w:rPr>
              <w:t>项目内固体废弃物产生及处理情况详见</w:t>
            </w:r>
            <w:r>
              <w:rPr>
                <w:rFonts w:hint="default" w:ascii="Times New Roman" w:hAnsi="Times New Roman" w:cs="Times New Roman"/>
                <w:color w:val="auto"/>
                <w:lang w:eastAsia="zh-CN"/>
              </w:rPr>
              <w:t>下</w:t>
            </w:r>
            <w:r>
              <w:rPr>
                <w:rFonts w:hint="default" w:ascii="Times New Roman" w:hAnsi="Times New Roman" w:cs="Times New Roman"/>
                <w:color w:val="auto"/>
              </w:rPr>
              <w:t>表</w:t>
            </w:r>
            <w:r>
              <w:rPr>
                <w:rFonts w:hint="default" w:ascii="Times New Roman" w:hAnsi="Times New Roman" w:cs="Times New Roman"/>
                <w:color w:val="auto"/>
                <w:lang w:eastAsia="zh-CN"/>
              </w:rPr>
              <w:t>：</w:t>
            </w:r>
          </w:p>
          <w:p w14:paraId="0CD0DD7F">
            <w:pPr>
              <w:bidi w:val="0"/>
              <w:ind w:left="0" w:leftChars="0" w:firstLine="0" w:firstLineChars="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4</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1</w:t>
            </w:r>
            <w:r>
              <w:rPr>
                <w:rFonts w:hint="eastAsia" w:ascii="Times New Roman" w:hAnsi="Times New Roman" w:cs="Times New Roman"/>
                <w:b/>
                <w:bCs/>
                <w:color w:val="auto"/>
                <w:lang w:val="en-US" w:eastAsia="zh-CN"/>
              </w:rPr>
              <w:t>3</w:t>
            </w:r>
            <w:r>
              <w:rPr>
                <w:rFonts w:hint="default" w:ascii="Times New Roman" w:hAnsi="Times New Roman" w:cs="Times New Roman"/>
                <w:b/>
                <w:bCs/>
                <w:color w:val="auto"/>
                <w:lang w:val="en-US" w:eastAsia="zh-CN"/>
              </w:rPr>
              <w:t xml:space="preserve">  项目固体废物产生及处置一览表</w:t>
            </w:r>
          </w:p>
          <w:tbl>
            <w:tblPr>
              <w:tblStyle w:val="8"/>
              <w:tblW w:w="7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2"/>
              <w:gridCol w:w="658"/>
              <w:gridCol w:w="439"/>
              <w:gridCol w:w="611"/>
              <w:gridCol w:w="407"/>
              <w:gridCol w:w="471"/>
              <w:gridCol w:w="643"/>
              <w:gridCol w:w="596"/>
              <w:gridCol w:w="776"/>
              <w:gridCol w:w="1104"/>
              <w:gridCol w:w="700"/>
              <w:gridCol w:w="612"/>
            </w:tblGrid>
            <w:tr w14:paraId="0910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blHeader/>
                <w:jc w:val="center"/>
              </w:trPr>
              <w:tc>
                <w:tcPr>
                  <w:tcW w:w="542" w:type="dxa"/>
                  <w:noWrap w:val="0"/>
                  <w:vAlign w:val="center"/>
                </w:tcPr>
                <w:p w14:paraId="50326017">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废物名称</w:t>
                  </w:r>
                </w:p>
              </w:tc>
              <w:tc>
                <w:tcPr>
                  <w:tcW w:w="658" w:type="dxa"/>
                  <w:noWrap w:val="0"/>
                  <w:vAlign w:val="center"/>
                </w:tcPr>
                <w:p w14:paraId="3630D539">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产污环节</w:t>
                  </w:r>
                </w:p>
              </w:tc>
              <w:tc>
                <w:tcPr>
                  <w:tcW w:w="439" w:type="dxa"/>
                  <w:noWrap w:val="0"/>
                  <w:vAlign w:val="center"/>
                </w:tcPr>
                <w:p w14:paraId="25F93C50">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产量t/a</w:t>
                  </w:r>
                </w:p>
              </w:tc>
              <w:tc>
                <w:tcPr>
                  <w:tcW w:w="611" w:type="dxa"/>
                  <w:noWrap w:val="0"/>
                  <w:vAlign w:val="center"/>
                </w:tcPr>
                <w:p w14:paraId="72A35343">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主要有毒有害物质</w:t>
                  </w:r>
                </w:p>
              </w:tc>
              <w:tc>
                <w:tcPr>
                  <w:tcW w:w="407" w:type="dxa"/>
                  <w:noWrap w:val="0"/>
                  <w:vAlign w:val="center"/>
                </w:tcPr>
                <w:p w14:paraId="4D47BFC7">
                  <w:pPr>
                    <w:pStyle w:val="14"/>
                    <w:bidi w:val="0"/>
                    <w:rPr>
                      <w:rFonts w:hint="default" w:ascii="Times New Roman" w:hAnsi="Times New Roman" w:cs="Times New Roman"/>
                      <w:b/>
                      <w:bCs/>
                      <w:color w:val="auto"/>
                      <w:lang w:val="zh-CN" w:eastAsia="zh-CN"/>
                    </w:rPr>
                  </w:pPr>
                  <w:r>
                    <w:rPr>
                      <w:rFonts w:hint="default" w:ascii="Times New Roman" w:hAnsi="Times New Roman" w:cs="Times New Roman"/>
                      <w:b/>
                      <w:bCs/>
                      <w:color w:val="auto"/>
                      <w:lang w:val="en-US" w:eastAsia="zh-CN"/>
                    </w:rPr>
                    <w:t>物理形态</w:t>
                  </w:r>
                </w:p>
              </w:tc>
              <w:tc>
                <w:tcPr>
                  <w:tcW w:w="471" w:type="dxa"/>
                  <w:noWrap w:val="0"/>
                  <w:vAlign w:val="center"/>
                </w:tcPr>
                <w:p w14:paraId="3D4C27E0">
                  <w:pPr>
                    <w:pStyle w:val="14"/>
                    <w:bidi w:val="0"/>
                    <w:rPr>
                      <w:rFonts w:hint="default" w:ascii="Times New Roman" w:hAnsi="Times New Roman" w:cs="Times New Roman"/>
                      <w:b/>
                      <w:bCs/>
                      <w:color w:val="auto"/>
                      <w:lang w:val="zh-CN" w:eastAsia="zh-CN"/>
                    </w:rPr>
                  </w:pPr>
                  <w:r>
                    <w:rPr>
                      <w:rFonts w:hint="default" w:ascii="Times New Roman" w:hAnsi="Times New Roman" w:cs="Times New Roman"/>
                      <w:b/>
                      <w:bCs/>
                      <w:color w:val="auto"/>
                      <w:lang w:val="en-US" w:eastAsia="zh-CN"/>
                    </w:rPr>
                    <w:t>危险特性</w:t>
                  </w:r>
                </w:p>
              </w:tc>
              <w:tc>
                <w:tcPr>
                  <w:tcW w:w="643" w:type="dxa"/>
                  <w:noWrap w:val="0"/>
                  <w:vAlign w:val="center"/>
                </w:tcPr>
                <w:p w14:paraId="4621E0B6">
                  <w:pPr>
                    <w:pStyle w:val="14"/>
                    <w:bidi w:val="0"/>
                    <w:rPr>
                      <w:rFonts w:hint="default" w:ascii="Times New Roman" w:hAnsi="Times New Roman" w:cs="Times New Roman"/>
                      <w:b/>
                      <w:bCs/>
                      <w:color w:val="auto"/>
                      <w:lang w:val="zh-CN" w:eastAsia="zh-CN"/>
                    </w:rPr>
                  </w:pPr>
                  <w:r>
                    <w:rPr>
                      <w:rFonts w:hint="default" w:ascii="Times New Roman" w:hAnsi="Times New Roman" w:cs="Times New Roman"/>
                      <w:b/>
                      <w:bCs/>
                      <w:color w:val="auto"/>
                      <w:lang w:val="en-US" w:eastAsia="zh-CN"/>
                    </w:rPr>
                    <w:t>废物类别</w:t>
                  </w:r>
                </w:p>
              </w:tc>
              <w:tc>
                <w:tcPr>
                  <w:tcW w:w="596" w:type="dxa"/>
                  <w:noWrap w:val="0"/>
                  <w:vAlign w:val="center"/>
                </w:tcPr>
                <w:p w14:paraId="299529A1">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危废代码</w:t>
                  </w:r>
                </w:p>
              </w:tc>
              <w:tc>
                <w:tcPr>
                  <w:tcW w:w="776" w:type="dxa"/>
                  <w:noWrap w:val="0"/>
                  <w:vAlign w:val="center"/>
                </w:tcPr>
                <w:p w14:paraId="030662AB">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储存方式</w:t>
                  </w:r>
                </w:p>
              </w:tc>
              <w:tc>
                <w:tcPr>
                  <w:tcW w:w="1104" w:type="dxa"/>
                  <w:noWrap w:val="0"/>
                  <w:vAlign w:val="center"/>
                </w:tcPr>
                <w:p w14:paraId="1DF5B779">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利用处置方式和去向</w:t>
                  </w:r>
                </w:p>
              </w:tc>
              <w:tc>
                <w:tcPr>
                  <w:tcW w:w="700" w:type="dxa"/>
                  <w:noWrap w:val="0"/>
                  <w:vAlign w:val="center"/>
                </w:tcPr>
                <w:p w14:paraId="58282C72">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利用或处置量（t/a）</w:t>
                  </w:r>
                </w:p>
              </w:tc>
              <w:tc>
                <w:tcPr>
                  <w:tcW w:w="612" w:type="dxa"/>
                  <w:noWrap w:val="0"/>
                  <w:vAlign w:val="center"/>
                </w:tcPr>
                <w:p w14:paraId="3491ADFF">
                  <w:pPr>
                    <w:pStyle w:val="1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环境管理要求</w:t>
                  </w:r>
                </w:p>
              </w:tc>
            </w:tr>
            <w:tr w14:paraId="094E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42" w:type="dxa"/>
                  <w:noWrap w:val="0"/>
                  <w:vAlign w:val="center"/>
                </w:tcPr>
                <w:p w14:paraId="0A524EDA">
                  <w:pPr>
                    <w:pStyle w:val="14"/>
                    <w:bidi w:val="0"/>
                    <w:rPr>
                      <w:rFonts w:hint="default" w:ascii="Times New Roman" w:hAnsi="Times New Roman" w:cs="Times New Roman"/>
                      <w:color w:val="auto"/>
                      <w:lang w:val="zh-CN" w:eastAsia="zh-CN"/>
                    </w:rPr>
                  </w:pPr>
                  <w:r>
                    <w:rPr>
                      <w:rFonts w:hint="default" w:ascii="Times New Roman" w:hAnsi="Times New Roman" w:cs="Times New Roman"/>
                      <w:color w:val="auto"/>
                    </w:rPr>
                    <w:t>生活垃圾</w:t>
                  </w:r>
                </w:p>
              </w:tc>
              <w:tc>
                <w:tcPr>
                  <w:tcW w:w="658" w:type="dxa"/>
                  <w:noWrap w:val="0"/>
                  <w:vAlign w:val="center"/>
                </w:tcPr>
                <w:p w14:paraId="4D9763D3">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员工生活</w:t>
                  </w:r>
                </w:p>
              </w:tc>
              <w:tc>
                <w:tcPr>
                  <w:tcW w:w="439" w:type="dxa"/>
                  <w:noWrap w:val="0"/>
                  <w:vAlign w:val="center"/>
                </w:tcPr>
                <w:p w14:paraId="2951678F">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0.6</w:t>
                  </w:r>
                </w:p>
              </w:tc>
              <w:tc>
                <w:tcPr>
                  <w:tcW w:w="611" w:type="dxa"/>
                  <w:noWrap w:val="0"/>
                  <w:vAlign w:val="center"/>
                </w:tcPr>
                <w:p w14:paraId="2A73F606">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407" w:type="dxa"/>
                  <w:noWrap w:val="0"/>
                  <w:vAlign w:val="center"/>
                </w:tcPr>
                <w:p w14:paraId="24B02ED3">
                  <w:pPr>
                    <w:pStyle w:val="14"/>
                    <w:bidi w:val="0"/>
                    <w:rPr>
                      <w:rFonts w:hint="default" w:ascii="Times New Roman" w:hAnsi="Times New Roman" w:cs="Times New Roman"/>
                      <w:color w:val="auto"/>
                      <w:lang w:val="zh-CN" w:eastAsia="zh-CN"/>
                    </w:rPr>
                  </w:pPr>
                  <w:r>
                    <w:rPr>
                      <w:rFonts w:hint="default" w:ascii="Times New Roman" w:hAnsi="Times New Roman" w:cs="Times New Roman"/>
                      <w:color w:val="auto"/>
                      <w:lang w:val="en-US" w:eastAsia="zh-CN"/>
                    </w:rPr>
                    <w:t>固态</w:t>
                  </w:r>
                </w:p>
              </w:tc>
              <w:tc>
                <w:tcPr>
                  <w:tcW w:w="471" w:type="dxa"/>
                  <w:noWrap w:val="0"/>
                  <w:vAlign w:val="center"/>
                </w:tcPr>
                <w:p w14:paraId="137151E9">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643" w:type="dxa"/>
                  <w:vMerge w:val="restart"/>
                  <w:noWrap w:val="0"/>
                  <w:vAlign w:val="center"/>
                </w:tcPr>
                <w:p w14:paraId="12464046">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其他垃圾</w:t>
                  </w:r>
                </w:p>
              </w:tc>
              <w:tc>
                <w:tcPr>
                  <w:tcW w:w="596" w:type="dxa"/>
                  <w:noWrap w:val="0"/>
                  <w:vAlign w:val="center"/>
                </w:tcPr>
                <w:p w14:paraId="2C4D6D77">
                  <w:pPr>
                    <w:pStyle w:val="14"/>
                    <w:bidi w:val="0"/>
                    <w:rPr>
                      <w:rFonts w:hint="default" w:ascii="Times New Roman" w:hAnsi="Times New Roman" w:cs="Times New Roman"/>
                      <w:color w:val="auto"/>
                      <w:lang w:val="zh-CN" w:eastAsia="zh-CN"/>
                    </w:rPr>
                  </w:pPr>
                  <w:r>
                    <w:rPr>
                      <w:rFonts w:hint="default" w:ascii="Times New Roman" w:hAnsi="Times New Roman" w:cs="Times New Roman"/>
                      <w:color w:val="auto"/>
                      <w:lang w:val="en-US" w:eastAsia="zh-CN"/>
                    </w:rPr>
                    <w:t>-</w:t>
                  </w:r>
                </w:p>
              </w:tc>
              <w:tc>
                <w:tcPr>
                  <w:tcW w:w="776" w:type="dxa"/>
                  <w:noWrap w:val="0"/>
                  <w:vAlign w:val="center"/>
                </w:tcPr>
                <w:p w14:paraId="76AA1226">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生活垃圾桶</w:t>
                  </w:r>
                </w:p>
              </w:tc>
              <w:tc>
                <w:tcPr>
                  <w:tcW w:w="1104" w:type="dxa"/>
                  <w:noWrap w:val="0"/>
                  <w:vAlign w:val="center"/>
                </w:tcPr>
                <w:p w14:paraId="49ABB129">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环卫部门清运处置</w:t>
                  </w:r>
                </w:p>
              </w:tc>
              <w:tc>
                <w:tcPr>
                  <w:tcW w:w="700" w:type="dxa"/>
                  <w:noWrap w:val="0"/>
                  <w:vAlign w:val="center"/>
                </w:tcPr>
                <w:p w14:paraId="66F5FD83">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0.6</w:t>
                  </w:r>
                </w:p>
              </w:tc>
              <w:tc>
                <w:tcPr>
                  <w:tcW w:w="612" w:type="dxa"/>
                  <w:noWrap w:val="0"/>
                  <w:vAlign w:val="center"/>
                </w:tcPr>
                <w:p w14:paraId="2C52FDC0">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100%处置</w:t>
                  </w:r>
                </w:p>
              </w:tc>
            </w:tr>
            <w:tr w14:paraId="6B40B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542" w:type="dxa"/>
                  <w:noWrap w:val="0"/>
                  <w:vAlign w:val="center"/>
                </w:tcPr>
                <w:p w14:paraId="3E0A830D">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旱厕粪污</w:t>
                  </w:r>
                </w:p>
              </w:tc>
              <w:tc>
                <w:tcPr>
                  <w:tcW w:w="658" w:type="dxa"/>
                  <w:noWrap w:val="0"/>
                  <w:vAlign w:val="center"/>
                </w:tcPr>
                <w:p w14:paraId="7B802EA6">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旱厕</w:t>
                  </w:r>
                </w:p>
              </w:tc>
              <w:tc>
                <w:tcPr>
                  <w:tcW w:w="439" w:type="dxa"/>
                  <w:noWrap w:val="0"/>
                  <w:vAlign w:val="center"/>
                </w:tcPr>
                <w:p w14:paraId="7407318B">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0.78</w:t>
                  </w:r>
                </w:p>
              </w:tc>
              <w:tc>
                <w:tcPr>
                  <w:tcW w:w="611" w:type="dxa"/>
                  <w:noWrap w:val="0"/>
                  <w:vAlign w:val="center"/>
                </w:tcPr>
                <w:p w14:paraId="4090BF92">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407" w:type="dxa"/>
                  <w:noWrap w:val="0"/>
                  <w:vAlign w:val="center"/>
                </w:tcPr>
                <w:p w14:paraId="4FA525D6">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固态</w:t>
                  </w:r>
                </w:p>
              </w:tc>
              <w:tc>
                <w:tcPr>
                  <w:tcW w:w="471" w:type="dxa"/>
                  <w:noWrap w:val="0"/>
                  <w:vAlign w:val="center"/>
                </w:tcPr>
                <w:p w14:paraId="366C3E90">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643" w:type="dxa"/>
                  <w:vMerge w:val="continue"/>
                  <w:noWrap w:val="0"/>
                  <w:vAlign w:val="center"/>
                </w:tcPr>
                <w:p w14:paraId="0181E680">
                  <w:pPr>
                    <w:pStyle w:val="14"/>
                    <w:bidi w:val="0"/>
                    <w:rPr>
                      <w:rFonts w:hint="default" w:ascii="Times New Roman" w:hAnsi="Times New Roman" w:cs="Times New Roman"/>
                      <w:color w:val="auto"/>
                      <w:lang w:val="en-US" w:eastAsia="zh-CN"/>
                    </w:rPr>
                  </w:pPr>
                </w:p>
              </w:tc>
              <w:tc>
                <w:tcPr>
                  <w:tcW w:w="596" w:type="dxa"/>
                  <w:noWrap w:val="0"/>
                  <w:vAlign w:val="center"/>
                </w:tcPr>
                <w:p w14:paraId="1A68C99A">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776" w:type="dxa"/>
                  <w:noWrap w:val="0"/>
                  <w:vAlign w:val="center"/>
                </w:tcPr>
                <w:p w14:paraId="0DABAB71">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104" w:type="dxa"/>
                  <w:noWrap w:val="0"/>
                  <w:vAlign w:val="center"/>
                </w:tcPr>
                <w:p w14:paraId="394ADD3A">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委托周边村民定期清掏作农家肥使用</w:t>
                  </w:r>
                </w:p>
              </w:tc>
              <w:tc>
                <w:tcPr>
                  <w:tcW w:w="700" w:type="dxa"/>
                  <w:noWrap w:val="0"/>
                  <w:vAlign w:val="center"/>
                </w:tcPr>
                <w:p w14:paraId="3D032EF4">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0.78</w:t>
                  </w:r>
                </w:p>
              </w:tc>
              <w:tc>
                <w:tcPr>
                  <w:tcW w:w="612" w:type="dxa"/>
                  <w:noWrap w:val="0"/>
                  <w:vAlign w:val="center"/>
                </w:tcPr>
                <w:p w14:paraId="56CC6ADB">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100%处置</w:t>
                  </w:r>
                </w:p>
              </w:tc>
            </w:tr>
            <w:tr w14:paraId="1F21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6" w:hRule="atLeast"/>
                <w:jc w:val="center"/>
              </w:trPr>
              <w:tc>
                <w:tcPr>
                  <w:tcW w:w="542" w:type="dxa"/>
                  <w:noWrap w:val="0"/>
                  <w:vAlign w:val="center"/>
                </w:tcPr>
                <w:p w14:paraId="64604185">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残次品</w:t>
                  </w:r>
                </w:p>
              </w:tc>
              <w:tc>
                <w:tcPr>
                  <w:tcW w:w="658" w:type="dxa"/>
                  <w:noWrap w:val="0"/>
                  <w:vAlign w:val="center"/>
                </w:tcPr>
                <w:p w14:paraId="2D5CF346">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卸货</w:t>
                  </w:r>
                </w:p>
              </w:tc>
              <w:tc>
                <w:tcPr>
                  <w:tcW w:w="439" w:type="dxa"/>
                  <w:noWrap w:val="0"/>
                  <w:vAlign w:val="center"/>
                </w:tcPr>
                <w:p w14:paraId="7FDA230D">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0.25</w:t>
                  </w:r>
                </w:p>
              </w:tc>
              <w:tc>
                <w:tcPr>
                  <w:tcW w:w="611" w:type="dxa"/>
                  <w:noWrap w:val="0"/>
                  <w:vAlign w:val="center"/>
                </w:tcPr>
                <w:p w14:paraId="1413765E">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407" w:type="dxa"/>
                  <w:noWrap w:val="0"/>
                  <w:vAlign w:val="center"/>
                </w:tcPr>
                <w:p w14:paraId="30ACA31A">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固态</w:t>
                  </w:r>
                </w:p>
              </w:tc>
              <w:tc>
                <w:tcPr>
                  <w:tcW w:w="471" w:type="dxa"/>
                  <w:noWrap w:val="0"/>
                  <w:vAlign w:val="center"/>
                </w:tcPr>
                <w:p w14:paraId="23E613BC">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643" w:type="dxa"/>
                  <w:vMerge w:val="restart"/>
                  <w:noWrap w:val="0"/>
                  <w:vAlign w:val="center"/>
                </w:tcPr>
                <w:p w14:paraId="1C8CC70D">
                  <w:pPr>
                    <w:pStyle w:val="14"/>
                    <w:bidi w:val="0"/>
                    <w:rPr>
                      <w:rFonts w:hint="default" w:ascii="Times New Roman" w:hAnsi="Times New Roman" w:cs="Times New Roman"/>
                      <w:color w:val="auto"/>
                      <w:lang w:val="zh-CN" w:eastAsia="zh-CN"/>
                    </w:rPr>
                  </w:pPr>
                  <w:r>
                    <w:rPr>
                      <w:rFonts w:hint="default" w:ascii="Times New Roman" w:hAnsi="Times New Roman" w:cs="Times New Roman"/>
                      <w:color w:val="auto"/>
                      <w:lang w:val="en-US" w:eastAsia="zh-CN"/>
                    </w:rPr>
                    <w:t>一般工业固废</w:t>
                  </w:r>
                </w:p>
              </w:tc>
              <w:tc>
                <w:tcPr>
                  <w:tcW w:w="596" w:type="dxa"/>
                  <w:noWrap w:val="0"/>
                  <w:vAlign w:val="center"/>
                </w:tcPr>
                <w:p w14:paraId="10AA9BDE">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776" w:type="dxa"/>
                  <w:noWrap w:val="0"/>
                  <w:vAlign w:val="center"/>
                </w:tcPr>
                <w:p w14:paraId="5ABBD08C">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固废间</w:t>
                  </w:r>
                </w:p>
              </w:tc>
              <w:tc>
                <w:tcPr>
                  <w:tcW w:w="1104" w:type="dxa"/>
                  <w:noWrap w:val="0"/>
                  <w:vAlign w:val="center"/>
                </w:tcPr>
                <w:p w14:paraId="7BCD42C3">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运回公司其他加工厂重新加工</w:t>
                  </w:r>
                </w:p>
              </w:tc>
              <w:tc>
                <w:tcPr>
                  <w:tcW w:w="700" w:type="dxa"/>
                  <w:noWrap w:val="0"/>
                  <w:vAlign w:val="center"/>
                </w:tcPr>
                <w:p w14:paraId="6B8A6521">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0.25</w:t>
                  </w:r>
                </w:p>
              </w:tc>
              <w:tc>
                <w:tcPr>
                  <w:tcW w:w="612" w:type="dxa"/>
                  <w:noWrap w:val="0"/>
                  <w:vAlign w:val="center"/>
                </w:tcPr>
                <w:p w14:paraId="7BDA192D">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100%处置</w:t>
                  </w:r>
                </w:p>
              </w:tc>
            </w:tr>
            <w:tr w14:paraId="7CFA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542" w:type="dxa"/>
                  <w:noWrap w:val="0"/>
                  <w:vAlign w:val="center"/>
                </w:tcPr>
                <w:p w14:paraId="5BFDF92E">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包装废料</w:t>
                  </w:r>
                </w:p>
              </w:tc>
              <w:tc>
                <w:tcPr>
                  <w:tcW w:w="658" w:type="dxa"/>
                  <w:noWrap w:val="0"/>
                  <w:vAlign w:val="center"/>
                </w:tcPr>
                <w:p w14:paraId="255E4DFD">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产品包装</w:t>
                  </w:r>
                </w:p>
              </w:tc>
              <w:tc>
                <w:tcPr>
                  <w:tcW w:w="439" w:type="dxa"/>
                  <w:noWrap w:val="0"/>
                  <w:vAlign w:val="center"/>
                </w:tcPr>
                <w:p w14:paraId="43EB4C91">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611" w:type="dxa"/>
                  <w:noWrap w:val="0"/>
                  <w:vAlign w:val="center"/>
                </w:tcPr>
                <w:p w14:paraId="42A340A0">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407" w:type="dxa"/>
                  <w:noWrap w:val="0"/>
                  <w:vAlign w:val="center"/>
                </w:tcPr>
                <w:p w14:paraId="2E1ED11F">
                  <w:pPr>
                    <w:pStyle w:val="14"/>
                    <w:bidi w:val="0"/>
                    <w:rPr>
                      <w:rFonts w:hint="default" w:ascii="Times New Roman" w:hAnsi="Times New Roman" w:cs="Times New Roman"/>
                      <w:color w:val="auto"/>
                      <w:lang w:val="zh-CN" w:eastAsia="zh-CN"/>
                    </w:rPr>
                  </w:pPr>
                  <w:r>
                    <w:rPr>
                      <w:rFonts w:hint="default" w:ascii="Times New Roman" w:hAnsi="Times New Roman" w:cs="Times New Roman"/>
                      <w:color w:val="auto"/>
                    </w:rPr>
                    <w:t>固态</w:t>
                  </w:r>
                </w:p>
              </w:tc>
              <w:tc>
                <w:tcPr>
                  <w:tcW w:w="471" w:type="dxa"/>
                  <w:noWrap w:val="0"/>
                  <w:vAlign w:val="center"/>
                </w:tcPr>
                <w:p w14:paraId="3437785C">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643" w:type="dxa"/>
                  <w:vMerge w:val="continue"/>
                  <w:noWrap w:val="0"/>
                  <w:vAlign w:val="center"/>
                </w:tcPr>
                <w:p w14:paraId="00B67200">
                  <w:pPr>
                    <w:pStyle w:val="14"/>
                    <w:bidi w:val="0"/>
                    <w:rPr>
                      <w:rFonts w:hint="default" w:ascii="Times New Roman" w:hAnsi="Times New Roman" w:cs="Times New Roman"/>
                      <w:color w:val="auto"/>
                      <w:lang w:val="en-US" w:eastAsia="zh-CN"/>
                    </w:rPr>
                  </w:pPr>
                </w:p>
              </w:tc>
              <w:tc>
                <w:tcPr>
                  <w:tcW w:w="596" w:type="dxa"/>
                  <w:noWrap w:val="0"/>
                  <w:vAlign w:val="center"/>
                </w:tcPr>
                <w:p w14:paraId="454BEC6B">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776" w:type="dxa"/>
                  <w:noWrap w:val="0"/>
                  <w:vAlign w:val="center"/>
                </w:tcPr>
                <w:p w14:paraId="2248ED22">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固废间</w:t>
                  </w:r>
                </w:p>
              </w:tc>
              <w:tc>
                <w:tcPr>
                  <w:tcW w:w="1104" w:type="dxa"/>
                  <w:noWrap w:val="0"/>
                  <w:vAlign w:val="center"/>
                </w:tcPr>
                <w:p w14:paraId="0713E116">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出售废品回收站</w:t>
                  </w:r>
                </w:p>
              </w:tc>
              <w:tc>
                <w:tcPr>
                  <w:tcW w:w="700" w:type="dxa"/>
                  <w:noWrap w:val="0"/>
                  <w:vAlign w:val="center"/>
                </w:tcPr>
                <w:p w14:paraId="1A8314F1">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612" w:type="dxa"/>
                  <w:noWrap w:val="0"/>
                  <w:vAlign w:val="center"/>
                </w:tcPr>
                <w:p w14:paraId="43A1E91E">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100%处置</w:t>
                  </w:r>
                </w:p>
              </w:tc>
            </w:tr>
            <w:tr w14:paraId="3E8B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1" w:hRule="atLeast"/>
                <w:jc w:val="center"/>
              </w:trPr>
              <w:tc>
                <w:tcPr>
                  <w:tcW w:w="542" w:type="dxa"/>
                  <w:noWrap w:val="0"/>
                  <w:vAlign w:val="center"/>
                </w:tcPr>
                <w:p w14:paraId="14E7B028">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废劳保用品</w:t>
                  </w:r>
                </w:p>
              </w:tc>
              <w:tc>
                <w:tcPr>
                  <w:tcW w:w="658" w:type="dxa"/>
                  <w:noWrap w:val="0"/>
                  <w:vAlign w:val="center"/>
                </w:tcPr>
                <w:p w14:paraId="4E42A56B">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劳动保护</w:t>
                  </w:r>
                </w:p>
              </w:tc>
              <w:tc>
                <w:tcPr>
                  <w:tcW w:w="439" w:type="dxa"/>
                  <w:noWrap w:val="0"/>
                  <w:vAlign w:val="center"/>
                </w:tcPr>
                <w:p w14:paraId="3421AB1C">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0.5</w:t>
                  </w:r>
                </w:p>
              </w:tc>
              <w:tc>
                <w:tcPr>
                  <w:tcW w:w="611" w:type="dxa"/>
                  <w:noWrap w:val="0"/>
                  <w:vAlign w:val="center"/>
                </w:tcPr>
                <w:p w14:paraId="5F487C82">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407" w:type="dxa"/>
                  <w:noWrap w:val="0"/>
                  <w:vAlign w:val="center"/>
                </w:tcPr>
                <w:p w14:paraId="127C6765">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固态</w:t>
                  </w:r>
                </w:p>
              </w:tc>
              <w:tc>
                <w:tcPr>
                  <w:tcW w:w="471" w:type="dxa"/>
                  <w:noWrap w:val="0"/>
                  <w:vAlign w:val="center"/>
                </w:tcPr>
                <w:p w14:paraId="76114C84">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643" w:type="dxa"/>
                  <w:vMerge w:val="continue"/>
                  <w:noWrap w:val="0"/>
                  <w:vAlign w:val="center"/>
                </w:tcPr>
                <w:p w14:paraId="7D910CF2">
                  <w:pPr>
                    <w:pStyle w:val="14"/>
                    <w:bidi w:val="0"/>
                    <w:rPr>
                      <w:rFonts w:hint="default" w:ascii="Times New Roman" w:hAnsi="Times New Roman" w:cs="Times New Roman"/>
                      <w:color w:val="auto"/>
                      <w:lang w:val="en-US" w:eastAsia="zh-CN"/>
                    </w:rPr>
                  </w:pPr>
                </w:p>
              </w:tc>
              <w:tc>
                <w:tcPr>
                  <w:tcW w:w="596" w:type="dxa"/>
                  <w:noWrap w:val="0"/>
                  <w:vAlign w:val="center"/>
                </w:tcPr>
                <w:p w14:paraId="1862ECDE">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776" w:type="dxa"/>
                  <w:noWrap w:val="0"/>
                  <w:vAlign w:val="center"/>
                </w:tcPr>
                <w:p w14:paraId="0A8643E8">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固废间</w:t>
                  </w:r>
                </w:p>
              </w:tc>
              <w:tc>
                <w:tcPr>
                  <w:tcW w:w="1104" w:type="dxa"/>
                  <w:noWrap w:val="0"/>
                  <w:vAlign w:val="center"/>
                </w:tcPr>
                <w:p w14:paraId="18A954AC">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出售废品回收站</w:t>
                  </w:r>
                </w:p>
              </w:tc>
              <w:tc>
                <w:tcPr>
                  <w:tcW w:w="700" w:type="dxa"/>
                  <w:noWrap w:val="0"/>
                  <w:vAlign w:val="center"/>
                </w:tcPr>
                <w:p w14:paraId="285DD287">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0.5</w:t>
                  </w:r>
                </w:p>
              </w:tc>
              <w:tc>
                <w:tcPr>
                  <w:tcW w:w="612" w:type="dxa"/>
                  <w:noWrap w:val="0"/>
                  <w:vAlign w:val="center"/>
                </w:tcPr>
                <w:p w14:paraId="5D24B39E">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100%处置</w:t>
                  </w:r>
                </w:p>
              </w:tc>
            </w:tr>
            <w:tr w14:paraId="5B0A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52" w:hRule="atLeast"/>
                <w:jc w:val="center"/>
              </w:trPr>
              <w:tc>
                <w:tcPr>
                  <w:tcW w:w="542" w:type="dxa"/>
                  <w:noWrap w:val="0"/>
                  <w:vAlign w:val="center"/>
                </w:tcPr>
                <w:p w14:paraId="12FED21A">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废机油、机油桶、机油沾染物</w:t>
                  </w:r>
                </w:p>
              </w:tc>
              <w:tc>
                <w:tcPr>
                  <w:tcW w:w="658" w:type="dxa"/>
                  <w:noWrap w:val="0"/>
                  <w:vAlign w:val="center"/>
                </w:tcPr>
                <w:p w14:paraId="0EBB25BE">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设备检修</w:t>
                  </w:r>
                </w:p>
              </w:tc>
              <w:tc>
                <w:tcPr>
                  <w:tcW w:w="439" w:type="dxa"/>
                  <w:noWrap w:val="0"/>
                  <w:vAlign w:val="center"/>
                </w:tcPr>
                <w:p w14:paraId="22BC3785">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0.3</w:t>
                  </w:r>
                </w:p>
              </w:tc>
              <w:tc>
                <w:tcPr>
                  <w:tcW w:w="611" w:type="dxa"/>
                  <w:noWrap w:val="0"/>
                  <w:vAlign w:val="center"/>
                </w:tcPr>
                <w:p w14:paraId="760EA3E2">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含矿物油</w:t>
                  </w:r>
                </w:p>
              </w:tc>
              <w:tc>
                <w:tcPr>
                  <w:tcW w:w="407" w:type="dxa"/>
                  <w:noWrap w:val="0"/>
                  <w:vAlign w:val="center"/>
                </w:tcPr>
                <w:p w14:paraId="04D84CEB">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液态、固态</w:t>
                  </w:r>
                </w:p>
              </w:tc>
              <w:tc>
                <w:tcPr>
                  <w:tcW w:w="471" w:type="dxa"/>
                  <w:noWrap w:val="0"/>
                  <w:vAlign w:val="center"/>
                </w:tcPr>
                <w:p w14:paraId="19A7F4D7">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I</w:t>
                  </w:r>
                </w:p>
              </w:tc>
              <w:tc>
                <w:tcPr>
                  <w:tcW w:w="643" w:type="dxa"/>
                  <w:noWrap w:val="0"/>
                  <w:vAlign w:val="center"/>
                </w:tcPr>
                <w:p w14:paraId="16C504C0">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HW08类危险废物</w:t>
                  </w:r>
                </w:p>
              </w:tc>
              <w:tc>
                <w:tcPr>
                  <w:tcW w:w="596" w:type="dxa"/>
                  <w:noWrap w:val="0"/>
                  <w:vAlign w:val="center"/>
                </w:tcPr>
                <w:p w14:paraId="2ABFD537">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900-249-08</w:t>
                  </w:r>
                </w:p>
              </w:tc>
              <w:tc>
                <w:tcPr>
                  <w:tcW w:w="776" w:type="dxa"/>
                  <w:noWrap w:val="0"/>
                  <w:vAlign w:val="center"/>
                </w:tcPr>
                <w:p w14:paraId="6B998BA0">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机油桶，危废间暂存</w:t>
                  </w:r>
                </w:p>
              </w:tc>
              <w:tc>
                <w:tcPr>
                  <w:tcW w:w="1104" w:type="dxa"/>
                  <w:noWrap w:val="0"/>
                  <w:vAlign w:val="center"/>
                </w:tcPr>
                <w:p w14:paraId="3F3D5A59">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委托</w:t>
                  </w:r>
                  <w:r>
                    <w:rPr>
                      <w:rFonts w:hint="default" w:ascii="Times New Roman" w:hAnsi="Times New Roman" w:cs="Times New Roman"/>
                      <w:color w:val="auto"/>
                      <w:lang w:eastAsia="zh-CN"/>
                    </w:rPr>
                    <w:t>有资质单位</w:t>
                  </w:r>
                  <w:r>
                    <w:rPr>
                      <w:rFonts w:hint="default" w:ascii="Times New Roman" w:hAnsi="Times New Roman" w:cs="Times New Roman"/>
                      <w:color w:val="auto"/>
                      <w:lang w:val="en-US" w:eastAsia="zh-CN"/>
                    </w:rPr>
                    <w:t>清运</w:t>
                  </w:r>
                  <w:r>
                    <w:rPr>
                      <w:rFonts w:hint="default" w:ascii="Times New Roman" w:hAnsi="Times New Roman" w:cs="Times New Roman"/>
                      <w:color w:val="auto"/>
                    </w:rPr>
                    <w:t>处理</w:t>
                  </w:r>
                </w:p>
              </w:tc>
              <w:tc>
                <w:tcPr>
                  <w:tcW w:w="700" w:type="dxa"/>
                  <w:noWrap w:val="0"/>
                  <w:vAlign w:val="center"/>
                </w:tcPr>
                <w:p w14:paraId="173FD79B">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0.3</w:t>
                  </w:r>
                </w:p>
              </w:tc>
              <w:tc>
                <w:tcPr>
                  <w:tcW w:w="612" w:type="dxa"/>
                  <w:noWrap w:val="0"/>
                  <w:vAlign w:val="center"/>
                </w:tcPr>
                <w:p w14:paraId="6D3A4697">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100%处置</w:t>
                  </w:r>
                </w:p>
              </w:tc>
            </w:tr>
            <w:tr w14:paraId="07B8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0" w:hRule="atLeast"/>
                <w:jc w:val="center"/>
              </w:trPr>
              <w:tc>
                <w:tcPr>
                  <w:tcW w:w="542" w:type="dxa"/>
                  <w:noWrap w:val="0"/>
                  <w:vAlign w:val="center"/>
                </w:tcPr>
                <w:p w14:paraId="4C97DE26">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废活性炭</w:t>
                  </w:r>
                </w:p>
              </w:tc>
              <w:tc>
                <w:tcPr>
                  <w:tcW w:w="658" w:type="dxa"/>
                  <w:noWrap w:val="0"/>
                  <w:vAlign w:val="center"/>
                </w:tcPr>
                <w:p w14:paraId="0D4D514F">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有机废气处置</w:t>
                  </w:r>
                </w:p>
              </w:tc>
              <w:tc>
                <w:tcPr>
                  <w:tcW w:w="439" w:type="dxa"/>
                  <w:noWrap w:val="0"/>
                  <w:vAlign w:val="center"/>
                </w:tcPr>
                <w:p w14:paraId="134DA102">
                  <w:pPr>
                    <w:pStyle w:val="14"/>
                    <w:bidi w:val="0"/>
                    <w:rPr>
                      <w:rFonts w:hint="default" w:ascii="Times New Roman" w:hAnsi="Times New Roman" w:cs="Times New Roman"/>
                      <w:color w:val="auto"/>
                      <w:lang w:val="en-US" w:eastAsia="zh-CN"/>
                    </w:rPr>
                  </w:pPr>
                  <w:r>
                    <w:rPr>
                      <w:rFonts w:hint="eastAsia" w:cs="Times New Roman"/>
                      <w:color w:val="auto"/>
                      <w:lang w:val="en-US" w:eastAsia="zh-CN"/>
                    </w:rPr>
                    <w:t>0.59</w:t>
                  </w:r>
                </w:p>
              </w:tc>
              <w:tc>
                <w:tcPr>
                  <w:tcW w:w="611" w:type="dxa"/>
                  <w:noWrap w:val="0"/>
                  <w:vAlign w:val="center"/>
                </w:tcPr>
                <w:p w14:paraId="5AC3BB0D">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吸附有机废气的活性炭</w:t>
                  </w:r>
                </w:p>
              </w:tc>
              <w:tc>
                <w:tcPr>
                  <w:tcW w:w="407" w:type="dxa"/>
                  <w:noWrap w:val="0"/>
                  <w:vAlign w:val="center"/>
                </w:tcPr>
                <w:p w14:paraId="616BB6DF">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固态</w:t>
                  </w:r>
                </w:p>
              </w:tc>
              <w:tc>
                <w:tcPr>
                  <w:tcW w:w="471" w:type="dxa"/>
                  <w:noWrap w:val="0"/>
                  <w:vAlign w:val="center"/>
                </w:tcPr>
                <w:p w14:paraId="7F765659">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w:t>
                  </w:r>
                </w:p>
              </w:tc>
              <w:tc>
                <w:tcPr>
                  <w:tcW w:w="643" w:type="dxa"/>
                  <w:noWrap w:val="0"/>
                  <w:vAlign w:val="center"/>
                </w:tcPr>
                <w:p w14:paraId="5330B24B">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HW49类危险废物</w:t>
                  </w:r>
                </w:p>
              </w:tc>
              <w:tc>
                <w:tcPr>
                  <w:tcW w:w="596" w:type="dxa"/>
                  <w:noWrap w:val="0"/>
                  <w:vAlign w:val="center"/>
                </w:tcPr>
                <w:p w14:paraId="04D927DC">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900-0</w:t>
                  </w:r>
                  <w:r>
                    <w:rPr>
                      <w:rFonts w:hint="default" w:ascii="Times New Roman" w:hAnsi="Times New Roman" w:cs="Times New Roman"/>
                      <w:color w:val="auto"/>
                      <w:lang w:val="en-US" w:eastAsia="zh-CN"/>
                    </w:rPr>
                    <w:t>39</w:t>
                  </w:r>
                  <w:r>
                    <w:rPr>
                      <w:rFonts w:hint="default" w:ascii="Times New Roman" w:hAnsi="Times New Roman" w:cs="Times New Roman"/>
                      <w:color w:val="auto"/>
                    </w:rPr>
                    <w:t>-49</w:t>
                  </w:r>
                </w:p>
              </w:tc>
              <w:tc>
                <w:tcPr>
                  <w:tcW w:w="776" w:type="dxa"/>
                  <w:noWrap w:val="0"/>
                  <w:vAlign w:val="center"/>
                </w:tcPr>
                <w:p w14:paraId="4FACBE53">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袋装或桶装，危废间暂存</w:t>
                  </w:r>
                </w:p>
              </w:tc>
              <w:tc>
                <w:tcPr>
                  <w:tcW w:w="1104" w:type="dxa"/>
                  <w:noWrap w:val="0"/>
                  <w:vAlign w:val="center"/>
                </w:tcPr>
                <w:p w14:paraId="1AEA2587">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委托</w:t>
                  </w:r>
                  <w:r>
                    <w:rPr>
                      <w:rFonts w:hint="default" w:ascii="Times New Roman" w:hAnsi="Times New Roman" w:cs="Times New Roman"/>
                      <w:color w:val="auto"/>
                      <w:lang w:val="en-US" w:eastAsia="zh-CN"/>
                    </w:rPr>
                    <w:t>有资质的单位清运</w:t>
                  </w:r>
                  <w:r>
                    <w:rPr>
                      <w:rFonts w:hint="default" w:ascii="Times New Roman" w:hAnsi="Times New Roman" w:cs="Times New Roman"/>
                      <w:color w:val="auto"/>
                    </w:rPr>
                    <w:t>处理</w:t>
                  </w:r>
                </w:p>
              </w:tc>
              <w:tc>
                <w:tcPr>
                  <w:tcW w:w="700" w:type="dxa"/>
                  <w:noWrap w:val="0"/>
                  <w:vAlign w:val="center"/>
                </w:tcPr>
                <w:p w14:paraId="5B62F1FC">
                  <w:pPr>
                    <w:pStyle w:val="14"/>
                    <w:bidi w:val="0"/>
                    <w:rPr>
                      <w:rFonts w:hint="default" w:ascii="Times New Roman" w:hAnsi="Times New Roman" w:cs="Times New Roman"/>
                      <w:color w:val="auto"/>
                      <w:lang w:val="en-US" w:eastAsia="zh-CN"/>
                    </w:rPr>
                  </w:pPr>
                  <w:r>
                    <w:rPr>
                      <w:rFonts w:hint="eastAsia" w:cs="Times New Roman"/>
                      <w:color w:val="auto"/>
                      <w:lang w:val="en-US" w:eastAsia="zh-CN"/>
                    </w:rPr>
                    <w:t>0.59</w:t>
                  </w:r>
                </w:p>
              </w:tc>
              <w:tc>
                <w:tcPr>
                  <w:tcW w:w="612" w:type="dxa"/>
                  <w:noWrap w:val="0"/>
                  <w:vAlign w:val="center"/>
                </w:tcPr>
                <w:p w14:paraId="6A78A1A1">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100%处置</w:t>
                  </w:r>
                </w:p>
              </w:tc>
            </w:tr>
            <w:tr w14:paraId="5F0E2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542" w:type="dxa"/>
                  <w:noWrap w:val="0"/>
                  <w:vAlign w:val="center"/>
                </w:tcPr>
                <w:p w14:paraId="21DE544B">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油漆、稀释剂等废包装桶</w:t>
                  </w:r>
                </w:p>
              </w:tc>
              <w:tc>
                <w:tcPr>
                  <w:tcW w:w="658" w:type="dxa"/>
                  <w:noWrap w:val="0"/>
                  <w:vAlign w:val="center"/>
                </w:tcPr>
                <w:p w14:paraId="6547A8C9">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w:t>
                  </w:r>
                </w:p>
              </w:tc>
              <w:tc>
                <w:tcPr>
                  <w:tcW w:w="439" w:type="dxa"/>
                  <w:noWrap w:val="0"/>
                  <w:vAlign w:val="center"/>
                </w:tcPr>
                <w:p w14:paraId="359530FD">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0.11</w:t>
                  </w:r>
                </w:p>
              </w:tc>
              <w:tc>
                <w:tcPr>
                  <w:tcW w:w="611" w:type="dxa"/>
                  <w:noWrap w:val="0"/>
                  <w:vAlign w:val="center"/>
                </w:tcPr>
                <w:p w14:paraId="65A97262">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沾染的有机物</w:t>
                  </w:r>
                </w:p>
              </w:tc>
              <w:tc>
                <w:tcPr>
                  <w:tcW w:w="407" w:type="dxa"/>
                  <w:noWrap w:val="0"/>
                  <w:vAlign w:val="center"/>
                </w:tcPr>
                <w:p w14:paraId="7D71A687">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固态</w:t>
                  </w:r>
                </w:p>
              </w:tc>
              <w:tc>
                <w:tcPr>
                  <w:tcW w:w="471" w:type="dxa"/>
                  <w:noWrap w:val="0"/>
                  <w:vAlign w:val="center"/>
                </w:tcPr>
                <w:p w14:paraId="1D86B421">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T/In</w:t>
                  </w:r>
                </w:p>
              </w:tc>
              <w:tc>
                <w:tcPr>
                  <w:tcW w:w="643" w:type="dxa"/>
                  <w:noWrap w:val="0"/>
                  <w:vAlign w:val="center"/>
                </w:tcPr>
                <w:p w14:paraId="0AF2CAD5">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HW49类危险废物</w:t>
                  </w:r>
                </w:p>
              </w:tc>
              <w:tc>
                <w:tcPr>
                  <w:tcW w:w="596" w:type="dxa"/>
                  <w:noWrap w:val="0"/>
                  <w:vAlign w:val="center"/>
                </w:tcPr>
                <w:p w14:paraId="1D9B93DE">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900-041-49</w:t>
                  </w:r>
                </w:p>
              </w:tc>
              <w:tc>
                <w:tcPr>
                  <w:tcW w:w="776" w:type="dxa"/>
                  <w:noWrap w:val="0"/>
                  <w:vAlign w:val="center"/>
                </w:tcPr>
                <w:p w14:paraId="62F3F601">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袋装或桶装，危废间暂存</w:t>
                  </w:r>
                </w:p>
              </w:tc>
              <w:tc>
                <w:tcPr>
                  <w:tcW w:w="1104" w:type="dxa"/>
                  <w:noWrap w:val="0"/>
                  <w:vAlign w:val="center"/>
                </w:tcPr>
                <w:p w14:paraId="344BD369">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委托</w:t>
                  </w:r>
                  <w:r>
                    <w:rPr>
                      <w:rFonts w:hint="default" w:ascii="Times New Roman" w:hAnsi="Times New Roman" w:cs="Times New Roman"/>
                      <w:color w:val="auto"/>
                      <w:lang w:val="en-US" w:eastAsia="zh-CN"/>
                    </w:rPr>
                    <w:t>有资质的单位清运</w:t>
                  </w:r>
                  <w:r>
                    <w:rPr>
                      <w:rFonts w:hint="default" w:ascii="Times New Roman" w:hAnsi="Times New Roman" w:cs="Times New Roman"/>
                      <w:color w:val="auto"/>
                    </w:rPr>
                    <w:t>处理</w:t>
                  </w:r>
                </w:p>
              </w:tc>
              <w:tc>
                <w:tcPr>
                  <w:tcW w:w="700" w:type="dxa"/>
                  <w:noWrap w:val="0"/>
                  <w:vAlign w:val="center"/>
                </w:tcPr>
                <w:p w14:paraId="2E4676B4">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0.11</w:t>
                  </w:r>
                </w:p>
              </w:tc>
              <w:tc>
                <w:tcPr>
                  <w:tcW w:w="612" w:type="dxa"/>
                  <w:noWrap w:val="0"/>
                  <w:vAlign w:val="center"/>
                </w:tcPr>
                <w:p w14:paraId="6F3D00A3">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100%处置</w:t>
                  </w:r>
                </w:p>
              </w:tc>
            </w:tr>
            <w:tr w14:paraId="3819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542" w:type="dxa"/>
                  <w:noWrap w:val="0"/>
                  <w:vAlign w:val="center"/>
                </w:tcPr>
                <w:p w14:paraId="4F0638E6">
                  <w:pPr>
                    <w:pStyle w:val="14"/>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水帘废液</w:t>
                  </w:r>
                </w:p>
              </w:tc>
              <w:tc>
                <w:tcPr>
                  <w:tcW w:w="658" w:type="dxa"/>
                  <w:noWrap w:val="0"/>
                  <w:vAlign w:val="center"/>
                </w:tcPr>
                <w:p w14:paraId="011B031A">
                  <w:pPr>
                    <w:pStyle w:val="14"/>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水帘系统</w:t>
                  </w:r>
                  <w:r>
                    <w:rPr>
                      <w:rFonts w:hint="default"/>
                      <w:color w:val="auto"/>
                      <w:lang w:val="en-US" w:eastAsia="zh-CN"/>
                    </w:rPr>
                    <w:t>更换</w:t>
                  </w:r>
                </w:p>
              </w:tc>
              <w:tc>
                <w:tcPr>
                  <w:tcW w:w="439" w:type="dxa"/>
                  <w:noWrap w:val="0"/>
                  <w:vAlign w:val="center"/>
                </w:tcPr>
                <w:p w14:paraId="6837E379">
                  <w:pPr>
                    <w:pStyle w:val="14"/>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2</w:t>
                  </w:r>
                </w:p>
              </w:tc>
              <w:tc>
                <w:tcPr>
                  <w:tcW w:w="611" w:type="dxa"/>
                  <w:noWrap w:val="0"/>
                  <w:vAlign w:val="center"/>
                </w:tcPr>
                <w:p w14:paraId="585258E1">
                  <w:pPr>
                    <w:pStyle w:val="14"/>
                    <w:bidi w:val="0"/>
                    <w:ind w:firstLine="0" w:firstLineChars="0"/>
                    <w:rPr>
                      <w:rFonts w:hint="default" w:ascii="Times New Roman" w:hAnsi="Times New Roman" w:eastAsia="宋体" w:cs="Times New Roman"/>
                      <w:color w:val="auto"/>
                      <w:sz w:val="21"/>
                      <w:lang w:val="en-US" w:eastAsia="zh-CN"/>
                    </w:rPr>
                  </w:pPr>
                  <w:r>
                    <w:rPr>
                      <w:rFonts w:hint="default"/>
                      <w:color w:val="auto"/>
                      <w:lang w:val="en-US" w:eastAsia="zh-CN"/>
                    </w:rPr>
                    <w:t>沾染</w:t>
                  </w:r>
                  <w:r>
                    <w:rPr>
                      <w:rFonts w:hint="eastAsia"/>
                      <w:color w:val="auto"/>
                      <w:lang w:val="en-US" w:eastAsia="zh-CN"/>
                    </w:rPr>
                    <w:t>的</w:t>
                  </w:r>
                  <w:r>
                    <w:rPr>
                      <w:rFonts w:hint="default"/>
                      <w:color w:val="auto"/>
                      <w:lang w:val="en-US" w:eastAsia="zh-CN"/>
                    </w:rPr>
                    <w:t>有机物</w:t>
                  </w:r>
                </w:p>
              </w:tc>
              <w:tc>
                <w:tcPr>
                  <w:tcW w:w="407" w:type="dxa"/>
                  <w:noWrap w:val="0"/>
                  <w:vAlign w:val="center"/>
                </w:tcPr>
                <w:p w14:paraId="28879F7C">
                  <w:pPr>
                    <w:pStyle w:val="14"/>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液态</w:t>
                  </w:r>
                </w:p>
              </w:tc>
              <w:tc>
                <w:tcPr>
                  <w:tcW w:w="471" w:type="dxa"/>
                  <w:noWrap w:val="0"/>
                  <w:vAlign w:val="center"/>
                </w:tcPr>
                <w:p w14:paraId="2CDB703D">
                  <w:pPr>
                    <w:pStyle w:val="14"/>
                    <w:bidi w:val="0"/>
                    <w:ind w:firstLine="0" w:firstLineChars="0"/>
                    <w:rPr>
                      <w:rFonts w:hint="default" w:ascii="Times New Roman" w:hAnsi="Times New Roman" w:eastAsia="宋体" w:cs="Times New Roman"/>
                      <w:color w:val="auto"/>
                      <w:sz w:val="21"/>
                      <w:lang w:val="en-US" w:eastAsia="zh-CN"/>
                    </w:rPr>
                  </w:pPr>
                  <w:r>
                    <w:rPr>
                      <w:rFonts w:hint="default"/>
                      <w:color w:val="auto"/>
                      <w:lang w:val="en-US" w:eastAsia="zh-CN"/>
                    </w:rPr>
                    <w:t>T/In</w:t>
                  </w:r>
                </w:p>
              </w:tc>
              <w:tc>
                <w:tcPr>
                  <w:tcW w:w="643" w:type="dxa"/>
                  <w:noWrap w:val="0"/>
                  <w:vAlign w:val="center"/>
                </w:tcPr>
                <w:p w14:paraId="6F47DE2B">
                  <w:pPr>
                    <w:pStyle w:val="14"/>
                    <w:bidi w:val="0"/>
                    <w:ind w:firstLine="0" w:firstLineChars="0"/>
                    <w:rPr>
                      <w:rFonts w:hint="default" w:ascii="Times New Roman" w:hAnsi="Times New Roman" w:eastAsia="宋体" w:cstheme="minorBidi"/>
                      <w:color w:val="auto"/>
                      <w:kern w:val="2"/>
                      <w:sz w:val="21"/>
                      <w:szCs w:val="24"/>
                      <w:lang w:val="en-US" w:eastAsia="zh-CN" w:bidi="ar-SA"/>
                    </w:rPr>
                  </w:pPr>
                  <w:r>
                    <w:rPr>
                      <w:rFonts w:hint="default"/>
                      <w:color w:val="auto"/>
                      <w:lang w:val="en-US" w:eastAsia="zh-CN"/>
                    </w:rPr>
                    <w:t>HW</w:t>
                  </w:r>
                  <w:r>
                    <w:rPr>
                      <w:rFonts w:hint="eastAsia"/>
                      <w:color w:val="auto"/>
                      <w:lang w:val="en-US" w:eastAsia="zh-CN"/>
                    </w:rPr>
                    <w:t>4</w:t>
                  </w:r>
                  <w:r>
                    <w:rPr>
                      <w:rFonts w:hint="default"/>
                      <w:color w:val="auto"/>
                      <w:lang w:val="en-US" w:eastAsia="zh-CN"/>
                    </w:rPr>
                    <w:t>9类危险废物</w:t>
                  </w:r>
                </w:p>
              </w:tc>
              <w:tc>
                <w:tcPr>
                  <w:tcW w:w="596" w:type="dxa"/>
                  <w:noWrap w:val="0"/>
                  <w:vAlign w:val="center"/>
                </w:tcPr>
                <w:p w14:paraId="41E50250">
                  <w:pPr>
                    <w:pStyle w:val="14"/>
                    <w:bidi w:val="0"/>
                    <w:ind w:firstLine="0" w:firstLineChars="0"/>
                    <w:rPr>
                      <w:rFonts w:hint="default" w:ascii="Times New Roman" w:hAnsi="Times New Roman" w:eastAsia="宋体" w:cstheme="minorBidi"/>
                      <w:color w:val="auto"/>
                      <w:kern w:val="2"/>
                      <w:sz w:val="21"/>
                      <w:szCs w:val="24"/>
                      <w:lang w:val="en-US" w:eastAsia="zh-CN" w:bidi="ar-SA"/>
                    </w:rPr>
                  </w:pPr>
                  <w:r>
                    <w:rPr>
                      <w:rFonts w:hint="default"/>
                      <w:color w:val="auto"/>
                      <w:lang w:val="en-US" w:eastAsia="zh-CN"/>
                    </w:rPr>
                    <w:t>900-041-49</w:t>
                  </w:r>
                </w:p>
              </w:tc>
              <w:tc>
                <w:tcPr>
                  <w:tcW w:w="776" w:type="dxa"/>
                  <w:noWrap w:val="0"/>
                  <w:vAlign w:val="center"/>
                </w:tcPr>
                <w:p w14:paraId="4D99A142">
                  <w:pPr>
                    <w:pStyle w:val="14"/>
                    <w:bidi w:val="0"/>
                    <w:ind w:firstLine="0" w:firstLineChars="0"/>
                    <w:rPr>
                      <w:rFonts w:hint="default" w:ascii="Times New Roman" w:hAnsi="Times New Roman" w:eastAsia="宋体" w:cs="Times New Roman"/>
                      <w:color w:val="auto"/>
                      <w:sz w:val="21"/>
                      <w:lang w:val="en-US" w:eastAsia="zh-CN"/>
                    </w:rPr>
                  </w:pPr>
                  <w:r>
                    <w:rPr>
                      <w:rFonts w:hint="default"/>
                      <w:color w:val="auto"/>
                      <w:lang w:val="en-US" w:eastAsia="zh-CN"/>
                    </w:rPr>
                    <w:t>桶装，危废间</w:t>
                  </w:r>
                  <w:r>
                    <w:rPr>
                      <w:rFonts w:hint="eastAsia"/>
                      <w:color w:val="auto"/>
                      <w:lang w:val="en-US" w:eastAsia="zh-CN"/>
                    </w:rPr>
                    <w:t>暂存</w:t>
                  </w:r>
                </w:p>
              </w:tc>
              <w:tc>
                <w:tcPr>
                  <w:tcW w:w="1104" w:type="dxa"/>
                  <w:noWrap w:val="0"/>
                  <w:vAlign w:val="center"/>
                </w:tcPr>
                <w:p w14:paraId="1C1AEE6D">
                  <w:pPr>
                    <w:pStyle w:val="14"/>
                    <w:bidi w:val="0"/>
                    <w:ind w:firstLine="0" w:firstLineChars="0"/>
                    <w:rPr>
                      <w:rFonts w:hint="default" w:ascii="Times New Roman" w:hAnsi="Times New Roman" w:eastAsia="宋体" w:cs="Times New Roman"/>
                      <w:color w:val="auto"/>
                      <w:sz w:val="21"/>
                    </w:rPr>
                  </w:pPr>
                  <w:r>
                    <w:rPr>
                      <w:rFonts w:hint="default"/>
                      <w:color w:val="auto"/>
                    </w:rPr>
                    <w:t>委托</w:t>
                  </w:r>
                  <w:r>
                    <w:rPr>
                      <w:rFonts w:hint="default"/>
                      <w:color w:val="auto"/>
                      <w:lang w:val="en-US" w:eastAsia="zh-CN"/>
                    </w:rPr>
                    <w:t>有资质的单位清运</w:t>
                  </w:r>
                  <w:r>
                    <w:rPr>
                      <w:rFonts w:hint="default"/>
                      <w:color w:val="auto"/>
                    </w:rPr>
                    <w:t>处理</w:t>
                  </w:r>
                </w:p>
              </w:tc>
              <w:tc>
                <w:tcPr>
                  <w:tcW w:w="700" w:type="dxa"/>
                  <w:noWrap w:val="0"/>
                  <w:vAlign w:val="center"/>
                </w:tcPr>
                <w:p w14:paraId="3F7B6943">
                  <w:pPr>
                    <w:pStyle w:val="14"/>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2</w:t>
                  </w:r>
                </w:p>
              </w:tc>
              <w:tc>
                <w:tcPr>
                  <w:tcW w:w="612" w:type="dxa"/>
                  <w:noWrap w:val="0"/>
                  <w:vAlign w:val="center"/>
                </w:tcPr>
                <w:p w14:paraId="3DDAA124">
                  <w:pPr>
                    <w:pStyle w:val="14"/>
                    <w:bidi w:val="0"/>
                    <w:ind w:firstLine="0" w:firstLineChars="0"/>
                    <w:rPr>
                      <w:rFonts w:hint="default" w:ascii="Times New Roman" w:hAnsi="Times New Roman" w:eastAsia="宋体" w:cs="Times New Roman"/>
                      <w:color w:val="auto"/>
                      <w:sz w:val="21"/>
                      <w:lang w:val="en-US" w:eastAsia="zh-CN"/>
                    </w:rPr>
                  </w:pPr>
                  <w:r>
                    <w:rPr>
                      <w:rFonts w:hint="default"/>
                      <w:color w:val="auto"/>
                      <w:lang w:val="en-US" w:eastAsia="zh-CN"/>
                    </w:rPr>
                    <w:t>100%处置</w:t>
                  </w:r>
                </w:p>
              </w:tc>
            </w:tr>
            <w:tr w14:paraId="21DB1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542" w:type="dxa"/>
                  <w:noWrap w:val="0"/>
                  <w:vAlign w:val="center"/>
                </w:tcPr>
                <w:p w14:paraId="3BF08697">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漆渣</w:t>
                  </w:r>
                </w:p>
              </w:tc>
              <w:tc>
                <w:tcPr>
                  <w:tcW w:w="658" w:type="dxa"/>
                  <w:noWrap w:val="0"/>
                  <w:vAlign w:val="center"/>
                </w:tcPr>
                <w:p w14:paraId="4E99F0BE">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w:t>
                  </w:r>
                </w:p>
              </w:tc>
              <w:tc>
                <w:tcPr>
                  <w:tcW w:w="439" w:type="dxa"/>
                  <w:noWrap w:val="0"/>
                  <w:vAlign w:val="center"/>
                </w:tcPr>
                <w:p w14:paraId="1655E311">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0.39</w:t>
                  </w:r>
                </w:p>
              </w:tc>
              <w:tc>
                <w:tcPr>
                  <w:tcW w:w="611" w:type="dxa"/>
                  <w:noWrap w:val="0"/>
                  <w:vAlign w:val="center"/>
                </w:tcPr>
                <w:p w14:paraId="19A6E44C">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沾染的油漆等</w:t>
                  </w:r>
                </w:p>
              </w:tc>
              <w:tc>
                <w:tcPr>
                  <w:tcW w:w="407" w:type="dxa"/>
                  <w:noWrap w:val="0"/>
                  <w:vAlign w:val="center"/>
                </w:tcPr>
                <w:p w14:paraId="35D01F52">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固态</w:t>
                  </w:r>
                </w:p>
              </w:tc>
              <w:tc>
                <w:tcPr>
                  <w:tcW w:w="471" w:type="dxa"/>
                  <w:noWrap w:val="0"/>
                  <w:vAlign w:val="center"/>
                </w:tcPr>
                <w:p w14:paraId="093BFF4D">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I</w:t>
                  </w:r>
                </w:p>
              </w:tc>
              <w:tc>
                <w:tcPr>
                  <w:tcW w:w="643" w:type="dxa"/>
                  <w:noWrap w:val="0"/>
                  <w:vAlign w:val="center"/>
                </w:tcPr>
                <w:p w14:paraId="06C8619C">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HW12类危险废物</w:t>
                  </w:r>
                </w:p>
              </w:tc>
              <w:tc>
                <w:tcPr>
                  <w:tcW w:w="596" w:type="dxa"/>
                  <w:noWrap w:val="0"/>
                  <w:vAlign w:val="center"/>
                </w:tcPr>
                <w:p w14:paraId="2C083B32">
                  <w:pPr>
                    <w:pStyle w:val="14"/>
                    <w:bidi w:val="0"/>
                    <w:rPr>
                      <w:rFonts w:hint="default" w:ascii="Times New Roman" w:hAnsi="Times New Roman" w:cs="Times New Roman"/>
                      <w:color w:val="auto"/>
                    </w:rPr>
                  </w:pPr>
                  <w:r>
                    <w:rPr>
                      <w:rFonts w:hint="default" w:ascii="Times New Roman" w:hAnsi="Times New Roman" w:cs="Times New Roman"/>
                      <w:color w:val="auto"/>
                    </w:rPr>
                    <w:t>900-252-12</w:t>
                  </w:r>
                </w:p>
              </w:tc>
              <w:tc>
                <w:tcPr>
                  <w:tcW w:w="776" w:type="dxa"/>
                  <w:noWrap w:val="0"/>
                  <w:vAlign w:val="center"/>
                </w:tcPr>
                <w:p w14:paraId="15F3E5AF">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桶装，危废间暂存</w:t>
                  </w:r>
                </w:p>
              </w:tc>
              <w:tc>
                <w:tcPr>
                  <w:tcW w:w="1104" w:type="dxa"/>
                  <w:noWrap w:val="0"/>
                  <w:vAlign w:val="center"/>
                </w:tcPr>
                <w:p w14:paraId="1350EED7">
                  <w:pPr>
                    <w:pStyle w:val="14"/>
                    <w:bidi w:val="0"/>
                    <w:rPr>
                      <w:rFonts w:hint="default" w:ascii="Times New Roman" w:hAnsi="Times New Roman" w:cs="Times New Roman"/>
                      <w:color w:val="auto"/>
                    </w:rPr>
                  </w:pPr>
                  <w:r>
                    <w:rPr>
                      <w:rFonts w:hint="default" w:ascii="Times New Roman" w:hAnsi="Times New Roman" w:cs="Times New Roman"/>
                      <w:color w:val="auto"/>
                    </w:rPr>
                    <w:t>委托</w:t>
                  </w:r>
                  <w:r>
                    <w:rPr>
                      <w:rFonts w:hint="default" w:ascii="Times New Roman" w:hAnsi="Times New Roman" w:cs="Times New Roman"/>
                      <w:color w:val="auto"/>
                      <w:lang w:val="en-US" w:eastAsia="zh-CN"/>
                    </w:rPr>
                    <w:t>有资质的单位清运</w:t>
                  </w:r>
                  <w:r>
                    <w:rPr>
                      <w:rFonts w:hint="default" w:ascii="Times New Roman" w:hAnsi="Times New Roman" w:cs="Times New Roman"/>
                      <w:color w:val="auto"/>
                    </w:rPr>
                    <w:t>处理</w:t>
                  </w:r>
                </w:p>
              </w:tc>
              <w:tc>
                <w:tcPr>
                  <w:tcW w:w="700" w:type="dxa"/>
                  <w:noWrap w:val="0"/>
                  <w:vAlign w:val="center"/>
                </w:tcPr>
                <w:p w14:paraId="08EFEAAB">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0.39</w:t>
                  </w:r>
                </w:p>
              </w:tc>
              <w:tc>
                <w:tcPr>
                  <w:tcW w:w="612" w:type="dxa"/>
                  <w:noWrap w:val="0"/>
                  <w:vAlign w:val="center"/>
                </w:tcPr>
                <w:p w14:paraId="1451B6E1">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100%处置</w:t>
                  </w:r>
                </w:p>
              </w:tc>
            </w:tr>
          </w:tbl>
          <w:p w14:paraId="3DA03FFE">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综上所述，固体废物处置率达到100%，对环境影响较小。</w:t>
            </w:r>
          </w:p>
          <w:p w14:paraId="7D4F571C">
            <w:pPr>
              <w:bidi w:val="0"/>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lang w:eastAsia="zh-CN"/>
              </w:rPr>
              <w:t>）</w:t>
            </w:r>
            <w:r>
              <w:rPr>
                <w:rFonts w:hint="default" w:ascii="Times New Roman" w:hAnsi="Times New Roman" w:cs="Times New Roman"/>
                <w:b/>
                <w:bCs/>
                <w:color w:val="auto"/>
              </w:rPr>
              <w:t>环境管理要求</w:t>
            </w:r>
          </w:p>
          <w:p w14:paraId="1C778920">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项目建设1间20m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的一般固废间，用于一般工业固废暂存。</w:t>
            </w:r>
            <w:r>
              <w:rPr>
                <w:rFonts w:hint="default" w:ascii="Times New Roman" w:hAnsi="Times New Roman" w:cs="Times New Roman"/>
                <w:color w:val="auto"/>
              </w:rPr>
              <w:t>建设1间</w:t>
            </w:r>
            <w:r>
              <w:rPr>
                <w:rFonts w:hint="default" w:ascii="Times New Roman" w:hAnsi="Times New Roman" w:cs="Times New Roman"/>
                <w:color w:val="auto"/>
                <w:lang w:val="en-US" w:eastAsia="zh-CN"/>
              </w:rPr>
              <w:t>5</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的危险废物暂存间</w:t>
            </w:r>
            <w:r>
              <w:rPr>
                <w:rFonts w:hint="default" w:ascii="Times New Roman" w:hAnsi="Times New Roman" w:cs="Times New Roman"/>
                <w:color w:val="auto"/>
                <w:lang w:eastAsia="zh-CN"/>
              </w:rPr>
              <w:t>。</w:t>
            </w:r>
          </w:p>
          <w:p w14:paraId="259F3BDC">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①危废间设置</w:t>
            </w:r>
            <w:r>
              <w:rPr>
                <w:rFonts w:hint="default" w:ascii="Times New Roman" w:hAnsi="Times New Roman" w:cs="Times New Roman"/>
                <w:color w:val="auto"/>
              </w:rPr>
              <w:t>需满足《危险废物贮存污染控制标准》</w:t>
            </w:r>
            <w:r>
              <w:rPr>
                <w:rFonts w:hint="default" w:ascii="Times New Roman" w:hAnsi="Times New Roman" w:cs="Times New Roman"/>
                <w:color w:val="auto"/>
                <w:lang w:eastAsia="zh-CN"/>
              </w:rPr>
              <w:t>（GB18597-2023</w:t>
            </w:r>
            <w:r>
              <w:rPr>
                <w:rFonts w:hint="default" w:ascii="Times New Roman" w:hAnsi="Times New Roman" w:cs="Times New Roman"/>
                <w:color w:val="auto"/>
              </w:rPr>
              <w:t>）要求</w:t>
            </w:r>
            <w:r>
              <w:rPr>
                <w:rFonts w:hint="default" w:ascii="Times New Roman" w:hAnsi="Times New Roman" w:cs="Times New Roman"/>
                <w:color w:val="auto"/>
                <w:lang w:eastAsia="zh-CN"/>
              </w:rPr>
              <w:t>：</w:t>
            </w:r>
          </w:p>
          <w:p w14:paraId="4B6F2C2C">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一般规定：</w:t>
            </w:r>
          </w:p>
          <w:p w14:paraId="6A97B614">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◆贮存设施应根据危险废物的形态、物理化学性质、包装形式和污染物迁移途径，采取必要的防风、防晒、防雨、防漏、防渗、防腐以及其他环境污染防治措施，不应露天堆放危险废物。</w:t>
            </w:r>
          </w:p>
          <w:p w14:paraId="5D2A1AFA">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◆贮存设施应根据危险废物的类别、数量、形态、物理化学性质和污染防治等要求设置必要的贮存分区，避免不相容的危险废物接触、混合。</w:t>
            </w:r>
          </w:p>
          <w:p w14:paraId="13AEA776">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◆贮存设施或贮存分区内地面、墙面裙脚、堵截泄漏的围堰、接触危险废物的隔板和墙体等应采用坚固的材料建造，表面无裂缝。</w:t>
            </w:r>
          </w:p>
          <w:p w14:paraId="4E703CE0">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◆贮存设施地面与裙脚应采取表面防渗措施</w:t>
            </w:r>
            <w:r>
              <w:rPr>
                <w:rFonts w:hint="eastAsia" w:cs="Times New Roman"/>
                <w:color w:val="auto"/>
                <w:lang w:val="en-US" w:eastAsia="zh-CN"/>
              </w:rPr>
              <w:t>；</w:t>
            </w:r>
            <w:r>
              <w:rPr>
                <w:rFonts w:hint="default" w:ascii="Times New Roman" w:hAnsi="Times New Roman" w:cs="Times New Roman"/>
                <w:color w:val="auto"/>
                <w:lang w:val="en-US" w:eastAsia="zh-CN"/>
              </w:rPr>
              <w:t>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cs="Times New Roman"/>
                <w:color w:val="auto"/>
                <w:vertAlign w:val="superscript"/>
                <w:lang w:val="en-US" w:eastAsia="zh-CN"/>
              </w:rPr>
              <w:t>-7</w:t>
            </w:r>
            <w:r>
              <w:rPr>
                <w:rFonts w:hint="default" w:ascii="Times New Roman" w:hAnsi="Times New Roman" w:cs="Times New Roman"/>
                <w:color w:val="auto"/>
                <w:lang w:val="en-US" w:eastAsia="zh-CN"/>
              </w:rPr>
              <w:t>cm/s），或至少2mm厚高密度聚乙烯膜等人工防渗材料（渗透系数不大于10</w:t>
            </w:r>
            <w:r>
              <w:rPr>
                <w:rFonts w:hint="default" w:ascii="Times New Roman" w:hAnsi="Times New Roman" w:cs="Times New Roman"/>
                <w:color w:val="auto"/>
                <w:vertAlign w:val="superscript"/>
                <w:lang w:val="en-US" w:eastAsia="zh-CN"/>
              </w:rPr>
              <w:t>-10</w:t>
            </w:r>
            <w:r>
              <w:rPr>
                <w:rFonts w:hint="default" w:ascii="Times New Roman" w:hAnsi="Times New Roman" w:cs="Times New Roman"/>
                <w:color w:val="auto"/>
                <w:lang w:val="en-US" w:eastAsia="zh-CN"/>
              </w:rPr>
              <w:t>cm/s），或其他防渗性能等效的材料。</w:t>
            </w:r>
          </w:p>
          <w:p w14:paraId="69955ABD">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◆同一贮存设施宜采用相同的防渗、防腐工艺（包括防渗、防腐结构或材料），防渗、防腐材料应覆盖所有可能与废物及其渗滤液、渗漏液等接触的构筑物表面</w:t>
            </w:r>
            <w:r>
              <w:rPr>
                <w:rFonts w:hint="eastAsia" w:cs="Times New Roman"/>
                <w:color w:val="auto"/>
                <w:lang w:val="en-US" w:eastAsia="zh-CN"/>
              </w:rPr>
              <w:t>；</w:t>
            </w:r>
            <w:r>
              <w:rPr>
                <w:rFonts w:hint="default" w:ascii="Times New Roman" w:hAnsi="Times New Roman" w:cs="Times New Roman"/>
                <w:color w:val="auto"/>
                <w:lang w:val="en-US" w:eastAsia="zh-CN"/>
              </w:rPr>
              <w:t>采用不同防渗、防腐工艺应分别建设贮存分区。</w:t>
            </w:r>
          </w:p>
          <w:p w14:paraId="518D8562">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◆贮存设施应采取技术和管理措施防止无关人员进入。</w:t>
            </w:r>
          </w:p>
          <w:p w14:paraId="171908C3">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贮存库：</w:t>
            </w:r>
          </w:p>
          <w:p w14:paraId="6A3618E7">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贮存库内不同贮存分区之间应采取隔离措施。隔离措施可根据危险废物特性采用过道、隔板或隔墙等方式。</w:t>
            </w:r>
          </w:p>
          <w:p w14:paraId="29189814">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在贮存库内或通过贮存分区方式贮存液态危险废物的，应具有液体泄漏堵截设施，堵截设施最小容积不应低于对应贮存区域最大液态废物容器容积或液态废物总储量1/10（二者取较大者）</w:t>
            </w:r>
            <w:r>
              <w:rPr>
                <w:rFonts w:hint="eastAsia" w:cs="Times New Roman"/>
                <w:color w:val="auto"/>
                <w:lang w:eastAsia="zh-CN"/>
              </w:rPr>
              <w:t>；</w:t>
            </w:r>
            <w:r>
              <w:rPr>
                <w:rFonts w:hint="default" w:ascii="Times New Roman" w:hAnsi="Times New Roman" w:cs="Times New Roman"/>
                <w:color w:val="auto"/>
                <w:lang w:eastAsia="zh-CN"/>
              </w:rPr>
              <w:t>用于贮存可能产生渗滤液的危险废物的贮存库或贮存分区应设计渗滤液收集设施，收集设施容积应满足渗滤液的收集要求。</w:t>
            </w:r>
          </w:p>
          <w:p w14:paraId="31ACFC4F">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贮存易产生粉尘、VOCs、酸雾、有毒有害大气污染物和刺激性气味气体的危险废物贮存库，应设置气体收集装置和气体净化设施</w:t>
            </w:r>
            <w:r>
              <w:rPr>
                <w:rFonts w:hint="eastAsia" w:cs="Times New Roman"/>
                <w:color w:val="auto"/>
                <w:lang w:eastAsia="zh-CN"/>
              </w:rPr>
              <w:t>；</w:t>
            </w:r>
            <w:r>
              <w:rPr>
                <w:rFonts w:hint="default" w:ascii="Times New Roman" w:hAnsi="Times New Roman" w:cs="Times New Roman"/>
                <w:color w:val="auto"/>
                <w:lang w:eastAsia="zh-CN"/>
              </w:rPr>
              <w:t>气体净化设施的排气筒高度应符合GB16297要求。</w:t>
            </w:r>
          </w:p>
          <w:p w14:paraId="3D52B365">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容器和包装物污染控制要求：</w:t>
            </w:r>
          </w:p>
          <w:p w14:paraId="00328DD9">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容器和包装物材质、内衬应与盛装的危险废物相容。</w:t>
            </w:r>
          </w:p>
          <w:p w14:paraId="0C829467">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针对不同类别、形态、物理化学性质的危险废物，其容器和包装物应满足相应的防渗、防漏、防腐和强度等要求。</w:t>
            </w:r>
          </w:p>
          <w:p w14:paraId="00E31545">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硬质容器和包装物及其支护结构堆叠码放时不应有明显变形，无破损泄漏。</w:t>
            </w:r>
          </w:p>
          <w:p w14:paraId="7BD4CE10">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柔性容器和包装物堆叠码放时应封口严密，无破损泄漏。</w:t>
            </w:r>
          </w:p>
          <w:p w14:paraId="7153FF23">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使用容器盛装液态、半固态危险废物时，容器内部应留有适当的空间，以适应因温度变化等可能引发的收缩和膨胀，防止其导致容器渗漏或永久变形。</w:t>
            </w:r>
          </w:p>
          <w:p w14:paraId="25E5ABA5">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容器和包装物外表面应保持清洁。</w:t>
            </w:r>
          </w:p>
          <w:p w14:paraId="39B75167">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贮存过程污染控制要求：</w:t>
            </w:r>
          </w:p>
          <w:p w14:paraId="15B7F660">
            <w:pPr>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一般规定：</w:t>
            </w:r>
          </w:p>
          <w:p w14:paraId="7CF390C4">
            <w:pPr>
              <w:bidi w:val="0"/>
              <w:rPr>
                <w:rFonts w:hint="default" w:ascii="Times New Roman" w:hAnsi="Times New Roman" w:cs="Times New Roman"/>
                <w:color w:val="auto"/>
              </w:rPr>
            </w:pPr>
            <w:r>
              <w:rPr>
                <w:rFonts w:hint="default" w:ascii="Times New Roman" w:hAnsi="Times New Roman" w:cs="Times New Roman"/>
                <w:color w:val="auto"/>
                <w:lang w:val="en-US" w:eastAsia="zh-CN"/>
              </w:rPr>
              <w:t>◆在常温常压下不易水解、不易挥发的固态危险废物可分类堆放贮存，其他固态危险废物应装入容器或包装物内贮存。</w:t>
            </w:r>
          </w:p>
          <w:p w14:paraId="3A304292">
            <w:pPr>
              <w:bidi w:val="0"/>
              <w:rPr>
                <w:rFonts w:hint="default" w:ascii="Times New Roman" w:hAnsi="Times New Roman" w:cs="Times New Roman"/>
                <w:color w:val="auto"/>
              </w:rPr>
            </w:pPr>
            <w:r>
              <w:rPr>
                <w:rFonts w:hint="default" w:ascii="Times New Roman" w:hAnsi="Times New Roman" w:cs="Times New Roman"/>
                <w:color w:val="auto"/>
                <w:lang w:val="en-US" w:eastAsia="zh-CN"/>
              </w:rPr>
              <w:t>◆液态危险废物应装入容器内贮存，或直接采用贮存池、贮存罐区贮存。</w:t>
            </w:r>
          </w:p>
          <w:p w14:paraId="421F9DF7">
            <w:pPr>
              <w:bidi w:val="0"/>
              <w:rPr>
                <w:rFonts w:hint="default" w:ascii="Times New Roman" w:hAnsi="Times New Roman" w:cs="Times New Roman"/>
                <w:color w:val="auto"/>
              </w:rPr>
            </w:pPr>
            <w:r>
              <w:rPr>
                <w:rFonts w:hint="default" w:ascii="Times New Roman" w:hAnsi="Times New Roman" w:cs="Times New Roman"/>
                <w:color w:val="auto"/>
                <w:lang w:val="en-US" w:eastAsia="zh-CN"/>
              </w:rPr>
              <w:t>◆半固态危险废物应装入容器或包装袋内贮存，或直接采用贮存池贮存。</w:t>
            </w:r>
          </w:p>
          <w:p w14:paraId="0AF616BC">
            <w:pPr>
              <w:bidi w:val="0"/>
              <w:rPr>
                <w:rFonts w:hint="default" w:ascii="Times New Roman" w:hAnsi="Times New Roman" w:cs="Times New Roman"/>
                <w:color w:val="auto"/>
              </w:rPr>
            </w:pPr>
            <w:r>
              <w:rPr>
                <w:rFonts w:hint="default" w:ascii="Times New Roman" w:hAnsi="Times New Roman" w:cs="Times New Roman"/>
                <w:color w:val="auto"/>
                <w:lang w:val="en-US" w:eastAsia="zh-CN"/>
              </w:rPr>
              <w:t>◆具有热塑性的危险废物应装入容器或包装袋内进行贮存。</w:t>
            </w:r>
          </w:p>
          <w:p w14:paraId="141EEF20">
            <w:pPr>
              <w:bidi w:val="0"/>
              <w:rPr>
                <w:rFonts w:hint="default" w:ascii="Times New Roman" w:hAnsi="Times New Roman" w:cs="Times New Roman"/>
                <w:color w:val="auto"/>
              </w:rPr>
            </w:pPr>
            <w:r>
              <w:rPr>
                <w:rFonts w:hint="default" w:ascii="Times New Roman" w:hAnsi="Times New Roman" w:cs="Times New Roman"/>
                <w:color w:val="auto"/>
                <w:lang w:val="en-US" w:eastAsia="zh-CN"/>
              </w:rPr>
              <w:t>◆易产生粉尘、VOCs、酸雾、有毒有害大气污染物和刺激性气味气体的危险废物应装入闭口容器或包装物内贮存。</w:t>
            </w:r>
          </w:p>
          <w:p w14:paraId="28B49292">
            <w:pPr>
              <w:bidi w:val="0"/>
              <w:rPr>
                <w:rFonts w:hint="default" w:ascii="Times New Roman" w:hAnsi="Times New Roman" w:cs="Times New Roman"/>
                <w:color w:val="auto"/>
              </w:rPr>
            </w:pPr>
            <w:r>
              <w:rPr>
                <w:rFonts w:hint="default" w:ascii="Times New Roman" w:hAnsi="Times New Roman" w:cs="Times New Roman"/>
                <w:color w:val="auto"/>
                <w:lang w:val="en-US" w:eastAsia="zh-CN"/>
              </w:rPr>
              <w:t>◆危险废物贮存过程中易产生粉尘等无组织排放的，应采取抑尘等有效措施。</w:t>
            </w:r>
          </w:p>
          <w:p w14:paraId="01E3933E">
            <w:pPr>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贮存设施运行环境管理要求：</w:t>
            </w:r>
          </w:p>
          <w:p w14:paraId="267C7AC2">
            <w:pPr>
              <w:bidi w:val="0"/>
              <w:rPr>
                <w:rFonts w:hint="default" w:ascii="Times New Roman" w:hAnsi="Times New Roman" w:cs="Times New Roman"/>
                <w:color w:val="auto"/>
              </w:rPr>
            </w:pPr>
            <w:r>
              <w:rPr>
                <w:rFonts w:hint="default" w:ascii="Times New Roman" w:hAnsi="Times New Roman" w:cs="Times New Roman"/>
                <w:color w:val="auto"/>
                <w:lang w:val="en-US" w:eastAsia="zh-CN"/>
              </w:rPr>
              <w:t>◆危险废物存入贮存设施前应对危险废物类别和特性与危险废物标签等危险废物识别标志的一致性进行核验，不一致的或类别、特性不明的不应存入。</w:t>
            </w:r>
          </w:p>
          <w:p w14:paraId="69B9954E">
            <w:pPr>
              <w:bidi w:val="0"/>
              <w:rPr>
                <w:rFonts w:hint="default" w:ascii="Times New Roman" w:hAnsi="Times New Roman" w:cs="Times New Roman"/>
                <w:color w:val="auto"/>
              </w:rPr>
            </w:pPr>
            <w:r>
              <w:rPr>
                <w:rFonts w:hint="default" w:ascii="Times New Roman" w:hAnsi="Times New Roman" w:cs="Times New Roman"/>
                <w:color w:val="auto"/>
                <w:lang w:val="en-US" w:eastAsia="zh-CN"/>
              </w:rPr>
              <w:t>◆应定期检查危险废物的贮存状况，及时清理贮存设施地面，更换破损泄漏的危险废物贮存容器和包装物，保证堆存危险废物的防雨、防风、防扬尘等设施功能完好。</w:t>
            </w:r>
          </w:p>
          <w:p w14:paraId="35F862B9">
            <w:pPr>
              <w:bidi w:val="0"/>
              <w:rPr>
                <w:rFonts w:hint="default" w:ascii="Times New Roman" w:hAnsi="Times New Roman" w:cs="Times New Roman"/>
                <w:color w:val="auto"/>
              </w:rPr>
            </w:pPr>
            <w:r>
              <w:rPr>
                <w:rFonts w:hint="default" w:ascii="Times New Roman" w:hAnsi="Times New Roman" w:cs="Times New Roman"/>
                <w:color w:val="auto"/>
                <w:lang w:val="en-US" w:eastAsia="zh-CN"/>
              </w:rPr>
              <w:t>◆作业设备及车辆等结束作业离开贮存设施时，应对其残留的危险废物进行清理，清理的废物或清洗废水应收集处理。</w:t>
            </w:r>
          </w:p>
          <w:p w14:paraId="0FC25E48">
            <w:pPr>
              <w:bidi w:val="0"/>
              <w:rPr>
                <w:rFonts w:hint="default" w:ascii="Times New Roman" w:hAnsi="Times New Roman" w:cs="Times New Roman"/>
                <w:color w:val="auto"/>
              </w:rPr>
            </w:pPr>
            <w:r>
              <w:rPr>
                <w:rFonts w:hint="default" w:ascii="Times New Roman" w:hAnsi="Times New Roman" w:cs="Times New Roman"/>
                <w:color w:val="auto"/>
                <w:lang w:val="en-US" w:eastAsia="zh-CN"/>
              </w:rPr>
              <w:t>◆贮存设施运行期间，应按国家有关标准和规定建立危险废物管理台账并保存。</w:t>
            </w:r>
          </w:p>
          <w:p w14:paraId="5EF998C5">
            <w:pPr>
              <w:bidi w:val="0"/>
              <w:rPr>
                <w:rFonts w:hint="default" w:ascii="Times New Roman" w:hAnsi="Times New Roman" w:cs="Times New Roman"/>
                <w:color w:val="auto"/>
              </w:rPr>
            </w:pPr>
            <w:r>
              <w:rPr>
                <w:rFonts w:hint="default" w:ascii="Times New Roman" w:hAnsi="Times New Roman" w:cs="Times New Roman"/>
                <w:color w:val="auto"/>
                <w:lang w:val="en-US" w:eastAsia="zh-CN"/>
              </w:rPr>
              <w:t>◆贮存设施所有者或运营者应建立贮存设施环境管理制度、管理人员岗位职责制度、设施运行操作制度、人员岗位培训制度等。</w:t>
            </w:r>
          </w:p>
          <w:p w14:paraId="1553B9E1">
            <w:pPr>
              <w:bidi w:val="0"/>
              <w:rPr>
                <w:rFonts w:hint="default" w:ascii="Times New Roman" w:hAnsi="Times New Roman" w:cs="Times New Roman"/>
                <w:color w:val="auto"/>
              </w:rPr>
            </w:pPr>
            <w:r>
              <w:rPr>
                <w:rFonts w:hint="default" w:ascii="Times New Roman" w:hAnsi="Times New Roman" w:cs="Times New Roman"/>
                <w:color w:val="auto"/>
                <w:lang w:val="en-US" w:eastAsia="zh-CN"/>
              </w:rPr>
              <w:t>◆贮存设施所有者或运营者应依据国家土壤和地下水污染防治的有关规定，结合贮存设施特点建立土壤和地下水污染隐患排查制度，并定期开展隐患排查</w:t>
            </w:r>
            <w:r>
              <w:rPr>
                <w:rFonts w:hint="eastAsia" w:cs="Times New Roman"/>
                <w:color w:val="auto"/>
                <w:lang w:val="en-US" w:eastAsia="zh-CN"/>
              </w:rPr>
              <w:t>；</w:t>
            </w:r>
            <w:r>
              <w:rPr>
                <w:rFonts w:hint="default" w:ascii="Times New Roman" w:hAnsi="Times New Roman" w:cs="Times New Roman"/>
                <w:color w:val="auto"/>
                <w:lang w:val="en-US" w:eastAsia="zh-CN"/>
              </w:rPr>
              <w:t>发现隐患应及时采取措施消除隐患，并建立档案。</w:t>
            </w:r>
          </w:p>
          <w:p w14:paraId="7307B23D">
            <w:pPr>
              <w:bidi w:val="0"/>
              <w:rPr>
                <w:rFonts w:hint="default" w:ascii="Times New Roman" w:hAnsi="Times New Roman" w:cs="Times New Roman"/>
                <w:color w:val="auto"/>
              </w:rPr>
            </w:pPr>
            <w:r>
              <w:rPr>
                <w:rFonts w:hint="default" w:ascii="Times New Roman" w:hAnsi="Times New Roman" w:cs="Times New Roman"/>
                <w:color w:val="auto"/>
                <w:lang w:val="en-US" w:eastAsia="zh-CN"/>
              </w:rPr>
              <w:t>◆贮存设施所有者或运营者应建立贮存设施全部档案，包括设计、施工、验收、运行、监测和环境应急等，应按国家有关档案管理的法律法规进行整理和归档。</w:t>
            </w:r>
          </w:p>
          <w:p w14:paraId="0B90ACCC">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②危废间相关标识牌设置需满足《危险废物识别标志设置技术规范》（HJ1276-2022）的要求。总体要求如下：</w:t>
            </w:r>
          </w:p>
          <w:p w14:paraId="1D8B46DA">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◆危险废物识别标志的设置应具有足够的警示性，以提醒相关人员在从事收集、贮存、利用、处置危险废物经营活动时注意防范危险废物的环境风险。</w:t>
            </w:r>
          </w:p>
          <w:p w14:paraId="7706B694">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◆危险废物识别标志应设置在醒目的位置，避免被其他固定物体遮挡，并与周边的环境特点相协调。</w:t>
            </w:r>
          </w:p>
          <w:p w14:paraId="1B7AE398">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◆危险废物识别标志与其他标志保持视觉上的分离。危险废物识别标志与其他标志相近设置时。以确保危险废物识别标志在视觉上的识别和信息的读取不受其他标志的影响。</w:t>
            </w:r>
          </w:p>
          <w:p w14:paraId="2A553F53">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◆同一场所内，同一种类危险废物识别标志的尺寸、设置位置、设置方式和设置高度等宜保持一致。</w:t>
            </w:r>
          </w:p>
          <w:p w14:paraId="5ED1FED6">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◆危险废物识别标志的设置除应满足《危险废物识别标志设置技术规范》（HJ1276-2022）的要求外，还应执行国家安全生产、消防等有关法律、法规和标准的要求。</w:t>
            </w:r>
          </w:p>
          <w:p w14:paraId="041E7854">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相关标识牌示意图及要求如下：</w:t>
            </w:r>
          </w:p>
          <w:p w14:paraId="701E4550">
            <w:pPr>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表4-1</w:t>
            </w:r>
            <w:r>
              <w:rPr>
                <w:rFonts w:hint="eastAsia" w:ascii="Times New Roman" w:hAnsi="Times New Roman" w:cs="Times New Roman"/>
                <w:b/>
                <w:bCs/>
                <w:color w:val="auto"/>
                <w:lang w:val="en-US" w:eastAsia="zh-CN"/>
              </w:rPr>
              <w:t>4</w:t>
            </w:r>
            <w:r>
              <w:rPr>
                <w:rFonts w:hint="default" w:ascii="Times New Roman" w:hAnsi="Times New Roman" w:cs="Times New Roman"/>
                <w:b/>
                <w:bCs/>
                <w:color w:val="auto"/>
                <w:lang w:val="en-US" w:eastAsia="zh-CN"/>
              </w:rPr>
              <w:t xml:space="preserve">  危险废物识别标志及要求</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37"/>
              <w:gridCol w:w="3643"/>
              <w:gridCol w:w="3250"/>
            </w:tblGrid>
            <w:tr w14:paraId="552EC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702" w:type="dxa"/>
                  <w:vAlign w:val="center"/>
                </w:tcPr>
                <w:p w14:paraId="106DAF31">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类别</w:t>
                  </w:r>
                </w:p>
              </w:tc>
              <w:tc>
                <w:tcPr>
                  <w:tcW w:w="4043" w:type="dxa"/>
                  <w:vAlign w:val="center"/>
                </w:tcPr>
                <w:p w14:paraId="21C7AB2D">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示意图</w:t>
                  </w:r>
                </w:p>
              </w:tc>
              <w:tc>
                <w:tcPr>
                  <w:tcW w:w="3607" w:type="dxa"/>
                  <w:vAlign w:val="center"/>
                </w:tcPr>
                <w:p w14:paraId="19BF4CC5">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材质及印刷要求</w:t>
                  </w:r>
                </w:p>
              </w:tc>
            </w:tr>
            <w:tr w14:paraId="1474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702" w:type="dxa"/>
                  <w:vAlign w:val="center"/>
                </w:tcPr>
                <w:p w14:paraId="0DC1A7B2">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危险废物标签样式</w:t>
                  </w:r>
                </w:p>
              </w:tc>
              <w:tc>
                <w:tcPr>
                  <w:tcW w:w="4043" w:type="dxa"/>
                  <w:vAlign w:val="center"/>
                </w:tcPr>
                <w:p w14:paraId="16BBA0C0">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1853565" cy="1868805"/>
                        <wp:effectExtent l="0" t="0" r="13335" b="17145"/>
                        <wp:docPr id="35" name="图片 35" descr="bda75412a5c361f838631bac4fc9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da75412a5c361f838631bac4fc9e09"/>
                                <pic:cNvPicPr>
                                  <a:picLocks noChangeAspect="1"/>
                                </pic:cNvPicPr>
                              </pic:nvPicPr>
                              <pic:blipFill>
                                <a:blip r:embed="rId18"/>
                                <a:srcRect l="10309" t="3488" r="10679" b="16883"/>
                                <a:stretch>
                                  <a:fillRect/>
                                </a:stretch>
                              </pic:blipFill>
                              <pic:spPr>
                                <a:xfrm>
                                  <a:off x="0" y="0"/>
                                  <a:ext cx="1853565" cy="1868805"/>
                                </a:xfrm>
                                <a:prstGeom prst="rect">
                                  <a:avLst/>
                                </a:prstGeom>
                              </pic:spPr>
                            </pic:pic>
                          </a:graphicData>
                        </a:graphic>
                      </wp:inline>
                    </w:drawing>
                  </w:r>
                </w:p>
              </w:tc>
              <w:tc>
                <w:tcPr>
                  <w:tcW w:w="3607" w:type="dxa"/>
                  <w:vAlign w:val="center"/>
                </w:tcPr>
                <w:p w14:paraId="6BBB257F">
                  <w:pPr>
                    <w:pStyle w:val="14"/>
                    <w:widowControl w:val="0"/>
                    <w:bidi w:val="0"/>
                    <w:rPr>
                      <w:rFonts w:hint="default" w:ascii="Times New Roman" w:hAnsi="Times New Roman" w:cs="Times New Roman"/>
                      <w:color w:val="auto"/>
                    </w:rPr>
                  </w:pPr>
                  <w:r>
                    <w:rPr>
                      <w:rFonts w:hint="default" w:ascii="Times New Roman" w:hAnsi="Times New Roman" w:cs="Times New Roman"/>
                      <w:color w:val="auto"/>
                      <w:lang w:val="en-US" w:eastAsia="zh-CN"/>
                    </w:rPr>
                    <w:t>危险废物标签所选用的材质宜具有一定的耐用性和防水性。标签可采用不干胶印刷品，或印刷品外加防水塑料袋或塑封等。</w:t>
                  </w:r>
                </w:p>
                <w:p w14:paraId="4651D377">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危险废物标签印刷的油墨应均匀，图案和文字应清晰、完整。危险废物标签的文字边缘宜加黑色边框，边框宽度不小于1mm，边框外宜留不小于3mm的空白。</w:t>
                  </w:r>
                </w:p>
              </w:tc>
            </w:tr>
            <w:tr w14:paraId="327AE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702" w:type="dxa"/>
                  <w:vAlign w:val="center"/>
                </w:tcPr>
                <w:p w14:paraId="3C5BB2C2">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危险废物贮存分区标志</w:t>
                  </w:r>
                </w:p>
              </w:tc>
              <w:tc>
                <w:tcPr>
                  <w:tcW w:w="4043" w:type="dxa"/>
                  <w:vAlign w:val="center"/>
                </w:tcPr>
                <w:p w14:paraId="3D630956">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2016125" cy="2027555"/>
                        <wp:effectExtent l="0" t="0" r="3175" b="10795"/>
                        <wp:docPr id="50" name="图片 50" descr="b192ec3a393fce540be38e39a44a2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b192ec3a393fce540be38e39a44a2da"/>
                                <pic:cNvPicPr>
                                  <a:picLocks noChangeAspect="1"/>
                                </pic:cNvPicPr>
                              </pic:nvPicPr>
                              <pic:blipFill>
                                <a:blip r:embed="rId19"/>
                                <a:srcRect l="8065" t="12955" r="6277" b="22416"/>
                                <a:stretch>
                                  <a:fillRect/>
                                </a:stretch>
                              </pic:blipFill>
                              <pic:spPr>
                                <a:xfrm>
                                  <a:off x="0" y="0"/>
                                  <a:ext cx="2016125" cy="2027555"/>
                                </a:xfrm>
                                <a:prstGeom prst="rect">
                                  <a:avLst/>
                                </a:prstGeom>
                              </pic:spPr>
                            </pic:pic>
                          </a:graphicData>
                        </a:graphic>
                      </wp:inline>
                    </w:drawing>
                  </w:r>
                </w:p>
              </w:tc>
              <w:tc>
                <w:tcPr>
                  <w:tcW w:w="3607" w:type="dxa"/>
                  <w:vAlign w:val="center"/>
                </w:tcPr>
                <w:p w14:paraId="66BA9690">
                  <w:pPr>
                    <w:pStyle w:val="14"/>
                    <w:widowControl w:val="0"/>
                    <w:bidi w:val="0"/>
                    <w:rPr>
                      <w:rFonts w:hint="default" w:ascii="Times New Roman" w:hAnsi="Times New Roman" w:cs="Times New Roman"/>
                      <w:color w:val="auto"/>
                    </w:rPr>
                  </w:pPr>
                  <w:r>
                    <w:rPr>
                      <w:rFonts w:hint="default" w:ascii="Times New Roman" w:hAnsi="Times New Roman" w:cs="Times New Roman"/>
                      <w:color w:val="auto"/>
                      <w:lang w:val="en-US" w:eastAsia="zh-CN"/>
                    </w:rPr>
                    <w:t>危险废物贮存分区标志的衬底宜采用坚固耐用的材料，并具有耐用性和防水性。废物贮存种类信息等可采用印刷纸张、不粘胶材质或塑料卡片等，以便固定在衬底上。</w:t>
                  </w:r>
                </w:p>
                <w:p w14:paraId="5526B838">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危险废物贮存分区标志的图形和文字应清晰、完整，保证在足够的观察距离条件下不影响阅读。</w:t>
                  </w:r>
                  <w:r>
                    <w:rPr>
                      <w:rFonts w:hint="eastAsia" w:cs="Times New Roman"/>
                      <w:color w:val="auto"/>
                      <w:lang w:val="en-US" w:eastAsia="zh-CN"/>
                    </w:rPr>
                    <w:t>“</w:t>
                  </w:r>
                  <w:r>
                    <w:rPr>
                      <w:rFonts w:hint="default" w:ascii="Times New Roman" w:hAnsi="Times New Roman" w:cs="Times New Roman"/>
                      <w:color w:val="auto"/>
                      <w:lang w:val="en-US" w:eastAsia="zh-CN"/>
                    </w:rPr>
                    <w:t>危险废物贮存分区标志</w:t>
                  </w:r>
                  <w:r>
                    <w:rPr>
                      <w:rFonts w:hint="eastAsia" w:cs="Times New Roman"/>
                      <w:color w:val="auto"/>
                      <w:lang w:val="en-US" w:eastAsia="zh-CN"/>
                    </w:rPr>
                    <w:t>”</w:t>
                  </w:r>
                  <w:r>
                    <w:rPr>
                      <w:rFonts w:hint="default" w:ascii="Times New Roman" w:hAnsi="Times New Roman" w:cs="Times New Roman"/>
                      <w:color w:val="auto"/>
                      <w:lang w:val="en-US" w:eastAsia="zh-CN"/>
                    </w:rPr>
                    <w:t>字样与其他信息宜加黑色分界线区分，分界线的宽度不小于2mm。</w:t>
                  </w:r>
                </w:p>
              </w:tc>
            </w:tr>
            <w:tr w14:paraId="6A7E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702" w:type="dxa"/>
                  <w:vAlign w:val="center"/>
                </w:tcPr>
                <w:p w14:paraId="68843FFB">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危险废物贮存设施标志</w:t>
                  </w:r>
                </w:p>
              </w:tc>
              <w:tc>
                <w:tcPr>
                  <w:tcW w:w="4043" w:type="dxa"/>
                  <w:vAlign w:val="center"/>
                </w:tcPr>
                <w:p w14:paraId="502FC104">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2205355" cy="1335405"/>
                        <wp:effectExtent l="0" t="0" r="4445" b="17145"/>
                        <wp:docPr id="62" name="图片 62" descr="bca85ff75cd062c5e693e7417c3c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bca85ff75cd062c5e693e7417c3c4fc"/>
                                <pic:cNvPicPr>
                                  <a:picLocks noChangeAspect="1"/>
                                </pic:cNvPicPr>
                              </pic:nvPicPr>
                              <pic:blipFill>
                                <a:blip r:embed="rId20"/>
                                <a:srcRect l="4208" t="27064" r="3531" b="31038"/>
                                <a:stretch>
                                  <a:fillRect/>
                                </a:stretch>
                              </pic:blipFill>
                              <pic:spPr>
                                <a:xfrm>
                                  <a:off x="0" y="0"/>
                                  <a:ext cx="2205355" cy="1335405"/>
                                </a:xfrm>
                                <a:prstGeom prst="rect">
                                  <a:avLst/>
                                </a:prstGeom>
                              </pic:spPr>
                            </pic:pic>
                          </a:graphicData>
                        </a:graphic>
                      </wp:inline>
                    </w:drawing>
                  </w:r>
                </w:p>
              </w:tc>
              <w:tc>
                <w:tcPr>
                  <w:tcW w:w="3607" w:type="dxa"/>
                  <w:vAlign w:val="center"/>
                </w:tcPr>
                <w:p w14:paraId="68499437">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采用坚固耐用的材料（如1.5mm～2 mm冷轧钢板），并做搪瓷处理或贴膜处理。一般不宜使用遇水变形、变质或易燃的材料。柱式标志牌的立柱可采用38×4无缝钢管或其他坚固耐用的材料，并经过防腐处理。三角形警告性图形与其他信息间宜加黑色分界线区分，分界线的宽度宜不小于3mm。</w:t>
                  </w:r>
                </w:p>
              </w:tc>
            </w:tr>
          </w:tbl>
          <w:p w14:paraId="2981159D">
            <w:pPr>
              <w:bidi w:val="0"/>
              <w:rPr>
                <w:rFonts w:hint="default" w:ascii="Times New Roman" w:hAnsi="Times New Roman" w:cs="Times New Roman"/>
                <w:color w:val="auto"/>
              </w:rPr>
            </w:pPr>
            <w:r>
              <w:rPr>
                <w:rFonts w:hint="default" w:ascii="Times New Roman" w:hAnsi="Times New Roman" w:cs="Times New Roman"/>
                <w:color w:val="auto"/>
                <w:lang w:val="en-US" w:eastAsia="zh-CN"/>
              </w:rPr>
              <w:t>③</w:t>
            </w:r>
            <w:r>
              <w:rPr>
                <w:rFonts w:hint="default" w:ascii="Times New Roman" w:hAnsi="Times New Roman" w:cs="Times New Roman"/>
                <w:color w:val="auto"/>
              </w:rPr>
              <w:t>为了加强危废管理，保证项目产生的危险废物有合理的处置措施和去向，建设单位必须根据</w:t>
            </w:r>
            <w:r>
              <w:rPr>
                <w:rFonts w:hint="default" w:ascii="Times New Roman" w:hAnsi="Times New Roman" w:cs="Times New Roman"/>
                <w:color w:val="auto"/>
                <w:lang w:val="en-US" w:eastAsia="zh-CN"/>
              </w:rPr>
              <w:t>《危险废物转移管理办法》以及其他相关规定</w:t>
            </w:r>
            <w:r>
              <w:rPr>
                <w:rFonts w:hint="default" w:ascii="Times New Roman" w:hAnsi="Times New Roman" w:cs="Times New Roman"/>
                <w:color w:val="auto"/>
              </w:rPr>
              <w:t>执行：</w:t>
            </w:r>
          </w:p>
          <w:p w14:paraId="2E0C3254">
            <w:pPr>
              <w:bidi w:val="0"/>
              <w:rPr>
                <w:rFonts w:hint="eastAsia" w:ascii="Times New Roman" w:hAnsi="Times New Roman" w:eastAsia="宋体" w:cs="Times New Roman"/>
                <w:color w:val="auto"/>
                <w:lang w:eastAsia="zh-CN"/>
              </w:rPr>
            </w:pPr>
            <w:r>
              <w:rPr>
                <w:rFonts w:hint="default" w:ascii="Times New Roman" w:hAnsi="Times New Roman" w:cs="Times New Roman"/>
                <w:color w:val="auto"/>
                <w:lang w:val="en-US" w:eastAsia="zh-CN"/>
              </w:rPr>
              <w:t>◆</w:t>
            </w:r>
            <w:r>
              <w:rPr>
                <w:rFonts w:hint="default" w:ascii="Times New Roman" w:hAnsi="Times New Roman" w:cs="Times New Roman"/>
                <w:color w:val="auto"/>
              </w:rPr>
              <w:t>建设单位必须建立健全危险废物产生、处理、转移台账记录</w:t>
            </w:r>
            <w:r>
              <w:rPr>
                <w:rFonts w:hint="eastAsia" w:cs="Times New Roman"/>
                <w:color w:val="auto"/>
                <w:lang w:eastAsia="zh-CN"/>
              </w:rPr>
              <w:t>；</w:t>
            </w:r>
          </w:p>
          <w:p w14:paraId="59E21BF2">
            <w:pPr>
              <w:bidi w:val="0"/>
              <w:rPr>
                <w:rFonts w:hint="default" w:ascii="Times New Roman" w:hAnsi="Times New Roman" w:cs="Times New Roman"/>
                <w:color w:val="auto"/>
              </w:rPr>
            </w:pPr>
            <w:r>
              <w:rPr>
                <w:rFonts w:hint="default" w:ascii="Times New Roman" w:hAnsi="Times New Roman" w:cs="Times New Roman"/>
                <w:color w:val="auto"/>
                <w:lang w:val="en-US" w:eastAsia="zh-CN"/>
              </w:rPr>
              <w:t>◆</w:t>
            </w:r>
            <w:r>
              <w:rPr>
                <w:rFonts w:hint="default" w:ascii="Times New Roman" w:hAnsi="Times New Roman" w:cs="Times New Roman"/>
                <w:color w:val="auto"/>
              </w:rPr>
              <w:t>在转移危险废物前，需按照国家有关规定办理相关手续。</w:t>
            </w:r>
          </w:p>
          <w:p w14:paraId="2A773ECA">
            <w:pPr>
              <w:bidi w:val="0"/>
              <w:rPr>
                <w:rFonts w:hint="default" w:ascii="Times New Roman" w:hAnsi="Times New Roman" w:cs="Times New Roman"/>
                <w:color w:val="auto"/>
              </w:rPr>
            </w:pPr>
            <w:r>
              <w:rPr>
                <w:rFonts w:hint="default" w:ascii="Times New Roman" w:hAnsi="Times New Roman" w:cs="Times New Roman"/>
                <w:color w:val="auto"/>
                <w:lang w:val="en-US" w:eastAsia="zh-CN"/>
              </w:rPr>
              <w:t>◆</w:t>
            </w:r>
            <w:r>
              <w:rPr>
                <w:rFonts w:hint="default" w:ascii="Times New Roman" w:hAnsi="Times New Roman" w:cs="Times New Roman"/>
                <w:color w:val="auto"/>
              </w:rPr>
              <w:t>建设单位如实填写联单中产生单位栏目，并加盖公章，经交付危险废物运输单位核实验收签字后，将联单第一联副联自留存档，将联单第二联交移出地环境保护行政主管部门，联单第一联正联及其余各联交付运输单位随危险废物转移运行。</w:t>
            </w:r>
          </w:p>
          <w:p w14:paraId="75E201EC">
            <w:pPr>
              <w:bidi w:val="0"/>
              <w:rPr>
                <w:rFonts w:hint="default" w:ascii="Times New Roman" w:hAnsi="Times New Roman" w:cs="Times New Roman"/>
                <w:color w:val="auto"/>
              </w:rPr>
            </w:pPr>
            <w:r>
              <w:rPr>
                <w:rFonts w:hint="default" w:ascii="Times New Roman" w:hAnsi="Times New Roman" w:cs="Times New Roman"/>
                <w:color w:val="auto"/>
              </w:rPr>
              <w:t>采取上述处理措施，本项目固体废物均得到了合理处置，固废处置率100%。项目固体废物对环境影响较小</w:t>
            </w:r>
          </w:p>
          <w:p w14:paraId="59FE0C82">
            <w:pPr>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5</w:t>
            </w:r>
            <w:r>
              <w:rPr>
                <w:rFonts w:hint="default" w:ascii="Times New Roman" w:hAnsi="Times New Roman" w:cs="Times New Roman"/>
                <w:b/>
                <w:bCs/>
                <w:color w:val="auto"/>
              </w:rPr>
              <w:t>、地下水</w:t>
            </w: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土壤</w:t>
            </w:r>
            <w:r>
              <w:rPr>
                <w:rFonts w:hint="default" w:ascii="Times New Roman" w:hAnsi="Times New Roman" w:cs="Times New Roman"/>
                <w:b/>
                <w:bCs/>
                <w:color w:val="auto"/>
              </w:rPr>
              <w:t>环境影响分析</w:t>
            </w:r>
          </w:p>
          <w:p w14:paraId="4AC45B6F">
            <w:pPr>
              <w:bidi w:val="0"/>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rPr>
              <w:t>1）污染源分析</w:t>
            </w:r>
          </w:p>
          <w:p w14:paraId="59C3E73B">
            <w:pPr>
              <w:bidi w:val="0"/>
              <w:rPr>
                <w:rFonts w:hint="default" w:ascii="Times New Roman" w:hAnsi="Times New Roman" w:cs="Times New Roman"/>
                <w:color w:val="auto"/>
              </w:rPr>
            </w:pPr>
            <w:r>
              <w:rPr>
                <w:rFonts w:hint="default" w:ascii="Times New Roman" w:hAnsi="Times New Roman" w:cs="Times New Roman"/>
                <w:color w:val="auto"/>
              </w:rPr>
              <w:t>本项目正常工况下，不会产生地下水、土壤污染</w:t>
            </w:r>
            <w:r>
              <w:rPr>
                <w:rFonts w:hint="default" w:ascii="Times New Roman" w:hAnsi="Times New Roman" w:cs="Times New Roman"/>
                <w:color w:val="auto"/>
                <w:lang w:eastAsia="zh-CN"/>
              </w:rPr>
              <w:t>。</w:t>
            </w:r>
            <w:r>
              <w:rPr>
                <w:rFonts w:hint="default" w:ascii="Times New Roman" w:hAnsi="Times New Roman" w:cs="Times New Roman"/>
                <w:color w:val="auto"/>
              </w:rPr>
              <w:t>只有在事故状态下，项目内</w:t>
            </w:r>
            <w:r>
              <w:rPr>
                <w:rFonts w:hint="default" w:ascii="Times New Roman" w:hAnsi="Times New Roman" w:cs="Times New Roman"/>
                <w:color w:val="auto"/>
                <w:lang w:val="en-US" w:eastAsia="zh-CN"/>
              </w:rPr>
              <w:t>危废间</w:t>
            </w:r>
            <w:r>
              <w:rPr>
                <w:rFonts w:hint="default" w:ascii="Times New Roman" w:hAnsi="Times New Roman" w:cs="Times New Roman"/>
                <w:color w:val="auto"/>
              </w:rPr>
              <w:t>暂存的</w:t>
            </w:r>
            <w:r>
              <w:rPr>
                <w:rFonts w:hint="default" w:ascii="Times New Roman" w:hAnsi="Times New Roman" w:cs="Times New Roman"/>
                <w:color w:val="auto"/>
                <w:lang w:val="en-US" w:eastAsia="zh-CN"/>
              </w:rPr>
              <w:t>废机油等</w:t>
            </w:r>
            <w:r>
              <w:rPr>
                <w:rFonts w:hint="default" w:ascii="Times New Roman" w:hAnsi="Times New Roman" w:cs="Times New Roman"/>
                <w:color w:val="auto"/>
              </w:rPr>
              <w:t>发生</w:t>
            </w:r>
            <w:r>
              <w:rPr>
                <w:rFonts w:hint="default" w:ascii="Times New Roman" w:hAnsi="Times New Roman" w:cs="Times New Roman"/>
                <w:color w:val="auto"/>
                <w:lang w:val="en-US" w:eastAsia="zh-CN"/>
              </w:rPr>
              <w:t>泄漏</w:t>
            </w:r>
            <w:r>
              <w:rPr>
                <w:rFonts w:hint="default" w:ascii="Times New Roman" w:hAnsi="Times New Roman" w:cs="Times New Roman"/>
                <w:color w:val="auto"/>
              </w:rPr>
              <w:t>，</w:t>
            </w:r>
            <w:r>
              <w:rPr>
                <w:rFonts w:hint="default" w:ascii="Times New Roman" w:hAnsi="Times New Roman" w:cs="Times New Roman"/>
                <w:color w:val="auto"/>
                <w:lang w:val="en-US" w:eastAsia="zh-CN"/>
              </w:rPr>
              <w:t>会</w:t>
            </w:r>
            <w:r>
              <w:rPr>
                <w:rFonts w:hint="default" w:ascii="Times New Roman" w:hAnsi="Times New Roman" w:cs="Times New Roman"/>
                <w:color w:val="auto"/>
              </w:rPr>
              <w:t>对</w:t>
            </w:r>
            <w:r>
              <w:rPr>
                <w:rFonts w:hint="default" w:ascii="Times New Roman" w:hAnsi="Times New Roman" w:cs="Times New Roman"/>
                <w:color w:val="auto"/>
                <w:lang w:val="en-US" w:eastAsia="zh-CN"/>
              </w:rPr>
              <w:t>厂区</w:t>
            </w:r>
            <w:r>
              <w:rPr>
                <w:rFonts w:hint="default" w:ascii="Times New Roman" w:hAnsi="Times New Roman" w:cs="Times New Roman"/>
                <w:color w:val="auto"/>
              </w:rPr>
              <w:t>土壤造成污染，</w:t>
            </w:r>
            <w:r>
              <w:rPr>
                <w:rFonts w:hint="default" w:ascii="Times New Roman" w:hAnsi="Times New Roman" w:cs="Times New Roman"/>
                <w:color w:val="auto"/>
                <w:lang w:val="en-US" w:eastAsia="zh-CN"/>
              </w:rPr>
              <w:t>泄漏下渗</w:t>
            </w:r>
            <w:r>
              <w:rPr>
                <w:rFonts w:hint="default" w:ascii="Times New Roman" w:hAnsi="Times New Roman" w:cs="Times New Roman"/>
                <w:color w:val="auto"/>
              </w:rPr>
              <w:t>可能造成地下水污染。</w:t>
            </w:r>
          </w:p>
          <w:p w14:paraId="1A27CBB6">
            <w:pPr>
              <w:bidi w:val="0"/>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2</w:t>
            </w:r>
            <w:r>
              <w:rPr>
                <w:rFonts w:hint="default" w:ascii="Times New Roman" w:hAnsi="Times New Roman" w:cs="Times New Roman"/>
                <w:b/>
                <w:bCs/>
                <w:color w:val="auto"/>
              </w:rPr>
              <w:t>）防控措施</w:t>
            </w:r>
          </w:p>
          <w:p w14:paraId="109D7D8B">
            <w:pPr>
              <w:bidi w:val="0"/>
              <w:rPr>
                <w:rFonts w:hint="default" w:ascii="Times New Roman" w:hAnsi="Times New Roman" w:cs="Times New Roman"/>
                <w:color w:val="auto"/>
              </w:rPr>
            </w:pPr>
            <w:r>
              <w:rPr>
                <w:rFonts w:hint="default" w:ascii="Times New Roman" w:hAnsi="Times New Roman" w:cs="Times New Roman"/>
                <w:color w:val="auto"/>
              </w:rPr>
              <w:t>针对可能发生的地下水、土壤污染，本项目地下水、土壤污染防治措施从污染物的产生、入渗、扩散、应急响应全方位进行防控。</w:t>
            </w:r>
          </w:p>
          <w:p w14:paraId="15F8F1BE">
            <w:pPr>
              <w:bidi w:val="0"/>
              <w:rPr>
                <w:rFonts w:hint="default" w:ascii="Times New Roman" w:hAnsi="Times New Roman" w:cs="Times New Roman"/>
                <w:b/>
                <w:bCs/>
                <w:color w:val="auto"/>
              </w:rPr>
            </w:pPr>
            <w:r>
              <w:rPr>
                <w:rFonts w:hint="default" w:ascii="Times New Roman" w:hAnsi="Times New Roman" w:cs="Times New Roman"/>
                <w:b/>
                <w:bCs/>
                <w:color w:val="auto"/>
              </w:rPr>
              <w:t>1）污染源控制措施</w:t>
            </w:r>
          </w:p>
          <w:p w14:paraId="69849749">
            <w:pPr>
              <w:bidi w:val="0"/>
              <w:rPr>
                <w:rFonts w:hint="default" w:ascii="Times New Roman" w:hAnsi="Times New Roman" w:cs="Times New Roman"/>
                <w:color w:val="auto"/>
              </w:rPr>
            </w:pPr>
            <w:r>
              <w:rPr>
                <w:rFonts w:hint="default" w:ascii="Times New Roman" w:hAnsi="Times New Roman" w:cs="Times New Roman"/>
                <w:color w:val="auto"/>
              </w:rPr>
              <w:t>①清污分流：按清污分流分质处理的原则，</w:t>
            </w:r>
            <w:r>
              <w:rPr>
                <w:rFonts w:hint="default" w:ascii="Times New Roman" w:hAnsi="Times New Roman" w:cs="Times New Roman"/>
                <w:color w:val="auto"/>
                <w:lang w:val="en-US" w:eastAsia="zh-CN"/>
              </w:rPr>
              <w:t>洗手废水及</w:t>
            </w:r>
            <w:r>
              <w:rPr>
                <w:rFonts w:hint="default" w:ascii="Times New Roman" w:hAnsi="Times New Roman" w:cs="Times New Roman"/>
                <w:color w:val="auto"/>
              </w:rPr>
              <w:t>雨水要有组织地分别排入对应的系统管网和收集、处理系统处理。</w:t>
            </w:r>
          </w:p>
          <w:p w14:paraId="5BF82C1D">
            <w:pPr>
              <w:bidi w:val="0"/>
              <w:rPr>
                <w:rFonts w:hint="default" w:ascii="Times New Roman" w:hAnsi="Times New Roman" w:cs="Times New Roman"/>
                <w:color w:val="auto"/>
              </w:rPr>
            </w:pPr>
            <w:r>
              <w:rPr>
                <w:rFonts w:hint="default" w:ascii="Times New Roman" w:hAnsi="Times New Roman" w:cs="Times New Roman"/>
                <w:color w:val="auto"/>
              </w:rPr>
              <w:t>②防渗为重。根据建设单位提供的资料，厂区建设将采取严格的分区防渗措施。</w:t>
            </w:r>
          </w:p>
          <w:p w14:paraId="1F115518">
            <w:pPr>
              <w:bidi w:val="0"/>
              <w:rPr>
                <w:rFonts w:hint="default" w:ascii="Times New Roman" w:hAnsi="Times New Roman" w:cs="Times New Roman"/>
                <w:color w:val="auto"/>
              </w:rPr>
            </w:pPr>
            <w:r>
              <w:rPr>
                <w:rFonts w:hint="default" w:ascii="Times New Roman" w:hAnsi="Times New Roman" w:cs="Times New Roman"/>
                <w:color w:val="auto"/>
              </w:rPr>
              <w:t>项目按照分区防控的要求，实施分区防渗，分为重点防渗区、一般防渗区、简单防渗区，厂区防渗内容汇总见表4-</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5</w:t>
            </w:r>
            <w:r>
              <w:rPr>
                <w:rFonts w:hint="default" w:ascii="Times New Roman" w:hAnsi="Times New Roman" w:cs="Times New Roman"/>
                <w:color w:val="auto"/>
              </w:rPr>
              <w:t>。</w:t>
            </w:r>
          </w:p>
          <w:p w14:paraId="701264BA">
            <w:pPr>
              <w:bidi w:val="0"/>
              <w:jc w:val="center"/>
              <w:rPr>
                <w:rFonts w:hint="default" w:ascii="Times New Roman" w:hAnsi="Times New Roman" w:cs="Times New Roman"/>
                <w:b/>
                <w:bCs/>
                <w:color w:val="auto"/>
              </w:rPr>
            </w:pPr>
          </w:p>
          <w:p w14:paraId="608AB6EC">
            <w:pPr>
              <w:bidi w:val="0"/>
              <w:jc w:val="center"/>
              <w:rPr>
                <w:rFonts w:hint="default" w:ascii="Times New Roman" w:hAnsi="Times New Roman" w:cs="Times New Roman"/>
                <w:b/>
                <w:bCs/>
                <w:color w:val="auto"/>
              </w:rPr>
            </w:pPr>
          </w:p>
          <w:p w14:paraId="435ABC33">
            <w:pPr>
              <w:bidi w:val="0"/>
              <w:jc w:val="center"/>
              <w:rPr>
                <w:rFonts w:hint="default" w:ascii="Times New Roman" w:hAnsi="Times New Roman" w:cs="Times New Roman"/>
                <w:b/>
                <w:bCs/>
                <w:color w:val="auto"/>
              </w:rPr>
            </w:pPr>
          </w:p>
          <w:p w14:paraId="70D1F7D0">
            <w:pPr>
              <w:bidi w:val="0"/>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default" w:ascii="Times New Roman" w:hAnsi="Times New Roman" w:cs="Times New Roman"/>
                <w:b/>
                <w:bCs/>
                <w:color w:val="auto"/>
                <w:lang w:val="en-US" w:eastAsia="zh-CN"/>
              </w:rPr>
              <w:t>1</w:t>
            </w:r>
            <w:r>
              <w:rPr>
                <w:rFonts w:hint="eastAsia" w:ascii="Times New Roman" w:hAnsi="Times New Roman" w:cs="Times New Roman"/>
                <w:b/>
                <w:bCs/>
                <w:color w:val="auto"/>
                <w:lang w:val="en-US" w:eastAsia="zh-CN"/>
              </w:rPr>
              <w:t>5</w:t>
            </w:r>
            <w:r>
              <w:rPr>
                <w:rFonts w:hint="default" w:ascii="Times New Roman" w:hAnsi="Times New Roman" w:cs="Times New Roman"/>
                <w:b/>
                <w:bCs/>
                <w:color w:val="auto"/>
              </w:rPr>
              <w:t xml:space="preserve">  厂区分区防渗内容汇总表</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1546"/>
              <w:gridCol w:w="5040"/>
            </w:tblGrid>
            <w:tr w14:paraId="591D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5" w:type="dxa"/>
                  <w:tcBorders>
                    <w:top w:val="single" w:color="auto" w:sz="4" w:space="0"/>
                    <w:left w:val="single" w:color="auto" w:sz="4" w:space="0"/>
                    <w:bottom w:val="single" w:color="auto" w:sz="4" w:space="0"/>
                    <w:right w:val="single" w:color="auto" w:sz="4" w:space="0"/>
                  </w:tcBorders>
                  <w:noWrap w:val="0"/>
                  <w:vAlign w:val="center"/>
                </w:tcPr>
                <w:p w14:paraId="7C7B6E08">
                  <w:pPr>
                    <w:pStyle w:val="14"/>
                    <w:bidi w:val="0"/>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62851F74">
                  <w:pPr>
                    <w:pStyle w:val="14"/>
                    <w:bidi w:val="0"/>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5310" w:type="dxa"/>
                  <w:tcBorders>
                    <w:top w:val="single" w:color="auto" w:sz="4" w:space="0"/>
                    <w:left w:val="single" w:color="auto" w:sz="4" w:space="0"/>
                    <w:bottom w:val="single" w:color="auto" w:sz="4" w:space="0"/>
                    <w:right w:val="single" w:color="auto" w:sz="4" w:space="0"/>
                  </w:tcBorders>
                  <w:noWrap w:val="0"/>
                  <w:vAlign w:val="center"/>
                </w:tcPr>
                <w:p w14:paraId="68DD68F9">
                  <w:pPr>
                    <w:pStyle w:val="14"/>
                    <w:bidi w:val="0"/>
                    <w:rPr>
                      <w:rFonts w:hint="default" w:ascii="Times New Roman" w:hAnsi="Times New Roman" w:cs="Times New Roman"/>
                      <w:b/>
                      <w:bCs/>
                      <w:color w:val="auto"/>
                    </w:rPr>
                  </w:pPr>
                  <w:r>
                    <w:rPr>
                      <w:rFonts w:hint="default" w:ascii="Times New Roman" w:hAnsi="Times New Roman" w:cs="Times New Roman"/>
                      <w:b/>
                      <w:bCs/>
                      <w:color w:val="auto"/>
                    </w:rPr>
                    <w:t>区域</w:t>
                  </w:r>
                </w:p>
              </w:tc>
            </w:tr>
            <w:tr w14:paraId="3CF0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5" w:type="dxa"/>
                  <w:tcBorders>
                    <w:top w:val="single" w:color="auto" w:sz="4" w:space="0"/>
                    <w:left w:val="single" w:color="auto" w:sz="4" w:space="0"/>
                    <w:bottom w:val="single" w:color="auto" w:sz="4" w:space="0"/>
                    <w:right w:val="single" w:color="auto" w:sz="4" w:space="0"/>
                  </w:tcBorders>
                  <w:noWrap w:val="0"/>
                  <w:vAlign w:val="center"/>
                </w:tcPr>
                <w:p w14:paraId="0A2F1706">
                  <w:pPr>
                    <w:pStyle w:val="14"/>
                    <w:bidi w:val="0"/>
                    <w:rPr>
                      <w:rFonts w:hint="default" w:ascii="Times New Roman" w:hAnsi="Times New Roman" w:cs="Times New Roman"/>
                      <w:color w:val="auto"/>
                    </w:rPr>
                  </w:pPr>
                  <w:r>
                    <w:rPr>
                      <w:rFonts w:hint="default" w:ascii="Times New Roman" w:hAnsi="Times New Roman" w:cs="Times New Roman"/>
                      <w:color w:val="auto"/>
                    </w:rPr>
                    <w:t>1</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065B3B81">
                  <w:pPr>
                    <w:pStyle w:val="14"/>
                    <w:bidi w:val="0"/>
                    <w:rPr>
                      <w:rFonts w:hint="default" w:ascii="Times New Roman" w:hAnsi="Times New Roman" w:cs="Times New Roman"/>
                      <w:color w:val="auto"/>
                    </w:rPr>
                  </w:pPr>
                  <w:r>
                    <w:rPr>
                      <w:rFonts w:hint="default" w:ascii="Times New Roman" w:hAnsi="Times New Roman" w:cs="Times New Roman"/>
                      <w:color w:val="auto"/>
                    </w:rPr>
                    <w:t>重点防渗区</w:t>
                  </w:r>
                </w:p>
              </w:tc>
              <w:tc>
                <w:tcPr>
                  <w:tcW w:w="5310" w:type="dxa"/>
                  <w:tcBorders>
                    <w:top w:val="single" w:color="auto" w:sz="4" w:space="0"/>
                    <w:left w:val="single" w:color="auto" w:sz="4" w:space="0"/>
                    <w:bottom w:val="single" w:color="auto" w:sz="4" w:space="0"/>
                    <w:right w:val="single" w:color="auto" w:sz="4" w:space="0"/>
                  </w:tcBorders>
                  <w:noWrap w:val="0"/>
                  <w:vAlign w:val="center"/>
                </w:tcPr>
                <w:p w14:paraId="1D2E1A43">
                  <w:pPr>
                    <w:pStyle w:val="1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危废暂存间</w:t>
                  </w:r>
                  <w:r>
                    <w:rPr>
                      <w:rFonts w:hint="eastAsia" w:cs="Times New Roman"/>
                      <w:color w:val="auto"/>
                      <w:lang w:eastAsia="zh-CN"/>
                    </w:rPr>
                    <w:t>、</w:t>
                  </w:r>
                  <w:r>
                    <w:rPr>
                      <w:rFonts w:hint="eastAsia" w:cs="Times New Roman"/>
                      <w:color w:val="auto"/>
                      <w:lang w:val="en-US" w:eastAsia="zh-CN"/>
                    </w:rPr>
                    <w:t>喷漆房、油漆及稀释剂贮存区</w:t>
                  </w:r>
                </w:p>
              </w:tc>
            </w:tr>
            <w:tr w14:paraId="57FE9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5" w:type="dxa"/>
                  <w:tcBorders>
                    <w:top w:val="single" w:color="auto" w:sz="4" w:space="0"/>
                    <w:left w:val="single" w:color="auto" w:sz="4" w:space="0"/>
                    <w:bottom w:val="single" w:color="auto" w:sz="4" w:space="0"/>
                    <w:right w:val="single" w:color="auto" w:sz="4" w:space="0"/>
                  </w:tcBorders>
                  <w:noWrap w:val="0"/>
                  <w:vAlign w:val="center"/>
                </w:tcPr>
                <w:p w14:paraId="0D8677FF">
                  <w:pPr>
                    <w:pStyle w:val="14"/>
                    <w:bidi w:val="0"/>
                    <w:rPr>
                      <w:rFonts w:hint="default" w:ascii="Times New Roman" w:hAnsi="Times New Roman" w:cs="Times New Roman"/>
                      <w:color w:val="auto"/>
                    </w:rPr>
                  </w:pPr>
                  <w:r>
                    <w:rPr>
                      <w:rFonts w:hint="default" w:ascii="Times New Roman" w:hAnsi="Times New Roman" w:cs="Times New Roman"/>
                      <w:color w:val="auto"/>
                    </w:rPr>
                    <w:t>2</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113A294A">
                  <w:pPr>
                    <w:pStyle w:val="14"/>
                    <w:bidi w:val="0"/>
                    <w:rPr>
                      <w:rFonts w:hint="default" w:ascii="Times New Roman" w:hAnsi="Times New Roman" w:cs="Times New Roman"/>
                      <w:color w:val="auto"/>
                    </w:rPr>
                  </w:pPr>
                  <w:r>
                    <w:rPr>
                      <w:rFonts w:hint="default" w:ascii="Times New Roman" w:hAnsi="Times New Roman" w:cs="Times New Roman"/>
                      <w:color w:val="auto"/>
                    </w:rPr>
                    <w:t>一般防渗区</w:t>
                  </w:r>
                </w:p>
              </w:tc>
              <w:tc>
                <w:tcPr>
                  <w:tcW w:w="5310" w:type="dxa"/>
                  <w:tcBorders>
                    <w:top w:val="single" w:color="auto" w:sz="4" w:space="0"/>
                    <w:left w:val="single" w:color="auto" w:sz="4" w:space="0"/>
                    <w:bottom w:val="single" w:color="auto" w:sz="4" w:space="0"/>
                    <w:right w:val="single" w:color="auto" w:sz="4" w:space="0"/>
                  </w:tcBorders>
                  <w:noWrap w:val="0"/>
                  <w:vAlign w:val="center"/>
                </w:tcPr>
                <w:p w14:paraId="5330223B">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沉淀池、生产厂房及一般固废间</w:t>
                  </w:r>
                </w:p>
              </w:tc>
            </w:tr>
            <w:tr w14:paraId="1ACE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5" w:type="dxa"/>
                  <w:tcBorders>
                    <w:top w:val="single" w:color="auto" w:sz="4" w:space="0"/>
                    <w:left w:val="single" w:color="auto" w:sz="4" w:space="0"/>
                    <w:bottom w:val="single" w:color="auto" w:sz="4" w:space="0"/>
                    <w:right w:val="single" w:color="auto" w:sz="4" w:space="0"/>
                  </w:tcBorders>
                  <w:noWrap w:val="0"/>
                  <w:vAlign w:val="center"/>
                </w:tcPr>
                <w:p w14:paraId="0BFCE3E1">
                  <w:pPr>
                    <w:pStyle w:val="14"/>
                    <w:bidi w:val="0"/>
                    <w:rPr>
                      <w:rFonts w:hint="default" w:ascii="Times New Roman" w:hAnsi="Times New Roman" w:cs="Times New Roman"/>
                      <w:color w:val="auto"/>
                    </w:rPr>
                  </w:pPr>
                  <w:r>
                    <w:rPr>
                      <w:rFonts w:hint="default" w:ascii="Times New Roman" w:hAnsi="Times New Roman" w:cs="Times New Roman"/>
                      <w:color w:val="auto"/>
                    </w:rPr>
                    <w:t>3</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83250E8">
                  <w:pPr>
                    <w:pStyle w:val="14"/>
                    <w:bidi w:val="0"/>
                    <w:rPr>
                      <w:rFonts w:hint="default" w:ascii="Times New Roman" w:hAnsi="Times New Roman" w:cs="Times New Roman"/>
                      <w:color w:val="auto"/>
                    </w:rPr>
                  </w:pPr>
                  <w:r>
                    <w:rPr>
                      <w:rFonts w:hint="default" w:ascii="Times New Roman" w:hAnsi="Times New Roman" w:cs="Times New Roman"/>
                      <w:color w:val="auto"/>
                    </w:rPr>
                    <w:t>简单防渗区</w:t>
                  </w:r>
                </w:p>
              </w:tc>
              <w:tc>
                <w:tcPr>
                  <w:tcW w:w="5310" w:type="dxa"/>
                  <w:tcBorders>
                    <w:top w:val="single" w:color="auto" w:sz="4" w:space="0"/>
                    <w:left w:val="single" w:color="auto" w:sz="4" w:space="0"/>
                    <w:bottom w:val="single" w:color="auto" w:sz="4" w:space="0"/>
                    <w:right w:val="single" w:color="auto" w:sz="4" w:space="0"/>
                  </w:tcBorders>
                  <w:noWrap w:val="0"/>
                  <w:vAlign w:val="center"/>
                </w:tcPr>
                <w:p w14:paraId="7709BC48">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其他（办公区、配电室、道路地面等）</w:t>
                  </w:r>
                </w:p>
              </w:tc>
            </w:tr>
          </w:tbl>
          <w:p w14:paraId="5F3B6CFB">
            <w:pPr>
              <w:bidi w:val="0"/>
              <w:rPr>
                <w:rFonts w:hint="default" w:ascii="Times New Roman" w:hAnsi="Times New Roman" w:cs="Times New Roman"/>
                <w:b/>
                <w:bCs/>
                <w:color w:val="auto"/>
              </w:rPr>
            </w:pPr>
            <w:r>
              <w:rPr>
                <w:rFonts w:hint="default" w:ascii="Times New Roman" w:hAnsi="Times New Roman" w:cs="Times New Roman"/>
                <w:b/>
                <w:bCs/>
                <w:color w:val="auto"/>
              </w:rPr>
              <w:t>2）防渗措施</w:t>
            </w:r>
          </w:p>
          <w:p w14:paraId="5C981FDF">
            <w:pPr>
              <w:bidi w:val="0"/>
              <w:rPr>
                <w:rFonts w:hint="default" w:ascii="Times New Roman" w:hAnsi="Times New Roman" w:cs="Times New Roman"/>
                <w:color w:val="auto"/>
              </w:rPr>
            </w:pPr>
            <w:r>
              <w:rPr>
                <w:rFonts w:hint="default" w:ascii="Times New Roman" w:hAnsi="Times New Roman" w:cs="Times New Roman"/>
                <w:color w:val="auto"/>
              </w:rPr>
              <w:t>根据不同区域的防渗要求，本评价根据不同区域的功能划分，提出具体的防渗系数要求，分述如下：</w:t>
            </w:r>
          </w:p>
          <w:p w14:paraId="51589E64">
            <w:pPr>
              <w:bidi w:val="0"/>
              <w:rPr>
                <w:rFonts w:hint="default" w:ascii="Times New Roman" w:hAnsi="Times New Roman" w:cs="Times New Roman"/>
                <w:b/>
                <w:bCs/>
                <w:color w:val="auto"/>
              </w:rPr>
            </w:pPr>
            <w:r>
              <w:rPr>
                <w:rFonts w:hint="default" w:ascii="Times New Roman" w:hAnsi="Times New Roman" w:cs="Times New Roman"/>
                <w:b/>
                <w:bCs/>
                <w:color w:val="auto"/>
              </w:rPr>
              <w:t>a.重点防渗区</w:t>
            </w:r>
          </w:p>
          <w:p w14:paraId="311238DF">
            <w:pPr>
              <w:bidi w:val="0"/>
              <w:rPr>
                <w:rFonts w:hint="default" w:ascii="Times New Roman" w:hAnsi="Times New Roman" w:cs="Times New Roman"/>
                <w:color w:val="auto"/>
              </w:rPr>
            </w:pPr>
            <w:r>
              <w:rPr>
                <w:rFonts w:hint="default" w:ascii="Times New Roman" w:hAnsi="Times New Roman" w:cs="Times New Roman"/>
                <w:color w:val="auto"/>
              </w:rPr>
              <w:t>防渗技术要求为：等效黏土防渗层Mb≥6.0m，K≤1×10</w:t>
            </w:r>
            <w:r>
              <w:rPr>
                <w:rFonts w:hint="default" w:ascii="Times New Roman" w:hAnsi="Times New Roman" w:cs="Times New Roman"/>
                <w:color w:val="auto"/>
                <w:vertAlign w:val="superscript"/>
              </w:rPr>
              <w:t>-7</w:t>
            </w:r>
            <w:r>
              <w:rPr>
                <w:rFonts w:hint="default" w:ascii="Times New Roman" w:hAnsi="Times New Roman" w:cs="Times New Roman"/>
                <w:color w:val="auto"/>
              </w:rPr>
              <w:t>cm/s</w:t>
            </w:r>
            <w:r>
              <w:rPr>
                <w:rFonts w:hint="eastAsia" w:cs="Times New Roman"/>
                <w:color w:val="auto"/>
                <w:lang w:eastAsia="zh-CN"/>
              </w:rPr>
              <w:t>；</w:t>
            </w:r>
            <w:r>
              <w:rPr>
                <w:rFonts w:hint="default" w:ascii="Times New Roman" w:hAnsi="Times New Roman" w:cs="Times New Roman"/>
                <w:color w:val="auto"/>
              </w:rPr>
              <w:t>或参照GB18598执行。</w:t>
            </w:r>
          </w:p>
          <w:p w14:paraId="5D2BC3D9">
            <w:pPr>
              <w:bidi w:val="0"/>
              <w:rPr>
                <w:rFonts w:hint="default" w:ascii="Times New Roman" w:hAnsi="Times New Roman" w:cs="Times New Roman"/>
                <w:color w:val="auto"/>
                <w:lang w:val="en-US" w:eastAsia="zh-CN"/>
              </w:rPr>
            </w:pPr>
            <w:r>
              <w:rPr>
                <w:rFonts w:hint="default" w:ascii="Times New Roman" w:hAnsi="Times New Roman" w:cs="Times New Roman"/>
                <w:color w:val="auto"/>
              </w:rPr>
              <w:t>防渗措施：</w:t>
            </w:r>
            <w:r>
              <w:rPr>
                <w:rFonts w:hint="default" w:ascii="Times New Roman" w:hAnsi="Times New Roman" w:cs="Times New Roman"/>
                <w:color w:val="auto"/>
                <w:lang w:val="en-US" w:eastAsia="zh-CN"/>
              </w:rPr>
              <w:t>建议采用</w:t>
            </w:r>
            <w:r>
              <w:rPr>
                <w:rFonts w:hint="eastAsia" w:cs="Times New Roman"/>
                <w:color w:val="auto"/>
                <w:lang w:val="en-US" w:eastAsia="zh-CN"/>
              </w:rPr>
              <w:t>“</w:t>
            </w:r>
            <w:r>
              <w:rPr>
                <w:rFonts w:hint="default" w:ascii="Times New Roman" w:hAnsi="Times New Roman" w:cs="Times New Roman"/>
                <w:color w:val="auto"/>
                <w:lang w:val="en-US" w:eastAsia="zh-CN"/>
              </w:rPr>
              <w:t>抗渗系数为P8水泥+2.0mmHDPE膜+环氧树脂</w:t>
            </w:r>
            <w:r>
              <w:rPr>
                <w:rFonts w:hint="eastAsia" w:cs="Times New Roman"/>
                <w:color w:val="auto"/>
                <w:lang w:val="en-US" w:eastAsia="zh-CN"/>
              </w:rPr>
              <w:t>”</w:t>
            </w:r>
            <w:r>
              <w:rPr>
                <w:rFonts w:hint="default" w:ascii="Times New Roman" w:hAnsi="Times New Roman" w:cs="Times New Roman"/>
                <w:color w:val="auto"/>
                <w:lang w:val="en-US" w:eastAsia="zh-CN"/>
              </w:rPr>
              <w:t>进行防渗，使其地面、围堰区达到渗透系数≤1×10</w:t>
            </w:r>
            <w:r>
              <w:rPr>
                <w:rFonts w:hint="default" w:ascii="Times New Roman" w:hAnsi="Times New Roman" w:cs="Times New Roman"/>
                <w:color w:val="auto"/>
                <w:vertAlign w:val="superscript"/>
                <w:lang w:val="en-US" w:eastAsia="zh-CN"/>
              </w:rPr>
              <w:t>-10</w:t>
            </w:r>
            <w:r>
              <w:rPr>
                <w:rFonts w:hint="default" w:ascii="Times New Roman" w:hAnsi="Times New Roman" w:cs="Times New Roman"/>
                <w:color w:val="auto"/>
                <w:lang w:val="en-US" w:eastAsia="zh-CN"/>
              </w:rPr>
              <w:t>cm/s的防渗性能。</w:t>
            </w:r>
          </w:p>
          <w:p w14:paraId="3710774A">
            <w:pPr>
              <w:bidi w:val="0"/>
              <w:rPr>
                <w:rFonts w:hint="default" w:ascii="Times New Roman" w:hAnsi="Times New Roman" w:cs="Times New Roman"/>
                <w:b/>
                <w:bCs/>
                <w:color w:val="auto"/>
              </w:rPr>
            </w:pPr>
            <w:r>
              <w:rPr>
                <w:rFonts w:hint="default" w:ascii="Times New Roman" w:hAnsi="Times New Roman" w:cs="Times New Roman"/>
                <w:b/>
                <w:bCs/>
                <w:color w:val="auto"/>
              </w:rPr>
              <w:t>b.一般防渗区</w:t>
            </w:r>
          </w:p>
          <w:p w14:paraId="2E7510D9">
            <w:pPr>
              <w:bidi w:val="0"/>
              <w:rPr>
                <w:rFonts w:hint="default" w:ascii="Times New Roman" w:hAnsi="Times New Roman" w:cs="Times New Roman"/>
                <w:color w:val="auto"/>
              </w:rPr>
            </w:pPr>
            <w:r>
              <w:rPr>
                <w:rFonts w:hint="default" w:ascii="Times New Roman" w:hAnsi="Times New Roman" w:cs="Times New Roman"/>
                <w:color w:val="auto"/>
              </w:rPr>
              <w:t>防渗技术要求为：等效黏土防渗层Mb≥1.5m，K≤1×10</w:t>
            </w:r>
            <w:r>
              <w:rPr>
                <w:rFonts w:hint="default" w:ascii="Times New Roman" w:hAnsi="Times New Roman" w:cs="Times New Roman"/>
                <w:color w:val="auto"/>
                <w:vertAlign w:val="superscript"/>
              </w:rPr>
              <w:t>-7</w:t>
            </w:r>
            <w:r>
              <w:rPr>
                <w:rFonts w:hint="default" w:ascii="Times New Roman" w:hAnsi="Times New Roman" w:cs="Times New Roman"/>
                <w:color w:val="auto"/>
              </w:rPr>
              <w:t>cm/s</w:t>
            </w:r>
            <w:r>
              <w:rPr>
                <w:rFonts w:hint="eastAsia" w:cs="Times New Roman"/>
                <w:color w:val="auto"/>
                <w:lang w:eastAsia="zh-CN"/>
              </w:rPr>
              <w:t>；</w:t>
            </w:r>
            <w:r>
              <w:rPr>
                <w:rFonts w:hint="default" w:ascii="Times New Roman" w:hAnsi="Times New Roman" w:cs="Times New Roman"/>
                <w:color w:val="auto"/>
              </w:rPr>
              <w:t>或参照GB16889执行。</w:t>
            </w:r>
          </w:p>
          <w:p w14:paraId="506C23B9">
            <w:pPr>
              <w:bidi w:val="0"/>
              <w:rPr>
                <w:rFonts w:hint="default" w:ascii="Times New Roman" w:hAnsi="Times New Roman" w:cs="Times New Roman"/>
                <w:color w:val="auto"/>
              </w:rPr>
            </w:pPr>
            <w:r>
              <w:rPr>
                <w:rFonts w:hint="default" w:ascii="Times New Roman" w:hAnsi="Times New Roman" w:cs="Times New Roman"/>
                <w:color w:val="auto"/>
              </w:rPr>
              <w:t>防渗措施：</w:t>
            </w:r>
            <w:r>
              <w:rPr>
                <w:rFonts w:hint="default" w:ascii="Times New Roman" w:hAnsi="Times New Roman" w:cs="Times New Roman"/>
                <w:color w:val="auto"/>
                <w:lang w:val="en-US" w:eastAsia="zh-CN"/>
              </w:rPr>
              <w:t>沉淀池防渗层建议采用2.0mm厚HDPE防渗膜+硬化，防渗性能达到等效黏土防渗层Mb≥1.5m，渗透系数≤1.0×10</w:t>
            </w:r>
            <w:r>
              <w:rPr>
                <w:rFonts w:hint="default" w:ascii="Times New Roman" w:hAnsi="Times New Roman" w:cs="Times New Roman"/>
                <w:color w:val="auto"/>
                <w:vertAlign w:val="superscript"/>
                <w:lang w:val="en-US" w:eastAsia="zh-CN"/>
              </w:rPr>
              <w:t>-7</w:t>
            </w:r>
            <w:r>
              <w:rPr>
                <w:rFonts w:hint="default" w:ascii="Times New Roman" w:hAnsi="Times New Roman" w:cs="Times New Roman"/>
                <w:color w:val="auto"/>
                <w:lang w:val="en-US" w:eastAsia="zh-CN"/>
              </w:rPr>
              <w:t>cm/s</w:t>
            </w:r>
            <w:r>
              <w:rPr>
                <w:rFonts w:hint="eastAsia" w:cs="Times New Roman"/>
                <w:color w:val="auto"/>
                <w:lang w:val="en-US" w:eastAsia="zh-CN"/>
              </w:rPr>
              <w:t>；</w:t>
            </w:r>
            <w:r>
              <w:rPr>
                <w:rFonts w:hint="default" w:ascii="Times New Roman" w:hAnsi="Times New Roman" w:cs="Times New Roman"/>
                <w:color w:val="auto"/>
                <w:lang w:val="en-US" w:eastAsia="zh-CN"/>
              </w:rPr>
              <w:t>生产厂房、</w:t>
            </w:r>
            <w:r>
              <w:rPr>
                <w:rFonts w:hint="default" w:ascii="Times New Roman" w:hAnsi="Times New Roman" w:cs="Times New Roman"/>
                <w:color w:val="auto"/>
                <w:lang w:eastAsia="zh-CN"/>
              </w:rPr>
              <w:t>一般工业固废</w:t>
            </w:r>
            <w:r>
              <w:rPr>
                <w:rFonts w:hint="default" w:ascii="Times New Roman" w:hAnsi="Times New Roman" w:cs="Times New Roman"/>
                <w:color w:val="auto"/>
              </w:rPr>
              <w:t>存放区参照《一般工业固体废物贮存和填埋污染控制标准》</w:t>
            </w:r>
            <w:r>
              <w:rPr>
                <w:rFonts w:hint="default" w:ascii="Times New Roman" w:hAnsi="Times New Roman" w:cs="Times New Roman"/>
                <w:color w:val="auto"/>
                <w:lang w:eastAsia="zh-CN"/>
              </w:rPr>
              <w:t>（</w:t>
            </w:r>
            <w:r>
              <w:rPr>
                <w:rFonts w:hint="default" w:ascii="Times New Roman" w:hAnsi="Times New Roman" w:cs="Times New Roman"/>
                <w:color w:val="auto"/>
              </w:rPr>
              <w:t>GB18599-2020）要求防渗，等效粘土防渗层Mb≥0.75m，K≤1.0×10</w:t>
            </w:r>
            <w:r>
              <w:rPr>
                <w:rFonts w:hint="default" w:ascii="Times New Roman" w:hAnsi="Times New Roman" w:cs="Times New Roman"/>
                <w:color w:val="auto"/>
                <w:vertAlign w:val="superscript"/>
              </w:rPr>
              <w:t>-5</w:t>
            </w:r>
            <w:r>
              <w:rPr>
                <w:rFonts w:hint="default" w:ascii="Times New Roman" w:hAnsi="Times New Roman" w:cs="Times New Roman"/>
                <w:color w:val="auto"/>
              </w:rPr>
              <w:t>cm/s。</w:t>
            </w:r>
          </w:p>
          <w:p w14:paraId="1FCB44E6">
            <w:pPr>
              <w:bidi w:val="0"/>
              <w:rPr>
                <w:rFonts w:hint="default" w:ascii="Times New Roman" w:hAnsi="Times New Roman" w:cs="Times New Roman"/>
                <w:b/>
                <w:bCs/>
                <w:color w:val="auto"/>
              </w:rPr>
            </w:pPr>
            <w:r>
              <w:rPr>
                <w:rFonts w:hint="default" w:ascii="Times New Roman" w:hAnsi="Times New Roman" w:cs="Times New Roman"/>
                <w:b/>
                <w:bCs/>
                <w:color w:val="auto"/>
              </w:rPr>
              <w:t>c.简单防渗区</w:t>
            </w:r>
          </w:p>
          <w:p w14:paraId="7145FFF4">
            <w:pPr>
              <w:bidi w:val="0"/>
              <w:rPr>
                <w:rFonts w:hint="default" w:ascii="Times New Roman" w:hAnsi="Times New Roman" w:cs="Times New Roman"/>
                <w:color w:val="auto"/>
              </w:rPr>
            </w:pPr>
            <w:r>
              <w:rPr>
                <w:rFonts w:hint="default" w:ascii="Times New Roman" w:hAnsi="Times New Roman" w:cs="Times New Roman"/>
                <w:color w:val="auto"/>
              </w:rPr>
              <w:t>采用防渗混凝土作面层，面层厚度不小于100mm，渗透系数≤10</w:t>
            </w:r>
            <w:r>
              <w:rPr>
                <w:rFonts w:hint="default" w:ascii="Times New Roman" w:hAnsi="Times New Roman" w:cs="Times New Roman"/>
                <w:color w:val="auto"/>
                <w:vertAlign w:val="superscript"/>
              </w:rPr>
              <w:t>-7</w:t>
            </w:r>
            <w:r>
              <w:rPr>
                <w:rFonts w:hint="default" w:ascii="Times New Roman" w:hAnsi="Times New Roman" w:cs="Times New Roman"/>
                <w:color w:val="auto"/>
              </w:rPr>
              <w:t>cm/s，其下铺砌砂石基层，进行一般地面硬化。</w:t>
            </w:r>
          </w:p>
          <w:p w14:paraId="339A718E">
            <w:pPr>
              <w:bidi w:val="0"/>
              <w:rPr>
                <w:rFonts w:hint="default" w:ascii="Times New Roman" w:hAnsi="Times New Roman" w:cs="Times New Roman"/>
                <w:b/>
                <w:bCs/>
                <w:color w:val="auto"/>
              </w:rPr>
            </w:pPr>
            <w:r>
              <w:rPr>
                <w:rFonts w:hint="default" w:ascii="Times New Roman" w:hAnsi="Times New Roman" w:cs="Times New Roman"/>
                <w:b/>
                <w:bCs/>
                <w:color w:val="auto"/>
              </w:rPr>
              <w:t>3）应急处置措施</w:t>
            </w:r>
          </w:p>
          <w:p w14:paraId="36799D86">
            <w:pPr>
              <w:bidi w:val="0"/>
              <w:rPr>
                <w:rFonts w:hint="eastAsia" w:ascii="Times New Roman" w:hAnsi="Times New Roman" w:eastAsia="宋体" w:cs="Times New Roman"/>
                <w:color w:val="auto"/>
                <w:lang w:eastAsia="zh-CN"/>
              </w:rPr>
            </w:pPr>
            <w:r>
              <w:rPr>
                <w:rFonts w:hint="default" w:ascii="Times New Roman" w:hAnsi="Times New Roman" w:cs="Times New Roman"/>
                <w:color w:val="auto"/>
                <w:lang w:val="en-US" w:eastAsia="zh-CN"/>
              </w:rPr>
              <w:t>①</w:t>
            </w:r>
            <w:r>
              <w:rPr>
                <w:rFonts w:hint="default" w:ascii="Times New Roman" w:hAnsi="Times New Roman" w:cs="Times New Roman"/>
                <w:color w:val="auto"/>
              </w:rPr>
              <w:t>如发现地下水</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土壤</w:t>
            </w:r>
            <w:r>
              <w:rPr>
                <w:rFonts w:hint="default" w:ascii="Times New Roman" w:hAnsi="Times New Roman" w:cs="Times New Roman"/>
                <w:color w:val="auto"/>
              </w:rPr>
              <w:t>污染事故，应立即向公司环保部门及行政管理部门报告，调查并确认污染源位置</w:t>
            </w:r>
            <w:r>
              <w:rPr>
                <w:rFonts w:hint="eastAsia" w:cs="Times New Roman"/>
                <w:color w:val="auto"/>
                <w:lang w:eastAsia="zh-CN"/>
              </w:rPr>
              <w:t>；</w:t>
            </w:r>
          </w:p>
          <w:p w14:paraId="218B61D0">
            <w:pPr>
              <w:bidi w:val="0"/>
              <w:rPr>
                <w:rFonts w:hint="eastAsia" w:ascii="Times New Roman" w:hAnsi="Times New Roman" w:eastAsia="宋体" w:cs="Times New Roman"/>
                <w:color w:val="auto"/>
                <w:lang w:eastAsia="zh-CN"/>
              </w:rPr>
            </w:pPr>
            <w:r>
              <w:rPr>
                <w:rFonts w:hint="default" w:ascii="Times New Roman" w:hAnsi="Times New Roman" w:cs="Times New Roman"/>
                <w:color w:val="auto"/>
                <w:lang w:val="en-US" w:eastAsia="zh-CN"/>
              </w:rPr>
              <w:t>②</w:t>
            </w:r>
            <w:r>
              <w:rPr>
                <w:rFonts w:hint="default" w:ascii="Times New Roman" w:hAnsi="Times New Roman" w:cs="Times New Roman"/>
                <w:color w:val="auto"/>
              </w:rPr>
              <w:t>采取有效措施及时阻断确认的污染源，防止污染物继续渗漏到地下，导致土壤和地下水污染范围扩大</w:t>
            </w:r>
            <w:r>
              <w:rPr>
                <w:rFonts w:hint="eastAsia" w:cs="Times New Roman"/>
                <w:color w:val="auto"/>
                <w:lang w:eastAsia="zh-CN"/>
              </w:rPr>
              <w:t>；</w:t>
            </w:r>
          </w:p>
          <w:p w14:paraId="2E9AD077">
            <w:pPr>
              <w:bidi w:val="0"/>
              <w:rPr>
                <w:rFonts w:hint="eastAsia" w:ascii="Times New Roman" w:hAnsi="Times New Roman" w:eastAsia="宋体" w:cs="Times New Roman"/>
                <w:color w:val="auto"/>
                <w:lang w:eastAsia="zh-CN"/>
              </w:rPr>
            </w:pPr>
            <w:r>
              <w:rPr>
                <w:rFonts w:hint="default" w:ascii="Times New Roman" w:hAnsi="Times New Roman" w:cs="Times New Roman"/>
                <w:color w:val="auto"/>
                <w:lang w:val="en-US" w:eastAsia="zh-CN"/>
              </w:rPr>
              <w:t>③</w:t>
            </w:r>
            <w:r>
              <w:rPr>
                <w:rFonts w:hint="default" w:ascii="Times New Roman" w:hAnsi="Times New Roman" w:cs="Times New Roman"/>
                <w:color w:val="auto"/>
              </w:rPr>
              <w:t>立即对重污染区域采取有效的修复措施，包括开挖并移走重污染土壤作危险废物处置，防止污染物在地下继续扩散</w:t>
            </w:r>
            <w:r>
              <w:rPr>
                <w:rFonts w:hint="eastAsia" w:cs="Times New Roman"/>
                <w:color w:val="auto"/>
                <w:lang w:eastAsia="zh-CN"/>
              </w:rPr>
              <w:t>；</w:t>
            </w:r>
          </w:p>
          <w:p w14:paraId="74E3A974">
            <w:pPr>
              <w:bidi w:val="0"/>
              <w:rPr>
                <w:rFonts w:hint="default" w:ascii="Times New Roman" w:hAnsi="Times New Roman" w:cs="Times New Roman"/>
                <w:color w:val="auto"/>
              </w:rPr>
            </w:pPr>
            <w:r>
              <w:rPr>
                <w:rFonts w:hint="default" w:ascii="Times New Roman" w:hAnsi="Times New Roman" w:cs="Times New Roman"/>
                <w:color w:val="auto"/>
                <w:lang w:val="en-US" w:eastAsia="zh-CN"/>
              </w:rPr>
              <w:t>④若有必要，</w:t>
            </w:r>
            <w:r>
              <w:rPr>
                <w:rFonts w:hint="default" w:ascii="Times New Roman" w:hAnsi="Times New Roman" w:cs="Times New Roman"/>
                <w:color w:val="auto"/>
              </w:rPr>
              <w:t>对项目区地下水进行监测，确定水质是否受到影响。</w:t>
            </w:r>
          </w:p>
          <w:p w14:paraId="6ECD3394">
            <w:pPr>
              <w:bidi w:val="0"/>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）跟踪监测</w:t>
            </w:r>
          </w:p>
          <w:p w14:paraId="7F93438B">
            <w:pPr>
              <w:bidi w:val="0"/>
              <w:rPr>
                <w:rFonts w:hint="default" w:ascii="Times New Roman" w:hAnsi="Times New Roman" w:cs="Times New Roman"/>
                <w:color w:val="auto"/>
              </w:rPr>
            </w:pPr>
            <w:r>
              <w:rPr>
                <w:rFonts w:hint="default" w:ascii="Times New Roman" w:hAnsi="Times New Roman" w:cs="Times New Roman"/>
                <w:color w:val="auto"/>
              </w:rPr>
              <w:t>根据《排污单位自行监测技术指南 总则》</w:t>
            </w:r>
            <w:r>
              <w:rPr>
                <w:rFonts w:hint="default" w:ascii="Times New Roman" w:hAnsi="Times New Roman" w:cs="Times New Roman"/>
                <w:color w:val="auto"/>
                <w:lang w:eastAsia="zh-CN"/>
              </w:rPr>
              <w:t>（</w:t>
            </w:r>
            <w:r>
              <w:rPr>
                <w:rFonts w:hint="default" w:ascii="Times New Roman" w:hAnsi="Times New Roman" w:cs="Times New Roman"/>
                <w:color w:val="auto"/>
              </w:rPr>
              <w:t>HJ819-2017），本项目不属于涉气重点排污单位、涉水重点排污单位，以及涉重金属、难降解有机物的重点排污单位，项目可能对土壤、地下水造成污染主要是在事故状态下。在采取环评提出的分区防控措施的前提下，项目对地下水、土壤影响较小，故本项目不设地下水、土壤跟踪监测计划。</w:t>
            </w:r>
          </w:p>
          <w:p w14:paraId="6A3B48E3">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6、生态影响</w:t>
            </w:r>
          </w:p>
          <w:p w14:paraId="4609D05F">
            <w:pPr>
              <w:bidi w:val="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本项目租用澄江县德安磷化工有限责任公司场地</w:t>
            </w:r>
            <w:r>
              <w:rPr>
                <w:rFonts w:hint="default" w:ascii="Times New Roman" w:hAnsi="Times New Roman" w:cs="Times New Roman"/>
                <w:color w:val="auto"/>
                <w:lang w:val="en-US" w:eastAsia="zh-CN"/>
              </w:rPr>
              <w:t>及厂房</w:t>
            </w:r>
            <w:r>
              <w:rPr>
                <w:rFonts w:hint="default" w:ascii="Times New Roman" w:hAnsi="Times New Roman" w:cs="Times New Roman"/>
                <w:color w:val="auto"/>
                <w:lang w:eastAsia="zh-CN"/>
              </w:rPr>
              <w:t>，根据现场踏勘情况，场地及厂房均为闲置状态，项目区域内由于多年的人工活动干扰，原生的植被已经不存在，基本已无野生动物活动，施工期主要进行设备安装，不新增用地。</w:t>
            </w:r>
            <w:r>
              <w:rPr>
                <w:rFonts w:hint="default" w:ascii="Times New Roman" w:hAnsi="Times New Roman" w:cs="Times New Roman"/>
                <w:color w:val="auto"/>
                <w:lang w:val="en-US" w:eastAsia="zh-CN"/>
              </w:rPr>
              <w:t>因此项目建设和运营过程对生态环境污染较小。</w:t>
            </w:r>
          </w:p>
          <w:p w14:paraId="4698C03D">
            <w:pPr>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7、环境风险影响分析</w:t>
            </w:r>
          </w:p>
          <w:p w14:paraId="0DEC266E">
            <w:pPr>
              <w:bidi w:val="0"/>
              <w:rPr>
                <w:rFonts w:hint="default" w:ascii="Times New Roman" w:hAnsi="Times New Roman" w:cs="Times New Roman"/>
                <w:color w:val="auto"/>
              </w:rPr>
            </w:pPr>
            <w:r>
              <w:rPr>
                <w:rFonts w:hint="default" w:ascii="Times New Roman" w:hAnsi="Times New Roman" w:cs="Times New Roman"/>
                <w:color w:val="auto"/>
              </w:rPr>
              <w:t>风险识别范围包括生产设施风险识别和生产过程所涉及的物质风险识别</w:t>
            </w:r>
            <w:r>
              <w:rPr>
                <w:rFonts w:hint="default" w:ascii="Times New Roman" w:hAnsi="Times New Roman" w:cs="Times New Roman"/>
                <w:color w:val="auto"/>
                <w:lang w:eastAsia="zh-CN"/>
              </w:rPr>
              <w:t>。根据《建设项目环境风险评价技术导则》（HJ169-2018）附录B、《危险化学品重大危险源辨识》（GB18218-2009），本项目涉及的危险性物质为</w:t>
            </w:r>
            <w:r>
              <w:rPr>
                <w:rFonts w:hint="default" w:ascii="Times New Roman" w:hAnsi="Times New Roman" w:cs="Times New Roman"/>
                <w:color w:val="auto"/>
                <w:lang w:val="en-US" w:eastAsia="zh-CN"/>
              </w:rPr>
              <w:t>废机油</w:t>
            </w:r>
            <w:r>
              <w:rPr>
                <w:rFonts w:hint="eastAsia" w:cs="Times New Roman"/>
                <w:color w:val="auto"/>
                <w:lang w:val="en-US" w:eastAsia="zh-CN"/>
              </w:rPr>
              <w:t>、油漆、稀释剂等</w:t>
            </w:r>
            <w:r>
              <w:rPr>
                <w:rFonts w:hint="default" w:ascii="Times New Roman" w:hAnsi="Times New Roman" w:cs="Times New Roman"/>
                <w:color w:val="auto"/>
                <w:lang w:val="en-US" w:eastAsia="zh-CN"/>
              </w:rPr>
              <w:t>。</w:t>
            </w:r>
            <w:r>
              <w:rPr>
                <w:rFonts w:hint="eastAsia" w:cs="Times New Roman"/>
                <w:color w:val="auto"/>
                <w:lang w:eastAsia="zh-CN"/>
              </w:rPr>
              <w:t>（</w:t>
            </w:r>
            <w:r>
              <w:rPr>
                <w:rFonts w:hint="eastAsia" w:cs="Times New Roman"/>
                <w:color w:val="auto"/>
                <w:lang w:val="en-US" w:eastAsia="zh-CN"/>
              </w:rPr>
              <w:t>因项目所有油漆、稀释剂属于混合物，油漆、稀释剂主要挥发有害成分二甲苯、</w:t>
            </w:r>
            <w:r>
              <w:rPr>
                <w:rFonts w:hint="default" w:ascii="Times New Roman" w:hAnsi="Times New Roman" w:cs="Times New Roman"/>
                <w:color w:val="auto"/>
                <w:lang w:val="en-US" w:eastAsia="zh-CN"/>
              </w:rPr>
              <w:t>环己酮</w:t>
            </w:r>
            <w:r>
              <w:rPr>
                <w:rFonts w:hint="eastAsia" w:cs="Times New Roman"/>
                <w:color w:val="auto"/>
                <w:lang w:val="en-US" w:eastAsia="zh-CN"/>
              </w:rPr>
              <w:t>，参照</w:t>
            </w:r>
            <w:r>
              <w:rPr>
                <w:rFonts w:hint="default" w:ascii="Times New Roman" w:hAnsi="Times New Roman" w:cs="Times New Roman"/>
                <w:color w:val="auto"/>
                <w:lang w:eastAsia="zh-CN"/>
              </w:rPr>
              <w:t>（</w:t>
            </w:r>
            <w:r>
              <w:rPr>
                <w:rFonts w:hint="default" w:ascii="Times New Roman" w:hAnsi="Times New Roman" w:cs="Times New Roman"/>
                <w:color w:val="auto"/>
              </w:rPr>
              <w:t>HJ169-2018）</w:t>
            </w:r>
            <w:r>
              <w:rPr>
                <w:rFonts w:hint="eastAsia" w:cs="Times New Roman"/>
                <w:color w:val="auto"/>
                <w:lang w:eastAsia="zh-CN"/>
              </w:rPr>
              <w:t>，</w:t>
            </w:r>
            <w:r>
              <w:rPr>
                <w:rFonts w:hint="eastAsia" w:cs="Times New Roman"/>
                <w:color w:val="auto"/>
                <w:lang w:val="en-US" w:eastAsia="zh-CN"/>
              </w:rPr>
              <w:t>该类物质临界量均为10t，本次油漆等混合物临界量参照取值10t</w:t>
            </w:r>
            <w:r>
              <w:rPr>
                <w:rFonts w:hint="default" w:ascii="Times New Roman" w:hAnsi="Times New Roman" w:cs="Times New Roman"/>
                <w:color w:val="auto"/>
              </w:rPr>
              <w:t>。项目内</w:t>
            </w:r>
            <w:r>
              <w:rPr>
                <w:rFonts w:hint="default" w:ascii="Times New Roman" w:hAnsi="Times New Roman" w:cs="Times New Roman"/>
                <w:color w:val="auto"/>
                <w:lang w:val="en-US" w:eastAsia="zh-CN"/>
              </w:rPr>
              <w:t>风险物质</w:t>
            </w:r>
            <w:r>
              <w:rPr>
                <w:rFonts w:hint="default" w:ascii="Times New Roman" w:hAnsi="Times New Roman" w:cs="Times New Roman"/>
                <w:color w:val="auto"/>
              </w:rPr>
              <w:t>最大储存量和临界量见下表</w:t>
            </w:r>
          </w:p>
          <w:p w14:paraId="6C84B51B">
            <w:pPr>
              <w:bidi w:val="0"/>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4-1</w:t>
            </w:r>
            <w:r>
              <w:rPr>
                <w:rFonts w:hint="eastAsia" w:ascii="Times New Roman" w:hAnsi="Times New Roman" w:cs="Times New Roman"/>
                <w:b/>
                <w:bCs/>
                <w:color w:val="auto"/>
                <w:lang w:val="en-US" w:eastAsia="zh-CN"/>
              </w:rPr>
              <w:t>6</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 xml:space="preserve"> 本项目危险废物储存情况</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5"/>
              <w:gridCol w:w="1746"/>
              <w:gridCol w:w="1399"/>
              <w:gridCol w:w="1690"/>
            </w:tblGrid>
            <w:tr w14:paraId="53205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695" w:type="dxa"/>
                  <w:noWrap w:val="0"/>
                  <w:vAlign w:val="center"/>
                </w:tcPr>
                <w:p w14:paraId="7C433899">
                  <w:pPr>
                    <w:pStyle w:val="14"/>
                    <w:bidi w:val="0"/>
                    <w:rPr>
                      <w:rFonts w:hint="default" w:ascii="Times New Roman" w:hAnsi="Times New Roman" w:cs="Times New Roman"/>
                      <w:b/>
                      <w:bCs/>
                      <w:color w:val="auto"/>
                    </w:rPr>
                  </w:pPr>
                  <w:r>
                    <w:rPr>
                      <w:rFonts w:hint="default" w:ascii="Times New Roman" w:hAnsi="Times New Roman" w:cs="Times New Roman"/>
                      <w:b/>
                      <w:bCs/>
                      <w:color w:val="auto"/>
                    </w:rPr>
                    <w:t>名称</w:t>
                  </w:r>
                </w:p>
              </w:tc>
              <w:tc>
                <w:tcPr>
                  <w:tcW w:w="1746" w:type="dxa"/>
                  <w:noWrap w:val="0"/>
                  <w:vAlign w:val="center"/>
                </w:tcPr>
                <w:p w14:paraId="5C962149">
                  <w:pPr>
                    <w:pStyle w:val="14"/>
                    <w:bidi w:val="0"/>
                    <w:rPr>
                      <w:rFonts w:hint="default" w:ascii="Times New Roman" w:hAnsi="Times New Roman" w:cs="Times New Roman"/>
                      <w:b/>
                      <w:bCs/>
                      <w:color w:val="auto"/>
                    </w:rPr>
                  </w:pPr>
                  <w:r>
                    <w:rPr>
                      <w:rFonts w:hint="default" w:ascii="Times New Roman" w:hAnsi="Times New Roman" w:cs="Times New Roman"/>
                      <w:b/>
                      <w:bCs/>
                      <w:color w:val="auto"/>
                    </w:rPr>
                    <w:t>最大储存量</w:t>
                  </w:r>
                  <w:r>
                    <w:rPr>
                      <w:rFonts w:hint="default" w:ascii="Times New Roman" w:hAnsi="Times New Roman" w:cs="Times New Roman"/>
                      <w:b/>
                      <w:bCs/>
                      <w:color w:val="auto"/>
                      <w:lang w:eastAsia="zh-CN"/>
                    </w:rPr>
                    <w:t>（</w:t>
                  </w:r>
                  <w:r>
                    <w:rPr>
                      <w:rFonts w:hint="default" w:ascii="Times New Roman" w:hAnsi="Times New Roman" w:cs="Times New Roman"/>
                      <w:b/>
                      <w:bCs/>
                      <w:color w:val="auto"/>
                    </w:rPr>
                    <w:t>t）</w:t>
                  </w:r>
                </w:p>
              </w:tc>
              <w:tc>
                <w:tcPr>
                  <w:tcW w:w="1399" w:type="dxa"/>
                  <w:noWrap w:val="0"/>
                  <w:vAlign w:val="center"/>
                </w:tcPr>
                <w:p w14:paraId="7A734705">
                  <w:pPr>
                    <w:pStyle w:val="14"/>
                    <w:bidi w:val="0"/>
                    <w:rPr>
                      <w:rFonts w:hint="default" w:ascii="Times New Roman" w:hAnsi="Times New Roman" w:cs="Times New Roman"/>
                      <w:b/>
                      <w:bCs/>
                      <w:color w:val="auto"/>
                    </w:rPr>
                  </w:pPr>
                  <w:r>
                    <w:rPr>
                      <w:rFonts w:hint="default" w:ascii="Times New Roman" w:hAnsi="Times New Roman" w:cs="Times New Roman"/>
                      <w:b/>
                      <w:bCs/>
                      <w:color w:val="auto"/>
                    </w:rPr>
                    <w:t>临界量</w:t>
                  </w:r>
                  <w:r>
                    <w:rPr>
                      <w:rFonts w:hint="default" w:ascii="Times New Roman" w:hAnsi="Times New Roman" w:cs="Times New Roman"/>
                      <w:b/>
                      <w:bCs/>
                      <w:color w:val="auto"/>
                      <w:lang w:eastAsia="zh-CN"/>
                    </w:rPr>
                    <w:t>（</w:t>
                  </w:r>
                  <w:r>
                    <w:rPr>
                      <w:rFonts w:hint="default" w:ascii="Times New Roman" w:hAnsi="Times New Roman" w:cs="Times New Roman"/>
                      <w:b/>
                      <w:bCs/>
                      <w:color w:val="auto"/>
                    </w:rPr>
                    <w:t>t）</w:t>
                  </w:r>
                </w:p>
              </w:tc>
              <w:tc>
                <w:tcPr>
                  <w:tcW w:w="1690" w:type="dxa"/>
                  <w:noWrap w:val="0"/>
                  <w:vAlign w:val="center"/>
                </w:tcPr>
                <w:p w14:paraId="0DBED479">
                  <w:pPr>
                    <w:pStyle w:val="14"/>
                    <w:bidi w:val="0"/>
                    <w:rPr>
                      <w:rFonts w:hint="default" w:ascii="Times New Roman" w:hAnsi="Times New Roman" w:cs="Times New Roman"/>
                      <w:b/>
                      <w:bCs/>
                      <w:color w:val="auto"/>
                    </w:rPr>
                  </w:pPr>
                  <w:r>
                    <w:rPr>
                      <w:rFonts w:hint="default" w:ascii="Times New Roman" w:hAnsi="Times New Roman" w:cs="Times New Roman"/>
                      <w:b/>
                      <w:bCs/>
                      <w:color w:val="auto"/>
                    </w:rPr>
                    <w:t>Q</w:t>
                  </w:r>
                </w:p>
              </w:tc>
            </w:tr>
            <w:tr w14:paraId="008EE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5" w:type="dxa"/>
                  <w:noWrap w:val="0"/>
                  <w:vAlign w:val="center"/>
                </w:tcPr>
                <w:p w14:paraId="180562C4">
                  <w:pPr>
                    <w:pStyle w:val="14"/>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废机油</w:t>
                  </w:r>
                </w:p>
              </w:tc>
              <w:tc>
                <w:tcPr>
                  <w:tcW w:w="1746" w:type="dxa"/>
                  <w:noWrap w:val="0"/>
                  <w:vAlign w:val="center"/>
                </w:tcPr>
                <w:p w14:paraId="5AFD70FC">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0.3</w:t>
                  </w:r>
                </w:p>
              </w:tc>
              <w:tc>
                <w:tcPr>
                  <w:tcW w:w="1399" w:type="dxa"/>
                  <w:noWrap w:val="0"/>
                  <w:vAlign w:val="center"/>
                </w:tcPr>
                <w:p w14:paraId="31B18CC6">
                  <w:pPr>
                    <w:pStyle w:val="14"/>
                    <w:bidi w:val="0"/>
                    <w:rPr>
                      <w:rFonts w:hint="default" w:ascii="Times New Roman" w:hAnsi="Times New Roman" w:cs="Times New Roman"/>
                      <w:color w:val="auto"/>
                    </w:rPr>
                  </w:pPr>
                  <w:r>
                    <w:rPr>
                      <w:rFonts w:hint="default" w:ascii="Times New Roman" w:hAnsi="Times New Roman" w:cs="Times New Roman"/>
                      <w:color w:val="auto"/>
                    </w:rPr>
                    <w:t>2500</w:t>
                  </w:r>
                </w:p>
              </w:tc>
              <w:tc>
                <w:tcPr>
                  <w:tcW w:w="1690" w:type="dxa"/>
                  <w:noWrap w:val="0"/>
                  <w:vAlign w:val="center"/>
                </w:tcPr>
                <w:p w14:paraId="40E0D96F">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0.00012</w:t>
                  </w:r>
                </w:p>
              </w:tc>
            </w:tr>
            <w:tr w14:paraId="74D25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5" w:type="dxa"/>
                  <w:noWrap w:val="0"/>
                  <w:vAlign w:val="center"/>
                </w:tcPr>
                <w:p w14:paraId="5EFF2673">
                  <w:pPr>
                    <w:pStyle w:val="14"/>
                    <w:bidi w:val="0"/>
                    <w:rPr>
                      <w:rFonts w:hint="default" w:ascii="Times New Roman" w:hAnsi="Times New Roman" w:cs="Times New Roman"/>
                      <w:color w:val="auto"/>
                      <w:lang w:val="en-US" w:eastAsia="zh-CN"/>
                    </w:rPr>
                  </w:pPr>
                  <w:r>
                    <w:rPr>
                      <w:rFonts w:hint="eastAsia" w:cs="Times New Roman"/>
                      <w:color w:val="auto"/>
                      <w:lang w:val="en-US" w:eastAsia="zh-CN"/>
                    </w:rPr>
                    <w:t>油漆、固化剂、稀释剂</w:t>
                  </w:r>
                </w:p>
              </w:tc>
              <w:tc>
                <w:tcPr>
                  <w:tcW w:w="1746" w:type="dxa"/>
                  <w:noWrap w:val="0"/>
                  <w:vAlign w:val="center"/>
                </w:tcPr>
                <w:p w14:paraId="10A52C3B">
                  <w:pPr>
                    <w:pStyle w:val="14"/>
                    <w:bidi w:val="0"/>
                    <w:rPr>
                      <w:rFonts w:hint="default" w:ascii="Times New Roman" w:hAnsi="Times New Roman" w:cs="Times New Roman"/>
                      <w:color w:val="auto"/>
                      <w:lang w:val="en-US" w:eastAsia="zh-CN"/>
                    </w:rPr>
                  </w:pPr>
                  <w:r>
                    <w:rPr>
                      <w:rFonts w:hint="eastAsia" w:cs="Times New Roman"/>
                      <w:color w:val="auto"/>
                      <w:lang w:val="en-US" w:eastAsia="zh-CN"/>
                    </w:rPr>
                    <w:t>0.23</w:t>
                  </w:r>
                </w:p>
              </w:tc>
              <w:tc>
                <w:tcPr>
                  <w:tcW w:w="1399" w:type="dxa"/>
                  <w:noWrap w:val="0"/>
                  <w:vAlign w:val="center"/>
                </w:tcPr>
                <w:p w14:paraId="7FDC9317">
                  <w:pPr>
                    <w:pStyle w:val="14"/>
                    <w:bidi w:val="0"/>
                    <w:rPr>
                      <w:rFonts w:hint="default" w:ascii="Times New Roman" w:hAnsi="Times New Roman" w:eastAsia="宋体" w:cs="Times New Roman"/>
                      <w:color w:val="auto"/>
                      <w:lang w:val="en-US" w:eastAsia="zh-CN"/>
                    </w:rPr>
                  </w:pPr>
                  <w:r>
                    <w:rPr>
                      <w:rFonts w:hint="eastAsia" w:cs="Times New Roman"/>
                      <w:color w:val="auto"/>
                      <w:lang w:val="en-US" w:eastAsia="zh-CN"/>
                    </w:rPr>
                    <w:t>10</w:t>
                  </w:r>
                </w:p>
              </w:tc>
              <w:tc>
                <w:tcPr>
                  <w:tcW w:w="1690" w:type="dxa"/>
                  <w:noWrap w:val="0"/>
                  <w:vAlign w:val="center"/>
                </w:tcPr>
                <w:p w14:paraId="6B8872D3">
                  <w:pPr>
                    <w:pStyle w:val="14"/>
                    <w:bidi w:val="0"/>
                    <w:rPr>
                      <w:rFonts w:hint="default" w:ascii="Times New Roman" w:hAnsi="Times New Roman" w:cs="Times New Roman"/>
                      <w:color w:val="auto"/>
                      <w:lang w:val="en-US" w:eastAsia="zh-CN"/>
                    </w:rPr>
                  </w:pPr>
                  <w:r>
                    <w:rPr>
                      <w:rFonts w:hint="eastAsia" w:cs="Times New Roman"/>
                      <w:color w:val="auto"/>
                      <w:lang w:val="en-US" w:eastAsia="zh-CN"/>
                    </w:rPr>
                    <w:t>0.023</w:t>
                  </w:r>
                </w:p>
              </w:tc>
            </w:tr>
            <w:tr w14:paraId="781A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5" w:type="dxa"/>
                  <w:noWrap w:val="0"/>
                  <w:vAlign w:val="center"/>
                </w:tcPr>
                <w:p w14:paraId="76F320E8">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合计</w:t>
                  </w:r>
                </w:p>
              </w:tc>
              <w:tc>
                <w:tcPr>
                  <w:tcW w:w="1746" w:type="dxa"/>
                  <w:noWrap w:val="0"/>
                  <w:vAlign w:val="center"/>
                </w:tcPr>
                <w:p w14:paraId="61890A86">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399" w:type="dxa"/>
                  <w:noWrap w:val="0"/>
                  <w:vAlign w:val="center"/>
                </w:tcPr>
                <w:p w14:paraId="56D81A09">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690" w:type="dxa"/>
                  <w:noWrap w:val="0"/>
                  <w:vAlign w:val="center"/>
                </w:tcPr>
                <w:p w14:paraId="5C5DAE11">
                  <w:pPr>
                    <w:pStyle w:val="14"/>
                    <w:bidi w:val="0"/>
                    <w:rPr>
                      <w:rFonts w:hint="default" w:ascii="Times New Roman" w:hAnsi="Times New Roman" w:cs="Times New Roman"/>
                      <w:color w:val="auto"/>
                      <w:lang w:val="en-US" w:eastAsia="zh-CN"/>
                    </w:rPr>
                  </w:pPr>
                  <w:r>
                    <w:rPr>
                      <w:rFonts w:hint="eastAsia" w:cs="Times New Roman"/>
                      <w:color w:val="auto"/>
                      <w:lang w:val="en-US" w:eastAsia="zh-CN"/>
                    </w:rPr>
                    <w:t>0.02312</w:t>
                  </w:r>
                </w:p>
              </w:tc>
            </w:tr>
          </w:tbl>
          <w:p w14:paraId="03861BB4">
            <w:pPr>
              <w:bidi w:val="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w:t>
            </w:r>
            <w:r>
              <w:rPr>
                <w:rFonts w:hint="default" w:ascii="Times New Roman" w:hAnsi="Times New Roman" w:cs="Times New Roman"/>
                <w:color w:val="auto"/>
                <w:lang w:eastAsia="zh-CN"/>
              </w:rPr>
              <w:t>（</w:t>
            </w:r>
            <w:r>
              <w:rPr>
                <w:rFonts w:hint="default" w:ascii="Times New Roman" w:hAnsi="Times New Roman" w:cs="Times New Roman"/>
                <w:color w:val="auto"/>
              </w:rPr>
              <w:t>HJ169-2018）本项目Q值为0.02312，Q&lt;1，根据附录C.1.1，当Q&lt;1时，该项目环境风险潜势为Ⅰ，环境风险评价工作等级分为一、二、三级，根据环境风险潜势按照下表确定评价等级。</w:t>
            </w:r>
          </w:p>
          <w:p w14:paraId="25CF9C83">
            <w:pPr>
              <w:bidi w:val="0"/>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4-</w:t>
            </w:r>
            <w:r>
              <w:rPr>
                <w:rFonts w:hint="eastAsia" w:ascii="Times New Roman" w:hAnsi="Times New Roman" w:cs="Times New Roman"/>
                <w:b/>
                <w:bCs/>
                <w:color w:val="auto"/>
                <w:lang w:val="en-US" w:eastAsia="zh-CN"/>
              </w:rPr>
              <w:t>17</w:t>
            </w:r>
            <w:r>
              <w:rPr>
                <w:rFonts w:hint="default" w:ascii="Times New Roman" w:hAnsi="Times New Roman" w:cs="Times New Roman"/>
                <w:b/>
                <w:bCs/>
                <w:color w:val="auto"/>
              </w:rPr>
              <w:t xml:space="preserve">   环境风险评价工作级别判定表</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1357"/>
              <w:gridCol w:w="1552"/>
              <w:gridCol w:w="1478"/>
              <w:gridCol w:w="1534"/>
            </w:tblGrid>
            <w:tr w14:paraId="495D5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773" w:type="dxa"/>
                  <w:noWrap w:val="0"/>
                  <w:vAlign w:val="center"/>
                </w:tcPr>
                <w:p w14:paraId="1155DA3A">
                  <w:pPr>
                    <w:pStyle w:val="14"/>
                    <w:bidi w:val="0"/>
                    <w:rPr>
                      <w:rFonts w:hint="default" w:ascii="Times New Roman" w:hAnsi="Times New Roman" w:cs="Times New Roman"/>
                      <w:b/>
                      <w:bCs/>
                      <w:color w:val="auto"/>
                    </w:rPr>
                  </w:pPr>
                  <w:r>
                    <w:rPr>
                      <w:rFonts w:hint="default" w:ascii="Times New Roman" w:hAnsi="Times New Roman" w:cs="Times New Roman"/>
                      <w:b/>
                      <w:bCs/>
                      <w:color w:val="auto"/>
                    </w:rPr>
                    <w:t>环境风险潜势</w:t>
                  </w:r>
                </w:p>
              </w:tc>
              <w:tc>
                <w:tcPr>
                  <w:tcW w:w="1491" w:type="dxa"/>
                  <w:noWrap w:val="0"/>
                  <w:vAlign w:val="center"/>
                </w:tcPr>
                <w:p w14:paraId="01697581">
                  <w:pPr>
                    <w:pStyle w:val="14"/>
                    <w:bidi w:val="0"/>
                    <w:rPr>
                      <w:rFonts w:hint="default" w:ascii="Times New Roman" w:hAnsi="Times New Roman" w:cs="Times New Roman"/>
                      <w:b/>
                      <w:bCs/>
                      <w:color w:val="auto"/>
                    </w:rPr>
                  </w:pPr>
                  <w:r>
                    <w:rPr>
                      <w:rFonts w:hint="default" w:ascii="Times New Roman" w:hAnsi="Times New Roman" w:cs="Times New Roman"/>
                      <w:b/>
                      <w:bCs/>
                      <w:color w:val="auto"/>
                    </w:rPr>
                    <w:t>IV、IV+</w:t>
                  </w:r>
                </w:p>
              </w:tc>
              <w:tc>
                <w:tcPr>
                  <w:tcW w:w="1710" w:type="dxa"/>
                  <w:noWrap w:val="0"/>
                  <w:vAlign w:val="center"/>
                </w:tcPr>
                <w:p w14:paraId="16DF76C7">
                  <w:pPr>
                    <w:pStyle w:val="14"/>
                    <w:bidi w:val="0"/>
                    <w:rPr>
                      <w:rFonts w:hint="default" w:ascii="Times New Roman" w:hAnsi="Times New Roman" w:cs="Times New Roman"/>
                      <w:b/>
                      <w:bCs/>
                      <w:color w:val="auto"/>
                    </w:rPr>
                  </w:pPr>
                  <w:r>
                    <w:rPr>
                      <w:rFonts w:hint="default" w:ascii="Times New Roman" w:hAnsi="Times New Roman" w:cs="Times New Roman"/>
                      <w:b/>
                      <w:bCs/>
                      <w:color w:val="auto"/>
                    </w:rPr>
                    <w:t>III</w:t>
                  </w:r>
                </w:p>
              </w:tc>
              <w:tc>
                <w:tcPr>
                  <w:tcW w:w="1627" w:type="dxa"/>
                  <w:noWrap w:val="0"/>
                  <w:vAlign w:val="center"/>
                </w:tcPr>
                <w:p w14:paraId="404258D7">
                  <w:pPr>
                    <w:pStyle w:val="14"/>
                    <w:bidi w:val="0"/>
                    <w:rPr>
                      <w:rFonts w:hint="default" w:ascii="Times New Roman" w:hAnsi="Times New Roman" w:cs="Times New Roman"/>
                      <w:b/>
                      <w:bCs/>
                      <w:color w:val="auto"/>
                    </w:rPr>
                  </w:pPr>
                  <w:r>
                    <w:rPr>
                      <w:rFonts w:hint="default" w:ascii="Times New Roman" w:hAnsi="Times New Roman" w:cs="Times New Roman"/>
                      <w:b/>
                      <w:bCs/>
                      <w:color w:val="auto"/>
                    </w:rPr>
                    <w:t>II</w:t>
                  </w:r>
                </w:p>
              </w:tc>
              <w:tc>
                <w:tcPr>
                  <w:tcW w:w="1690" w:type="dxa"/>
                  <w:noWrap w:val="0"/>
                  <w:vAlign w:val="center"/>
                </w:tcPr>
                <w:p w14:paraId="6DEAC15A">
                  <w:pPr>
                    <w:pStyle w:val="14"/>
                    <w:bidi w:val="0"/>
                    <w:rPr>
                      <w:rFonts w:hint="default" w:ascii="Times New Roman" w:hAnsi="Times New Roman" w:cs="Times New Roman"/>
                      <w:b/>
                      <w:bCs/>
                      <w:color w:val="auto"/>
                    </w:rPr>
                  </w:pPr>
                  <w:r>
                    <w:rPr>
                      <w:rFonts w:hint="default" w:ascii="Times New Roman" w:hAnsi="Times New Roman" w:cs="Times New Roman"/>
                      <w:b/>
                      <w:bCs/>
                      <w:color w:val="auto"/>
                    </w:rPr>
                    <w:t>I</w:t>
                  </w:r>
                </w:p>
              </w:tc>
            </w:tr>
            <w:tr w14:paraId="4BD1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773" w:type="dxa"/>
                  <w:noWrap w:val="0"/>
                  <w:vAlign w:val="center"/>
                </w:tcPr>
                <w:p w14:paraId="5E9B93B8">
                  <w:pPr>
                    <w:pStyle w:val="14"/>
                    <w:bidi w:val="0"/>
                    <w:rPr>
                      <w:rFonts w:hint="default" w:ascii="Times New Roman" w:hAnsi="Times New Roman" w:cs="Times New Roman"/>
                      <w:color w:val="auto"/>
                    </w:rPr>
                  </w:pPr>
                  <w:r>
                    <w:rPr>
                      <w:rFonts w:hint="default" w:ascii="Times New Roman" w:hAnsi="Times New Roman" w:cs="Times New Roman"/>
                      <w:color w:val="auto"/>
                    </w:rPr>
                    <w:t>评价工作等级</w:t>
                  </w:r>
                </w:p>
              </w:tc>
              <w:tc>
                <w:tcPr>
                  <w:tcW w:w="1491" w:type="dxa"/>
                  <w:noWrap w:val="0"/>
                  <w:vAlign w:val="center"/>
                </w:tcPr>
                <w:p w14:paraId="77793E56">
                  <w:pPr>
                    <w:pStyle w:val="14"/>
                    <w:bidi w:val="0"/>
                    <w:rPr>
                      <w:rFonts w:hint="default" w:ascii="Times New Roman" w:hAnsi="Times New Roman" w:cs="Times New Roman"/>
                      <w:color w:val="auto"/>
                    </w:rPr>
                  </w:pPr>
                  <w:r>
                    <w:rPr>
                      <w:rFonts w:hint="default" w:ascii="Times New Roman" w:hAnsi="Times New Roman" w:cs="Times New Roman"/>
                      <w:color w:val="auto"/>
                    </w:rPr>
                    <w:t>一</w:t>
                  </w:r>
                </w:p>
              </w:tc>
              <w:tc>
                <w:tcPr>
                  <w:tcW w:w="1710" w:type="dxa"/>
                  <w:noWrap w:val="0"/>
                  <w:vAlign w:val="center"/>
                </w:tcPr>
                <w:p w14:paraId="463F183C">
                  <w:pPr>
                    <w:pStyle w:val="14"/>
                    <w:bidi w:val="0"/>
                    <w:rPr>
                      <w:rFonts w:hint="default" w:ascii="Times New Roman" w:hAnsi="Times New Roman" w:cs="Times New Roman"/>
                      <w:color w:val="auto"/>
                    </w:rPr>
                  </w:pPr>
                  <w:r>
                    <w:rPr>
                      <w:rFonts w:hint="default" w:ascii="Times New Roman" w:hAnsi="Times New Roman" w:cs="Times New Roman"/>
                      <w:color w:val="auto"/>
                    </w:rPr>
                    <w:t>二</w:t>
                  </w:r>
                </w:p>
              </w:tc>
              <w:tc>
                <w:tcPr>
                  <w:tcW w:w="1627" w:type="dxa"/>
                  <w:noWrap w:val="0"/>
                  <w:vAlign w:val="center"/>
                </w:tcPr>
                <w:p w14:paraId="37A1C1BA">
                  <w:pPr>
                    <w:pStyle w:val="14"/>
                    <w:bidi w:val="0"/>
                    <w:rPr>
                      <w:rFonts w:hint="default" w:ascii="Times New Roman" w:hAnsi="Times New Roman" w:cs="Times New Roman"/>
                      <w:color w:val="auto"/>
                    </w:rPr>
                  </w:pPr>
                  <w:r>
                    <w:rPr>
                      <w:rFonts w:hint="default" w:ascii="Times New Roman" w:hAnsi="Times New Roman" w:cs="Times New Roman"/>
                      <w:color w:val="auto"/>
                    </w:rPr>
                    <w:t>三</w:t>
                  </w:r>
                </w:p>
              </w:tc>
              <w:tc>
                <w:tcPr>
                  <w:tcW w:w="1690" w:type="dxa"/>
                  <w:noWrap w:val="0"/>
                  <w:vAlign w:val="center"/>
                </w:tcPr>
                <w:p w14:paraId="1F035F92">
                  <w:pPr>
                    <w:pStyle w:val="14"/>
                    <w:bidi w:val="0"/>
                    <w:rPr>
                      <w:rFonts w:hint="default" w:ascii="Times New Roman" w:hAnsi="Times New Roman" w:cs="Times New Roman"/>
                      <w:color w:val="auto"/>
                    </w:rPr>
                  </w:pPr>
                  <w:r>
                    <w:rPr>
                      <w:rFonts w:hint="default" w:ascii="Times New Roman" w:hAnsi="Times New Roman" w:cs="Times New Roman"/>
                      <w:color w:val="auto"/>
                    </w:rPr>
                    <w:t>简单分析</w:t>
                  </w:r>
                </w:p>
              </w:tc>
            </w:tr>
          </w:tbl>
          <w:p w14:paraId="1D4364B8">
            <w:pPr>
              <w:bidi w:val="0"/>
              <w:rPr>
                <w:rFonts w:hint="default" w:ascii="Times New Roman" w:hAnsi="Times New Roman" w:cs="Times New Roman"/>
                <w:color w:val="auto"/>
              </w:rPr>
            </w:pPr>
            <w:r>
              <w:rPr>
                <w:rFonts w:hint="default" w:ascii="Times New Roman" w:hAnsi="Times New Roman" w:cs="Times New Roman"/>
                <w:color w:val="auto"/>
              </w:rPr>
              <w:t>综上，本项目环境风险评价工作等级为简单分析。</w:t>
            </w:r>
          </w:p>
          <w:p w14:paraId="48CE72CC">
            <w:pPr>
              <w:bidi w:val="0"/>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1</w:t>
            </w:r>
            <w:r>
              <w:rPr>
                <w:rFonts w:hint="default" w:ascii="Times New Roman" w:hAnsi="Times New Roman" w:cs="Times New Roman"/>
                <w:b/>
                <w:bCs/>
                <w:color w:val="auto"/>
              </w:rPr>
              <w:t>）危险物质危险特性</w:t>
            </w:r>
          </w:p>
          <w:p w14:paraId="47BB8713">
            <w:pPr>
              <w:bidi w:val="0"/>
              <w:rPr>
                <w:rFonts w:hint="default" w:ascii="Times New Roman" w:hAnsi="Times New Roman" w:cs="Times New Roman"/>
                <w:color w:val="auto"/>
              </w:rPr>
            </w:pPr>
            <w:r>
              <w:rPr>
                <w:rFonts w:hint="default" w:ascii="Times New Roman" w:hAnsi="Times New Roman" w:cs="Times New Roman"/>
                <w:color w:val="auto"/>
              </w:rPr>
              <w:t>项目风险物质识别见下表：</w:t>
            </w:r>
          </w:p>
          <w:p w14:paraId="40D2F3B0">
            <w:pPr>
              <w:bidi w:val="0"/>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4-</w:t>
            </w:r>
            <w:r>
              <w:rPr>
                <w:rFonts w:hint="eastAsia" w:ascii="Times New Roman" w:hAnsi="Times New Roman" w:cs="Times New Roman"/>
                <w:b/>
                <w:bCs/>
                <w:color w:val="auto"/>
                <w:lang w:val="en-US" w:eastAsia="zh-CN"/>
              </w:rPr>
              <w:t>18</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 xml:space="preserve"> 项目环境物质风险识别结果一览表</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918"/>
              <w:gridCol w:w="2828"/>
              <w:gridCol w:w="2081"/>
            </w:tblGrid>
            <w:tr w14:paraId="1175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blHeader/>
                <w:jc w:val="center"/>
              </w:trPr>
              <w:tc>
                <w:tcPr>
                  <w:tcW w:w="703" w:type="dxa"/>
                  <w:tcBorders>
                    <w:top w:val="single" w:color="auto" w:sz="4" w:space="0"/>
                    <w:left w:val="single" w:color="auto" w:sz="4" w:space="0"/>
                    <w:bottom w:val="single" w:color="auto" w:sz="4" w:space="0"/>
                    <w:right w:val="single" w:color="auto" w:sz="4" w:space="0"/>
                  </w:tcBorders>
                  <w:noWrap w:val="0"/>
                  <w:vAlign w:val="center"/>
                </w:tcPr>
                <w:p w14:paraId="243F43E0">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rPr>
                  </w:pPr>
                  <w:r>
                    <w:rPr>
                      <w:rFonts w:hint="default" w:ascii="Times New Roman" w:hAnsi="Times New Roman" w:cs="Times New Roman"/>
                      <w:b/>
                      <w:bCs/>
                      <w:color w:val="auto"/>
                    </w:rPr>
                    <w:t>物料名称</w:t>
                  </w:r>
                </w:p>
              </w:tc>
              <w:tc>
                <w:tcPr>
                  <w:tcW w:w="1918" w:type="dxa"/>
                  <w:tcBorders>
                    <w:top w:val="single" w:color="auto" w:sz="4" w:space="0"/>
                    <w:left w:val="single" w:color="auto" w:sz="4" w:space="0"/>
                    <w:bottom w:val="single" w:color="auto" w:sz="4" w:space="0"/>
                    <w:right w:val="single" w:color="auto" w:sz="4" w:space="0"/>
                  </w:tcBorders>
                  <w:noWrap w:val="0"/>
                  <w:vAlign w:val="center"/>
                </w:tcPr>
                <w:p w14:paraId="6AD51871">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rPr>
                  </w:pPr>
                  <w:r>
                    <w:rPr>
                      <w:rFonts w:hint="default" w:ascii="Times New Roman" w:hAnsi="Times New Roman" w:cs="Times New Roman"/>
                      <w:b/>
                      <w:bCs/>
                      <w:color w:val="auto"/>
                    </w:rPr>
                    <w:t>理化性质</w:t>
                  </w:r>
                </w:p>
              </w:tc>
              <w:tc>
                <w:tcPr>
                  <w:tcW w:w="2828" w:type="dxa"/>
                  <w:tcBorders>
                    <w:top w:val="single" w:color="auto" w:sz="4" w:space="0"/>
                    <w:left w:val="single" w:color="auto" w:sz="4" w:space="0"/>
                    <w:bottom w:val="single" w:color="auto" w:sz="4" w:space="0"/>
                    <w:right w:val="single" w:color="auto" w:sz="4" w:space="0"/>
                  </w:tcBorders>
                  <w:noWrap w:val="0"/>
                  <w:vAlign w:val="center"/>
                </w:tcPr>
                <w:p w14:paraId="25A9996D">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rPr>
                  </w:pPr>
                  <w:r>
                    <w:rPr>
                      <w:rFonts w:hint="default" w:ascii="Times New Roman" w:hAnsi="Times New Roman" w:cs="Times New Roman"/>
                      <w:b/>
                      <w:bCs/>
                      <w:color w:val="auto"/>
                    </w:rPr>
                    <w:t>危险特性</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475AB2C7">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auto"/>
                    </w:rPr>
                  </w:pPr>
                  <w:r>
                    <w:rPr>
                      <w:rFonts w:hint="default" w:ascii="Times New Roman" w:hAnsi="Times New Roman" w:cs="Times New Roman"/>
                      <w:b/>
                      <w:bCs/>
                      <w:color w:val="auto"/>
                    </w:rPr>
                    <w:t>毒理性质</w:t>
                  </w:r>
                </w:p>
              </w:tc>
            </w:tr>
            <w:tr w14:paraId="3F65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tcBorders>
                    <w:top w:val="single" w:color="auto" w:sz="4" w:space="0"/>
                    <w:left w:val="single" w:color="auto" w:sz="4" w:space="0"/>
                    <w:bottom w:val="single" w:color="auto" w:sz="4" w:space="0"/>
                    <w:right w:val="single" w:color="auto" w:sz="4" w:space="0"/>
                  </w:tcBorders>
                  <w:noWrap w:val="0"/>
                  <w:vAlign w:val="center"/>
                </w:tcPr>
                <w:p w14:paraId="16E493F5">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废机油</w:t>
                  </w:r>
                </w:p>
              </w:tc>
              <w:tc>
                <w:tcPr>
                  <w:tcW w:w="1918" w:type="dxa"/>
                  <w:tcBorders>
                    <w:top w:val="single" w:color="auto" w:sz="4" w:space="0"/>
                    <w:left w:val="single" w:color="auto" w:sz="4" w:space="0"/>
                    <w:bottom w:val="single" w:color="auto" w:sz="4" w:space="0"/>
                    <w:right w:val="single" w:color="auto" w:sz="4" w:space="0"/>
                  </w:tcBorders>
                  <w:noWrap w:val="0"/>
                  <w:vAlign w:val="center"/>
                </w:tcPr>
                <w:p w14:paraId="27F07057">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油状液体，淡黄色至褐色，无气味或略带异味，相对密度0.87，沸点260℃，闪点200~220℃，自燃点248℃</w:t>
                  </w:r>
                </w:p>
              </w:tc>
              <w:tc>
                <w:tcPr>
                  <w:tcW w:w="2828" w:type="dxa"/>
                  <w:tcBorders>
                    <w:top w:val="single" w:color="auto" w:sz="4" w:space="0"/>
                    <w:left w:val="single" w:color="auto" w:sz="4" w:space="0"/>
                    <w:bottom w:val="single" w:color="auto" w:sz="4" w:space="0"/>
                    <w:right w:val="single" w:color="auto" w:sz="4" w:space="0"/>
                  </w:tcBorders>
                  <w:noWrap w:val="0"/>
                  <w:vAlign w:val="center"/>
                </w:tcPr>
                <w:p w14:paraId="52456B97">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可燃液体，遇明火、高热可燃</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7D6C9E89">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w:t>
                  </w:r>
                </w:p>
              </w:tc>
            </w:tr>
            <w:tr w14:paraId="45BC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tcBorders>
                    <w:top w:val="single" w:color="auto" w:sz="4" w:space="0"/>
                    <w:left w:val="single" w:color="auto" w:sz="4" w:space="0"/>
                    <w:bottom w:val="single" w:color="auto" w:sz="4" w:space="0"/>
                    <w:right w:val="single" w:color="auto" w:sz="4" w:space="0"/>
                  </w:tcBorders>
                  <w:noWrap w:val="0"/>
                  <w:vAlign w:val="center"/>
                </w:tcPr>
                <w:p w14:paraId="38D338D3">
                  <w:pPr>
                    <w:pStyle w:val="14"/>
                    <w:keepNext w:val="0"/>
                    <w:keepLines w:val="0"/>
                    <w:pageBreakBefore w:val="0"/>
                    <w:widowControl/>
                    <w:kinsoku/>
                    <w:wordWrap w:val="0"/>
                    <w:overflowPunct/>
                    <w:topLinePunct w:val="0"/>
                    <w:autoSpaceDE/>
                    <w:autoSpaceDN/>
                    <w:bidi w:val="0"/>
                    <w:adjustRightInd/>
                    <w:snapToGrid/>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底漆</w:t>
                  </w:r>
                </w:p>
              </w:tc>
              <w:tc>
                <w:tcPr>
                  <w:tcW w:w="1918" w:type="dxa"/>
                  <w:tcBorders>
                    <w:top w:val="single" w:color="auto" w:sz="4" w:space="0"/>
                    <w:left w:val="single" w:color="auto" w:sz="4" w:space="0"/>
                    <w:bottom w:val="single" w:color="auto" w:sz="4" w:space="0"/>
                    <w:right w:val="single" w:color="auto" w:sz="4" w:space="0"/>
                  </w:tcBorders>
                  <w:noWrap w:val="0"/>
                  <w:vAlign w:val="center"/>
                </w:tcPr>
                <w:p w14:paraId="2481C75F">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微透明或各色透明液体</w:t>
                  </w:r>
                  <w:r>
                    <w:rPr>
                      <w:rFonts w:hint="eastAsia" w:cs="Times New Roman"/>
                      <w:color w:val="auto"/>
                      <w:lang w:eastAsia="zh-CN"/>
                    </w:rPr>
                    <w:t>、有类似氯仿的气味。</w:t>
                  </w:r>
                  <w:r>
                    <w:rPr>
                      <w:rFonts w:hint="eastAsia" w:cs="Times New Roman"/>
                      <w:color w:val="auto"/>
                      <w:lang w:val="en-US" w:eastAsia="zh-CN"/>
                    </w:rPr>
                    <w:t>相对密度（水=1）：1.05。溶于大部分有机溶剂。沸点、初沸点和沸程（℃）：＞126。稳定性：稳定。不相容的物质：氧化剂、酸类、碱类。避免接触的条件：明火、高热。危险反应：与氧化剂发生剧烈反应，在酸性条件下可水解，在碱性条件下易水解。</w:t>
                  </w:r>
                </w:p>
              </w:tc>
              <w:tc>
                <w:tcPr>
                  <w:tcW w:w="2828" w:type="dxa"/>
                  <w:tcBorders>
                    <w:top w:val="single" w:color="auto" w:sz="4" w:space="0"/>
                    <w:left w:val="single" w:color="auto" w:sz="4" w:space="0"/>
                    <w:bottom w:val="single" w:color="auto" w:sz="4" w:space="0"/>
                    <w:right w:val="single" w:color="auto" w:sz="4" w:space="0"/>
                  </w:tcBorders>
                  <w:noWrap w:val="0"/>
                  <w:vAlign w:val="center"/>
                </w:tcPr>
                <w:p w14:paraId="3BBC0C41">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b/>
                      <w:bCs/>
                      <w:color w:val="auto"/>
                    </w:rPr>
                    <w:t>物理化学危险：</w:t>
                  </w:r>
                  <w:r>
                    <w:rPr>
                      <w:rFonts w:hint="default" w:ascii="Times New Roman" w:hAnsi="Times New Roman" w:cs="Times New Roman"/>
                      <w:color w:val="auto"/>
                    </w:rPr>
                    <w:t>易燃，其蒸气与空气可形成爆炸性混合物，遇明火、高热能引起燃烧爆炸。与氧化剂能发生强烈反应。流速过快，容易产生和积聚静电。其蒸气比空气重，能在较低处扩散到相当远的地方，遇火源会着火</w:t>
                  </w:r>
                </w:p>
                <w:p w14:paraId="072B3B6A">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回燃。</w:t>
                  </w:r>
                  <w:r>
                    <w:rPr>
                      <w:rFonts w:hint="default" w:ascii="Times New Roman" w:hAnsi="Times New Roman" w:cs="Times New Roman"/>
                      <w:b/>
                      <w:bCs/>
                      <w:color w:val="auto"/>
                    </w:rPr>
                    <w:t>健康危害：</w:t>
                  </w:r>
                  <w:r>
                    <w:rPr>
                      <w:rFonts w:hint="default" w:ascii="Times New Roman" w:hAnsi="Times New Roman" w:cs="Times New Roman"/>
                      <w:color w:val="auto"/>
                    </w:rPr>
                    <w:t>误服可引起消化道刺激，产生恶心、呕吐、腹泻等症状。吸入其蒸汽可能导致头痛，乏力，恶心，呕吐，发绀，腹泻等，高浓度时对中枢神经系统有麻醉作用。皮肤接触可能引起四肢发绀、皮肤过敏和脱脂性皮炎。眼睛接触可引起灼伤，造成化学性结膜炎和角膜损伤。长期接触还可能引起肝、肾的损伤，孕妇长期接触可能损害其胎儿。</w:t>
                  </w:r>
                  <w:r>
                    <w:rPr>
                      <w:rFonts w:hint="default" w:ascii="Times New Roman" w:hAnsi="Times New Roman" w:cs="Times New Roman"/>
                      <w:b/>
                      <w:bCs/>
                      <w:color w:val="auto"/>
                    </w:rPr>
                    <w:t>环境危害：</w:t>
                  </w:r>
                  <w:r>
                    <w:rPr>
                      <w:rFonts w:hint="default" w:ascii="Times New Roman" w:hAnsi="Times New Roman" w:cs="Times New Roman"/>
                      <w:color w:val="auto"/>
                    </w:rPr>
                    <w:t>对环境有危害，对水体、土壤和大气可造成污染。</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2C9AE308">
                  <w:pPr>
                    <w:pStyle w:val="14"/>
                    <w:keepNext w:val="0"/>
                    <w:keepLines w:val="0"/>
                    <w:pageBreakBefore w:val="0"/>
                    <w:widowControl/>
                    <w:kinsoku/>
                    <w:wordWrap w:val="0"/>
                    <w:overflowPunct/>
                    <w:topLinePunct w:val="0"/>
                    <w:autoSpaceDE/>
                    <w:autoSpaceDN/>
                    <w:bidi w:val="0"/>
                    <w:adjustRightInd/>
                    <w:snapToGrid/>
                    <w:textAlignment w:val="auto"/>
                    <w:rPr>
                      <w:rFonts w:hint="eastAsia" w:eastAsia="宋体"/>
                      <w:color w:val="auto"/>
                      <w:lang w:eastAsia="zh-CN"/>
                    </w:rPr>
                  </w:pPr>
                  <w:r>
                    <w:rPr>
                      <w:rFonts w:hint="default" w:ascii="Times New Roman" w:hAnsi="Times New Roman" w:cs="Times New Roman"/>
                      <w:b/>
                      <w:bCs/>
                      <w:color w:val="auto"/>
                    </w:rPr>
                    <w:t>急性毒性：</w:t>
                  </w:r>
                  <w:r>
                    <w:rPr>
                      <w:rFonts w:hint="default" w:ascii="Times New Roman" w:hAnsi="Times New Roman" w:cs="Times New Roman"/>
                      <w:color w:val="auto"/>
                    </w:rPr>
                    <w:t>大鼠经口LD</w:t>
                  </w:r>
                  <w:r>
                    <w:rPr>
                      <w:rFonts w:hint="default" w:ascii="Times New Roman" w:hAnsi="Times New Roman" w:cs="Times New Roman"/>
                      <w:color w:val="auto"/>
                      <w:vertAlign w:val="subscript"/>
                    </w:rPr>
                    <w:t>50</w:t>
                  </w:r>
                  <w:r>
                    <w:rPr>
                      <w:rFonts w:hint="default" w:ascii="Times New Roman" w:hAnsi="Times New Roman" w:cs="Times New Roman"/>
                      <w:color w:val="auto"/>
                    </w:rPr>
                    <w:t>=4300mg/kg（二甲苯）；大鼠经口：LD</w:t>
                  </w:r>
                  <w:r>
                    <w:rPr>
                      <w:rFonts w:hint="default" w:ascii="Times New Roman" w:hAnsi="Times New Roman" w:cs="Times New Roman"/>
                      <w:color w:val="auto"/>
                      <w:vertAlign w:val="subscript"/>
                    </w:rPr>
                    <w:t>50</w:t>
                  </w:r>
                  <w:r>
                    <w:rPr>
                      <w:rFonts w:hint="default" w:ascii="Times New Roman" w:hAnsi="Times New Roman" w:cs="Times New Roman"/>
                      <w:color w:val="auto"/>
                    </w:rPr>
                    <w:t>=10768mg/kg（醋酸丁酯）。</w:t>
                  </w:r>
                  <w:r>
                    <w:rPr>
                      <w:rFonts w:hint="default" w:ascii="Times New Roman" w:hAnsi="Times New Roman" w:cs="Times New Roman"/>
                      <w:b/>
                      <w:bCs/>
                      <w:color w:val="auto"/>
                    </w:rPr>
                    <w:t>皮肤刺激或腐蚀：</w:t>
                  </w:r>
                  <w:r>
                    <w:rPr>
                      <w:rFonts w:hint="default" w:ascii="Times New Roman" w:hAnsi="Times New Roman" w:cs="Times New Roman"/>
                      <w:color w:val="auto"/>
                    </w:rPr>
                    <w:t>家兔经皮：500mg/24h</w:t>
                  </w:r>
                  <w:r>
                    <w:rPr>
                      <w:rFonts w:hint="eastAsia" w:cs="Times New Roman"/>
                      <w:color w:val="auto"/>
                      <w:lang w:eastAsia="zh-CN"/>
                    </w:rPr>
                    <w:t>，</w:t>
                  </w:r>
                  <w:r>
                    <w:rPr>
                      <w:rFonts w:hint="default" w:ascii="Times New Roman" w:hAnsi="Times New Roman" w:cs="Times New Roman"/>
                      <w:color w:val="auto"/>
                    </w:rPr>
                    <w:t>中度刺激（二甲苯）；500mg/24h</w:t>
                  </w:r>
                  <w:r>
                    <w:rPr>
                      <w:rFonts w:hint="eastAsia" w:cs="Times New Roman"/>
                      <w:color w:val="auto"/>
                      <w:lang w:eastAsia="zh-CN"/>
                    </w:rPr>
                    <w:t>，</w:t>
                  </w:r>
                  <w:r>
                    <w:rPr>
                      <w:rFonts w:hint="default" w:ascii="Times New Roman" w:hAnsi="Times New Roman" w:cs="Times New Roman"/>
                      <w:color w:val="auto"/>
                    </w:rPr>
                    <w:t>中度刺激（醋酸丁酯）。</w:t>
                  </w:r>
                  <w:r>
                    <w:rPr>
                      <w:rFonts w:hint="default" w:ascii="Times New Roman" w:hAnsi="Times New Roman" w:cs="Times New Roman"/>
                      <w:b/>
                      <w:bCs/>
                      <w:color w:val="auto"/>
                    </w:rPr>
                    <w:t>眼睛刺激或腐蚀：</w:t>
                  </w:r>
                  <w:r>
                    <w:rPr>
                      <w:rFonts w:hint="default" w:ascii="Times New Roman" w:hAnsi="Times New Roman" w:cs="Times New Roman"/>
                      <w:color w:val="auto"/>
                    </w:rPr>
                    <w:t>家兔经眼：100mg中度刺激（醋酸丁酯）；87mg轻度刺激，5mg/24h严重刺激（二甲苯）。</w:t>
                  </w:r>
                  <w:r>
                    <w:rPr>
                      <w:rFonts w:hint="eastAsia"/>
                      <w:b/>
                      <w:bCs/>
                      <w:color w:val="auto"/>
                      <w:lang w:eastAsia="zh-CN"/>
                    </w:rPr>
                    <w:t>急性中毒：</w:t>
                  </w:r>
                  <w:r>
                    <w:rPr>
                      <w:rFonts w:hint="eastAsia"/>
                      <w:color w:val="auto"/>
                      <w:lang w:eastAsia="zh-CN"/>
                    </w:rPr>
                    <w:t>短期内吸入较高浓度本品可出现眼及上呼吸道明显的刺激症状、眼结膜及咽充血、头晕、头痛、恶心、呕吐、胸闷、四肢无力、意识模糊、步态蹒跚。重者可有躁动、抽搐或昏迷。有的有癔病样发作。</w:t>
                  </w:r>
                  <w:r>
                    <w:rPr>
                      <w:rFonts w:hint="eastAsia"/>
                      <w:b/>
                      <w:bCs/>
                      <w:color w:val="auto"/>
                      <w:lang w:eastAsia="zh-CN"/>
                    </w:rPr>
                    <w:t>慢性影响：</w:t>
                  </w:r>
                  <w:r>
                    <w:rPr>
                      <w:rFonts w:hint="eastAsia"/>
                      <w:color w:val="auto"/>
                      <w:lang w:eastAsia="zh-CN"/>
                    </w:rPr>
                    <w:t>长期接触有神经衰弱综合征，女工有月经异常，工人常发生皮肤干燥、皲裂、皮炎。</w:t>
                  </w:r>
                </w:p>
              </w:tc>
            </w:tr>
            <w:tr w14:paraId="359BF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tcBorders>
                    <w:top w:val="single" w:color="auto" w:sz="4" w:space="0"/>
                    <w:left w:val="single" w:color="auto" w:sz="4" w:space="0"/>
                    <w:bottom w:val="single" w:color="auto" w:sz="4" w:space="0"/>
                    <w:right w:val="single" w:color="auto" w:sz="4" w:space="0"/>
                  </w:tcBorders>
                  <w:noWrap w:val="0"/>
                  <w:vAlign w:val="center"/>
                </w:tcPr>
                <w:p w14:paraId="25AEAE22">
                  <w:pPr>
                    <w:pStyle w:val="14"/>
                    <w:keepNext w:val="0"/>
                    <w:keepLines w:val="0"/>
                    <w:pageBreakBefore w:val="0"/>
                    <w:widowControl/>
                    <w:kinsoku/>
                    <w:wordWrap w:val="0"/>
                    <w:overflowPunct/>
                    <w:topLinePunct w:val="0"/>
                    <w:autoSpaceDE/>
                    <w:autoSpaceDN/>
                    <w:bidi w:val="0"/>
                    <w:adjustRightInd/>
                    <w:snapToGrid/>
                    <w:textAlignment w:val="auto"/>
                    <w:rPr>
                      <w:rFonts w:hint="default" w:cs="Times New Roman"/>
                      <w:color w:val="auto"/>
                      <w:lang w:val="en-US" w:eastAsia="zh-CN"/>
                    </w:rPr>
                  </w:pPr>
                  <w:r>
                    <w:rPr>
                      <w:rFonts w:hint="eastAsia" w:cs="Times New Roman"/>
                      <w:color w:val="auto"/>
                      <w:lang w:val="en-US" w:eastAsia="zh-CN"/>
                    </w:rPr>
                    <w:t>面漆</w:t>
                  </w:r>
                </w:p>
              </w:tc>
              <w:tc>
                <w:tcPr>
                  <w:tcW w:w="1918" w:type="dxa"/>
                  <w:tcBorders>
                    <w:top w:val="single" w:color="auto" w:sz="4" w:space="0"/>
                    <w:left w:val="single" w:color="auto" w:sz="4" w:space="0"/>
                    <w:bottom w:val="single" w:color="auto" w:sz="4" w:space="0"/>
                    <w:right w:val="single" w:color="auto" w:sz="4" w:space="0"/>
                  </w:tcBorders>
                  <w:noWrap w:val="0"/>
                  <w:vAlign w:val="center"/>
                </w:tcPr>
                <w:p w14:paraId="37459B5F">
                  <w:pPr>
                    <w:pStyle w:val="14"/>
                    <w:keepNext w:val="0"/>
                    <w:keepLines w:val="0"/>
                    <w:pageBreakBefore w:val="0"/>
                    <w:widowControl/>
                    <w:kinsoku/>
                    <w:wordWrap w:val="0"/>
                    <w:overflowPunct/>
                    <w:topLinePunct w:val="0"/>
                    <w:autoSpaceDE/>
                    <w:autoSpaceDN/>
                    <w:bidi w:val="0"/>
                    <w:adjustRightInd/>
                    <w:snapToGrid/>
                    <w:textAlignment w:val="auto"/>
                    <w:rPr>
                      <w:rFonts w:hint="eastAsia" w:cs="Times New Roman"/>
                      <w:color w:val="auto"/>
                      <w:lang w:eastAsia="zh-CN"/>
                    </w:rPr>
                  </w:pPr>
                  <w:r>
                    <w:rPr>
                      <w:rFonts w:hint="default" w:ascii="Times New Roman" w:hAnsi="Times New Roman" w:cs="Times New Roman"/>
                      <w:color w:val="auto"/>
                    </w:rPr>
                    <w:t>粘稠液体</w:t>
                  </w:r>
                  <w:r>
                    <w:rPr>
                      <w:rFonts w:hint="eastAsia" w:cs="Times New Roman"/>
                      <w:color w:val="auto"/>
                      <w:lang w:eastAsia="zh-CN"/>
                    </w:rPr>
                    <w:t>。沸点（初沸点）（℃）：＞35。粘度：2000±500mpa·s/25℃。相对密度（水=1）：1.032。闪点（℃）（闭杯）：12。燃点（℃）：28。溶解性：不溶于水，混溶于有机溶剂。稳定性：稳定。避免接触的条件：光照、空气。</w:t>
                  </w:r>
                </w:p>
                <w:p w14:paraId="23169AB6">
                  <w:pPr>
                    <w:pStyle w:val="14"/>
                    <w:keepNext w:val="0"/>
                    <w:keepLines w:val="0"/>
                    <w:pageBreakBefore w:val="0"/>
                    <w:widowControl/>
                    <w:kinsoku/>
                    <w:wordWrap w:val="0"/>
                    <w:overflowPunct/>
                    <w:topLinePunct w:val="0"/>
                    <w:autoSpaceDE/>
                    <w:autoSpaceDN/>
                    <w:bidi w:val="0"/>
                    <w:adjustRightInd/>
                    <w:snapToGrid/>
                    <w:textAlignment w:val="auto"/>
                    <w:rPr>
                      <w:rFonts w:hint="eastAsia" w:ascii="Times New Roman" w:hAnsi="Times New Roman" w:eastAsia="宋体" w:cs="Times New Roman"/>
                      <w:color w:val="auto"/>
                      <w:lang w:eastAsia="zh-CN"/>
                    </w:rPr>
                  </w:pPr>
                  <w:r>
                    <w:rPr>
                      <w:rFonts w:hint="eastAsia" w:cs="Times New Roman"/>
                      <w:color w:val="auto"/>
                      <w:lang w:eastAsia="zh-CN"/>
                    </w:rPr>
                    <w:t>禁配物：强氧化剂、碱类、酸类。聚合危害：不聚合。</w:t>
                  </w:r>
                </w:p>
              </w:tc>
              <w:tc>
                <w:tcPr>
                  <w:tcW w:w="2828" w:type="dxa"/>
                  <w:tcBorders>
                    <w:top w:val="single" w:color="auto" w:sz="4" w:space="0"/>
                    <w:left w:val="single" w:color="auto" w:sz="4" w:space="0"/>
                    <w:bottom w:val="single" w:color="auto" w:sz="4" w:space="0"/>
                    <w:right w:val="single" w:color="auto" w:sz="4" w:space="0"/>
                  </w:tcBorders>
                  <w:noWrap w:val="0"/>
                  <w:vAlign w:val="center"/>
                </w:tcPr>
                <w:p w14:paraId="07AA5DA5">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b/>
                      <w:bCs/>
                      <w:color w:val="auto"/>
                    </w:rPr>
                    <w:t>物理和化学危险：</w:t>
                  </w:r>
                  <w:r>
                    <w:rPr>
                      <w:rFonts w:hint="default" w:ascii="Times New Roman" w:hAnsi="Times New Roman" w:cs="Times New Roman"/>
                      <w:color w:val="auto"/>
                    </w:rPr>
                    <w:t>高度易燃液体和蒸气。其蒸气与空气可形成爆炸性混合物，遇明火、高热能引起燃烧爆炸。与氧化剂能发生强烈反应。其蒸气比空气重，能在较低处扩散到相当远的地方，遇火源会着火回燃。</w:t>
                  </w:r>
                  <w:r>
                    <w:rPr>
                      <w:rFonts w:hint="default" w:ascii="Times New Roman" w:hAnsi="Times New Roman" w:cs="Times New Roman"/>
                      <w:b/>
                      <w:bCs/>
                      <w:color w:val="auto"/>
                    </w:rPr>
                    <w:t>健康危害：</w:t>
                  </w:r>
                  <w:r>
                    <w:rPr>
                      <w:rFonts w:hint="default" w:ascii="Times New Roman" w:hAnsi="Times New Roman" w:cs="Times New Roman"/>
                      <w:color w:val="auto"/>
                    </w:rPr>
                    <w:t>侵入途径：吸入、食入、经皮肤吸收。眼睛接触：对眼睛有刺激。皮肤接触：对易感者可引起皮肤过敏性反应. 吸入：蒸气能产生眩晕、头痛、兴奋等症状，吸入高度蒸气能造成急性中毒。食入：一次性食入相对大量的该物质后可能出现疾病。</w:t>
                  </w:r>
                  <w:r>
                    <w:rPr>
                      <w:rFonts w:hint="default" w:ascii="Times New Roman" w:hAnsi="Times New Roman" w:cs="Times New Roman"/>
                      <w:b/>
                      <w:bCs/>
                      <w:color w:val="auto"/>
                    </w:rPr>
                    <w:t>环境危害：</w:t>
                  </w:r>
                  <w:r>
                    <w:rPr>
                      <w:rFonts w:hint="default" w:ascii="Times New Roman" w:hAnsi="Times New Roman" w:cs="Times New Roman"/>
                      <w:color w:val="auto"/>
                    </w:rPr>
                    <w:t>对空气、水环境及水源可造成污染。</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19FDDEF2">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eastAsia" w:cs="Times New Roman"/>
                      <w:b/>
                      <w:bCs/>
                      <w:color w:val="auto"/>
                      <w:lang w:val="en-US" w:eastAsia="zh-CN"/>
                    </w:rPr>
                    <w:t>急性毒性：</w:t>
                  </w:r>
                  <w:r>
                    <w:rPr>
                      <w:rFonts w:hint="default" w:ascii="Times New Roman" w:hAnsi="Times New Roman" w:cs="Times New Roman"/>
                      <w:color w:val="auto"/>
                    </w:rPr>
                    <w:t>大鼠经口LD</w:t>
                  </w:r>
                  <w:r>
                    <w:rPr>
                      <w:rFonts w:hint="default" w:ascii="Times New Roman" w:hAnsi="Times New Roman" w:cs="Times New Roman"/>
                      <w:color w:val="auto"/>
                      <w:vertAlign w:val="subscript"/>
                    </w:rPr>
                    <w:t>50</w:t>
                  </w:r>
                  <w:r>
                    <w:rPr>
                      <w:rFonts w:hint="default" w:ascii="Times New Roman" w:hAnsi="Times New Roman" w:cs="Times New Roman"/>
                      <w:color w:val="auto"/>
                    </w:rPr>
                    <w:t>=</w:t>
                  </w:r>
                  <w:r>
                    <w:rPr>
                      <w:rFonts w:hint="eastAsia" w:cs="Times New Roman"/>
                      <w:color w:val="auto"/>
                      <w:lang w:val="en-US" w:eastAsia="zh-CN"/>
                    </w:rPr>
                    <w:t>5000</w:t>
                  </w:r>
                  <w:r>
                    <w:rPr>
                      <w:rFonts w:hint="default" w:ascii="Times New Roman" w:hAnsi="Times New Roman" w:cs="Times New Roman"/>
                      <w:color w:val="auto"/>
                    </w:rPr>
                    <w:t>mg/kg（二甲苯）；大鼠经口LD</w:t>
                  </w:r>
                  <w:r>
                    <w:rPr>
                      <w:rFonts w:hint="default" w:ascii="Times New Roman" w:hAnsi="Times New Roman" w:cs="Times New Roman"/>
                      <w:color w:val="auto"/>
                      <w:vertAlign w:val="subscript"/>
                    </w:rPr>
                    <w:t>50</w:t>
                  </w:r>
                  <w:r>
                    <w:rPr>
                      <w:rFonts w:hint="default" w:ascii="Times New Roman" w:hAnsi="Times New Roman" w:cs="Times New Roman"/>
                      <w:color w:val="auto"/>
                    </w:rPr>
                    <w:t>=</w:t>
                  </w:r>
                  <w:r>
                    <w:rPr>
                      <w:rFonts w:hint="eastAsia" w:cs="Times New Roman"/>
                      <w:color w:val="auto"/>
                      <w:lang w:val="en-US" w:eastAsia="zh-CN"/>
                    </w:rPr>
                    <w:t>13100</w:t>
                  </w:r>
                  <w:r>
                    <w:rPr>
                      <w:rFonts w:hint="default" w:ascii="Times New Roman" w:hAnsi="Times New Roman" w:cs="Times New Roman"/>
                      <w:color w:val="auto"/>
                    </w:rPr>
                    <w:t>mg/kg（</w:t>
                  </w:r>
                  <w:r>
                    <w:rPr>
                      <w:rFonts w:hint="eastAsia" w:cs="Times New Roman"/>
                      <w:color w:val="auto"/>
                      <w:lang w:val="en-US" w:eastAsia="zh-CN"/>
                    </w:rPr>
                    <w:t>乙酸丁酯</w:t>
                  </w:r>
                  <w:r>
                    <w:rPr>
                      <w:rFonts w:hint="default" w:ascii="Times New Roman" w:hAnsi="Times New Roman" w:cs="Times New Roman"/>
                      <w:color w:val="auto"/>
                    </w:rPr>
                    <w:t>）</w:t>
                  </w:r>
                  <w:r>
                    <w:rPr>
                      <w:rFonts w:hint="eastAsia" w:cs="Times New Roman"/>
                      <w:color w:val="auto"/>
                      <w:lang w:eastAsia="zh-CN"/>
                    </w:rPr>
                    <w:t>；</w:t>
                  </w:r>
                  <w:r>
                    <w:rPr>
                      <w:rFonts w:hint="default" w:ascii="Times New Roman" w:hAnsi="Times New Roman" w:cs="Times New Roman"/>
                      <w:color w:val="auto"/>
                    </w:rPr>
                    <w:t>大鼠经口：LD</w:t>
                  </w:r>
                  <w:r>
                    <w:rPr>
                      <w:rFonts w:hint="default" w:ascii="Times New Roman" w:hAnsi="Times New Roman" w:cs="Times New Roman"/>
                      <w:color w:val="auto"/>
                      <w:vertAlign w:val="subscript"/>
                    </w:rPr>
                    <w:t>50</w:t>
                  </w:r>
                  <w:r>
                    <w:rPr>
                      <w:rFonts w:hint="default" w:ascii="Times New Roman" w:hAnsi="Times New Roman" w:cs="Times New Roman"/>
                      <w:color w:val="auto"/>
                    </w:rPr>
                    <w:t>=</w:t>
                  </w:r>
                  <w:r>
                    <w:rPr>
                      <w:rFonts w:hint="eastAsia" w:cs="Times New Roman"/>
                      <w:color w:val="auto"/>
                      <w:lang w:val="en-US" w:eastAsia="zh-CN"/>
                    </w:rPr>
                    <w:t>1535</w:t>
                  </w:r>
                  <w:r>
                    <w:rPr>
                      <w:rFonts w:hint="default" w:ascii="Times New Roman" w:hAnsi="Times New Roman" w:cs="Times New Roman"/>
                      <w:color w:val="auto"/>
                    </w:rPr>
                    <w:t>mg/kg（</w:t>
                  </w:r>
                  <w:r>
                    <w:rPr>
                      <w:rFonts w:hint="eastAsia" w:cs="Times New Roman"/>
                      <w:color w:val="auto"/>
                      <w:lang w:val="en-US" w:eastAsia="zh-CN"/>
                    </w:rPr>
                    <w:t>环己酮</w:t>
                  </w:r>
                  <w:r>
                    <w:rPr>
                      <w:rFonts w:hint="default" w:ascii="Times New Roman" w:hAnsi="Times New Roman" w:cs="Times New Roman"/>
                      <w:color w:val="auto"/>
                    </w:rPr>
                    <w:t>）</w:t>
                  </w:r>
                  <w:r>
                    <w:rPr>
                      <w:rFonts w:hint="eastAsia" w:cs="Times New Roman"/>
                      <w:color w:val="auto"/>
                      <w:lang w:eastAsia="zh-CN"/>
                    </w:rPr>
                    <w:t>；</w:t>
                  </w:r>
                  <w:r>
                    <w:rPr>
                      <w:rFonts w:hint="eastAsia" w:cs="Times New Roman"/>
                      <w:color w:val="auto"/>
                      <w:lang w:val="en-US" w:eastAsia="zh-CN"/>
                    </w:rPr>
                    <w:t>兔</w:t>
                  </w:r>
                  <w:r>
                    <w:rPr>
                      <w:rFonts w:hint="default" w:ascii="Times New Roman" w:hAnsi="Times New Roman" w:cs="Times New Roman"/>
                      <w:color w:val="auto"/>
                    </w:rPr>
                    <w:t>经口LD</w:t>
                  </w:r>
                  <w:r>
                    <w:rPr>
                      <w:rFonts w:hint="default" w:ascii="Times New Roman" w:hAnsi="Times New Roman" w:cs="Times New Roman"/>
                      <w:color w:val="auto"/>
                      <w:vertAlign w:val="subscript"/>
                    </w:rPr>
                    <w:t>50</w:t>
                  </w:r>
                  <w:r>
                    <w:rPr>
                      <w:rFonts w:hint="default" w:ascii="Times New Roman" w:hAnsi="Times New Roman" w:cs="Times New Roman"/>
                      <w:color w:val="auto"/>
                    </w:rPr>
                    <w:t>=</w:t>
                  </w:r>
                  <w:r>
                    <w:rPr>
                      <w:rFonts w:hint="eastAsia" w:cs="Times New Roman"/>
                      <w:color w:val="auto"/>
                      <w:lang w:val="en-US" w:eastAsia="zh-CN"/>
                    </w:rPr>
                    <w:t>14100</w:t>
                  </w:r>
                  <w:r>
                    <w:rPr>
                      <w:rFonts w:hint="default" w:ascii="Times New Roman" w:hAnsi="Times New Roman" w:cs="Times New Roman"/>
                      <w:color w:val="auto"/>
                    </w:rPr>
                    <w:t>mg/kg（二甲苯）；</w:t>
                  </w:r>
                  <w:r>
                    <w:rPr>
                      <w:rFonts w:hint="eastAsia" w:cs="Times New Roman"/>
                      <w:color w:val="auto"/>
                      <w:lang w:val="en-US" w:eastAsia="zh-CN"/>
                    </w:rPr>
                    <w:t>兔</w:t>
                  </w:r>
                  <w:r>
                    <w:rPr>
                      <w:rFonts w:hint="default" w:ascii="Times New Roman" w:hAnsi="Times New Roman" w:cs="Times New Roman"/>
                      <w:color w:val="auto"/>
                    </w:rPr>
                    <w:t>经口LD</w:t>
                  </w:r>
                  <w:r>
                    <w:rPr>
                      <w:rFonts w:hint="default" w:ascii="Times New Roman" w:hAnsi="Times New Roman" w:cs="Times New Roman"/>
                      <w:color w:val="auto"/>
                      <w:vertAlign w:val="subscript"/>
                    </w:rPr>
                    <w:t>50</w:t>
                  </w:r>
                  <w:r>
                    <w:rPr>
                      <w:rFonts w:hint="default" w:ascii="Times New Roman" w:hAnsi="Times New Roman" w:cs="Times New Roman"/>
                      <w:color w:val="auto"/>
                    </w:rPr>
                    <w:t>=</w:t>
                  </w:r>
                  <w:r>
                    <w:rPr>
                      <w:rFonts w:hint="eastAsia" w:cs="Times New Roman"/>
                      <w:color w:val="auto"/>
                      <w:lang w:val="en-US" w:eastAsia="zh-CN"/>
                    </w:rPr>
                    <w:t>948</w:t>
                  </w:r>
                  <w:r>
                    <w:rPr>
                      <w:rFonts w:hint="default" w:ascii="Times New Roman" w:hAnsi="Times New Roman" w:cs="Times New Roman"/>
                      <w:color w:val="auto"/>
                    </w:rPr>
                    <w:t>mg/kg（</w:t>
                  </w:r>
                  <w:r>
                    <w:rPr>
                      <w:rFonts w:hint="eastAsia" w:cs="Times New Roman"/>
                      <w:color w:val="auto"/>
                      <w:lang w:val="en-US" w:eastAsia="zh-CN"/>
                    </w:rPr>
                    <w:t>环己酮</w:t>
                  </w:r>
                  <w:r>
                    <w:rPr>
                      <w:rFonts w:hint="default" w:ascii="Times New Roman" w:hAnsi="Times New Roman" w:cs="Times New Roman"/>
                      <w:color w:val="auto"/>
                    </w:rPr>
                    <w:t>）</w:t>
                  </w:r>
                  <w:r>
                    <w:rPr>
                      <w:rFonts w:hint="eastAsia" w:cs="Times New Roman"/>
                      <w:color w:val="auto"/>
                      <w:lang w:eastAsia="zh-CN"/>
                    </w:rPr>
                    <w:t>；</w:t>
                  </w:r>
                  <w:r>
                    <w:rPr>
                      <w:rFonts w:hint="default" w:ascii="Times New Roman" w:hAnsi="Times New Roman" w:cs="Times New Roman"/>
                      <w:color w:val="auto"/>
                    </w:rPr>
                    <w:t>大鼠经口L</w:t>
                  </w:r>
                  <w:r>
                    <w:rPr>
                      <w:rFonts w:hint="eastAsia" w:cs="Times New Roman"/>
                      <w:color w:val="auto"/>
                      <w:lang w:val="en-US" w:eastAsia="zh-CN"/>
                    </w:rPr>
                    <w:t>C</w:t>
                  </w:r>
                  <w:r>
                    <w:rPr>
                      <w:rFonts w:hint="default" w:ascii="Times New Roman" w:hAnsi="Times New Roman" w:cs="Times New Roman"/>
                      <w:color w:val="auto"/>
                      <w:vertAlign w:val="subscript"/>
                    </w:rPr>
                    <w:t>50</w:t>
                  </w:r>
                  <w:r>
                    <w:rPr>
                      <w:rFonts w:hint="default" w:ascii="Times New Roman" w:hAnsi="Times New Roman" w:cs="Times New Roman"/>
                      <w:color w:val="auto"/>
                    </w:rPr>
                    <w:t>=</w:t>
                  </w:r>
                  <w:r>
                    <w:rPr>
                      <w:rFonts w:hint="eastAsia" w:cs="Times New Roman"/>
                      <w:color w:val="auto"/>
                      <w:lang w:val="en-US" w:eastAsia="zh-CN"/>
                    </w:rPr>
                    <w:t>9480</w:t>
                  </w:r>
                  <w:r>
                    <w:rPr>
                      <w:rFonts w:hint="default" w:ascii="Times New Roman" w:hAnsi="Times New Roman" w:cs="Times New Roman"/>
                      <w:color w:val="auto"/>
                    </w:rPr>
                    <w:t>mg/kg（</w:t>
                  </w:r>
                  <w:r>
                    <w:rPr>
                      <w:rFonts w:hint="eastAsia" w:cs="Times New Roman"/>
                      <w:color w:val="auto"/>
                      <w:lang w:val="en-US" w:eastAsia="zh-CN"/>
                    </w:rPr>
                    <w:t>乙酸丁酯</w:t>
                  </w:r>
                  <w:r>
                    <w:rPr>
                      <w:rFonts w:hint="default" w:ascii="Times New Roman" w:hAnsi="Times New Roman" w:cs="Times New Roman"/>
                      <w:color w:val="auto"/>
                    </w:rPr>
                    <w:t>）</w:t>
                  </w:r>
                  <w:r>
                    <w:rPr>
                      <w:rFonts w:hint="eastAsia" w:cs="Times New Roman"/>
                      <w:color w:val="auto"/>
                      <w:lang w:eastAsia="zh-CN"/>
                    </w:rPr>
                    <w:t>；</w:t>
                  </w:r>
                  <w:r>
                    <w:rPr>
                      <w:rFonts w:hint="default" w:ascii="Times New Roman" w:hAnsi="Times New Roman" w:cs="Times New Roman"/>
                      <w:color w:val="auto"/>
                    </w:rPr>
                    <w:t>大鼠经口：L</w:t>
                  </w:r>
                  <w:r>
                    <w:rPr>
                      <w:rFonts w:hint="eastAsia" w:cs="Times New Roman"/>
                      <w:color w:val="auto"/>
                      <w:lang w:val="en-US" w:eastAsia="zh-CN"/>
                    </w:rPr>
                    <w:t>C</w:t>
                  </w:r>
                  <w:r>
                    <w:rPr>
                      <w:rFonts w:hint="default" w:ascii="Times New Roman" w:hAnsi="Times New Roman" w:cs="Times New Roman"/>
                      <w:color w:val="auto"/>
                      <w:vertAlign w:val="subscript"/>
                    </w:rPr>
                    <w:t>50</w:t>
                  </w:r>
                  <w:r>
                    <w:rPr>
                      <w:rFonts w:hint="default" w:ascii="Times New Roman" w:hAnsi="Times New Roman" w:cs="Times New Roman"/>
                      <w:color w:val="auto"/>
                    </w:rPr>
                    <w:t>=</w:t>
                  </w:r>
                  <w:r>
                    <w:rPr>
                      <w:rFonts w:hint="eastAsia" w:cs="Times New Roman"/>
                      <w:color w:val="auto"/>
                      <w:lang w:val="en-US" w:eastAsia="zh-CN"/>
                    </w:rPr>
                    <w:t>32080</w:t>
                  </w:r>
                  <w:r>
                    <w:rPr>
                      <w:rFonts w:hint="default" w:ascii="Times New Roman" w:hAnsi="Times New Roman" w:cs="Times New Roman"/>
                      <w:color w:val="auto"/>
                    </w:rPr>
                    <w:t>mg/</w:t>
                  </w:r>
                  <w:r>
                    <w:rPr>
                      <w:rFonts w:hint="eastAsia" w:cs="Times New Roman"/>
                      <w:color w:val="auto"/>
                      <w:lang w:val="en-US" w:eastAsia="zh-CN"/>
                    </w:rPr>
                    <w:t>m³</w:t>
                  </w:r>
                  <w:r>
                    <w:rPr>
                      <w:rFonts w:hint="default" w:ascii="Times New Roman" w:hAnsi="Times New Roman" w:cs="Times New Roman"/>
                      <w:color w:val="auto"/>
                    </w:rPr>
                    <w:t>（</w:t>
                  </w:r>
                  <w:r>
                    <w:rPr>
                      <w:rFonts w:hint="eastAsia" w:cs="Times New Roman"/>
                      <w:color w:val="auto"/>
                      <w:lang w:val="en-US" w:eastAsia="zh-CN"/>
                    </w:rPr>
                    <w:t>环己酮</w:t>
                  </w:r>
                  <w:r>
                    <w:rPr>
                      <w:rFonts w:hint="default" w:ascii="Times New Roman" w:hAnsi="Times New Roman" w:cs="Times New Roman"/>
                      <w:color w:val="auto"/>
                    </w:rPr>
                    <w:t>）</w:t>
                  </w:r>
                  <w:r>
                    <w:rPr>
                      <w:rFonts w:hint="eastAsia" w:cs="Times New Roman"/>
                      <w:color w:val="auto"/>
                      <w:lang w:eastAsia="zh-CN"/>
                    </w:rPr>
                    <w:t>，</w:t>
                  </w:r>
                  <w:r>
                    <w:rPr>
                      <w:rFonts w:hint="eastAsia" w:cs="Times New Roman"/>
                      <w:color w:val="auto"/>
                      <w:lang w:val="en-US" w:eastAsia="zh-CN"/>
                    </w:rPr>
                    <w:t>4小时</w:t>
                  </w:r>
                </w:p>
              </w:tc>
            </w:tr>
            <w:tr w14:paraId="322A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tcBorders>
                    <w:top w:val="single" w:color="auto" w:sz="4" w:space="0"/>
                    <w:left w:val="single" w:color="auto" w:sz="4" w:space="0"/>
                    <w:bottom w:val="single" w:color="auto" w:sz="4" w:space="0"/>
                    <w:right w:val="single" w:color="auto" w:sz="4" w:space="0"/>
                  </w:tcBorders>
                  <w:noWrap w:val="0"/>
                  <w:vAlign w:val="center"/>
                </w:tcPr>
                <w:p w14:paraId="5B31740F">
                  <w:pPr>
                    <w:pStyle w:val="14"/>
                    <w:keepNext w:val="0"/>
                    <w:keepLines w:val="0"/>
                    <w:pageBreakBefore w:val="0"/>
                    <w:widowControl/>
                    <w:kinsoku/>
                    <w:wordWrap w:val="0"/>
                    <w:overflowPunct/>
                    <w:topLinePunct w:val="0"/>
                    <w:autoSpaceDE/>
                    <w:autoSpaceDN/>
                    <w:bidi w:val="0"/>
                    <w:adjustRightInd/>
                    <w:snapToGrid/>
                    <w:textAlignment w:val="auto"/>
                    <w:rPr>
                      <w:rFonts w:hint="default" w:cs="Times New Roman"/>
                      <w:color w:val="auto"/>
                      <w:lang w:val="en-US" w:eastAsia="zh-CN"/>
                    </w:rPr>
                  </w:pPr>
                  <w:r>
                    <w:rPr>
                      <w:rFonts w:hint="eastAsia" w:cs="Times New Roman"/>
                      <w:color w:val="auto"/>
                      <w:lang w:val="en-US" w:eastAsia="zh-CN"/>
                    </w:rPr>
                    <w:t>稀释剂</w:t>
                  </w:r>
                </w:p>
              </w:tc>
              <w:tc>
                <w:tcPr>
                  <w:tcW w:w="1918" w:type="dxa"/>
                  <w:tcBorders>
                    <w:top w:val="single" w:color="auto" w:sz="4" w:space="0"/>
                    <w:left w:val="single" w:color="auto" w:sz="4" w:space="0"/>
                    <w:bottom w:val="single" w:color="auto" w:sz="4" w:space="0"/>
                    <w:right w:val="single" w:color="auto" w:sz="4" w:space="0"/>
                  </w:tcBorders>
                  <w:noWrap w:val="0"/>
                  <w:vAlign w:val="center"/>
                </w:tcPr>
                <w:p w14:paraId="5D93B146">
                  <w:pPr>
                    <w:pStyle w:val="14"/>
                    <w:keepNext w:val="0"/>
                    <w:keepLines w:val="0"/>
                    <w:pageBreakBefore w:val="0"/>
                    <w:widowControl/>
                    <w:kinsoku/>
                    <w:wordWrap w:val="0"/>
                    <w:overflowPunct/>
                    <w:topLinePunct w:val="0"/>
                    <w:autoSpaceDE/>
                    <w:autoSpaceDN/>
                    <w:bidi w:val="0"/>
                    <w:adjustRightInd/>
                    <w:snapToGrid/>
                    <w:textAlignment w:val="auto"/>
                    <w:rPr>
                      <w:rFonts w:hint="eastAsia" w:ascii="Times New Roman" w:hAnsi="Times New Roman" w:eastAsia="宋体" w:cs="Times New Roman"/>
                      <w:color w:val="auto"/>
                      <w:lang w:eastAsia="zh-CN"/>
                    </w:rPr>
                  </w:pPr>
                  <w:r>
                    <w:rPr>
                      <w:rFonts w:hint="default" w:ascii="Times New Roman" w:hAnsi="Times New Roman" w:cs="Times New Roman"/>
                      <w:color w:val="auto"/>
                    </w:rPr>
                    <w:t>无色透明液体，有刺激性气味</w:t>
                  </w:r>
                  <w:r>
                    <w:rPr>
                      <w:rFonts w:hint="eastAsia" w:cs="Times New Roman"/>
                      <w:color w:val="auto"/>
                      <w:lang w:eastAsia="zh-CN"/>
                    </w:rPr>
                    <w:t>。</w:t>
                  </w:r>
                  <w:r>
                    <w:rPr>
                      <w:rFonts w:hint="default" w:ascii="Times New Roman" w:hAnsi="Times New Roman" w:cs="Times New Roman"/>
                      <w:color w:val="auto"/>
                    </w:rPr>
                    <w:t>闪点（闭杯/℃）：25</w:t>
                  </w:r>
                  <w:r>
                    <w:rPr>
                      <w:rFonts w:hint="eastAsia" w:cs="Times New Roman"/>
                      <w:color w:val="auto"/>
                      <w:lang w:eastAsia="zh-CN"/>
                    </w:rPr>
                    <w:t>。</w:t>
                  </w:r>
                  <w:r>
                    <w:rPr>
                      <w:rFonts w:hint="default" w:ascii="Times New Roman" w:hAnsi="Times New Roman" w:cs="Times New Roman"/>
                      <w:color w:val="auto"/>
                    </w:rPr>
                    <w:t>相对密度（g/cm</w:t>
                  </w:r>
                  <w:r>
                    <w:rPr>
                      <w:rFonts w:hint="default" w:ascii="Times New Roman" w:hAnsi="Times New Roman" w:cs="Times New Roman"/>
                      <w:color w:val="auto"/>
                      <w:vertAlign w:val="superscript"/>
                    </w:rPr>
                    <w:t>3</w:t>
                  </w:r>
                  <w:r>
                    <w:rPr>
                      <w:rFonts w:hint="default" w:ascii="Times New Roman" w:hAnsi="Times New Roman" w:cs="Times New Roman"/>
                      <w:color w:val="auto"/>
                    </w:rPr>
                    <w:t>）：0.84-0.92</w:t>
                  </w:r>
                  <w:r>
                    <w:rPr>
                      <w:rFonts w:hint="eastAsia" w:cs="Times New Roman"/>
                      <w:color w:val="auto"/>
                      <w:lang w:eastAsia="zh-CN"/>
                    </w:rPr>
                    <w:t>。</w:t>
                  </w:r>
                  <w:r>
                    <w:rPr>
                      <w:rFonts w:hint="default" w:ascii="Times New Roman" w:hAnsi="Times New Roman" w:cs="Times New Roman"/>
                      <w:color w:val="auto"/>
                    </w:rPr>
                    <w:t>自燃温度（℃）：340</w:t>
                  </w:r>
                  <w:r>
                    <w:rPr>
                      <w:rFonts w:hint="eastAsia" w:cs="Times New Roman"/>
                      <w:color w:val="auto"/>
                      <w:lang w:eastAsia="zh-CN"/>
                    </w:rPr>
                    <w:t>。</w:t>
                  </w:r>
                  <w:r>
                    <w:rPr>
                      <w:rFonts w:hint="default" w:ascii="Times New Roman" w:hAnsi="Times New Roman" w:cs="Times New Roman"/>
                      <w:color w:val="auto"/>
                    </w:rPr>
                    <w:t>不能与水混溶，可溶于有机溶剂。稳定性：稳定，禁配物：强氧化剂</w:t>
                  </w:r>
                  <w:r>
                    <w:rPr>
                      <w:rFonts w:hint="eastAsia" w:cs="Times New Roman"/>
                      <w:color w:val="auto"/>
                      <w:lang w:eastAsia="zh-CN"/>
                    </w:rPr>
                    <w:t>。</w:t>
                  </w:r>
                  <w:r>
                    <w:rPr>
                      <w:rFonts w:hint="default" w:ascii="Times New Roman" w:hAnsi="Times New Roman" w:cs="Times New Roman"/>
                      <w:color w:val="auto"/>
                    </w:rPr>
                    <w:t>避免接触的条件：明火，高温。聚合危害：不能发生</w:t>
                  </w:r>
                  <w:r>
                    <w:rPr>
                      <w:rFonts w:hint="eastAsia" w:cs="Times New Roman"/>
                      <w:color w:val="auto"/>
                      <w:lang w:eastAsia="zh-CN"/>
                    </w:rPr>
                    <w:t>。</w:t>
                  </w:r>
                </w:p>
              </w:tc>
              <w:tc>
                <w:tcPr>
                  <w:tcW w:w="2828" w:type="dxa"/>
                  <w:tcBorders>
                    <w:top w:val="single" w:color="auto" w:sz="4" w:space="0"/>
                    <w:left w:val="single" w:color="auto" w:sz="4" w:space="0"/>
                    <w:bottom w:val="single" w:color="auto" w:sz="4" w:space="0"/>
                    <w:right w:val="single" w:color="auto" w:sz="4" w:space="0"/>
                  </w:tcBorders>
                  <w:noWrap w:val="0"/>
                  <w:vAlign w:val="center"/>
                </w:tcPr>
                <w:p w14:paraId="3E04C300">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b/>
                      <w:bCs/>
                      <w:color w:val="auto"/>
                    </w:rPr>
                    <w:t>危险性类别</w:t>
                  </w:r>
                  <w:r>
                    <w:rPr>
                      <w:rFonts w:hint="eastAsia" w:cs="Times New Roman"/>
                      <w:b/>
                      <w:bCs/>
                      <w:color w:val="auto"/>
                      <w:lang w:eastAsia="zh-CN"/>
                    </w:rPr>
                    <w:t>：</w:t>
                  </w:r>
                  <w:r>
                    <w:rPr>
                      <w:rFonts w:hint="default" w:ascii="Times New Roman" w:hAnsi="Times New Roman" w:cs="Times New Roman"/>
                      <w:color w:val="auto"/>
                    </w:rPr>
                    <w:t>易燃、有害。</w:t>
                  </w:r>
                </w:p>
                <w:p w14:paraId="326D51C8">
                  <w:pPr>
                    <w:pStyle w:val="14"/>
                    <w:keepNext w:val="0"/>
                    <w:keepLines w:val="0"/>
                    <w:pageBreakBefore w:val="0"/>
                    <w:widowControl/>
                    <w:kinsoku/>
                    <w:wordWrap w:val="0"/>
                    <w:overflowPunct/>
                    <w:topLinePunct w:val="0"/>
                    <w:autoSpaceDE/>
                    <w:autoSpaceDN/>
                    <w:bidi w:val="0"/>
                    <w:adjustRightInd/>
                    <w:snapToGrid/>
                    <w:textAlignment w:val="auto"/>
                    <w:rPr>
                      <w:rFonts w:hint="eastAsia" w:cs="Times New Roman"/>
                      <w:b w:val="0"/>
                      <w:bCs w:val="0"/>
                      <w:color w:val="auto"/>
                      <w:lang w:eastAsia="zh-CN"/>
                    </w:rPr>
                  </w:pPr>
                  <w:r>
                    <w:rPr>
                      <w:rFonts w:hint="default" w:ascii="Times New Roman" w:hAnsi="Times New Roman" w:cs="Times New Roman"/>
                      <w:b/>
                      <w:bCs/>
                      <w:color w:val="auto"/>
                    </w:rPr>
                    <w:t>侵入途径</w:t>
                  </w:r>
                  <w:r>
                    <w:rPr>
                      <w:rFonts w:hint="eastAsia" w:cs="Times New Roman"/>
                      <w:b/>
                      <w:bCs/>
                      <w:color w:val="auto"/>
                      <w:lang w:eastAsia="zh-CN"/>
                    </w:rPr>
                    <w:t>：</w:t>
                  </w:r>
                  <w:r>
                    <w:rPr>
                      <w:rFonts w:hint="default" w:ascii="Times New Roman" w:hAnsi="Times New Roman" w:cs="Times New Roman"/>
                      <w:color w:val="auto"/>
                    </w:rPr>
                    <w:t>吸入、食入、经</w:t>
                  </w:r>
                  <w:r>
                    <w:rPr>
                      <w:rFonts w:hint="default" w:ascii="Times New Roman" w:hAnsi="Times New Roman" w:cs="Times New Roman"/>
                      <w:b w:val="0"/>
                      <w:bCs w:val="0"/>
                      <w:color w:val="auto"/>
                    </w:rPr>
                    <w:t>皮吸收</w:t>
                  </w:r>
                  <w:r>
                    <w:rPr>
                      <w:rFonts w:hint="eastAsia" w:cs="Times New Roman"/>
                      <w:b w:val="0"/>
                      <w:bCs w:val="0"/>
                      <w:color w:val="auto"/>
                      <w:lang w:eastAsia="zh-CN"/>
                    </w:rPr>
                    <w:t>。</w:t>
                  </w:r>
                </w:p>
                <w:p w14:paraId="04CA2D10">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b/>
                      <w:bCs/>
                      <w:color w:val="auto"/>
                    </w:rPr>
                    <w:t>健康危害</w:t>
                  </w:r>
                  <w:r>
                    <w:rPr>
                      <w:rFonts w:hint="eastAsia" w:cs="Times New Roman"/>
                      <w:b/>
                      <w:bCs/>
                      <w:color w:val="auto"/>
                      <w:lang w:eastAsia="zh-CN"/>
                    </w:rPr>
                    <w:t>：</w:t>
                  </w:r>
                  <w:r>
                    <w:rPr>
                      <w:rFonts w:hint="default" w:ascii="Times New Roman" w:hAnsi="Times New Roman" w:cs="Times New Roman"/>
                      <w:color w:val="auto"/>
                    </w:rPr>
                    <w:t>有刺激性气味，长期接触其高浓度蒸气可引起头昏、头晕，对皮肤黏膜有刺激、致敏作用。</w:t>
                  </w:r>
                </w:p>
                <w:p w14:paraId="6BCD5585">
                  <w:pPr>
                    <w:pStyle w:val="14"/>
                    <w:keepNext w:val="0"/>
                    <w:keepLines w:val="0"/>
                    <w:pageBreakBefore w:val="0"/>
                    <w:widowControl/>
                    <w:kinsoku/>
                    <w:wordWrap w:val="0"/>
                    <w:overflowPunct/>
                    <w:topLinePunct w:val="0"/>
                    <w:autoSpaceDE/>
                    <w:autoSpaceDN/>
                    <w:bidi w:val="0"/>
                    <w:adjustRightInd/>
                    <w:snapToGrid/>
                    <w:textAlignment w:val="auto"/>
                    <w:rPr>
                      <w:rFonts w:hint="eastAsia" w:cs="Times New Roman"/>
                      <w:color w:val="auto"/>
                      <w:lang w:eastAsia="zh-CN"/>
                    </w:rPr>
                  </w:pPr>
                  <w:r>
                    <w:rPr>
                      <w:rFonts w:hint="default" w:ascii="Times New Roman" w:hAnsi="Times New Roman" w:cs="Times New Roman"/>
                      <w:b/>
                      <w:bCs/>
                      <w:color w:val="auto"/>
                    </w:rPr>
                    <w:t>环境危害</w:t>
                  </w:r>
                  <w:r>
                    <w:rPr>
                      <w:rFonts w:hint="eastAsia" w:cs="Times New Roman"/>
                      <w:b/>
                      <w:bCs/>
                      <w:color w:val="auto"/>
                      <w:lang w:eastAsia="zh-CN"/>
                    </w:rPr>
                    <w:t>：</w:t>
                  </w:r>
                  <w:r>
                    <w:rPr>
                      <w:rFonts w:hint="default" w:ascii="Times New Roman" w:hAnsi="Times New Roman" w:cs="Times New Roman"/>
                      <w:color w:val="auto"/>
                    </w:rPr>
                    <w:t>该物质对环境有危害，有泄漏时应特别注意不得排入下水道</w:t>
                  </w:r>
                  <w:r>
                    <w:rPr>
                      <w:rFonts w:hint="eastAsia" w:cs="Times New Roman"/>
                      <w:color w:val="auto"/>
                      <w:lang w:eastAsia="zh-CN"/>
                    </w:rPr>
                    <w:t>。</w:t>
                  </w:r>
                </w:p>
                <w:p w14:paraId="42BE0435">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b/>
                      <w:bCs/>
                      <w:color w:val="auto"/>
                    </w:rPr>
                    <w:t>燃爆危险</w:t>
                  </w:r>
                  <w:r>
                    <w:rPr>
                      <w:rFonts w:hint="eastAsia" w:cs="Times New Roman"/>
                      <w:b/>
                      <w:bCs/>
                      <w:color w:val="auto"/>
                      <w:lang w:eastAsia="zh-CN"/>
                    </w:rPr>
                    <w:t>：</w:t>
                  </w:r>
                  <w:r>
                    <w:rPr>
                      <w:rFonts w:hint="default" w:ascii="Times New Roman" w:hAnsi="Times New Roman" w:cs="Times New Roman"/>
                      <w:color w:val="auto"/>
                    </w:rPr>
                    <w:t>易燃。遇明火、高热有燃烧爆炸危险。</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7C095C46">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b/>
                      <w:bCs/>
                      <w:color w:val="auto"/>
                    </w:rPr>
                    <w:t>急性中毒</w:t>
                  </w:r>
                  <w:r>
                    <w:rPr>
                      <w:rFonts w:hint="eastAsia" w:cs="Times New Roman"/>
                      <w:b/>
                      <w:bCs/>
                      <w:color w:val="auto"/>
                      <w:lang w:eastAsia="zh-CN"/>
                    </w:rPr>
                    <w:t>：</w:t>
                  </w:r>
                  <w:r>
                    <w:rPr>
                      <w:rFonts w:hint="default" w:ascii="Times New Roman" w:hAnsi="Times New Roman" w:cs="Times New Roman"/>
                      <w:color w:val="auto"/>
                    </w:rPr>
                    <w:t>轻者有头痛、头晕、恶心</w:t>
                  </w:r>
                  <w:r>
                    <w:rPr>
                      <w:rFonts w:hint="eastAsia" w:cs="Times New Roman"/>
                      <w:color w:val="auto"/>
                      <w:lang w:eastAsia="zh-CN"/>
                    </w:rPr>
                    <w:t>；</w:t>
                  </w:r>
                  <w:r>
                    <w:rPr>
                      <w:rFonts w:hint="default" w:ascii="Times New Roman" w:hAnsi="Times New Roman" w:cs="Times New Roman"/>
                      <w:color w:val="auto"/>
                    </w:rPr>
                    <w:t>严重者可发生昏迷。</w:t>
                  </w:r>
                </w:p>
                <w:p w14:paraId="004683AA">
                  <w:pPr>
                    <w:pStyle w:val="14"/>
                    <w:keepNext w:val="0"/>
                    <w:keepLines w:val="0"/>
                    <w:pageBreakBefore w:val="0"/>
                    <w:widowControl/>
                    <w:kinsoku/>
                    <w:wordWrap w:val="0"/>
                    <w:overflowPunct/>
                    <w:topLinePunct w:val="0"/>
                    <w:autoSpaceDE/>
                    <w:autoSpaceDN/>
                    <w:bidi w:val="0"/>
                    <w:adjustRightInd/>
                    <w:snapToGrid/>
                    <w:textAlignment w:val="auto"/>
                    <w:rPr>
                      <w:rFonts w:hint="eastAsia" w:cs="Times New Roman"/>
                      <w:color w:val="auto"/>
                      <w:lang w:eastAsia="zh-CN"/>
                    </w:rPr>
                  </w:pPr>
                  <w:r>
                    <w:rPr>
                      <w:rFonts w:hint="default" w:ascii="Times New Roman" w:hAnsi="Times New Roman" w:cs="Times New Roman"/>
                      <w:b/>
                      <w:bCs/>
                      <w:color w:val="auto"/>
                    </w:rPr>
                    <w:t>慢性中毒</w:t>
                  </w:r>
                  <w:r>
                    <w:rPr>
                      <w:rFonts w:hint="eastAsia" w:cs="Times New Roman"/>
                      <w:b/>
                      <w:bCs/>
                      <w:color w:val="auto"/>
                      <w:lang w:eastAsia="zh-CN"/>
                    </w:rPr>
                    <w:t>：</w:t>
                  </w:r>
                  <w:r>
                    <w:rPr>
                      <w:rFonts w:hint="default" w:ascii="Times New Roman" w:hAnsi="Times New Roman" w:cs="Times New Roman"/>
                      <w:color w:val="auto"/>
                    </w:rPr>
                    <w:t>主要表现神经衰弱症状，对皮肤有脱脂、干、裂等损害</w:t>
                  </w:r>
                  <w:r>
                    <w:rPr>
                      <w:rFonts w:hint="eastAsia" w:cs="Times New Roman"/>
                      <w:color w:val="auto"/>
                      <w:lang w:eastAsia="zh-CN"/>
                    </w:rPr>
                    <w:t>。</w:t>
                  </w:r>
                </w:p>
                <w:p w14:paraId="4ED2C952">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b/>
                      <w:bCs/>
                      <w:color w:val="auto"/>
                    </w:rPr>
                    <w:t>刺激性</w:t>
                  </w:r>
                  <w:r>
                    <w:rPr>
                      <w:rFonts w:hint="eastAsia" w:cs="Times New Roman"/>
                      <w:b/>
                      <w:bCs/>
                      <w:color w:val="auto"/>
                      <w:lang w:eastAsia="zh-CN"/>
                    </w:rPr>
                    <w:t>：</w:t>
                  </w:r>
                  <w:r>
                    <w:rPr>
                      <w:rFonts w:hint="default" w:ascii="Times New Roman" w:hAnsi="Times New Roman" w:cs="Times New Roman"/>
                      <w:color w:val="auto"/>
                    </w:rPr>
                    <w:t>对皮肤、黏膜、呼吸系统有一定刺激性。</w:t>
                  </w:r>
                </w:p>
              </w:tc>
            </w:tr>
            <w:tr w14:paraId="25F2E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tcBorders>
                    <w:top w:val="single" w:color="auto" w:sz="4" w:space="0"/>
                    <w:left w:val="single" w:color="auto" w:sz="4" w:space="0"/>
                    <w:bottom w:val="single" w:color="auto" w:sz="4" w:space="0"/>
                    <w:right w:val="single" w:color="auto" w:sz="4" w:space="0"/>
                  </w:tcBorders>
                  <w:noWrap w:val="0"/>
                  <w:vAlign w:val="center"/>
                </w:tcPr>
                <w:p w14:paraId="28325F8D">
                  <w:pPr>
                    <w:pStyle w:val="14"/>
                    <w:keepNext w:val="0"/>
                    <w:keepLines w:val="0"/>
                    <w:pageBreakBefore w:val="0"/>
                    <w:widowControl/>
                    <w:kinsoku/>
                    <w:wordWrap w:val="0"/>
                    <w:overflowPunct/>
                    <w:topLinePunct w:val="0"/>
                    <w:autoSpaceDE/>
                    <w:autoSpaceDN/>
                    <w:bidi w:val="0"/>
                    <w:adjustRightInd/>
                    <w:snapToGrid/>
                    <w:textAlignment w:val="auto"/>
                    <w:rPr>
                      <w:rFonts w:hint="default" w:cs="Times New Roman"/>
                      <w:color w:val="auto"/>
                      <w:lang w:val="en-US" w:eastAsia="zh-CN"/>
                    </w:rPr>
                  </w:pPr>
                  <w:r>
                    <w:rPr>
                      <w:rFonts w:hint="eastAsia" w:cs="Times New Roman"/>
                      <w:color w:val="auto"/>
                      <w:lang w:val="en-US" w:eastAsia="zh-CN"/>
                    </w:rPr>
                    <w:t>固化剂</w:t>
                  </w:r>
                </w:p>
              </w:tc>
              <w:tc>
                <w:tcPr>
                  <w:tcW w:w="1918" w:type="dxa"/>
                  <w:tcBorders>
                    <w:top w:val="single" w:color="auto" w:sz="4" w:space="0"/>
                    <w:left w:val="single" w:color="auto" w:sz="4" w:space="0"/>
                    <w:bottom w:val="single" w:color="auto" w:sz="4" w:space="0"/>
                    <w:right w:val="single" w:color="auto" w:sz="4" w:space="0"/>
                  </w:tcBorders>
                  <w:noWrap w:val="0"/>
                  <w:vAlign w:val="center"/>
                </w:tcPr>
                <w:p w14:paraId="638DAC40">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粘稠液体</w:t>
                  </w:r>
                  <w:r>
                    <w:rPr>
                      <w:rFonts w:hint="eastAsia" w:cs="Times New Roman"/>
                      <w:color w:val="auto"/>
                      <w:lang w:eastAsia="zh-CN"/>
                    </w:rPr>
                    <w:t>。</w:t>
                  </w:r>
                  <w:r>
                    <w:rPr>
                      <w:rFonts w:hint="default" w:ascii="Times New Roman" w:hAnsi="Times New Roman" w:cs="Times New Roman"/>
                      <w:color w:val="auto"/>
                    </w:rPr>
                    <w:t>沸点</w:t>
                  </w:r>
                  <w:r>
                    <w:rPr>
                      <w:rFonts w:hint="eastAsia" w:cs="Times New Roman"/>
                      <w:color w:val="auto"/>
                      <w:lang w:eastAsia="zh-CN"/>
                    </w:rPr>
                    <w:t>（</w:t>
                  </w:r>
                  <w:r>
                    <w:rPr>
                      <w:rFonts w:hint="default" w:ascii="Times New Roman" w:hAnsi="Times New Roman" w:cs="Times New Roman"/>
                      <w:color w:val="auto"/>
                    </w:rPr>
                    <w:t>初沸点</w:t>
                  </w:r>
                  <w:r>
                    <w:rPr>
                      <w:rFonts w:hint="eastAsia" w:cs="Times New Roman"/>
                      <w:color w:val="auto"/>
                      <w:lang w:eastAsia="zh-CN"/>
                    </w:rPr>
                    <w:t>）（</w:t>
                  </w:r>
                  <w:r>
                    <w:rPr>
                      <w:rFonts w:hint="default" w:ascii="Times New Roman" w:hAnsi="Times New Roman" w:cs="Times New Roman"/>
                      <w:color w:val="auto"/>
                    </w:rPr>
                    <w:t>℃</w:t>
                  </w:r>
                  <w:r>
                    <w:rPr>
                      <w:rFonts w:hint="eastAsia" w:cs="Times New Roman"/>
                      <w:color w:val="auto"/>
                      <w:lang w:eastAsia="zh-CN"/>
                    </w:rPr>
                    <w:t>）：</w:t>
                  </w:r>
                  <w:r>
                    <w:rPr>
                      <w:rFonts w:hint="default" w:ascii="Times New Roman" w:hAnsi="Times New Roman" w:cs="Times New Roman"/>
                      <w:color w:val="auto"/>
                    </w:rPr>
                    <w:t>&gt;35</w:t>
                  </w:r>
                  <w:r>
                    <w:rPr>
                      <w:rFonts w:hint="eastAsia" w:cs="Times New Roman"/>
                      <w:color w:val="auto"/>
                      <w:lang w:eastAsia="zh-CN"/>
                    </w:rPr>
                    <w:t>。</w:t>
                  </w:r>
                  <w:r>
                    <w:rPr>
                      <w:rFonts w:hint="default" w:ascii="Times New Roman" w:hAnsi="Times New Roman" w:cs="Times New Roman"/>
                      <w:color w:val="auto"/>
                    </w:rPr>
                    <w:t>相对密度</w:t>
                  </w:r>
                  <w:r>
                    <w:rPr>
                      <w:rFonts w:hint="eastAsia" w:cs="Times New Roman"/>
                      <w:color w:val="auto"/>
                      <w:lang w:eastAsia="zh-CN"/>
                    </w:rPr>
                    <w:t>（</w:t>
                  </w:r>
                  <w:r>
                    <w:rPr>
                      <w:rFonts w:hint="default" w:ascii="Times New Roman" w:hAnsi="Times New Roman" w:cs="Times New Roman"/>
                      <w:color w:val="auto"/>
                    </w:rPr>
                    <w:t>水=1</w:t>
                  </w:r>
                  <w:r>
                    <w:rPr>
                      <w:rFonts w:hint="eastAsia" w:cs="Times New Roman"/>
                      <w:color w:val="auto"/>
                      <w:lang w:eastAsia="zh-CN"/>
                    </w:rPr>
                    <w:t>）：</w:t>
                  </w:r>
                  <w:r>
                    <w:rPr>
                      <w:rFonts w:hint="default" w:ascii="Times New Roman" w:hAnsi="Times New Roman" w:cs="Times New Roman"/>
                      <w:color w:val="auto"/>
                    </w:rPr>
                    <w:t>1.027</w:t>
                  </w:r>
                  <w:r>
                    <w:rPr>
                      <w:rFonts w:hint="eastAsia" w:cs="Times New Roman"/>
                      <w:color w:val="auto"/>
                      <w:lang w:eastAsia="zh-CN"/>
                    </w:rPr>
                    <w:t>。</w:t>
                  </w:r>
                  <w:r>
                    <w:rPr>
                      <w:rFonts w:hint="default" w:ascii="Times New Roman" w:hAnsi="Times New Roman" w:cs="Times New Roman"/>
                      <w:color w:val="auto"/>
                    </w:rPr>
                    <w:t>闪点</w:t>
                  </w:r>
                  <w:r>
                    <w:rPr>
                      <w:rFonts w:hint="eastAsia" w:cs="Times New Roman"/>
                      <w:color w:val="auto"/>
                      <w:lang w:eastAsia="zh-CN"/>
                    </w:rPr>
                    <w:t>（</w:t>
                  </w:r>
                  <w:r>
                    <w:rPr>
                      <w:rFonts w:hint="default" w:ascii="Times New Roman" w:hAnsi="Times New Roman" w:cs="Times New Roman"/>
                      <w:color w:val="auto"/>
                    </w:rPr>
                    <w:t>℃</w:t>
                  </w:r>
                  <w:r>
                    <w:rPr>
                      <w:rFonts w:hint="eastAsia" w:cs="Times New Roman"/>
                      <w:color w:val="auto"/>
                      <w:lang w:eastAsia="zh-CN"/>
                    </w:rPr>
                    <w:t>）（</w:t>
                  </w:r>
                  <w:r>
                    <w:rPr>
                      <w:rFonts w:hint="default" w:ascii="Times New Roman" w:hAnsi="Times New Roman" w:cs="Times New Roman"/>
                      <w:color w:val="auto"/>
                    </w:rPr>
                    <w:t>闭杯</w:t>
                  </w:r>
                  <w:r>
                    <w:rPr>
                      <w:rFonts w:hint="eastAsia" w:cs="Times New Roman"/>
                      <w:color w:val="auto"/>
                      <w:lang w:eastAsia="zh-CN"/>
                    </w:rPr>
                    <w:t>）：</w:t>
                  </w:r>
                  <w:r>
                    <w:rPr>
                      <w:rFonts w:hint="default" w:ascii="Times New Roman" w:hAnsi="Times New Roman" w:cs="Times New Roman"/>
                      <w:color w:val="auto"/>
                    </w:rPr>
                    <w:t>6</w:t>
                  </w:r>
                  <w:r>
                    <w:rPr>
                      <w:rFonts w:hint="eastAsia" w:cs="Times New Roman"/>
                      <w:color w:val="auto"/>
                      <w:lang w:eastAsia="zh-CN"/>
                    </w:rPr>
                    <w:t>。</w:t>
                  </w:r>
                  <w:r>
                    <w:rPr>
                      <w:rFonts w:hint="default" w:ascii="Times New Roman" w:hAnsi="Times New Roman" w:cs="Times New Roman"/>
                      <w:color w:val="auto"/>
                    </w:rPr>
                    <w:t>燃点</w:t>
                  </w:r>
                  <w:r>
                    <w:rPr>
                      <w:rFonts w:hint="eastAsia" w:cs="Times New Roman"/>
                      <w:color w:val="auto"/>
                      <w:lang w:eastAsia="zh-CN"/>
                    </w:rPr>
                    <w:t>（</w:t>
                  </w:r>
                  <w:r>
                    <w:rPr>
                      <w:rFonts w:hint="default" w:ascii="Times New Roman" w:hAnsi="Times New Roman" w:cs="Times New Roman"/>
                      <w:color w:val="auto"/>
                    </w:rPr>
                    <w:t>℃</w:t>
                  </w:r>
                  <w:r>
                    <w:rPr>
                      <w:rFonts w:hint="eastAsia" w:cs="Times New Roman"/>
                      <w:color w:val="auto"/>
                      <w:lang w:eastAsia="zh-CN"/>
                    </w:rPr>
                    <w:t>）：</w:t>
                  </w:r>
                  <w:r>
                    <w:rPr>
                      <w:rFonts w:hint="default" w:ascii="Times New Roman" w:hAnsi="Times New Roman" w:cs="Times New Roman"/>
                      <w:color w:val="auto"/>
                    </w:rPr>
                    <w:t>18</w:t>
                  </w:r>
                  <w:r>
                    <w:rPr>
                      <w:rFonts w:hint="eastAsia" w:cs="Times New Roman"/>
                      <w:color w:val="auto"/>
                      <w:lang w:eastAsia="zh-CN"/>
                    </w:rPr>
                    <w:t>。</w:t>
                  </w:r>
                  <w:r>
                    <w:rPr>
                      <w:rFonts w:hint="default" w:ascii="Times New Roman" w:hAnsi="Times New Roman" w:cs="Times New Roman"/>
                      <w:color w:val="auto"/>
                    </w:rPr>
                    <w:t>溶解性</w:t>
                  </w:r>
                  <w:r>
                    <w:rPr>
                      <w:rFonts w:hint="eastAsia" w:cs="Times New Roman"/>
                      <w:color w:val="auto"/>
                      <w:lang w:eastAsia="zh-CN"/>
                    </w:rPr>
                    <w:t>：</w:t>
                  </w:r>
                  <w:r>
                    <w:rPr>
                      <w:rFonts w:hint="default" w:ascii="Times New Roman" w:hAnsi="Times New Roman" w:cs="Times New Roman"/>
                      <w:color w:val="auto"/>
                    </w:rPr>
                    <w:t>不溶于水，混溶于有机溶剂。</w:t>
                  </w:r>
                  <w:r>
                    <w:rPr>
                      <w:rFonts w:hint="eastAsia" w:cs="Times New Roman"/>
                      <w:color w:val="auto"/>
                      <w:lang w:val="en-US" w:eastAsia="zh-CN"/>
                    </w:rPr>
                    <w:t>稳定性：</w:t>
                  </w:r>
                  <w:r>
                    <w:rPr>
                      <w:rFonts w:hint="default" w:ascii="Times New Roman" w:hAnsi="Times New Roman" w:cs="Times New Roman"/>
                      <w:color w:val="auto"/>
                    </w:rPr>
                    <w:t>在正常环境和温度下储存和使用，稳定</w:t>
                  </w:r>
                  <w:r>
                    <w:rPr>
                      <w:rFonts w:hint="eastAsia" w:cs="Times New Roman"/>
                      <w:color w:val="auto"/>
                      <w:lang w:eastAsia="zh-CN"/>
                    </w:rPr>
                    <w:t>。</w:t>
                  </w:r>
                  <w:r>
                    <w:rPr>
                      <w:rFonts w:hint="default" w:ascii="Times New Roman" w:hAnsi="Times New Roman" w:cs="Times New Roman"/>
                      <w:color w:val="auto"/>
                    </w:rPr>
                    <w:t>避免接触的条件</w:t>
                  </w:r>
                  <w:r>
                    <w:rPr>
                      <w:rFonts w:hint="eastAsia" w:cs="Times New Roman"/>
                      <w:color w:val="auto"/>
                      <w:lang w:eastAsia="zh-CN"/>
                    </w:rPr>
                    <w:t>：</w:t>
                  </w:r>
                  <w:r>
                    <w:rPr>
                      <w:rFonts w:hint="default" w:ascii="Times New Roman" w:hAnsi="Times New Roman" w:cs="Times New Roman"/>
                      <w:color w:val="auto"/>
                    </w:rPr>
                    <w:t>光照、空气。禁配物</w:t>
                  </w:r>
                  <w:r>
                    <w:rPr>
                      <w:rFonts w:hint="eastAsia" w:cs="Times New Roman"/>
                      <w:color w:val="auto"/>
                      <w:lang w:eastAsia="zh-CN"/>
                    </w:rPr>
                    <w:t>：</w:t>
                  </w:r>
                  <w:r>
                    <w:rPr>
                      <w:rFonts w:hint="default" w:ascii="Times New Roman" w:hAnsi="Times New Roman" w:cs="Times New Roman"/>
                      <w:color w:val="auto"/>
                    </w:rPr>
                    <w:t>强氧化剂、碱类、酸类。聚合危害</w:t>
                  </w:r>
                  <w:r>
                    <w:rPr>
                      <w:rFonts w:hint="eastAsia" w:cs="Times New Roman"/>
                      <w:color w:val="auto"/>
                      <w:lang w:eastAsia="zh-CN"/>
                    </w:rPr>
                    <w:t>：</w:t>
                  </w:r>
                  <w:r>
                    <w:rPr>
                      <w:rFonts w:hint="default" w:ascii="Times New Roman" w:hAnsi="Times New Roman" w:cs="Times New Roman"/>
                      <w:color w:val="auto"/>
                    </w:rPr>
                    <w:t>不聚合</w:t>
                  </w:r>
                  <w:r>
                    <w:rPr>
                      <w:rFonts w:hint="eastAsia" w:cs="Times New Roman"/>
                      <w:color w:val="auto"/>
                      <w:lang w:eastAsia="zh-CN"/>
                    </w:rPr>
                    <w:t>。</w:t>
                  </w:r>
                  <w:r>
                    <w:rPr>
                      <w:rFonts w:hint="default" w:ascii="Times New Roman" w:hAnsi="Times New Roman" w:cs="Times New Roman"/>
                      <w:color w:val="auto"/>
                    </w:rPr>
                    <w:t>燃烧</w:t>
                  </w:r>
                  <w:r>
                    <w:rPr>
                      <w:rFonts w:hint="eastAsia" w:cs="Times New Roman"/>
                      <w:color w:val="auto"/>
                      <w:lang w:eastAsia="zh-CN"/>
                    </w:rPr>
                    <w:t>（</w:t>
                  </w:r>
                  <w:r>
                    <w:rPr>
                      <w:rFonts w:hint="default" w:ascii="Times New Roman" w:hAnsi="Times New Roman" w:cs="Times New Roman"/>
                      <w:color w:val="auto"/>
                    </w:rPr>
                    <w:t>分解产物</w:t>
                  </w:r>
                  <w:r>
                    <w:rPr>
                      <w:rFonts w:hint="eastAsia" w:cs="Times New Roman"/>
                      <w:color w:val="auto"/>
                      <w:lang w:eastAsia="zh-CN"/>
                    </w:rPr>
                    <w:t>）：</w:t>
                  </w:r>
                  <w:r>
                    <w:rPr>
                      <w:rFonts w:hint="default" w:ascii="Times New Roman" w:hAnsi="Times New Roman" w:cs="Times New Roman"/>
                      <w:color w:val="auto"/>
                    </w:rPr>
                    <w:t>一氧化碳、二氧化碳。</w:t>
                  </w:r>
                </w:p>
              </w:tc>
              <w:tc>
                <w:tcPr>
                  <w:tcW w:w="2828" w:type="dxa"/>
                  <w:tcBorders>
                    <w:top w:val="single" w:color="auto" w:sz="4" w:space="0"/>
                    <w:left w:val="single" w:color="auto" w:sz="4" w:space="0"/>
                    <w:bottom w:val="single" w:color="auto" w:sz="4" w:space="0"/>
                    <w:right w:val="single" w:color="auto" w:sz="4" w:space="0"/>
                  </w:tcBorders>
                  <w:noWrap w:val="0"/>
                  <w:vAlign w:val="center"/>
                </w:tcPr>
                <w:p w14:paraId="31DE6A27">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b/>
                      <w:bCs/>
                      <w:color w:val="auto"/>
                    </w:rPr>
                    <w:t>物理和化学危险</w:t>
                  </w:r>
                  <w:r>
                    <w:rPr>
                      <w:rFonts w:hint="eastAsia" w:cs="Times New Roman"/>
                      <w:b/>
                      <w:bCs/>
                      <w:color w:val="auto"/>
                      <w:lang w:eastAsia="zh-CN"/>
                    </w:rPr>
                    <w:t>：</w:t>
                  </w:r>
                  <w:r>
                    <w:rPr>
                      <w:rFonts w:hint="default" w:ascii="Times New Roman" w:hAnsi="Times New Roman" w:cs="Times New Roman"/>
                      <w:color w:val="auto"/>
                    </w:rPr>
                    <w:t>高度易燃液体和蒸气。其蒸气与空气可形成爆炸性混合物，遇明火、高热能引起燃烧爆炸。与氧化剂能发生强烈反应。其蒸气比空气重，能在较低处扩散到相当远的地方，遇火源会着火回燃。</w:t>
                  </w:r>
                </w:p>
                <w:p w14:paraId="496ED1B7">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b/>
                      <w:bCs/>
                      <w:color w:val="auto"/>
                    </w:rPr>
                    <w:t>健康危害</w:t>
                  </w:r>
                  <w:r>
                    <w:rPr>
                      <w:rFonts w:hint="eastAsia" w:cs="Times New Roman"/>
                      <w:b/>
                      <w:bCs/>
                      <w:color w:val="auto"/>
                      <w:lang w:eastAsia="zh-CN"/>
                    </w:rPr>
                    <w:t>：</w:t>
                  </w:r>
                  <w:r>
                    <w:rPr>
                      <w:rFonts w:hint="default" w:ascii="Times New Roman" w:hAnsi="Times New Roman" w:cs="Times New Roman"/>
                      <w:color w:val="auto"/>
                    </w:rPr>
                    <w:t>侵入途径</w:t>
                  </w:r>
                  <w:r>
                    <w:rPr>
                      <w:rFonts w:hint="eastAsia" w:cs="Times New Roman"/>
                      <w:color w:val="auto"/>
                      <w:lang w:eastAsia="zh-CN"/>
                    </w:rPr>
                    <w:t>：</w:t>
                  </w:r>
                  <w:r>
                    <w:rPr>
                      <w:rFonts w:hint="default" w:ascii="Times New Roman" w:hAnsi="Times New Roman" w:cs="Times New Roman"/>
                      <w:color w:val="auto"/>
                    </w:rPr>
                    <w:t>吸入、食入。眼睛接触</w:t>
                  </w:r>
                  <w:r>
                    <w:rPr>
                      <w:rFonts w:hint="eastAsia" w:cs="Times New Roman"/>
                      <w:color w:val="auto"/>
                      <w:lang w:eastAsia="zh-CN"/>
                    </w:rPr>
                    <w:t>：</w:t>
                  </w:r>
                  <w:r>
                    <w:rPr>
                      <w:rFonts w:hint="default" w:ascii="Times New Roman" w:hAnsi="Times New Roman" w:cs="Times New Roman"/>
                      <w:color w:val="auto"/>
                    </w:rPr>
                    <w:t>对眼睛有刺激。皮肤接触</w:t>
                  </w:r>
                  <w:r>
                    <w:rPr>
                      <w:rFonts w:hint="eastAsia" w:cs="Times New Roman"/>
                      <w:color w:val="auto"/>
                      <w:lang w:eastAsia="zh-CN"/>
                    </w:rPr>
                    <w:t>：</w:t>
                  </w:r>
                  <w:r>
                    <w:rPr>
                      <w:rFonts w:hint="default" w:ascii="Times New Roman" w:hAnsi="Times New Roman" w:cs="Times New Roman"/>
                      <w:color w:val="auto"/>
                    </w:rPr>
                    <w:t>皮肤接触可引起皮肤干燥。吸入</w:t>
                  </w:r>
                  <w:r>
                    <w:rPr>
                      <w:rFonts w:hint="eastAsia" w:cs="Times New Roman"/>
                      <w:color w:val="auto"/>
                      <w:lang w:eastAsia="zh-CN"/>
                    </w:rPr>
                    <w:t>：</w:t>
                  </w:r>
                  <w:r>
                    <w:rPr>
                      <w:rFonts w:hint="default" w:ascii="Times New Roman" w:hAnsi="Times New Roman" w:cs="Times New Roman"/>
                      <w:color w:val="auto"/>
                    </w:rPr>
                    <w:t>有麻醉作用。吸入高浓度本品出现流泪、痛、咳嗽、胸闷、气短等</w:t>
                  </w:r>
                  <w:r>
                    <w:rPr>
                      <w:rFonts w:hint="eastAsia" w:cs="Times New Roman"/>
                      <w:color w:val="auto"/>
                      <w:lang w:eastAsia="zh-CN"/>
                    </w:rPr>
                    <w:t>。</w:t>
                  </w:r>
                  <w:r>
                    <w:rPr>
                      <w:rFonts w:hint="default" w:ascii="Times New Roman" w:hAnsi="Times New Roman" w:cs="Times New Roman"/>
                      <w:color w:val="auto"/>
                    </w:rPr>
                    <w:t>食入</w:t>
                  </w:r>
                  <w:r>
                    <w:rPr>
                      <w:rFonts w:hint="eastAsia" w:cs="Times New Roman"/>
                      <w:color w:val="auto"/>
                      <w:lang w:eastAsia="zh-CN"/>
                    </w:rPr>
                    <w:t>：</w:t>
                  </w:r>
                  <w:r>
                    <w:rPr>
                      <w:rFonts w:hint="default" w:ascii="Times New Roman" w:hAnsi="Times New Roman" w:cs="Times New Roman"/>
                      <w:color w:val="auto"/>
                    </w:rPr>
                    <w:t>一次性食入相对大量的该物质后可能出现疾病。环境危害</w:t>
                  </w:r>
                  <w:r>
                    <w:rPr>
                      <w:rFonts w:hint="eastAsia" w:cs="Times New Roman"/>
                      <w:color w:val="auto"/>
                      <w:lang w:eastAsia="zh-CN"/>
                    </w:rPr>
                    <w:t>：</w:t>
                  </w:r>
                  <w:r>
                    <w:rPr>
                      <w:rFonts w:hint="default" w:ascii="Times New Roman" w:hAnsi="Times New Roman" w:cs="Times New Roman"/>
                      <w:color w:val="auto"/>
                    </w:rPr>
                    <w:t>对空气、水环境及水源可造成污染。</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739C7556">
                  <w:pPr>
                    <w:pStyle w:val="14"/>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auto"/>
                    </w:rPr>
                  </w:pPr>
                  <w:r>
                    <w:rPr>
                      <w:rFonts w:hint="eastAsia" w:cs="Times New Roman"/>
                      <w:b/>
                      <w:bCs/>
                      <w:color w:val="auto"/>
                      <w:lang w:val="en-US" w:eastAsia="zh-CN"/>
                    </w:rPr>
                    <w:t>急性毒性：</w:t>
                  </w:r>
                  <w:r>
                    <w:rPr>
                      <w:rFonts w:hint="default" w:ascii="Times New Roman" w:hAnsi="Times New Roman" w:cs="Times New Roman"/>
                      <w:color w:val="auto"/>
                    </w:rPr>
                    <w:t>大鼠经口LD</w:t>
                  </w:r>
                  <w:r>
                    <w:rPr>
                      <w:rFonts w:hint="default" w:ascii="Times New Roman" w:hAnsi="Times New Roman" w:cs="Times New Roman"/>
                      <w:color w:val="auto"/>
                      <w:vertAlign w:val="subscript"/>
                    </w:rPr>
                    <w:t>50</w:t>
                  </w:r>
                  <w:r>
                    <w:rPr>
                      <w:rFonts w:hint="default" w:ascii="Times New Roman" w:hAnsi="Times New Roman" w:cs="Times New Roman"/>
                      <w:color w:val="auto"/>
                    </w:rPr>
                    <w:t>=</w:t>
                  </w:r>
                  <w:r>
                    <w:rPr>
                      <w:rFonts w:hint="eastAsia" w:cs="Times New Roman"/>
                      <w:color w:val="auto"/>
                      <w:lang w:val="en-US" w:eastAsia="zh-CN"/>
                    </w:rPr>
                    <w:t>5000</w:t>
                  </w:r>
                  <w:r>
                    <w:rPr>
                      <w:rFonts w:hint="default" w:ascii="Times New Roman" w:hAnsi="Times New Roman" w:cs="Times New Roman"/>
                      <w:color w:val="auto"/>
                    </w:rPr>
                    <w:t>mg/kg（二甲苯）；大鼠经口LD</w:t>
                  </w:r>
                  <w:r>
                    <w:rPr>
                      <w:rFonts w:hint="default" w:ascii="Times New Roman" w:hAnsi="Times New Roman" w:cs="Times New Roman"/>
                      <w:color w:val="auto"/>
                      <w:vertAlign w:val="subscript"/>
                    </w:rPr>
                    <w:t>50</w:t>
                  </w:r>
                  <w:r>
                    <w:rPr>
                      <w:rFonts w:hint="default" w:ascii="Times New Roman" w:hAnsi="Times New Roman" w:cs="Times New Roman"/>
                      <w:color w:val="auto"/>
                    </w:rPr>
                    <w:t>=</w:t>
                  </w:r>
                  <w:r>
                    <w:rPr>
                      <w:rFonts w:hint="eastAsia" w:cs="Times New Roman"/>
                      <w:color w:val="auto"/>
                      <w:lang w:val="en-US" w:eastAsia="zh-CN"/>
                    </w:rPr>
                    <w:t>13100</w:t>
                  </w:r>
                  <w:r>
                    <w:rPr>
                      <w:rFonts w:hint="default" w:ascii="Times New Roman" w:hAnsi="Times New Roman" w:cs="Times New Roman"/>
                      <w:color w:val="auto"/>
                    </w:rPr>
                    <w:t>mg/kg（</w:t>
                  </w:r>
                  <w:r>
                    <w:rPr>
                      <w:rFonts w:hint="eastAsia" w:cs="Times New Roman"/>
                      <w:color w:val="auto"/>
                      <w:lang w:val="en-US" w:eastAsia="zh-CN"/>
                    </w:rPr>
                    <w:t>乙酸丁酯</w:t>
                  </w:r>
                  <w:r>
                    <w:rPr>
                      <w:rFonts w:hint="default" w:ascii="Times New Roman" w:hAnsi="Times New Roman" w:cs="Times New Roman"/>
                      <w:color w:val="auto"/>
                    </w:rPr>
                    <w:t>）</w:t>
                  </w:r>
                  <w:r>
                    <w:rPr>
                      <w:rFonts w:hint="eastAsia" w:cs="Times New Roman"/>
                      <w:color w:val="auto"/>
                      <w:lang w:eastAsia="zh-CN"/>
                    </w:rPr>
                    <w:t>；</w:t>
                  </w:r>
                  <w:r>
                    <w:rPr>
                      <w:rFonts w:hint="default" w:ascii="Times New Roman" w:hAnsi="Times New Roman" w:cs="Times New Roman"/>
                      <w:color w:val="auto"/>
                    </w:rPr>
                    <w:t>大鼠经口：LD</w:t>
                  </w:r>
                  <w:r>
                    <w:rPr>
                      <w:rFonts w:hint="default" w:ascii="Times New Roman" w:hAnsi="Times New Roman" w:cs="Times New Roman"/>
                      <w:color w:val="auto"/>
                      <w:vertAlign w:val="subscript"/>
                    </w:rPr>
                    <w:t>50</w:t>
                  </w:r>
                  <w:r>
                    <w:rPr>
                      <w:rFonts w:hint="default" w:ascii="Times New Roman" w:hAnsi="Times New Roman" w:cs="Times New Roman"/>
                      <w:color w:val="auto"/>
                    </w:rPr>
                    <w:t>=</w:t>
                  </w:r>
                  <w:r>
                    <w:rPr>
                      <w:rFonts w:hint="eastAsia" w:cs="Times New Roman"/>
                      <w:color w:val="auto"/>
                      <w:lang w:val="en-US" w:eastAsia="zh-CN"/>
                    </w:rPr>
                    <w:t>5800</w:t>
                  </w:r>
                  <w:r>
                    <w:rPr>
                      <w:rFonts w:hint="default" w:ascii="Times New Roman" w:hAnsi="Times New Roman" w:cs="Times New Roman"/>
                      <w:color w:val="auto"/>
                    </w:rPr>
                    <w:t>mg/kg（</w:t>
                  </w:r>
                  <w:r>
                    <w:rPr>
                      <w:rFonts w:hint="eastAsia" w:cs="Times New Roman"/>
                      <w:color w:val="auto"/>
                      <w:lang w:val="en-US" w:eastAsia="zh-CN"/>
                    </w:rPr>
                    <w:t>甲苯二异氰酸酯</w:t>
                  </w:r>
                  <w:r>
                    <w:rPr>
                      <w:rFonts w:hint="default" w:ascii="Times New Roman" w:hAnsi="Times New Roman" w:cs="Times New Roman"/>
                      <w:color w:val="auto"/>
                    </w:rPr>
                    <w:t>）</w:t>
                  </w:r>
                  <w:r>
                    <w:rPr>
                      <w:rFonts w:hint="eastAsia" w:cs="Times New Roman"/>
                      <w:color w:val="auto"/>
                      <w:lang w:eastAsia="zh-CN"/>
                    </w:rPr>
                    <w:t>；</w:t>
                  </w:r>
                  <w:r>
                    <w:rPr>
                      <w:rFonts w:hint="eastAsia" w:cs="Times New Roman"/>
                      <w:color w:val="auto"/>
                      <w:lang w:val="en-US" w:eastAsia="zh-CN"/>
                    </w:rPr>
                    <w:t>兔</w:t>
                  </w:r>
                  <w:r>
                    <w:rPr>
                      <w:rFonts w:hint="default" w:ascii="Times New Roman" w:hAnsi="Times New Roman" w:cs="Times New Roman"/>
                      <w:color w:val="auto"/>
                    </w:rPr>
                    <w:t>经</w:t>
                  </w:r>
                  <w:r>
                    <w:rPr>
                      <w:rFonts w:hint="eastAsia" w:cs="Times New Roman"/>
                      <w:color w:val="auto"/>
                      <w:lang w:val="en-US" w:eastAsia="zh-CN"/>
                    </w:rPr>
                    <w:t>皮</w:t>
                  </w:r>
                  <w:r>
                    <w:rPr>
                      <w:rFonts w:hint="default" w:ascii="Times New Roman" w:hAnsi="Times New Roman" w:cs="Times New Roman"/>
                      <w:color w:val="auto"/>
                    </w:rPr>
                    <w:t>LD</w:t>
                  </w:r>
                  <w:r>
                    <w:rPr>
                      <w:rFonts w:hint="default" w:ascii="Times New Roman" w:hAnsi="Times New Roman" w:cs="Times New Roman"/>
                      <w:color w:val="auto"/>
                      <w:vertAlign w:val="subscript"/>
                    </w:rPr>
                    <w:t>50</w:t>
                  </w:r>
                  <w:r>
                    <w:rPr>
                      <w:rFonts w:hint="default" w:ascii="Times New Roman" w:hAnsi="Times New Roman" w:cs="Times New Roman"/>
                      <w:color w:val="auto"/>
                    </w:rPr>
                    <w:t>=</w:t>
                  </w:r>
                  <w:r>
                    <w:rPr>
                      <w:rFonts w:hint="eastAsia" w:cs="Times New Roman"/>
                      <w:color w:val="auto"/>
                      <w:lang w:val="en-US" w:eastAsia="zh-CN"/>
                    </w:rPr>
                    <w:t>14100</w:t>
                  </w:r>
                  <w:r>
                    <w:rPr>
                      <w:rFonts w:hint="default" w:ascii="Times New Roman" w:hAnsi="Times New Roman" w:cs="Times New Roman"/>
                      <w:color w:val="auto"/>
                    </w:rPr>
                    <w:t>mg/kg（二甲苯）；大鼠经口L</w:t>
                  </w:r>
                  <w:r>
                    <w:rPr>
                      <w:rFonts w:hint="eastAsia" w:cs="Times New Roman"/>
                      <w:color w:val="auto"/>
                      <w:lang w:val="en-US" w:eastAsia="zh-CN"/>
                    </w:rPr>
                    <w:t>C</w:t>
                  </w:r>
                  <w:r>
                    <w:rPr>
                      <w:rFonts w:hint="default" w:ascii="Times New Roman" w:hAnsi="Times New Roman" w:cs="Times New Roman"/>
                      <w:color w:val="auto"/>
                      <w:vertAlign w:val="subscript"/>
                    </w:rPr>
                    <w:t>50</w:t>
                  </w:r>
                  <w:r>
                    <w:rPr>
                      <w:rFonts w:hint="default" w:ascii="Times New Roman" w:hAnsi="Times New Roman" w:cs="Times New Roman"/>
                      <w:color w:val="auto"/>
                    </w:rPr>
                    <w:t>=</w:t>
                  </w:r>
                  <w:r>
                    <w:rPr>
                      <w:rFonts w:hint="eastAsia" w:cs="Times New Roman"/>
                      <w:color w:val="auto"/>
                      <w:lang w:val="en-US" w:eastAsia="zh-CN"/>
                    </w:rPr>
                    <w:t>3000</w:t>
                  </w:r>
                  <w:r>
                    <w:rPr>
                      <w:rFonts w:hint="default" w:ascii="Times New Roman" w:hAnsi="Times New Roman" w:cs="Times New Roman"/>
                      <w:color w:val="auto"/>
                    </w:rPr>
                    <w:t>mg/</w:t>
                  </w:r>
                  <w:r>
                    <w:rPr>
                      <w:rFonts w:hint="eastAsia" w:cs="Times New Roman"/>
                      <w:color w:val="auto"/>
                      <w:lang w:val="en-US" w:eastAsia="zh-CN"/>
                    </w:rPr>
                    <w:t>m³</w:t>
                  </w:r>
                  <w:r>
                    <w:rPr>
                      <w:rFonts w:hint="default" w:ascii="Times New Roman" w:hAnsi="Times New Roman" w:cs="Times New Roman"/>
                      <w:color w:val="auto"/>
                    </w:rPr>
                    <w:t>（</w:t>
                  </w:r>
                  <w:r>
                    <w:rPr>
                      <w:rFonts w:hint="eastAsia" w:cs="Times New Roman"/>
                      <w:color w:val="auto"/>
                      <w:lang w:val="en-US" w:eastAsia="zh-CN"/>
                    </w:rPr>
                    <w:t>二甲苯</w:t>
                  </w:r>
                  <w:r>
                    <w:rPr>
                      <w:rFonts w:hint="default" w:ascii="Times New Roman" w:hAnsi="Times New Roman" w:cs="Times New Roman"/>
                      <w:color w:val="auto"/>
                    </w:rPr>
                    <w:t>）</w:t>
                  </w:r>
                  <w:r>
                    <w:rPr>
                      <w:rFonts w:hint="eastAsia" w:cs="Times New Roman"/>
                      <w:color w:val="auto"/>
                      <w:lang w:eastAsia="zh-CN"/>
                    </w:rPr>
                    <w:t>；</w:t>
                  </w:r>
                  <w:r>
                    <w:rPr>
                      <w:rFonts w:hint="default" w:ascii="Times New Roman" w:hAnsi="Times New Roman" w:cs="Times New Roman"/>
                      <w:color w:val="auto"/>
                    </w:rPr>
                    <w:t>大鼠经口：L</w:t>
                  </w:r>
                  <w:r>
                    <w:rPr>
                      <w:rFonts w:hint="eastAsia" w:cs="Times New Roman"/>
                      <w:color w:val="auto"/>
                      <w:lang w:val="en-US" w:eastAsia="zh-CN"/>
                    </w:rPr>
                    <w:t>C</w:t>
                  </w:r>
                  <w:r>
                    <w:rPr>
                      <w:rFonts w:hint="default" w:ascii="Times New Roman" w:hAnsi="Times New Roman" w:cs="Times New Roman"/>
                      <w:color w:val="auto"/>
                      <w:vertAlign w:val="subscript"/>
                    </w:rPr>
                    <w:t>50</w:t>
                  </w:r>
                  <w:r>
                    <w:rPr>
                      <w:rFonts w:hint="default" w:ascii="Times New Roman" w:hAnsi="Times New Roman" w:cs="Times New Roman"/>
                      <w:color w:val="auto"/>
                    </w:rPr>
                    <w:t>=</w:t>
                  </w:r>
                  <w:r>
                    <w:rPr>
                      <w:rFonts w:hint="eastAsia" w:cs="Times New Roman"/>
                      <w:color w:val="auto"/>
                      <w:lang w:val="en-US" w:eastAsia="zh-CN"/>
                    </w:rPr>
                    <w:t>9480</w:t>
                  </w:r>
                  <w:r>
                    <w:rPr>
                      <w:rFonts w:hint="default" w:ascii="Times New Roman" w:hAnsi="Times New Roman" w:cs="Times New Roman"/>
                      <w:color w:val="auto"/>
                    </w:rPr>
                    <w:t>mg/kg（</w:t>
                  </w:r>
                  <w:r>
                    <w:rPr>
                      <w:rFonts w:hint="eastAsia" w:cs="Times New Roman"/>
                      <w:color w:val="auto"/>
                      <w:lang w:val="en-US" w:eastAsia="zh-CN"/>
                    </w:rPr>
                    <w:t>乙酸丁酯</w:t>
                  </w:r>
                  <w:r>
                    <w:rPr>
                      <w:rFonts w:hint="default" w:ascii="Times New Roman" w:hAnsi="Times New Roman" w:cs="Times New Roman"/>
                      <w:color w:val="auto"/>
                    </w:rPr>
                    <w:t>）</w:t>
                  </w:r>
                  <w:r>
                    <w:rPr>
                      <w:rFonts w:hint="eastAsia" w:cs="Times New Roman"/>
                      <w:color w:val="auto"/>
                      <w:lang w:eastAsia="zh-CN"/>
                    </w:rPr>
                    <w:t>；</w:t>
                  </w:r>
                  <w:r>
                    <w:rPr>
                      <w:rFonts w:hint="default" w:ascii="Times New Roman" w:hAnsi="Times New Roman" w:cs="Times New Roman"/>
                      <w:color w:val="auto"/>
                    </w:rPr>
                    <w:t>大鼠经口：L</w:t>
                  </w:r>
                  <w:r>
                    <w:rPr>
                      <w:rFonts w:hint="eastAsia" w:cs="Times New Roman"/>
                      <w:color w:val="auto"/>
                      <w:lang w:val="en-US" w:eastAsia="zh-CN"/>
                    </w:rPr>
                    <w:t>C</w:t>
                  </w:r>
                  <w:r>
                    <w:rPr>
                      <w:rFonts w:hint="default" w:ascii="Times New Roman" w:hAnsi="Times New Roman" w:cs="Times New Roman"/>
                      <w:color w:val="auto"/>
                      <w:vertAlign w:val="subscript"/>
                    </w:rPr>
                    <w:t>50</w:t>
                  </w:r>
                  <w:r>
                    <w:rPr>
                      <w:rFonts w:hint="default" w:ascii="Times New Roman" w:hAnsi="Times New Roman" w:cs="Times New Roman"/>
                      <w:color w:val="auto"/>
                    </w:rPr>
                    <w:t>=</w:t>
                  </w:r>
                  <w:r>
                    <w:rPr>
                      <w:rFonts w:hint="eastAsia" w:cs="Times New Roman"/>
                      <w:color w:val="auto"/>
                      <w:lang w:val="en-US" w:eastAsia="zh-CN"/>
                    </w:rPr>
                    <w:t>95.76</w:t>
                  </w:r>
                  <w:r>
                    <w:rPr>
                      <w:rFonts w:hint="default" w:ascii="Times New Roman" w:hAnsi="Times New Roman" w:cs="Times New Roman"/>
                      <w:color w:val="auto"/>
                    </w:rPr>
                    <w:t>mg/</w:t>
                  </w:r>
                  <w:r>
                    <w:rPr>
                      <w:rFonts w:hint="eastAsia" w:cs="Times New Roman"/>
                      <w:color w:val="auto"/>
                      <w:lang w:val="en-US" w:eastAsia="zh-CN"/>
                    </w:rPr>
                    <w:t>m³</w:t>
                  </w:r>
                  <w:r>
                    <w:rPr>
                      <w:rFonts w:hint="default" w:ascii="Arial" w:hAnsi="Arial" w:cs="Arial"/>
                      <w:color w:val="auto"/>
                      <w:lang w:val="en-US" w:eastAsia="zh-CN"/>
                    </w:rPr>
                    <w:t>×</w:t>
                  </w:r>
                  <w:r>
                    <w:rPr>
                      <w:rFonts w:hint="eastAsia" w:cs="Times New Roman"/>
                      <w:color w:val="auto"/>
                      <w:lang w:val="en-US" w:eastAsia="zh-CN"/>
                    </w:rPr>
                    <w:t>4</w:t>
                  </w:r>
                  <w:r>
                    <w:rPr>
                      <w:rFonts w:hint="default" w:ascii="Times New Roman" w:hAnsi="Times New Roman" w:cs="Times New Roman"/>
                      <w:color w:val="auto"/>
                    </w:rPr>
                    <w:t>（</w:t>
                  </w:r>
                  <w:r>
                    <w:rPr>
                      <w:rFonts w:hint="eastAsia" w:cs="Times New Roman"/>
                      <w:color w:val="auto"/>
                      <w:lang w:val="en-US" w:eastAsia="zh-CN"/>
                    </w:rPr>
                    <w:t>大鼠吸入</w:t>
                  </w:r>
                  <w:r>
                    <w:rPr>
                      <w:rFonts w:hint="default" w:ascii="Times New Roman" w:hAnsi="Times New Roman" w:cs="Times New Roman"/>
                      <w:color w:val="auto"/>
                    </w:rPr>
                    <w:t>）</w:t>
                  </w:r>
                </w:p>
              </w:tc>
            </w:tr>
          </w:tbl>
          <w:p w14:paraId="33FF7EE6">
            <w:pPr>
              <w:bidi w:val="0"/>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2</w:t>
            </w:r>
            <w:r>
              <w:rPr>
                <w:rFonts w:hint="default" w:ascii="Times New Roman" w:hAnsi="Times New Roman" w:cs="Times New Roman"/>
                <w:b/>
                <w:bCs/>
                <w:color w:val="auto"/>
              </w:rPr>
              <w:t>）环境影响途</w:t>
            </w:r>
            <w:r>
              <w:rPr>
                <w:rFonts w:hint="default" w:ascii="Times New Roman" w:hAnsi="Times New Roman" w:cs="Times New Roman"/>
                <w:b/>
                <w:bCs/>
                <w:color w:val="auto"/>
                <w:lang w:eastAsia="zh-CN"/>
              </w:rPr>
              <w:t>径</w:t>
            </w:r>
            <w:r>
              <w:rPr>
                <w:rFonts w:hint="default" w:ascii="Times New Roman" w:hAnsi="Times New Roman" w:cs="Times New Roman"/>
                <w:b/>
                <w:bCs/>
                <w:color w:val="auto"/>
              </w:rPr>
              <w:t>及危害后果</w:t>
            </w:r>
          </w:p>
          <w:p w14:paraId="0640CD6B">
            <w:pPr>
              <w:bidi w:val="0"/>
              <w:rPr>
                <w:rFonts w:hint="default" w:ascii="Times New Roman" w:hAnsi="Times New Roman" w:eastAsia="宋体" w:cs="Times New Roman"/>
                <w:b/>
                <w:bCs/>
                <w:color w:val="auto"/>
                <w:lang w:val="en-US" w:eastAsia="zh-CN"/>
              </w:rPr>
            </w:pPr>
            <w:r>
              <w:rPr>
                <w:rFonts w:hint="eastAsia" w:cs="Times New Roman"/>
                <w:b/>
                <w:bCs/>
                <w:color w:val="auto"/>
                <w:lang w:val="en-US" w:eastAsia="zh-CN"/>
              </w:rPr>
              <w:t>①废机油等泄露引发的泄露及火灾事故</w:t>
            </w:r>
          </w:p>
          <w:p w14:paraId="77966887">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废机油</w:t>
            </w:r>
            <w:r>
              <w:rPr>
                <w:rFonts w:hint="eastAsia" w:cs="Times New Roman"/>
                <w:color w:val="auto"/>
                <w:lang w:val="en-US" w:eastAsia="zh-CN"/>
              </w:rPr>
              <w:t>因</w:t>
            </w:r>
            <w:r>
              <w:rPr>
                <w:rFonts w:hint="default" w:ascii="Times New Roman" w:hAnsi="Times New Roman" w:cs="Times New Roman"/>
                <w:color w:val="auto"/>
                <w:lang w:val="en-US" w:eastAsia="zh-CN"/>
              </w:rPr>
              <w:t>为储存桶破裂导致泄漏，废机油泄漏会对厂区土壤、地下水及周边地表水造成污染</w:t>
            </w:r>
            <w:r>
              <w:rPr>
                <w:rFonts w:hint="eastAsia" w:cs="Times New Roman"/>
                <w:color w:val="auto"/>
                <w:lang w:val="en-US" w:eastAsia="zh-CN"/>
              </w:rPr>
              <w:t>；</w:t>
            </w:r>
            <w:r>
              <w:rPr>
                <w:rFonts w:hint="default" w:ascii="Times New Roman" w:hAnsi="Times New Roman" w:cs="Times New Roman"/>
                <w:color w:val="auto"/>
                <w:lang w:val="en-US" w:eastAsia="zh-CN"/>
              </w:rPr>
              <w:t>其次废机油泄漏遇明火容易引发火灾事故，会造成大气、地表水环境污染</w:t>
            </w:r>
            <w:r>
              <w:rPr>
                <w:rFonts w:hint="default" w:ascii="Times New Roman" w:hAnsi="Times New Roman" w:cs="Times New Roman"/>
                <w:color w:val="auto"/>
              </w:rPr>
              <w:t>。</w:t>
            </w:r>
          </w:p>
          <w:p w14:paraId="21869DCB">
            <w:pPr>
              <w:bidi w:val="0"/>
              <w:rPr>
                <w:rFonts w:hint="default" w:ascii="Times New Roman" w:hAnsi="Times New Roman" w:cs="Times New Roman"/>
                <w:b/>
                <w:bCs/>
                <w:color w:val="auto"/>
                <w:lang w:val="en-US" w:eastAsia="zh-CN"/>
              </w:rPr>
            </w:pPr>
            <w:r>
              <w:rPr>
                <w:rFonts w:hint="eastAsia" w:cs="Times New Roman"/>
                <w:b/>
                <w:bCs/>
                <w:color w:val="auto"/>
                <w:lang w:val="en-US" w:eastAsia="zh-CN"/>
              </w:rPr>
              <w:t>②油漆、稀释剂等泄露引发的环境风险事故</w:t>
            </w:r>
          </w:p>
          <w:p w14:paraId="6522CC97">
            <w:pPr>
              <w:bidi w:val="0"/>
              <w:rPr>
                <w:rFonts w:hint="default" w:ascii="Times New Roman" w:hAnsi="Times New Roman" w:cs="Times New Roman"/>
                <w:b/>
                <w:bCs/>
                <w:color w:val="auto"/>
                <w:lang w:val="en-US" w:eastAsia="zh-CN"/>
              </w:rPr>
            </w:pPr>
            <w:r>
              <w:rPr>
                <w:rFonts w:hint="eastAsia" w:cs="Times New Roman"/>
                <w:color w:val="auto"/>
                <w:lang w:val="en-US" w:eastAsia="zh-CN"/>
              </w:rPr>
              <w:t>油漆、稀释剂等因</w:t>
            </w:r>
            <w:r>
              <w:rPr>
                <w:rFonts w:hint="default" w:ascii="Times New Roman" w:hAnsi="Times New Roman" w:cs="Times New Roman"/>
                <w:color w:val="auto"/>
                <w:lang w:val="en-US" w:eastAsia="zh-CN"/>
              </w:rPr>
              <w:t>为储存桶破裂导致泄漏，</w:t>
            </w:r>
            <w:r>
              <w:rPr>
                <w:rFonts w:hint="eastAsia" w:cs="Times New Roman"/>
                <w:color w:val="auto"/>
                <w:lang w:val="en-US" w:eastAsia="zh-CN"/>
              </w:rPr>
              <w:t>油漆等所含化学物质</w:t>
            </w:r>
            <w:r>
              <w:rPr>
                <w:rFonts w:hint="default" w:ascii="Times New Roman" w:hAnsi="Times New Roman" w:cs="Times New Roman"/>
                <w:color w:val="auto"/>
                <w:lang w:val="en-US" w:eastAsia="zh-CN"/>
              </w:rPr>
              <w:t>会对厂区土壤、地下水及周边地表水造成污染</w:t>
            </w:r>
            <w:r>
              <w:rPr>
                <w:rFonts w:hint="eastAsia" w:cs="Times New Roman"/>
                <w:color w:val="auto"/>
                <w:lang w:val="en-US" w:eastAsia="zh-CN"/>
              </w:rPr>
              <w:t>；</w:t>
            </w:r>
            <w:r>
              <w:rPr>
                <w:rFonts w:hint="default" w:ascii="Times New Roman" w:hAnsi="Times New Roman" w:cs="Times New Roman"/>
                <w:color w:val="auto"/>
                <w:lang w:val="en-US" w:eastAsia="zh-CN"/>
              </w:rPr>
              <w:t>其次</w:t>
            </w:r>
            <w:r>
              <w:rPr>
                <w:rFonts w:hint="eastAsia" w:cs="Times New Roman"/>
                <w:color w:val="auto"/>
                <w:lang w:val="en-US" w:eastAsia="zh-CN"/>
              </w:rPr>
              <w:t>油漆等</w:t>
            </w:r>
            <w:r>
              <w:rPr>
                <w:rFonts w:hint="default" w:ascii="Times New Roman" w:hAnsi="Times New Roman" w:cs="Times New Roman"/>
                <w:color w:val="auto"/>
                <w:lang w:val="en-US" w:eastAsia="zh-CN"/>
              </w:rPr>
              <w:t>泄漏</w:t>
            </w:r>
            <w:r>
              <w:rPr>
                <w:rFonts w:hint="eastAsia" w:cs="Times New Roman"/>
                <w:color w:val="auto"/>
                <w:lang w:val="en-US" w:eastAsia="zh-CN"/>
              </w:rPr>
              <w:t>后</w:t>
            </w:r>
            <w:r>
              <w:rPr>
                <w:rFonts w:hint="default" w:ascii="Times New Roman" w:hAnsi="Times New Roman" w:cs="Times New Roman"/>
                <w:color w:val="auto"/>
              </w:rPr>
              <w:t>其蒸气与空气可形成爆炸性混合物，遇明火、高热能引起燃烧爆炸</w:t>
            </w:r>
            <w:r>
              <w:rPr>
                <w:rFonts w:hint="default" w:ascii="Times New Roman" w:hAnsi="Times New Roman" w:cs="Times New Roman"/>
                <w:color w:val="auto"/>
                <w:lang w:val="en-US" w:eastAsia="zh-CN"/>
              </w:rPr>
              <w:t>，</w:t>
            </w:r>
            <w:r>
              <w:rPr>
                <w:rFonts w:hint="eastAsia" w:cs="Times New Roman"/>
                <w:color w:val="auto"/>
                <w:lang w:val="en-US" w:eastAsia="zh-CN"/>
              </w:rPr>
              <w:t>火灾产生次生灾害</w:t>
            </w:r>
            <w:r>
              <w:rPr>
                <w:rFonts w:hint="default" w:ascii="Times New Roman" w:hAnsi="Times New Roman" w:cs="Times New Roman"/>
                <w:color w:val="auto"/>
                <w:lang w:val="en-US" w:eastAsia="zh-CN"/>
              </w:rPr>
              <w:t>会造成大气、地表水环境污染</w:t>
            </w:r>
            <w:r>
              <w:rPr>
                <w:rFonts w:hint="eastAsia" w:cs="Times New Roman"/>
                <w:color w:val="auto"/>
                <w:lang w:val="en-US" w:eastAsia="zh-CN"/>
              </w:rPr>
              <w:t>。</w:t>
            </w:r>
          </w:p>
          <w:p w14:paraId="72E37D07">
            <w:pPr>
              <w:bidi w:val="0"/>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lang w:eastAsia="zh-CN"/>
              </w:rPr>
              <w:t>）</w:t>
            </w:r>
            <w:r>
              <w:rPr>
                <w:rFonts w:hint="default" w:ascii="Times New Roman" w:hAnsi="Times New Roman" w:cs="Times New Roman"/>
                <w:b/>
                <w:bCs/>
                <w:color w:val="auto"/>
              </w:rPr>
              <w:t>风险防控措施</w:t>
            </w:r>
          </w:p>
          <w:p w14:paraId="464F9362">
            <w:pPr>
              <w:bidi w:val="0"/>
              <w:rPr>
                <w:rFonts w:hint="default" w:ascii="Times New Roman" w:hAnsi="Times New Roman" w:cs="Times New Roman"/>
                <w:b/>
                <w:bCs/>
                <w:color w:val="auto"/>
                <w:lang w:val="en-US" w:eastAsia="zh-CN"/>
              </w:rPr>
            </w:pPr>
            <w:r>
              <w:rPr>
                <w:rFonts w:hint="eastAsia" w:cs="Times New Roman"/>
                <w:b/>
                <w:bCs/>
                <w:color w:val="auto"/>
                <w:lang w:val="en-US" w:eastAsia="zh-CN"/>
              </w:rPr>
              <w:t>1）废机油风险防控措施</w:t>
            </w:r>
          </w:p>
          <w:p w14:paraId="334A94A5">
            <w:pPr>
              <w:bidi w:val="0"/>
              <w:rPr>
                <w:rFonts w:hint="default" w:ascii="Times New Roman" w:hAnsi="Times New Roman" w:cs="Times New Roman"/>
                <w:color w:val="auto"/>
              </w:rPr>
            </w:pPr>
            <w:r>
              <w:rPr>
                <w:rFonts w:hint="default" w:ascii="Times New Roman" w:hAnsi="Times New Roman" w:cs="Times New Roman"/>
                <w:color w:val="auto"/>
                <w:lang w:val="en-US" w:eastAsia="zh-CN"/>
              </w:rPr>
              <w:t>①危险废物</w:t>
            </w:r>
            <w:r>
              <w:rPr>
                <w:rFonts w:hint="default" w:ascii="Times New Roman" w:hAnsi="Times New Roman" w:cs="Times New Roman"/>
                <w:color w:val="auto"/>
              </w:rPr>
              <w:t>必须按规定设置警示标志，分类管理，分类存放</w:t>
            </w:r>
            <w:r>
              <w:rPr>
                <w:rFonts w:hint="eastAsia" w:cs="Times New Roman"/>
                <w:color w:val="auto"/>
                <w:lang w:eastAsia="zh-CN"/>
              </w:rPr>
              <w:t>；</w:t>
            </w:r>
            <w:r>
              <w:rPr>
                <w:rFonts w:hint="default" w:ascii="Times New Roman" w:hAnsi="Times New Roman" w:cs="Times New Roman"/>
                <w:color w:val="auto"/>
              </w:rPr>
              <w:t>配备必要的危险品事故防范和应急技术装备。</w:t>
            </w:r>
          </w:p>
          <w:p w14:paraId="2B5ECDCA">
            <w:pPr>
              <w:bidi w:val="0"/>
              <w:rPr>
                <w:rFonts w:hint="default" w:ascii="Times New Roman" w:hAnsi="Times New Roman" w:cs="Times New Roman"/>
                <w:color w:val="auto"/>
              </w:rPr>
            </w:pPr>
            <w:r>
              <w:rPr>
                <w:rFonts w:hint="default" w:ascii="Times New Roman" w:hAnsi="Times New Roman" w:cs="Times New Roman"/>
                <w:color w:val="auto"/>
                <w:lang w:val="en-US" w:eastAsia="zh-CN"/>
              </w:rPr>
              <w:t>②</w:t>
            </w:r>
            <w:r>
              <w:rPr>
                <w:rFonts w:hint="default" w:ascii="Times New Roman" w:hAnsi="Times New Roman" w:cs="Times New Roman"/>
                <w:color w:val="auto"/>
              </w:rPr>
              <w:t>根据消防部门的要求配置泡沫灭火器等消防设施。</w:t>
            </w:r>
          </w:p>
          <w:p w14:paraId="0D3F6362">
            <w:pPr>
              <w:bidi w:val="0"/>
              <w:rPr>
                <w:rFonts w:hint="default" w:ascii="Times New Roman" w:hAnsi="Times New Roman" w:cs="Times New Roman"/>
                <w:color w:val="auto"/>
              </w:rPr>
            </w:pPr>
            <w:r>
              <w:rPr>
                <w:rFonts w:hint="default" w:ascii="Times New Roman" w:hAnsi="Times New Roman" w:cs="Times New Roman"/>
                <w:color w:val="auto"/>
                <w:lang w:val="en-US" w:eastAsia="zh-CN"/>
              </w:rPr>
              <w:t>③</w:t>
            </w:r>
            <w:r>
              <w:rPr>
                <w:rFonts w:hint="default" w:ascii="Times New Roman" w:hAnsi="Times New Roman" w:cs="Times New Roman"/>
                <w:color w:val="auto"/>
              </w:rPr>
              <w:t>严格按照《建筑设计防火规范》</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2018年版</w:t>
            </w:r>
            <w:r>
              <w:rPr>
                <w:rFonts w:hint="default" w:ascii="Times New Roman" w:hAnsi="Times New Roman" w:cs="Times New Roman"/>
                <w:color w:val="auto"/>
              </w:rPr>
              <w:t>）等标准规范进行设计。</w:t>
            </w:r>
          </w:p>
          <w:p w14:paraId="4BBD0133">
            <w:pPr>
              <w:bidi w:val="0"/>
              <w:rPr>
                <w:rFonts w:hint="default" w:ascii="Times New Roman" w:hAnsi="Times New Roman" w:cs="Times New Roman"/>
                <w:color w:val="auto"/>
              </w:rPr>
            </w:pPr>
            <w:r>
              <w:rPr>
                <w:rFonts w:hint="default" w:ascii="Times New Roman" w:hAnsi="Times New Roman" w:cs="Times New Roman"/>
                <w:color w:val="auto"/>
                <w:lang w:val="en-US" w:eastAsia="zh-CN"/>
              </w:rPr>
              <w:t>④</w:t>
            </w:r>
            <w:r>
              <w:rPr>
                <w:rFonts w:hint="default" w:ascii="Times New Roman" w:hAnsi="Times New Roman" w:cs="Times New Roman"/>
                <w:color w:val="auto"/>
              </w:rPr>
              <w:t>危废暂存间地面及围堰采用</w:t>
            </w:r>
            <w:r>
              <w:rPr>
                <w:rFonts w:hint="eastAsia" w:cs="Times New Roman"/>
                <w:color w:val="auto"/>
                <w:lang w:eastAsia="zh-CN"/>
              </w:rPr>
              <w:t>“</w:t>
            </w:r>
            <w:r>
              <w:rPr>
                <w:rFonts w:hint="default" w:ascii="Times New Roman" w:hAnsi="Times New Roman" w:cs="Times New Roman"/>
                <w:color w:val="auto"/>
              </w:rPr>
              <w:t>抗渗系数为P8水泥+2.0mmHDPE膜+环氧树脂</w:t>
            </w:r>
            <w:r>
              <w:rPr>
                <w:rFonts w:hint="eastAsia" w:cs="Times New Roman"/>
                <w:color w:val="auto"/>
                <w:lang w:eastAsia="zh-CN"/>
              </w:rPr>
              <w:t>”</w:t>
            </w:r>
            <w:r>
              <w:rPr>
                <w:rFonts w:hint="default" w:ascii="Times New Roman" w:hAnsi="Times New Roman" w:cs="Times New Roman"/>
                <w:color w:val="auto"/>
              </w:rPr>
              <w:t>进行防渗，使其地面、围堰区达到渗透系数≤1×10</w:t>
            </w:r>
            <w:r>
              <w:rPr>
                <w:rFonts w:hint="default" w:ascii="Times New Roman" w:hAnsi="Times New Roman" w:cs="Times New Roman"/>
                <w:color w:val="auto"/>
                <w:vertAlign w:val="superscript"/>
              </w:rPr>
              <w:t>-10</w:t>
            </w:r>
            <w:r>
              <w:rPr>
                <w:rFonts w:hint="default" w:ascii="Times New Roman" w:hAnsi="Times New Roman" w:cs="Times New Roman"/>
                <w:color w:val="auto"/>
              </w:rPr>
              <w:t>cm/s的防渗性能。</w:t>
            </w:r>
          </w:p>
          <w:p w14:paraId="6E924EC1">
            <w:pPr>
              <w:bidi w:val="0"/>
              <w:rPr>
                <w:rFonts w:hint="default" w:ascii="Times New Roman" w:hAnsi="Times New Roman" w:cs="Times New Roman"/>
                <w:color w:val="auto"/>
              </w:rPr>
            </w:pPr>
            <w:r>
              <w:rPr>
                <w:rFonts w:hint="default" w:ascii="Times New Roman" w:hAnsi="Times New Roman" w:cs="Times New Roman"/>
                <w:color w:val="auto"/>
                <w:lang w:val="en-US" w:eastAsia="zh-CN"/>
              </w:rPr>
              <w:t>⑤</w:t>
            </w:r>
            <w:r>
              <w:rPr>
                <w:rFonts w:hint="default" w:ascii="Times New Roman" w:hAnsi="Times New Roman" w:cs="Times New Roman"/>
                <w:color w:val="auto"/>
              </w:rPr>
              <w:t>危废暂存间内废机油暂存区域设置0.3m</w:t>
            </w:r>
            <w:r>
              <w:rPr>
                <w:rFonts w:hint="default" w:ascii="Times New Roman" w:hAnsi="Times New Roman" w:cs="Times New Roman"/>
                <w:color w:val="auto"/>
                <w:lang w:val="en-US" w:eastAsia="zh-CN"/>
              </w:rPr>
              <w:t>高</w:t>
            </w:r>
            <w:r>
              <w:rPr>
                <w:rFonts w:hint="default" w:ascii="Times New Roman" w:hAnsi="Times New Roman" w:cs="Times New Roman"/>
                <w:color w:val="auto"/>
              </w:rPr>
              <w:t>的围堰，围堰形成区域的容积</w:t>
            </w:r>
            <w:r>
              <w:rPr>
                <w:rFonts w:hint="default" w:ascii="Times New Roman" w:hAnsi="Times New Roman" w:cs="Times New Roman"/>
                <w:color w:val="auto"/>
                <w:lang w:val="en-US" w:eastAsia="zh-CN"/>
              </w:rPr>
              <w:t>大于日常储存容积</w:t>
            </w:r>
            <w:r>
              <w:rPr>
                <w:rFonts w:hint="default" w:ascii="Times New Roman" w:hAnsi="Times New Roman" w:cs="Times New Roman"/>
                <w:color w:val="auto"/>
              </w:rPr>
              <w:t>，用于收集、暂存事故情况下废机油。围堰防渗措施参照</w:t>
            </w:r>
            <w:r>
              <w:rPr>
                <w:rFonts w:hint="default" w:ascii="Times New Roman" w:hAnsi="Times New Roman" w:cs="Times New Roman"/>
                <w:color w:val="auto"/>
                <w:lang w:val="en-US" w:eastAsia="zh-CN"/>
              </w:rPr>
              <w:t>地面防渗要求</w:t>
            </w:r>
            <w:r>
              <w:rPr>
                <w:rFonts w:hint="default" w:ascii="Times New Roman" w:hAnsi="Times New Roman" w:cs="Times New Roman"/>
                <w:color w:val="auto"/>
              </w:rPr>
              <w:t>。</w:t>
            </w:r>
          </w:p>
          <w:p w14:paraId="0FFA8E6E">
            <w:pPr>
              <w:bidi w:val="0"/>
              <w:rPr>
                <w:rFonts w:hint="default" w:ascii="Times New Roman" w:hAnsi="Times New Roman" w:cs="Times New Roman"/>
                <w:color w:val="auto"/>
              </w:rPr>
            </w:pPr>
            <w:r>
              <w:rPr>
                <w:rFonts w:hint="default" w:ascii="Times New Roman" w:hAnsi="Times New Roman" w:cs="Times New Roman"/>
                <w:color w:val="auto"/>
                <w:lang w:val="en-US" w:eastAsia="zh-CN"/>
              </w:rPr>
              <w:t>⑥</w:t>
            </w:r>
            <w:r>
              <w:rPr>
                <w:rFonts w:hint="default" w:ascii="Times New Roman" w:hAnsi="Times New Roman" w:cs="Times New Roman"/>
                <w:color w:val="auto"/>
              </w:rPr>
              <w:t>盛装废机油容器上必须贴相应的危险废物标志。危险废物贮存设施都必须按环境保护图形《固体废物贮存</w:t>
            </w:r>
            <w:r>
              <w:rPr>
                <w:rFonts w:hint="default" w:ascii="Times New Roman" w:hAnsi="Times New Roman" w:cs="Times New Roman"/>
                <w:color w:val="auto"/>
                <w:lang w:eastAsia="zh-CN"/>
              </w:rPr>
              <w:t>（</w:t>
            </w:r>
            <w:r>
              <w:rPr>
                <w:rFonts w:hint="default" w:ascii="Times New Roman" w:hAnsi="Times New Roman" w:cs="Times New Roman"/>
                <w:color w:val="auto"/>
              </w:rPr>
              <w:t>处置）场》</w:t>
            </w:r>
            <w:r>
              <w:rPr>
                <w:rFonts w:hint="default" w:ascii="Times New Roman" w:hAnsi="Times New Roman" w:cs="Times New Roman"/>
                <w:color w:val="auto"/>
                <w:lang w:eastAsia="zh-CN"/>
              </w:rPr>
              <w:t>（</w:t>
            </w:r>
            <w:r>
              <w:rPr>
                <w:rFonts w:hint="default" w:ascii="Times New Roman" w:hAnsi="Times New Roman" w:cs="Times New Roman"/>
                <w:color w:val="auto"/>
              </w:rPr>
              <w:t>GB15562.2-1995）的规定设置警示标志。</w:t>
            </w:r>
          </w:p>
          <w:p w14:paraId="0C55264C">
            <w:pPr>
              <w:bidi w:val="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⑦</w:t>
            </w:r>
            <w:r>
              <w:rPr>
                <w:rFonts w:hint="default" w:ascii="Times New Roman" w:hAnsi="Times New Roman" w:cs="Times New Roman"/>
                <w:color w:val="auto"/>
              </w:rPr>
              <w:t>设置危险固废管理台账，如实记载废机油的来源、数量、特性、包装容器类别、入库日期、存放库位。贮存期间，定期对存储容器进行检查，及时更换破损容器</w:t>
            </w:r>
            <w:r>
              <w:rPr>
                <w:rFonts w:hint="default" w:ascii="Times New Roman" w:hAnsi="Times New Roman" w:cs="Times New Roman"/>
                <w:color w:val="auto"/>
                <w:lang w:eastAsia="zh-CN"/>
              </w:rPr>
              <w:t>。</w:t>
            </w:r>
          </w:p>
          <w:p w14:paraId="22EE696A">
            <w:pPr>
              <w:bidi w:val="0"/>
              <w:rPr>
                <w:rFonts w:hint="default" w:ascii="Times New Roman" w:hAnsi="Times New Roman" w:eastAsia="宋体" w:cs="Times New Roman"/>
                <w:b/>
                <w:bCs/>
                <w:color w:val="auto"/>
                <w:lang w:val="en-US" w:eastAsia="zh-CN"/>
              </w:rPr>
            </w:pPr>
            <w:r>
              <w:rPr>
                <w:rFonts w:hint="eastAsia" w:cs="Times New Roman"/>
                <w:b/>
                <w:bCs/>
                <w:color w:val="auto"/>
                <w:lang w:val="en-US" w:eastAsia="zh-CN"/>
              </w:rPr>
              <w:t>2）油漆、稀释剂等风险防控措施</w:t>
            </w:r>
          </w:p>
          <w:p w14:paraId="4C08D8FE">
            <w:pPr>
              <w:bidi w:val="0"/>
              <w:rPr>
                <w:rFonts w:hint="eastAsia" w:eastAsia="宋体" w:cs="Times New Roman"/>
                <w:color w:val="auto"/>
                <w:lang w:val="en-US" w:eastAsia="zh-CN"/>
              </w:rPr>
            </w:pPr>
            <w:r>
              <w:rPr>
                <w:rFonts w:hint="eastAsia" w:cs="Times New Roman"/>
                <w:color w:val="auto"/>
                <w:lang w:val="en-US" w:eastAsia="zh-CN"/>
              </w:rPr>
              <w:t>①贮存事项：</w:t>
            </w:r>
            <w:r>
              <w:rPr>
                <w:rFonts w:hint="default" w:ascii="Times New Roman" w:hAnsi="Times New Roman" w:cs="Times New Roman"/>
                <w:color w:val="auto"/>
              </w:rPr>
              <w:t>贮存于阴凉、通风库房，远离火种、热源。仓库温度不宜超过30℃，保持容器密封。应与氧化剂、酸类、碱类、食用化学品分开，切忌混储。采用防爆型照明、通风设施。禁止使用</w:t>
            </w:r>
            <w:r>
              <w:rPr>
                <w:rFonts w:hint="eastAsia" w:cs="Times New Roman"/>
                <w:color w:val="auto"/>
                <w:lang w:eastAsia="zh-CN"/>
              </w:rPr>
              <w:t>易</w:t>
            </w:r>
            <w:r>
              <w:rPr>
                <w:rFonts w:hint="default" w:ascii="Times New Roman" w:hAnsi="Times New Roman" w:cs="Times New Roman"/>
                <w:color w:val="auto"/>
              </w:rPr>
              <w:t>产生火花的机械设备和工具。储存区应备有泄漏应急处理设施和合适的收容材料</w:t>
            </w:r>
            <w:r>
              <w:rPr>
                <w:rFonts w:hint="eastAsia" w:cs="Times New Roman"/>
                <w:color w:val="auto"/>
                <w:lang w:eastAsia="zh-CN"/>
              </w:rPr>
              <w:t>。</w:t>
            </w:r>
          </w:p>
          <w:p w14:paraId="58D3C440">
            <w:pPr>
              <w:bidi w:val="0"/>
              <w:rPr>
                <w:rFonts w:hint="default" w:ascii="Times New Roman" w:hAnsi="Times New Roman" w:cs="Times New Roman"/>
                <w:color w:val="auto"/>
              </w:rPr>
            </w:pPr>
            <w:r>
              <w:rPr>
                <w:rFonts w:hint="eastAsia" w:cs="Times New Roman"/>
                <w:color w:val="auto"/>
                <w:lang w:val="en-US" w:eastAsia="zh-CN"/>
              </w:rPr>
              <w:t>②</w:t>
            </w:r>
            <w:r>
              <w:rPr>
                <w:rFonts w:hint="default" w:ascii="Times New Roman" w:hAnsi="Times New Roman" w:cs="Times New Roman"/>
                <w:color w:val="auto"/>
              </w:rPr>
              <w:t>预防措施</w:t>
            </w:r>
            <w:r>
              <w:rPr>
                <w:rFonts w:hint="eastAsia" w:cs="Times New Roman"/>
                <w:color w:val="auto"/>
                <w:lang w:eastAsia="zh-CN"/>
              </w:rPr>
              <w:t>：</w:t>
            </w:r>
            <w:r>
              <w:rPr>
                <w:rFonts w:hint="default" w:ascii="Times New Roman" w:hAnsi="Times New Roman" w:cs="Times New Roman"/>
                <w:color w:val="auto"/>
              </w:rPr>
              <w:t>操作人员必须经过专门培训，严格遵守操作规程，建议操作人员</w:t>
            </w:r>
            <w:r>
              <w:rPr>
                <w:rFonts w:hint="eastAsia" w:cs="Times New Roman"/>
                <w:color w:val="auto"/>
                <w:lang w:eastAsia="zh-CN"/>
              </w:rPr>
              <w:t>佩戴</w:t>
            </w:r>
            <w:r>
              <w:rPr>
                <w:rFonts w:hint="default" w:ascii="Times New Roman" w:hAnsi="Times New Roman" w:cs="Times New Roman"/>
                <w:color w:val="auto"/>
              </w:rPr>
              <w:t>自吸过滤式防毒面具</w:t>
            </w:r>
            <w:r>
              <w:rPr>
                <w:rFonts w:hint="eastAsia" w:cs="Times New Roman"/>
                <w:color w:val="auto"/>
                <w:lang w:eastAsia="zh-CN"/>
              </w:rPr>
              <w:t>（</w:t>
            </w:r>
            <w:r>
              <w:rPr>
                <w:rFonts w:hint="default" w:ascii="Times New Roman" w:hAnsi="Times New Roman" w:cs="Times New Roman"/>
                <w:color w:val="auto"/>
              </w:rPr>
              <w:t>半面罩</w:t>
            </w:r>
            <w:r>
              <w:rPr>
                <w:rFonts w:hint="eastAsia" w:cs="Times New Roman"/>
                <w:color w:val="auto"/>
                <w:lang w:eastAsia="zh-CN"/>
              </w:rPr>
              <w:t>）</w:t>
            </w:r>
            <w:r>
              <w:rPr>
                <w:rFonts w:hint="default" w:ascii="Times New Roman" w:hAnsi="Times New Roman" w:cs="Times New Roman"/>
                <w:color w:val="auto"/>
              </w:rPr>
              <w:t>，</w:t>
            </w:r>
            <w:r>
              <w:rPr>
                <w:rFonts w:hint="eastAsia" w:cs="Times New Roman"/>
                <w:color w:val="auto"/>
                <w:lang w:eastAsia="zh-CN"/>
              </w:rPr>
              <w:t>戴</w:t>
            </w:r>
            <w:r>
              <w:rPr>
                <w:rFonts w:hint="default" w:ascii="Times New Roman" w:hAnsi="Times New Roman" w:cs="Times New Roman"/>
                <w:color w:val="auto"/>
              </w:rPr>
              <w:t>化学安全防护眼镜，戴橡胶耐油手套。搬运时轻装轻卸，防止包装及容器损坏</w:t>
            </w:r>
            <w:r>
              <w:rPr>
                <w:rFonts w:hint="eastAsia" w:cs="Times New Roman"/>
                <w:color w:val="auto"/>
                <w:lang w:eastAsia="zh-CN"/>
              </w:rPr>
              <w:t>。</w:t>
            </w:r>
            <w:r>
              <w:rPr>
                <w:rFonts w:hint="default" w:ascii="Times New Roman" w:hAnsi="Times New Roman" w:cs="Times New Roman"/>
                <w:color w:val="auto"/>
              </w:rPr>
              <w:t>配备相应品种和数量的消防器材</w:t>
            </w:r>
            <w:r>
              <w:rPr>
                <w:rFonts w:hint="eastAsia" w:cs="Times New Roman"/>
                <w:color w:val="auto"/>
                <w:lang w:eastAsia="zh-CN"/>
              </w:rPr>
              <w:t>。</w:t>
            </w:r>
            <w:r>
              <w:rPr>
                <w:rFonts w:hint="default" w:ascii="Times New Roman" w:hAnsi="Times New Roman" w:cs="Times New Roman"/>
                <w:color w:val="auto"/>
              </w:rPr>
              <w:t>使用不产生火花的工具作业。保持容器密闭。采取防止静电措施，容器和接收设备接地、连接。使用防爆电器、通风、照明及其他设备。戴防护手套、防护眼镜、防护面罩。操作后彻底清洗身体接触部位。作业场所不得进食、饮水或吸烟。</w:t>
            </w:r>
          </w:p>
          <w:p w14:paraId="3352A018">
            <w:pPr>
              <w:bidi w:val="0"/>
              <w:rPr>
                <w:rFonts w:hint="eastAsia" w:ascii="Times New Roman" w:hAnsi="Times New Roman" w:eastAsia="宋体" w:cs="Times New Roman"/>
                <w:color w:val="auto"/>
                <w:lang w:val="en-US" w:eastAsia="zh-CN"/>
              </w:rPr>
            </w:pPr>
            <w:r>
              <w:rPr>
                <w:rFonts w:hint="eastAsia" w:cs="Times New Roman"/>
                <w:color w:val="auto"/>
                <w:lang w:val="en-US" w:eastAsia="zh-CN"/>
              </w:rPr>
              <w:t>③事故响应：如发生火灾，可用雾状水、泡沫、干粉、二氧化碳、砂土灭火。皮肤接触：脱去污染的衣着，用肥皂水和清水彻底冲洗皮肤。眼睛接触：提起眼睑，用流动清水或生理盐水冲洗。就医。吸入：迅速脱离现场至空气新鲜处。保持呼吸道通畅。如呼吸困难，给输氧。如呼吸停止，立即进行人工呼吸。就医。食入：饮足量温水，意识清醒时可催吐。立即就医。被污染的衣物应清洗干净后再使用。</w:t>
            </w:r>
          </w:p>
          <w:p w14:paraId="4BE97055">
            <w:pPr>
              <w:bidi w:val="0"/>
              <w:rPr>
                <w:rFonts w:hint="eastAsia" w:cs="Times New Roman"/>
                <w:color w:val="auto"/>
                <w:lang w:val="en-US" w:eastAsia="zh-CN"/>
              </w:rPr>
            </w:pPr>
            <w:r>
              <w:rPr>
                <w:rFonts w:hint="eastAsia" w:cs="Times New Roman"/>
                <w:color w:val="auto"/>
                <w:lang w:val="en-US" w:eastAsia="zh-CN"/>
              </w:rPr>
              <w:t>④泄露应急响应：</w:t>
            </w:r>
          </w:p>
          <w:p w14:paraId="7E3FD7D3">
            <w:pPr>
              <w:bidi w:val="0"/>
              <w:rPr>
                <w:rFonts w:hint="eastAsia" w:cs="Times New Roman"/>
                <w:color w:val="auto"/>
                <w:lang w:val="en-US" w:eastAsia="zh-CN"/>
              </w:rPr>
            </w:pPr>
            <w:r>
              <w:rPr>
                <w:rFonts w:hint="eastAsia" w:cs="Times New Roman"/>
                <w:color w:val="auto"/>
                <w:lang w:val="en-US" w:eastAsia="zh-CN"/>
              </w:rPr>
              <w:t>作业人员防护措施、防护装备和应急处置程序：切断火源。迅速撤离泄漏污染区人员至安全地带，并进行隔离，严格限制出入。建议应急处理人员戴自给正压式呼吸器，穿防毒服。尽可能切断泄漏源。环境保护措施：采取必要的密闭措施，防止其流入下水道、排洪沟等限制性空间。</w:t>
            </w:r>
          </w:p>
          <w:p w14:paraId="3B7CB185">
            <w:pPr>
              <w:bidi w:val="0"/>
              <w:rPr>
                <w:rFonts w:hint="default" w:ascii="Times New Roman" w:hAnsi="Times New Roman" w:eastAsia="宋体" w:cs="Times New Roman"/>
                <w:color w:val="auto"/>
                <w:lang w:val="en-US" w:eastAsia="zh-CN"/>
              </w:rPr>
            </w:pPr>
            <w:r>
              <w:rPr>
                <w:rFonts w:hint="eastAsia" w:cs="Times New Roman"/>
                <w:color w:val="auto"/>
                <w:lang w:val="en-US" w:eastAsia="zh-CN"/>
              </w:rPr>
              <w:t>泄漏化学品的收容、清除方法及所使用的处置材料：小量泄漏：应尽可能将溢漏液收集在密闭容器内，用砂土、活性炭或其他惰性材料吸收残液，也可以用不燃性分散剂制成的乳液刷洗，洗液稀释后放入废水系统。大量泄漏：构筑围堤或挖坑收容。用抗溶性泡沫覆盖，降低蒸气灾害。喷雾状水冷却和稀释蒸气、保护现场人员。用防爆泵转移至槽车或专用收集器内，回收或运至废物处理场所处置。</w:t>
            </w:r>
          </w:p>
          <w:p w14:paraId="00168F33">
            <w:pPr>
              <w:bidi w:val="0"/>
              <w:rPr>
                <w:rFonts w:hint="default" w:ascii="Times New Roman" w:hAnsi="Times New Roman" w:cs="Times New Roman"/>
                <w:color w:val="auto"/>
              </w:rPr>
            </w:pPr>
            <w:r>
              <w:rPr>
                <w:rFonts w:hint="default" w:ascii="Times New Roman" w:hAnsi="Times New Roman" w:cs="Times New Roman"/>
                <w:color w:val="auto"/>
              </w:rPr>
              <w:t>应急处理：迅速撤离泄漏污染区人员至安全区，并进行隔离，严格限制出入。消除所有点火源。尽可能切断泄漏源。禁止接触或跨越泄漏物，用防打火工具进行工作。</w:t>
            </w:r>
          </w:p>
          <w:p w14:paraId="49AB0D27">
            <w:pPr>
              <w:bidi w:val="0"/>
              <w:rPr>
                <w:rFonts w:hint="default" w:ascii="Times New Roman" w:hAnsi="Times New Roman" w:cs="Times New Roman"/>
                <w:color w:val="auto"/>
              </w:rPr>
            </w:pPr>
            <w:r>
              <w:rPr>
                <w:rFonts w:hint="default" w:ascii="Times New Roman" w:hAnsi="Times New Roman" w:cs="Times New Roman"/>
                <w:color w:val="auto"/>
              </w:rPr>
              <w:t>个人防护：建议应急处理人员戴自给正压式呼吸器，穿防毒服。</w:t>
            </w:r>
          </w:p>
          <w:p w14:paraId="227133E8">
            <w:pPr>
              <w:bidi w:val="0"/>
              <w:rPr>
                <w:rFonts w:hint="default" w:ascii="Times New Roman" w:hAnsi="Times New Roman" w:cs="Times New Roman"/>
                <w:color w:val="auto"/>
              </w:rPr>
            </w:pPr>
            <w:r>
              <w:rPr>
                <w:rFonts w:hint="default" w:ascii="Times New Roman" w:hAnsi="Times New Roman" w:cs="Times New Roman"/>
                <w:color w:val="auto"/>
              </w:rPr>
              <w:t>清理措施：小量泄漏：用活性炭或</w:t>
            </w:r>
            <w:r>
              <w:rPr>
                <w:rFonts w:hint="eastAsia" w:cs="Times New Roman"/>
                <w:color w:val="auto"/>
                <w:lang w:eastAsia="zh-CN"/>
              </w:rPr>
              <w:t>其他</w:t>
            </w:r>
            <w:r>
              <w:rPr>
                <w:rFonts w:hint="default" w:ascii="Times New Roman" w:hAnsi="Times New Roman" w:cs="Times New Roman"/>
                <w:color w:val="auto"/>
              </w:rPr>
              <w:t>惰性材料吸收。也可以用大量水冲洗，洗水稀释后</w:t>
            </w:r>
            <w:r>
              <w:rPr>
                <w:rFonts w:hint="eastAsia" w:cs="Times New Roman"/>
                <w:color w:val="auto"/>
                <w:lang w:val="en-US" w:eastAsia="zh-CN"/>
              </w:rPr>
              <w:t>收集废水委托相关单位处置</w:t>
            </w:r>
            <w:r>
              <w:rPr>
                <w:rFonts w:hint="default" w:ascii="Times New Roman" w:hAnsi="Times New Roman" w:cs="Times New Roman"/>
                <w:color w:val="auto"/>
              </w:rPr>
              <w:t>。</w:t>
            </w:r>
          </w:p>
          <w:p w14:paraId="6134C813">
            <w:pPr>
              <w:bidi w:val="0"/>
              <w:rPr>
                <w:rFonts w:hint="default" w:ascii="Times New Roman" w:hAnsi="Times New Roman" w:cs="Times New Roman"/>
                <w:color w:val="auto"/>
              </w:rPr>
            </w:pPr>
            <w:r>
              <w:rPr>
                <w:rFonts w:hint="default" w:ascii="Times New Roman" w:hAnsi="Times New Roman" w:cs="Times New Roman"/>
                <w:color w:val="auto"/>
              </w:rPr>
              <w:t>大量泄漏：构筑围堤或挖坑收容。用泡沫覆盖，降低蒸气灾害。用防爆泵转移至槽车或专用收集器内，回收或运至废物处理场所处置。</w:t>
            </w:r>
          </w:p>
          <w:p w14:paraId="609F307F">
            <w:pPr>
              <w:bidi w:val="0"/>
              <w:rPr>
                <w:rFonts w:hint="default" w:ascii="Times New Roman" w:hAnsi="Times New Roman" w:eastAsia="宋体" w:cs="Times New Roman"/>
                <w:b/>
                <w:bCs/>
                <w:color w:val="auto"/>
                <w:lang w:val="en-US" w:eastAsia="zh-CN"/>
              </w:rPr>
            </w:pPr>
            <w:r>
              <w:rPr>
                <w:rFonts w:hint="eastAsia" w:cs="Times New Roman"/>
                <w:b/>
                <w:bCs/>
                <w:color w:val="auto"/>
                <w:lang w:eastAsia="zh-CN"/>
              </w:rPr>
              <w:t>（</w:t>
            </w:r>
            <w:r>
              <w:rPr>
                <w:rFonts w:hint="eastAsia" w:cs="Times New Roman"/>
                <w:b/>
                <w:bCs/>
                <w:color w:val="auto"/>
                <w:lang w:val="en-US" w:eastAsia="zh-CN"/>
              </w:rPr>
              <w:t>4）风险影响分析</w:t>
            </w:r>
          </w:p>
          <w:p w14:paraId="1878711F">
            <w:pPr>
              <w:bidi w:val="0"/>
              <w:rPr>
                <w:rFonts w:hint="default" w:ascii="Times New Roman" w:hAnsi="Times New Roman" w:eastAsia="宋体" w:cs="Times New Roman"/>
                <w:b/>
                <w:bCs/>
                <w:color w:val="auto"/>
                <w:lang w:val="en-US" w:eastAsia="zh-CN"/>
              </w:rPr>
            </w:pPr>
            <w:r>
              <w:rPr>
                <w:rFonts w:hint="eastAsia" w:cs="Times New Roman"/>
                <w:b/>
                <w:bCs/>
                <w:color w:val="auto"/>
                <w:lang w:val="en-US" w:eastAsia="zh-CN"/>
              </w:rPr>
              <w:t>1）</w:t>
            </w:r>
            <w:r>
              <w:rPr>
                <w:rFonts w:hint="default" w:ascii="Times New Roman" w:hAnsi="Times New Roman" w:cs="Times New Roman"/>
                <w:b/>
                <w:bCs/>
                <w:color w:val="auto"/>
                <w:vertAlign w:val="baseline"/>
                <w:lang w:val="en-US" w:eastAsia="zh-CN"/>
              </w:rPr>
              <w:t>事故火灾浓烟及有害气体对周边环境的影响分析</w:t>
            </w:r>
          </w:p>
          <w:p w14:paraId="08244FB6">
            <w:pPr>
              <w:bidi w:val="0"/>
              <w:rPr>
                <w:rFonts w:hint="eastAsia" w:cs="Times New Roman"/>
                <w:color w:val="auto"/>
                <w:lang w:eastAsia="zh-CN"/>
              </w:rPr>
            </w:pPr>
            <w:r>
              <w:rPr>
                <w:rFonts w:hint="default" w:ascii="Times New Roman" w:hAnsi="Times New Roman" w:cs="Times New Roman"/>
                <w:color w:val="auto"/>
              </w:rPr>
              <w:t>火灾</w:t>
            </w:r>
            <w:r>
              <w:rPr>
                <w:rFonts w:hint="eastAsia" w:cs="Times New Roman"/>
                <w:color w:val="auto"/>
                <w:lang w:val="en-US" w:eastAsia="zh-CN"/>
              </w:rPr>
              <w:t>事故中，</w:t>
            </w:r>
            <w:r>
              <w:rPr>
                <w:rFonts w:hint="default" w:ascii="Times New Roman" w:hAnsi="Times New Roman" w:cs="Times New Roman"/>
                <w:color w:val="auto"/>
              </w:rPr>
              <w:t>烟雾中含有大量的微小颗粒物和有毒气体，如一氧化碳、二氧化硫和氨氧化物等。烟雾中的颗粒物和有害气体会进入大气中，引起空气质量恶化。烟雾中的颗粒物可悬浮在空气中长时间，直接危害人体呼吸道和肺部。而有害气体的释放可能导致酸雨的形成，对土壤和水源造成污染</w:t>
            </w:r>
            <w:r>
              <w:rPr>
                <w:rFonts w:hint="eastAsia" w:cs="Times New Roman"/>
                <w:color w:val="auto"/>
                <w:lang w:eastAsia="zh-CN"/>
              </w:rPr>
              <w:t>。</w:t>
            </w:r>
          </w:p>
          <w:p w14:paraId="40F5E720">
            <w:pPr>
              <w:bidi w:val="0"/>
              <w:rPr>
                <w:rFonts w:hint="default" w:cs="Times New Roman"/>
                <w:color w:val="auto"/>
                <w:lang w:val="en-US" w:eastAsia="zh-CN"/>
              </w:rPr>
            </w:pPr>
            <w:r>
              <w:rPr>
                <w:rFonts w:hint="eastAsia" w:cs="Times New Roman"/>
                <w:color w:val="auto"/>
                <w:lang w:val="en-US" w:eastAsia="zh-CN"/>
              </w:rPr>
              <w:t>通过上述环境风险防控措施，将废机油、油漆、稀释剂等风险物质从储存、使用等源头上预防泄露事故的发生，提出各类风险物质储存、转运以及使用的相关要求。提出远离火源、热源等要求，以降低泄露引发的火灾或爆炸事故发生概率。并根据各风险物质理化性质，提出储存区配套相应的灭火设施。发生火灾时能及时采取有效措施，且项目区距离城区距离适中，道路通畅，若发生事故消防应急部门可及时到场进行灾后抢救处置等工作。因此，通过预防，项目区火灾事故发生概率极低，且通过采取有效的处置措施，若发现火灾时也得及时得到控制。火灾浓烟及有害气体产生量有限，周围无人群集中的城区，村庄人员距离项目较远，可及时进行疏散，项目区空气扩散条件良好，有害气体能得到有效稀释扩散，综上，火灾浓烟及有害气体对周围环境空气以及环境敏感目标影响可接受。</w:t>
            </w:r>
          </w:p>
          <w:p w14:paraId="46A49D6D">
            <w:pPr>
              <w:bidi w:val="0"/>
              <w:rPr>
                <w:rFonts w:hint="default" w:ascii="Times New Roman" w:hAnsi="Times New Roman" w:eastAsia="宋体" w:cs="Times New Roman"/>
                <w:b/>
                <w:bCs/>
                <w:color w:val="auto"/>
                <w:lang w:val="en-US" w:eastAsia="zh-CN"/>
              </w:rPr>
            </w:pPr>
            <w:r>
              <w:rPr>
                <w:rFonts w:hint="eastAsia" w:cs="Times New Roman"/>
                <w:b/>
                <w:bCs/>
                <w:color w:val="auto"/>
                <w:lang w:val="en-US" w:eastAsia="zh-CN"/>
              </w:rPr>
              <w:t>2）风险影响分析及突发环境事件应急预案</w:t>
            </w:r>
          </w:p>
          <w:p w14:paraId="489A0DB8">
            <w:pPr>
              <w:bidi w:val="0"/>
              <w:rPr>
                <w:rFonts w:hint="default" w:ascii="Times New Roman" w:hAnsi="Times New Roman" w:cs="Times New Roman"/>
                <w:color w:val="auto"/>
              </w:rPr>
            </w:pPr>
            <w:r>
              <w:rPr>
                <w:rFonts w:hint="default" w:ascii="Times New Roman" w:hAnsi="Times New Roman" w:cs="Times New Roman"/>
                <w:color w:val="auto"/>
              </w:rPr>
              <w:t>通过</w:t>
            </w:r>
            <w:r>
              <w:rPr>
                <w:rFonts w:hint="eastAsia" w:cs="Times New Roman"/>
                <w:color w:val="auto"/>
                <w:lang w:val="en-US" w:eastAsia="zh-CN"/>
              </w:rPr>
              <w:t>风险防控</w:t>
            </w:r>
            <w:r>
              <w:rPr>
                <w:rFonts w:hint="default" w:ascii="Times New Roman" w:hAnsi="Times New Roman" w:cs="Times New Roman"/>
                <w:color w:val="auto"/>
              </w:rPr>
              <w:t>措施</w:t>
            </w:r>
            <w:r>
              <w:rPr>
                <w:rFonts w:hint="eastAsia" w:cs="Times New Roman"/>
                <w:color w:val="auto"/>
                <w:lang w:val="en-US" w:eastAsia="zh-CN"/>
              </w:rPr>
              <w:t>分析</w:t>
            </w:r>
            <w:r>
              <w:rPr>
                <w:rFonts w:hint="default" w:ascii="Times New Roman" w:hAnsi="Times New Roman" w:cs="Times New Roman"/>
                <w:color w:val="auto"/>
              </w:rPr>
              <w:t>，项目的危险、有害因素是可以控制和预防的。存在的风险是可以接受的。</w:t>
            </w:r>
            <w:r>
              <w:rPr>
                <w:rFonts w:hint="default" w:ascii="Times New Roman" w:hAnsi="Times New Roman" w:cs="Times New Roman"/>
                <w:color w:val="auto"/>
                <w:lang w:val="en-US" w:eastAsia="zh-CN"/>
              </w:rPr>
              <w:t>但建设单位需</w:t>
            </w:r>
            <w:r>
              <w:rPr>
                <w:rFonts w:hint="default" w:ascii="Times New Roman" w:hAnsi="Times New Roman" w:cs="Times New Roman"/>
                <w:color w:val="auto"/>
              </w:rPr>
              <w:t>按照《突发环境事件应急预案管理暂行办法》的要求，编制突发环境事件应急预案，并报</w:t>
            </w:r>
            <w:r>
              <w:rPr>
                <w:rFonts w:hint="default" w:ascii="Times New Roman" w:hAnsi="Times New Roman" w:cs="Times New Roman"/>
                <w:color w:val="auto"/>
                <w:lang w:val="en-US" w:eastAsia="zh-CN"/>
              </w:rPr>
              <w:t>生态环境主管部门</w:t>
            </w:r>
            <w:r>
              <w:rPr>
                <w:rFonts w:hint="default" w:ascii="Times New Roman" w:hAnsi="Times New Roman" w:cs="Times New Roman"/>
                <w:color w:val="auto"/>
              </w:rPr>
              <w:t>备案。建立完善的应急报告制度，落实应急物资和经费，日常加强应急演练。综合分析，项目建设从环境风险角度分析可行</w:t>
            </w:r>
            <w:r>
              <w:rPr>
                <w:rFonts w:hint="default" w:ascii="Times New Roman" w:hAnsi="Times New Roman" w:cs="Times New Roman"/>
                <w:color w:val="auto"/>
                <w:lang w:eastAsia="zh-CN"/>
              </w:rPr>
              <w:t>。</w:t>
            </w:r>
          </w:p>
          <w:p w14:paraId="6A683F5F">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该项目需</w:t>
            </w:r>
            <w:r>
              <w:rPr>
                <w:rFonts w:hint="default" w:ascii="Times New Roman" w:hAnsi="Times New Roman" w:cs="Times New Roman"/>
                <w:color w:val="auto"/>
              </w:rPr>
              <w:t>制订详细的</w:t>
            </w:r>
            <w:r>
              <w:rPr>
                <w:rFonts w:hint="default" w:ascii="Times New Roman" w:hAnsi="Times New Roman" w:cs="Times New Roman"/>
                <w:color w:val="auto"/>
                <w:lang w:val="en-US" w:eastAsia="zh-CN"/>
              </w:rPr>
              <w:t>突发环境</w:t>
            </w:r>
            <w:r>
              <w:rPr>
                <w:rFonts w:hint="default" w:ascii="Times New Roman" w:hAnsi="Times New Roman" w:cs="Times New Roman"/>
                <w:color w:val="auto"/>
              </w:rPr>
              <w:t>事故应急预案，将应急预案要点细化列入</w:t>
            </w:r>
            <w:r>
              <w:rPr>
                <w:rFonts w:hint="default" w:ascii="Times New Roman" w:hAnsi="Times New Roman" w:cs="Times New Roman"/>
                <w:color w:val="auto"/>
                <w:lang w:val="en-US" w:eastAsia="zh-CN"/>
              </w:rPr>
              <w:t>。项目应设置专门的组织机构作为应急预案小组，组织机构主要为企业成立的环境安全管理机构，由企业领导、环保直接负责人、环保主管部门负责人和其他专职环境管理人员组成。</w:t>
            </w:r>
          </w:p>
          <w:p w14:paraId="50A38DE3">
            <w:pPr>
              <w:bidi w:val="0"/>
              <w:jc w:val="center"/>
              <w:rPr>
                <w:rFonts w:hint="default" w:ascii="Times New Roman" w:hAnsi="Times New Roman" w:cs="Times New Roman"/>
                <w:b/>
                <w:bCs/>
                <w:color w:val="auto"/>
              </w:rPr>
            </w:pPr>
            <w:r>
              <w:rPr>
                <w:rFonts w:hint="default" w:ascii="Times New Roman" w:hAnsi="Times New Roman" w:cs="Times New Roman"/>
                <w:b/>
                <w:bCs/>
                <w:color w:val="auto"/>
                <w:lang w:val="en-US" w:eastAsia="zh-CN"/>
              </w:rPr>
              <w:t>表4-</w:t>
            </w:r>
            <w:r>
              <w:rPr>
                <w:rFonts w:hint="eastAsia" w:ascii="Times New Roman" w:hAnsi="Times New Roman" w:cs="Times New Roman"/>
                <w:b/>
                <w:bCs/>
                <w:color w:val="auto"/>
                <w:lang w:val="en-US" w:eastAsia="zh-CN"/>
              </w:rPr>
              <w:t>19</w:t>
            </w:r>
            <w:r>
              <w:rPr>
                <w:rFonts w:hint="default" w:ascii="Times New Roman" w:hAnsi="Times New Roman" w:cs="Times New Roman"/>
                <w:b/>
                <w:bCs/>
                <w:color w:val="auto"/>
                <w:lang w:val="en-US" w:eastAsia="zh-CN"/>
              </w:rPr>
              <w:t xml:space="preserve">  应急预案内容</w:t>
            </w:r>
          </w:p>
          <w:tbl>
            <w:tblPr>
              <w:tblStyle w:val="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2131"/>
              <w:gridCol w:w="4766"/>
            </w:tblGrid>
            <w:tr w14:paraId="5606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pct"/>
                  <w:tcBorders>
                    <w:tl2br w:val="nil"/>
                    <w:tr2bl w:val="nil"/>
                  </w:tcBorders>
                  <w:noWrap w:val="0"/>
                  <w:vAlign w:val="center"/>
                </w:tcPr>
                <w:p w14:paraId="2DBCA8DC">
                  <w:pPr>
                    <w:pStyle w:val="14"/>
                    <w:bidi w:val="0"/>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415" w:type="pct"/>
                  <w:tcBorders>
                    <w:tl2br w:val="nil"/>
                    <w:tr2bl w:val="nil"/>
                  </w:tcBorders>
                  <w:noWrap w:val="0"/>
                  <w:vAlign w:val="center"/>
                </w:tcPr>
                <w:p w14:paraId="161C3882">
                  <w:pPr>
                    <w:pStyle w:val="14"/>
                    <w:bidi w:val="0"/>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3165" w:type="pct"/>
                  <w:tcBorders>
                    <w:tl2br w:val="nil"/>
                    <w:tr2bl w:val="nil"/>
                  </w:tcBorders>
                  <w:noWrap w:val="0"/>
                  <w:vAlign w:val="center"/>
                </w:tcPr>
                <w:p w14:paraId="7EFFFA2C">
                  <w:pPr>
                    <w:pStyle w:val="14"/>
                    <w:bidi w:val="0"/>
                    <w:rPr>
                      <w:rFonts w:hint="default" w:ascii="Times New Roman" w:hAnsi="Times New Roman" w:cs="Times New Roman"/>
                      <w:b/>
                      <w:bCs/>
                      <w:color w:val="auto"/>
                    </w:rPr>
                  </w:pPr>
                  <w:r>
                    <w:rPr>
                      <w:rFonts w:hint="default" w:ascii="Times New Roman" w:hAnsi="Times New Roman" w:cs="Times New Roman"/>
                      <w:b/>
                      <w:bCs/>
                      <w:color w:val="auto"/>
                    </w:rPr>
                    <w:t>内容及要求</w:t>
                  </w:r>
                </w:p>
              </w:tc>
            </w:tr>
            <w:tr w14:paraId="6E3F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418" w:type="pct"/>
                  <w:tcBorders>
                    <w:tl2br w:val="nil"/>
                    <w:tr2bl w:val="nil"/>
                  </w:tcBorders>
                  <w:noWrap w:val="0"/>
                  <w:vAlign w:val="center"/>
                </w:tcPr>
                <w:p w14:paraId="776C7808">
                  <w:pPr>
                    <w:pStyle w:val="14"/>
                    <w:bidi w:val="0"/>
                    <w:rPr>
                      <w:rFonts w:hint="default" w:ascii="Times New Roman" w:hAnsi="Times New Roman" w:cs="Times New Roman"/>
                      <w:color w:val="auto"/>
                    </w:rPr>
                  </w:pPr>
                  <w:r>
                    <w:rPr>
                      <w:rFonts w:hint="default" w:ascii="Times New Roman" w:hAnsi="Times New Roman" w:cs="Times New Roman"/>
                      <w:color w:val="auto"/>
                    </w:rPr>
                    <w:t>1</w:t>
                  </w:r>
                </w:p>
              </w:tc>
              <w:tc>
                <w:tcPr>
                  <w:tcW w:w="1415" w:type="pct"/>
                  <w:tcBorders>
                    <w:tl2br w:val="nil"/>
                    <w:tr2bl w:val="nil"/>
                  </w:tcBorders>
                  <w:noWrap w:val="0"/>
                  <w:vAlign w:val="center"/>
                </w:tcPr>
                <w:p w14:paraId="245BBD36">
                  <w:pPr>
                    <w:pStyle w:val="14"/>
                    <w:bidi w:val="0"/>
                    <w:rPr>
                      <w:rFonts w:hint="default" w:ascii="Times New Roman" w:hAnsi="Times New Roman" w:cs="Times New Roman"/>
                      <w:color w:val="auto"/>
                    </w:rPr>
                  </w:pPr>
                  <w:r>
                    <w:rPr>
                      <w:rFonts w:hint="default" w:ascii="Times New Roman" w:hAnsi="Times New Roman" w:cs="Times New Roman"/>
                      <w:color w:val="auto"/>
                    </w:rPr>
                    <w:t>应急计划区</w:t>
                  </w:r>
                </w:p>
              </w:tc>
              <w:tc>
                <w:tcPr>
                  <w:tcW w:w="3165" w:type="pct"/>
                  <w:tcBorders>
                    <w:tl2br w:val="nil"/>
                    <w:tr2bl w:val="nil"/>
                  </w:tcBorders>
                  <w:noWrap w:val="0"/>
                  <w:vAlign w:val="center"/>
                </w:tcPr>
                <w:p w14:paraId="3310299C">
                  <w:pPr>
                    <w:pStyle w:val="14"/>
                    <w:bidi w:val="0"/>
                    <w:rPr>
                      <w:rFonts w:hint="default" w:ascii="Times New Roman" w:hAnsi="Times New Roman" w:cs="Times New Roman"/>
                      <w:color w:val="auto"/>
                    </w:rPr>
                  </w:pPr>
                  <w:r>
                    <w:rPr>
                      <w:rFonts w:hint="default" w:ascii="Times New Roman" w:hAnsi="Times New Roman" w:cs="Times New Roman"/>
                      <w:color w:val="auto"/>
                    </w:rPr>
                    <w:t>危险目标：危险废物暂存区及运输沿线环境保护目标、污水处理站环境保护目标</w:t>
                  </w:r>
                </w:p>
              </w:tc>
            </w:tr>
            <w:tr w14:paraId="19879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pct"/>
                  <w:tcBorders>
                    <w:tl2br w:val="nil"/>
                    <w:tr2bl w:val="nil"/>
                  </w:tcBorders>
                  <w:noWrap w:val="0"/>
                  <w:vAlign w:val="center"/>
                </w:tcPr>
                <w:p w14:paraId="2DD72295">
                  <w:pPr>
                    <w:pStyle w:val="14"/>
                    <w:bidi w:val="0"/>
                    <w:rPr>
                      <w:rFonts w:hint="default" w:ascii="Times New Roman" w:hAnsi="Times New Roman" w:cs="Times New Roman"/>
                      <w:color w:val="auto"/>
                    </w:rPr>
                  </w:pPr>
                  <w:r>
                    <w:rPr>
                      <w:rFonts w:hint="default" w:ascii="Times New Roman" w:hAnsi="Times New Roman" w:cs="Times New Roman"/>
                      <w:color w:val="auto"/>
                    </w:rPr>
                    <w:t>2</w:t>
                  </w:r>
                </w:p>
              </w:tc>
              <w:tc>
                <w:tcPr>
                  <w:tcW w:w="1415" w:type="pct"/>
                  <w:tcBorders>
                    <w:tl2br w:val="nil"/>
                    <w:tr2bl w:val="nil"/>
                  </w:tcBorders>
                  <w:noWrap w:val="0"/>
                  <w:vAlign w:val="center"/>
                </w:tcPr>
                <w:p w14:paraId="6EFCA780">
                  <w:pPr>
                    <w:pStyle w:val="14"/>
                    <w:bidi w:val="0"/>
                    <w:rPr>
                      <w:rFonts w:hint="default" w:ascii="Times New Roman" w:hAnsi="Times New Roman" w:cs="Times New Roman"/>
                      <w:color w:val="auto"/>
                    </w:rPr>
                  </w:pPr>
                  <w:r>
                    <w:rPr>
                      <w:rFonts w:hint="default" w:ascii="Times New Roman" w:hAnsi="Times New Roman" w:cs="Times New Roman"/>
                      <w:color w:val="auto"/>
                    </w:rPr>
                    <w:t>应急组织机构、人员</w:t>
                  </w:r>
                </w:p>
              </w:tc>
              <w:tc>
                <w:tcPr>
                  <w:tcW w:w="3165" w:type="pct"/>
                  <w:tcBorders>
                    <w:tl2br w:val="nil"/>
                    <w:tr2bl w:val="nil"/>
                  </w:tcBorders>
                  <w:noWrap w:val="0"/>
                  <w:vAlign w:val="center"/>
                </w:tcPr>
                <w:p w14:paraId="4532EAEA">
                  <w:pPr>
                    <w:pStyle w:val="14"/>
                    <w:bidi w:val="0"/>
                    <w:rPr>
                      <w:rFonts w:hint="default" w:ascii="Times New Roman" w:hAnsi="Times New Roman" w:cs="Times New Roman"/>
                      <w:color w:val="auto"/>
                    </w:rPr>
                  </w:pPr>
                  <w:r>
                    <w:rPr>
                      <w:rFonts w:hint="default" w:ascii="Times New Roman" w:hAnsi="Times New Roman" w:cs="Times New Roman"/>
                      <w:color w:val="auto"/>
                    </w:rPr>
                    <w:t>医院、地区应急组织机构、人员</w:t>
                  </w:r>
                </w:p>
              </w:tc>
            </w:tr>
            <w:tr w14:paraId="2C443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pct"/>
                  <w:tcBorders>
                    <w:tl2br w:val="nil"/>
                    <w:tr2bl w:val="nil"/>
                  </w:tcBorders>
                  <w:noWrap w:val="0"/>
                  <w:vAlign w:val="center"/>
                </w:tcPr>
                <w:p w14:paraId="75AB2851">
                  <w:pPr>
                    <w:pStyle w:val="14"/>
                    <w:bidi w:val="0"/>
                    <w:rPr>
                      <w:rFonts w:hint="default" w:ascii="Times New Roman" w:hAnsi="Times New Roman" w:cs="Times New Roman"/>
                      <w:color w:val="auto"/>
                    </w:rPr>
                  </w:pPr>
                  <w:r>
                    <w:rPr>
                      <w:rFonts w:hint="default" w:ascii="Times New Roman" w:hAnsi="Times New Roman" w:cs="Times New Roman"/>
                      <w:color w:val="auto"/>
                    </w:rPr>
                    <w:t>3</w:t>
                  </w:r>
                </w:p>
              </w:tc>
              <w:tc>
                <w:tcPr>
                  <w:tcW w:w="1415" w:type="pct"/>
                  <w:tcBorders>
                    <w:tl2br w:val="nil"/>
                    <w:tr2bl w:val="nil"/>
                  </w:tcBorders>
                  <w:noWrap w:val="0"/>
                  <w:vAlign w:val="center"/>
                </w:tcPr>
                <w:p w14:paraId="7070C18D">
                  <w:pPr>
                    <w:pStyle w:val="14"/>
                    <w:bidi w:val="0"/>
                    <w:rPr>
                      <w:rFonts w:hint="default" w:ascii="Times New Roman" w:hAnsi="Times New Roman" w:cs="Times New Roman"/>
                      <w:color w:val="auto"/>
                    </w:rPr>
                  </w:pPr>
                  <w:r>
                    <w:rPr>
                      <w:rFonts w:hint="default" w:ascii="Times New Roman" w:hAnsi="Times New Roman" w:cs="Times New Roman"/>
                      <w:color w:val="auto"/>
                    </w:rPr>
                    <w:t>预案分级响应条件</w:t>
                  </w:r>
                </w:p>
              </w:tc>
              <w:tc>
                <w:tcPr>
                  <w:tcW w:w="3165" w:type="pct"/>
                  <w:tcBorders>
                    <w:tl2br w:val="nil"/>
                    <w:tr2bl w:val="nil"/>
                  </w:tcBorders>
                  <w:noWrap w:val="0"/>
                  <w:vAlign w:val="center"/>
                </w:tcPr>
                <w:p w14:paraId="31C784C9">
                  <w:pPr>
                    <w:pStyle w:val="14"/>
                    <w:bidi w:val="0"/>
                    <w:rPr>
                      <w:rFonts w:hint="default" w:ascii="Times New Roman" w:hAnsi="Times New Roman" w:cs="Times New Roman"/>
                      <w:color w:val="auto"/>
                    </w:rPr>
                  </w:pPr>
                  <w:r>
                    <w:rPr>
                      <w:rFonts w:hint="default" w:ascii="Times New Roman" w:hAnsi="Times New Roman" w:cs="Times New Roman"/>
                      <w:color w:val="auto"/>
                    </w:rPr>
                    <w:t>规定预案的级别及分级响应程序</w:t>
                  </w:r>
                </w:p>
              </w:tc>
            </w:tr>
            <w:tr w14:paraId="2DF86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pct"/>
                  <w:tcBorders>
                    <w:tl2br w:val="nil"/>
                    <w:tr2bl w:val="nil"/>
                  </w:tcBorders>
                  <w:noWrap w:val="0"/>
                  <w:vAlign w:val="center"/>
                </w:tcPr>
                <w:p w14:paraId="2D891AC6">
                  <w:pPr>
                    <w:pStyle w:val="14"/>
                    <w:bidi w:val="0"/>
                    <w:rPr>
                      <w:rFonts w:hint="default" w:ascii="Times New Roman" w:hAnsi="Times New Roman" w:cs="Times New Roman"/>
                      <w:color w:val="auto"/>
                    </w:rPr>
                  </w:pPr>
                  <w:r>
                    <w:rPr>
                      <w:rFonts w:hint="default" w:ascii="Times New Roman" w:hAnsi="Times New Roman" w:cs="Times New Roman"/>
                      <w:color w:val="auto"/>
                    </w:rPr>
                    <w:t>4</w:t>
                  </w:r>
                </w:p>
              </w:tc>
              <w:tc>
                <w:tcPr>
                  <w:tcW w:w="1415" w:type="pct"/>
                  <w:tcBorders>
                    <w:tl2br w:val="nil"/>
                    <w:tr2bl w:val="nil"/>
                  </w:tcBorders>
                  <w:noWrap w:val="0"/>
                  <w:vAlign w:val="center"/>
                </w:tcPr>
                <w:p w14:paraId="043369B6">
                  <w:pPr>
                    <w:pStyle w:val="14"/>
                    <w:bidi w:val="0"/>
                    <w:rPr>
                      <w:rFonts w:hint="default" w:ascii="Times New Roman" w:hAnsi="Times New Roman" w:cs="Times New Roman"/>
                      <w:color w:val="auto"/>
                    </w:rPr>
                  </w:pPr>
                  <w:r>
                    <w:rPr>
                      <w:rFonts w:hint="default" w:ascii="Times New Roman" w:hAnsi="Times New Roman" w:cs="Times New Roman"/>
                      <w:color w:val="auto"/>
                    </w:rPr>
                    <w:t>应急救援保障</w:t>
                  </w:r>
                </w:p>
              </w:tc>
              <w:tc>
                <w:tcPr>
                  <w:tcW w:w="3165" w:type="pct"/>
                  <w:tcBorders>
                    <w:tl2br w:val="nil"/>
                    <w:tr2bl w:val="nil"/>
                  </w:tcBorders>
                  <w:noWrap w:val="0"/>
                  <w:vAlign w:val="center"/>
                </w:tcPr>
                <w:p w14:paraId="580C0D8B">
                  <w:pPr>
                    <w:pStyle w:val="14"/>
                    <w:bidi w:val="0"/>
                    <w:rPr>
                      <w:rFonts w:hint="default" w:ascii="Times New Roman" w:hAnsi="Times New Roman" w:cs="Times New Roman"/>
                      <w:color w:val="auto"/>
                    </w:rPr>
                  </w:pPr>
                  <w:r>
                    <w:rPr>
                      <w:rFonts w:hint="default" w:ascii="Times New Roman" w:hAnsi="Times New Roman" w:cs="Times New Roman"/>
                      <w:color w:val="auto"/>
                    </w:rPr>
                    <w:t>应急设施，设备与器材等</w:t>
                  </w:r>
                </w:p>
              </w:tc>
            </w:tr>
            <w:tr w14:paraId="0E66D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pct"/>
                  <w:tcBorders>
                    <w:tl2br w:val="nil"/>
                    <w:tr2bl w:val="nil"/>
                  </w:tcBorders>
                  <w:noWrap w:val="0"/>
                  <w:vAlign w:val="center"/>
                </w:tcPr>
                <w:p w14:paraId="2E479285">
                  <w:pPr>
                    <w:pStyle w:val="14"/>
                    <w:bidi w:val="0"/>
                    <w:rPr>
                      <w:rFonts w:hint="default" w:ascii="Times New Roman" w:hAnsi="Times New Roman" w:cs="Times New Roman"/>
                      <w:color w:val="auto"/>
                    </w:rPr>
                  </w:pPr>
                  <w:r>
                    <w:rPr>
                      <w:rFonts w:hint="default" w:ascii="Times New Roman" w:hAnsi="Times New Roman" w:cs="Times New Roman"/>
                      <w:color w:val="auto"/>
                    </w:rPr>
                    <w:t>5</w:t>
                  </w:r>
                </w:p>
              </w:tc>
              <w:tc>
                <w:tcPr>
                  <w:tcW w:w="1415" w:type="pct"/>
                  <w:tcBorders>
                    <w:tl2br w:val="nil"/>
                    <w:tr2bl w:val="nil"/>
                  </w:tcBorders>
                  <w:noWrap w:val="0"/>
                  <w:vAlign w:val="center"/>
                </w:tcPr>
                <w:p w14:paraId="31EC9346">
                  <w:pPr>
                    <w:pStyle w:val="14"/>
                    <w:bidi w:val="0"/>
                    <w:rPr>
                      <w:rFonts w:hint="default" w:ascii="Times New Roman" w:hAnsi="Times New Roman" w:cs="Times New Roman"/>
                      <w:color w:val="auto"/>
                    </w:rPr>
                  </w:pPr>
                  <w:r>
                    <w:rPr>
                      <w:rFonts w:hint="default" w:ascii="Times New Roman" w:hAnsi="Times New Roman" w:cs="Times New Roman"/>
                      <w:color w:val="auto"/>
                    </w:rPr>
                    <w:t>报警、通讯联络方式</w:t>
                  </w:r>
                </w:p>
              </w:tc>
              <w:tc>
                <w:tcPr>
                  <w:tcW w:w="3165" w:type="pct"/>
                  <w:tcBorders>
                    <w:tl2br w:val="nil"/>
                    <w:tr2bl w:val="nil"/>
                  </w:tcBorders>
                  <w:noWrap w:val="0"/>
                  <w:vAlign w:val="center"/>
                </w:tcPr>
                <w:p w14:paraId="204240BE">
                  <w:pPr>
                    <w:pStyle w:val="14"/>
                    <w:bidi w:val="0"/>
                    <w:rPr>
                      <w:rFonts w:hint="default" w:ascii="Times New Roman" w:hAnsi="Times New Roman" w:cs="Times New Roman"/>
                      <w:color w:val="auto"/>
                    </w:rPr>
                  </w:pPr>
                  <w:r>
                    <w:rPr>
                      <w:rFonts w:hint="default" w:ascii="Times New Roman" w:hAnsi="Times New Roman" w:cs="Times New Roman"/>
                      <w:color w:val="auto"/>
                    </w:rPr>
                    <w:t>规定应急状态下的报警通讯方式、通知方式和交通保障、管制</w:t>
                  </w:r>
                </w:p>
              </w:tc>
            </w:tr>
            <w:tr w14:paraId="7739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418" w:type="pct"/>
                  <w:tcBorders>
                    <w:tl2br w:val="nil"/>
                    <w:tr2bl w:val="nil"/>
                  </w:tcBorders>
                  <w:noWrap w:val="0"/>
                  <w:vAlign w:val="center"/>
                </w:tcPr>
                <w:p w14:paraId="70819870">
                  <w:pPr>
                    <w:pStyle w:val="14"/>
                    <w:bidi w:val="0"/>
                    <w:rPr>
                      <w:rFonts w:hint="default" w:ascii="Times New Roman" w:hAnsi="Times New Roman" w:cs="Times New Roman"/>
                      <w:color w:val="auto"/>
                    </w:rPr>
                  </w:pPr>
                  <w:r>
                    <w:rPr>
                      <w:rFonts w:hint="default" w:ascii="Times New Roman" w:hAnsi="Times New Roman" w:cs="Times New Roman"/>
                      <w:color w:val="auto"/>
                    </w:rPr>
                    <w:t>6</w:t>
                  </w:r>
                </w:p>
              </w:tc>
              <w:tc>
                <w:tcPr>
                  <w:tcW w:w="1415" w:type="pct"/>
                  <w:tcBorders>
                    <w:tl2br w:val="nil"/>
                    <w:tr2bl w:val="nil"/>
                  </w:tcBorders>
                  <w:noWrap w:val="0"/>
                  <w:vAlign w:val="center"/>
                </w:tcPr>
                <w:p w14:paraId="1DC35D38">
                  <w:pPr>
                    <w:pStyle w:val="14"/>
                    <w:bidi w:val="0"/>
                    <w:rPr>
                      <w:rFonts w:hint="default" w:ascii="Times New Roman" w:hAnsi="Times New Roman" w:cs="Times New Roman"/>
                      <w:color w:val="auto"/>
                    </w:rPr>
                  </w:pPr>
                  <w:r>
                    <w:rPr>
                      <w:rFonts w:hint="default" w:ascii="Times New Roman" w:hAnsi="Times New Roman" w:cs="Times New Roman"/>
                      <w:color w:val="auto"/>
                    </w:rPr>
                    <w:t>应急环境监测、抢险、救援及控制措施</w:t>
                  </w:r>
                </w:p>
              </w:tc>
              <w:tc>
                <w:tcPr>
                  <w:tcW w:w="3165" w:type="pct"/>
                  <w:tcBorders>
                    <w:tl2br w:val="nil"/>
                    <w:tr2bl w:val="nil"/>
                  </w:tcBorders>
                  <w:noWrap w:val="0"/>
                  <w:vAlign w:val="center"/>
                </w:tcPr>
                <w:p w14:paraId="4A6CBF28">
                  <w:pPr>
                    <w:pStyle w:val="14"/>
                    <w:bidi w:val="0"/>
                    <w:rPr>
                      <w:rFonts w:hint="default" w:ascii="Times New Roman" w:hAnsi="Times New Roman" w:cs="Times New Roman"/>
                      <w:color w:val="auto"/>
                    </w:rPr>
                  </w:pPr>
                  <w:r>
                    <w:rPr>
                      <w:rFonts w:hint="default" w:ascii="Times New Roman" w:hAnsi="Times New Roman" w:cs="Times New Roman"/>
                      <w:color w:val="auto"/>
                    </w:rPr>
                    <w:t>由专业队伍负责对事故现场进行侦察监测，对事故性质、参数与后果进行评估，为指挥部门提供决策依据</w:t>
                  </w:r>
                </w:p>
              </w:tc>
            </w:tr>
            <w:tr w14:paraId="6ADF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18" w:type="pct"/>
                  <w:tcBorders>
                    <w:tl2br w:val="nil"/>
                    <w:tr2bl w:val="nil"/>
                  </w:tcBorders>
                  <w:noWrap w:val="0"/>
                  <w:vAlign w:val="center"/>
                </w:tcPr>
                <w:p w14:paraId="11002E49">
                  <w:pPr>
                    <w:pStyle w:val="14"/>
                    <w:bidi w:val="0"/>
                    <w:rPr>
                      <w:rFonts w:hint="default" w:ascii="Times New Roman" w:hAnsi="Times New Roman" w:cs="Times New Roman"/>
                      <w:color w:val="auto"/>
                    </w:rPr>
                  </w:pPr>
                  <w:r>
                    <w:rPr>
                      <w:rFonts w:hint="default" w:ascii="Times New Roman" w:hAnsi="Times New Roman" w:cs="Times New Roman"/>
                      <w:color w:val="auto"/>
                    </w:rPr>
                    <w:t>7</w:t>
                  </w:r>
                </w:p>
              </w:tc>
              <w:tc>
                <w:tcPr>
                  <w:tcW w:w="1415" w:type="pct"/>
                  <w:tcBorders>
                    <w:tl2br w:val="nil"/>
                    <w:tr2bl w:val="nil"/>
                  </w:tcBorders>
                  <w:noWrap w:val="0"/>
                  <w:vAlign w:val="center"/>
                </w:tcPr>
                <w:p w14:paraId="6763ED69">
                  <w:pPr>
                    <w:pStyle w:val="14"/>
                    <w:bidi w:val="0"/>
                    <w:rPr>
                      <w:rFonts w:hint="default" w:ascii="Times New Roman" w:hAnsi="Times New Roman" w:cs="Times New Roman"/>
                      <w:color w:val="auto"/>
                    </w:rPr>
                  </w:pPr>
                  <w:r>
                    <w:rPr>
                      <w:rFonts w:hint="default" w:ascii="Times New Roman" w:hAnsi="Times New Roman" w:cs="Times New Roman"/>
                      <w:color w:val="auto"/>
                    </w:rPr>
                    <w:t>应急检测、防护措施、清除泄漏措施和器材</w:t>
                  </w:r>
                </w:p>
              </w:tc>
              <w:tc>
                <w:tcPr>
                  <w:tcW w:w="3165" w:type="pct"/>
                  <w:tcBorders>
                    <w:tl2br w:val="nil"/>
                    <w:tr2bl w:val="nil"/>
                  </w:tcBorders>
                  <w:noWrap w:val="0"/>
                  <w:vAlign w:val="center"/>
                </w:tcPr>
                <w:p w14:paraId="42FC58C1">
                  <w:pPr>
                    <w:pStyle w:val="14"/>
                    <w:bidi w:val="0"/>
                    <w:rPr>
                      <w:rFonts w:hint="default" w:ascii="Times New Roman" w:hAnsi="Times New Roman" w:cs="Times New Roman"/>
                      <w:color w:val="auto"/>
                    </w:rPr>
                  </w:pPr>
                  <w:r>
                    <w:rPr>
                      <w:rFonts w:hint="default" w:ascii="Times New Roman" w:hAnsi="Times New Roman" w:cs="Times New Roman"/>
                      <w:color w:val="auto"/>
                    </w:rPr>
                    <w:t>事故现场、邻近区域、控制区域，控制和清除污染措施及相应设备</w:t>
                  </w:r>
                </w:p>
              </w:tc>
            </w:tr>
            <w:tr w14:paraId="585EA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418" w:type="pct"/>
                  <w:tcBorders>
                    <w:tl2br w:val="nil"/>
                    <w:tr2bl w:val="nil"/>
                  </w:tcBorders>
                  <w:noWrap w:val="0"/>
                  <w:vAlign w:val="center"/>
                </w:tcPr>
                <w:p w14:paraId="74A98520">
                  <w:pPr>
                    <w:pStyle w:val="14"/>
                    <w:bidi w:val="0"/>
                    <w:rPr>
                      <w:rFonts w:hint="default" w:ascii="Times New Roman" w:hAnsi="Times New Roman" w:cs="Times New Roman"/>
                      <w:color w:val="auto"/>
                    </w:rPr>
                  </w:pPr>
                  <w:r>
                    <w:rPr>
                      <w:rFonts w:hint="default" w:ascii="Times New Roman" w:hAnsi="Times New Roman" w:cs="Times New Roman"/>
                      <w:color w:val="auto"/>
                    </w:rPr>
                    <w:t>8</w:t>
                  </w:r>
                </w:p>
              </w:tc>
              <w:tc>
                <w:tcPr>
                  <w:tcW w:w="1415" w:type="pct"/>
                  <w:tcBorders>
                    <w:tl2br w:val="nil"/>
                    <w:tr2bl w:val="nil"/>
                  </w:tcBorders>
                  <w:noWrap w:val="0"/>
                  <w:vAlign w:val="center"/>
                </w:tcPr>
                <w:p w14:paraId="74BFF871">
                  <w:pPr>
                    <w:pStyle w:val="14"/>
                    <w:bidi w:val="0"/>
                    <w:rPr>
                      <w:rFonts w:hint="default" w:ascii="Times New Roman" w:hAnsi="Times New Roman" w:cs="Times New Roman"/>
                      <w:color w:val="auto"/>
                    </w:rPr>
                  </w:pPr>
                  <w:r>
                    <w:rPr>
                      <w:rFonts w:hint="default" w:ascii="Times New Roman" w:hAnsi="Times New Roman" w:cs="Times New Roman"/>
                      <w:color w:val="auto"/>
                    </w:rPr>
                    <w:t>人员紧急撤离、疏散，应急剂量控制、撤离组织计划</w:t>
                  </w:r>
                </w:p>
              </w:tc>
              <w:tc>
                <w:tcPr>
                  <w:tcW w:w="3165" w:type="pct"/>
                  <w:tcBorders>
                    <w:tl2br w:val="nil"/>
                    <w:tr2bl w:val="nil"/>
                  </w:tcBorders>
                  <w:noWrap w:val="0"/>
                  <w:vAlign w:val="center"/>
                </w:tcPr>
                <w:p w14:paraId="0F6EE131">
                  <w:pPr>
                    <w:pStyle w:val="14"/>
                    <w:bidi w:val="0"/>
                    <w:rPr>
                      <w:rFonts w:hint="default" w:ascii="Times New Roman" w:hAnsi="Times New Roman" w:cs="Times New Roman"/>
                      <w:color w:val="auto"/>
                    </w:rPr>
                  </w:pPr>
                  <w:r>
                    <w:rPr>
                      <w:rFonts w:hint="default" w:ascii="Times New Roman" w:hAnsi="Times New Roman" w:cs="Times New Roman"/>
                      <w:color w:val="auto"/>
                    </w:rPr>
                    <w:t>事故现场、邻近区、受事故影响的区域人员及公众对毒物应急剂量控制规定，撤离组织计划及救护，医疗救护与公众健康</w:t>
                  </w:r>
                </w:p>
              </w:tc>
            </w:tr>
            <w:tr w14:paraId="4CC6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8" w:type="pct"/>
                  <w:tcBorders>
                    <w:tl2br w:val="nil"/>
                    <w:tr2bl w:val="nil"/>
                  </w:tcBorders>
                  <w:noWrap w:val="0"/>
                  <w:vAlign w:val="center"/>
                </w:tcPr>
                <w:p w14:paraId="39F4668B">
                  <w:pPr>
                    <w:pStyle w:val="14"/>
                    <w:bidi w:val="0"/>
                    <w:rPr>
                      <w:rFonts w:hint="default" w:ascii="Times New Roman" w:hAnsi="Times New Roman" w:cs="Times New Roman"/>
                      <w:color w:val="auto"/>
                    </w:rPr>
                  </w:pPr>
                  <w:r>
                    <w:rPr>
                      <w:rFonts w:hint="default" w:ascii="Times New Roman" w:hAnsi="Times New Roman" w:cs="Times New Roman"/>
                      <w:color w:val="auto"/>
                    </w:rPr>
                    <w:t>9</w:t>
                  </w:r>
                </w:p>
              </w:tc>
              <w:tc>
                <w:tcPr>
                  <w:tcW w:w="1415" w:type="pct"/>
                  <w:tcBorders>
                    <w:tl2br w:val="nil"/>
                    <w:tr2bl w:val="nil"/>
                  </w:tcBorders>
                  <w:noWrap w:val="0"/>
                  <w:vAlign w:val="center"/>
                </w:tcPr>
                <w:p w14:paraId="18FC5F1B">
                  <w:pPr>
                    <w:pStyle w:val="14"/>
                    <w:bidi w:val="0"/>
                    <w:rPr>
                      <w:rFonts w:hint="default" w:ascii="Times New Roman" w:hAnsi="Times New Roman" w:cs="Times New Roman"/>
                      <w:color w:val="auto"/>
                    </w:rPr>
                  </w:pPr>
                  <w:r>
                    <w:rPr>
                      <w:rFonts w:hint="default" w:ascii="Times New Roman" w:hAnsi="Times New Roman" w:cs="Times New Roman"/>
                      <w:color w:val="auto"/>
                    </w:rPr>
                    <w:t>事故应急救援关闭程序与恢复措施</w:t>
                  </w:r>
                </w:p>
              </w:tc>
              <w:tc>
                <w:tcPr>
                  <w:tcW w:w="3165" w:type="pct"/>
                  <w:tcBorders>
                    <w:tl2br w:val="nil"/>
                    <w:tr2bl w:val="nil"/>
                  </w:tcBorders>
                  <w:noWrap w:val="0"/>
                  <w:vAlign w:val="center"/>
                </w:tcPr>
                <w:p w14:paraId="5B7FAF93">
                  <w:pPr>
                    <w:pStyle w:val="14"/>
                    <w:bidi w:val="0"/>
                    <w:rPr>
                      <w:rFonts w:hint="default" w:ascii="Times New Roman" w:hAnsi="Times New Roman" w:cs="Times New Roman"/>
                      <w:color w:val="auto"/>
                    </w:rPr>
                  </w:pPr>
                  <w:r>
                    <w:rPr>
                      <w:rFonts w:hint="default" w:ascii="Times New Roman" w:hAnsi="Times New Roman" w:cs="Times New Roman"/>
                      <w:color w:val="auto"/>
                    </w:rPr>
                    <w:t>规定应急状态终止程序事故现场善后处理，恢复措施邻近区域解除事故警戒及善后恢复措施</w:t>
                  </w:r>
                </w:p>
              </w:tc>
            </w:tr>
            <w:tr w14:paraId="33979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pct"/>
                  <w:tcBorders>
                    <w:tl2br w:val="nil"/>
                    <w:tr2bl w:val="nil"/>
                  </w:tcBorders>
                  <w:noWrap w:val="0"/>
                  <w:vAlign w:val="center"/>
                </w:tcPr>
                <w:p w14:paraId="548209DB">
                  <w:pPr>
                    <w:pStyle w:val="14"/>
                    <w:bidi w:val="0"/>
                    <w:rPr>
                      <w:rFonts w:hint="default" w:ascii="Times New Roman" w:hAnsi="Times New Roman" w:cs="Times New Roman"/>
                      <w:color w:val="auto"/>
                    </w:rPr>
                  </w:pPr>
                  <w:r>
                    <w:rPr>
                      <w:rFonts w:hint="default" w:ascii="Times New Roman" w:hAnsi="Times New Roman" w:cs="Times New Roman"/>
                      <w:color w:val="auto"/>
                    </w:rPr>
                    <w:t>10</w:t>
                  </w:r>
                </w:p>
              </w:tc>
              <w:tc>
                <w:tcPr>
                  <w:tcW w:w="1415" w:type="pct"/>
                  <w:tcBorders>
                    <w:tl2br w:val="nil"/>
                    <w:tr2bl w:val="nil"/>
                  </w:tcBorders>
                  <w:noWrap w:val="0"/>
                  <w:vAlign w:val="center"/>
                </w:tcPr>
                <w:p w14:paraId="200BE0E0">
                  <w:pPr>
                    <w:pStyle w:val="14"/>
                    <w:bidi w:val="0"/>
                    <w:rPr>
                      <w:rFonts w:hint="default" w:ascii="Times New Roman" w:hAnsi="Times New Roman" w:cs="Times New Roman"/>
                      <w:color w:val="auto"/>
                    </w:rPr>
                  </w:pPr>
                  <w:r>
                    <w:rPr>
                      <w:rFonts w:hint="default" w:ascii="Times New Roman" w:hAnsi="Times New Roman" w:cs="Times New Roman"/>
                      <w:color w:val="auto"/>
                    </w:rPr>
                    <w:t>应急培训计划</w:t>
                  </w:r>
                </w:p>
              </w:tc>
              <w:tc>
                <w:tcPr>
                  <w:tcW w:w="3165" w:type="pct"/>
                  <w:tcBorders>
                    <w:tl2br w:val="nil"/>
                    <w:tr2bl w:val="nil"/>
                  </w:tcBorders>
                  <w:noWrap w:val="0"/>
                  <w:vAlign w:val="center"/>
                </w:tcPr>
                <w:p w14:paraId="146CB08B">
                  <w:pPr>
                    <w:pStyle w:val="14"/>
                    <w:bidi w:val="0"/>
                    <w:rPr>
                      <w:rFonts w:hint="default" w:ascii="Times New Roman" w:hAnsi="Times New Roman" w:cs="Times New Roman"/>
                      <w:color w:val="auto"/>
                    </w:rPr>
                  </w:pPr>
                  <w:r>
                    <w:rPr>
                      <w:rFonts w:hint="default" w:ascii="Times New Roman" w:hAnsi="Times New Roman" w:cs="Times New Roman"/>
                      <w:color w:val="auto"/>
                    </w:rPr>
                    <w:t>应急计划制定后，平时安排人员培训与演练</w:t>
                  </w:r>
                </w:p>
              </w:tc>
            </w:tr>
            <w:tr w14:paraId="07DC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pct"/>
                  <w:tcBorders>
                    <w:tl2br w:val="nil"/>
                    <w:tr2bl w:val="nil"/>
                  </w:tcBorders>
                  <w:noWrap w:val="0"/>
                  <w:vAlign w:val="center"/>
                </w:tcPr>
                <w:p w14:paraId="5349967C">
                  <w:pPr>
                    <w:pStyle w:val="14"/>
                    <w:bidi w:val="0"/>
                    <w:rPr>
                      <w:rFonts w:hint="default" w:ascii="Times New Roman" w:hAnsi="Times New Roman" w:cs="Times New Roman"/>
                      <w:color w:val="auto"/>
                    </w:rPr>
                  </w:pPr>
                  <w:r>
                    <w:rPr>
                      <w:rFonts w:hint="default" w:ascii="Times New Roman" w:hAnsi="Times New Roman" w:cs="Times New Roman"/>
                      <w:color w:val="auto"/>
                    </w:rPr>
                    <w:t>11</w:t>
                  </w:r>
                </w:p>
              </w:tc>
              <w:tc>
                <w:tcPr>
                  <w:tcW w:w="1415" w:type="pct"/>
                  <w:tcBorders>
                    <w:tl2br w:val="nil"/>
                    <w:tr2bl w:val="nil"/>
                  </w:tcBorders>
                  <w:noWrap w:val="0"/>
                  <w:vAlign w:val="center"/>
                </w:tcPr>
                <w:p w14:paraId="1C12C4A9">
                  <w:pPr>
                    <w:pStyle w:val="14"/>
                    <w:bidi w:val="0"/>
                    <w:rPr>
                      <w:rFonts w:hint="default" w:ascii="Times New Roman" w:hAnsi="Times New Roman" w:cs="Times New Roman"/>
                      <w:color w:val="auto"/>
                    </w:rPr>
                  </w:pPr>
                  <w:r>
                    <w:rPr>
                      <w:rFonts w:hint="default" w:ascii="Times New Roman" w:hAnsi="Times New Roman" w:cs="Times New Roman"/>
                      <w:color w:val="auto"/>
                    </w:rPr>
                    <w:t>公众教育和信息</w:t>
                  </w:r>
                </w:p>
              </w:tc>
              <w:tc>
                <w:tcPr>
                  <w:tcW w:w="3165" w:type="pct"/>
                  <w:tcBorders>
                    <w:tl2br w:val="nil"/>
                    <w:tr2bl w:val="nil"/>
                  </w:tcBorders>
                  <w:noWrap w:val="0"/>
                  <w:vAlign w:val="center"/>
                </w:tcPr>
                <w:p w14:paraId="7A7C66D3">
                  <w:pPr>
                    <w:pStyle w:val="14"/>
                    <w:bidi w:val="0"/>
                    <w:rPr>
                      <w:rFonts w:hint="default" w:ascii="Times New Roman" w:hAnsi="Times New Roman" w:cs="Times New Roman"/>
                      <w:color w:val="auto"/>
                    </w:rPr>
                  </w:pPr>
                  <w:r>
                    <w:rPr>
                      <w:rFonts w:hint="default" w:ascii="Times New Roman" w:hAnsi="Times New Roman" w:cs="Times New Roman"/>
                      <w:color w:val="auto"/>
                    </w:rPr>
                    <w:t>对邻近地区开展公众教育、培训和发布有关信息</w:t>
                  </w:r>
                </w:p>
              </w:tc>
            </w:tr>
          </w:tbl>
          <w:p w14:paraId="49B36CDB">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应急程序包括报警、接报、发出应急救援命令、应急救援行动、现场处置、结束应急行动。</w:t>
            </w:r>
          </w:p>
          <w:p w14:paraId="55A87AA4">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w:t>
            </w:r>
            <w:r>
              <w:rPr>
                <w:rFonts w:hint="eastAsia" w:cs="Times New Roman"/>
                <w:b/>
                <w:bCs/>
                <w:color w:val="auto"/>
                <w:lang w:val="en-US" w:eastAsia="zh-CN"/>
              </w:rPr>
              <w:t>5</w:t>
            </w:r>
            <w:r>
              <w:rPr>
                <w:rFonts w:hint="default" w:ascii="Times New Roman" w:hAnsi="Times New Roman" w:cs="Times New Roman"/>
                <w:b/>
                <w:bCs/>
                <w:color w:val="auto"/>
                <w:lang w:val="en-US" w:eastAsia="zh-CN"/>
              </w:rPr>
              <w:t>）结论</w:t>
            </w:r>
          </w:p>
          <w:p w14:paraId="47032300">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通过分析，项目建成后对环境产生的环境风险主要表现在危废间渗漏</w:t>
            </w:r>
            <w:r>
              <w:rPr>
                <w:rFonts w:hint="eastAsia" w:cs="Times New Roman"/>
                <w:color w:val="auto"/>
                <w:lang w:val="en-US" w:eastAsia="zh-CN"/>
              </w:rPr>
              <w:t>事故及引发的火灾爆炸事故、油漆等化学物质泄露事故以及引发的火灾爆炸事故</w:t>
            </w:r>
            <w:r>
              <w:rPr>
                <w:rFonts w:hint="default" w:ascii="Times New Roman" w:hAnsi="Times New Roman" w:cs="Times New Roman"/>
                <w:color w:val="auto"/>
                <w:lang w:val="en-US" w:eastAsia="zh-CN"/>
              </w:rPr>
              <w:t>，通过采取本报告中的防范措施后，可在较大程度上避免风险的产生，同时项目建设方针对本报告提出的环境风险，制定相应的应急预案，可控制风险对环境的影响范围和程度，因此在项目建设阶段就应充分考虑环境风险的防范措施，减少可能的环境风险发生率，降低环境风险影响</w:t>
            </w:r>
            <w:r>
              <w:rPr>
                <w:rFonts w:hint="eastAsia" w:cs="Times New Roman"/>
                <w:color w:val="auto"/>
                <w:lang w:val="en-US" w:eastAsia="zh-CN"/>
              </w:rPr>
              <w:t>，经分析，项目生产过程环境风险影响可接受</w:t>
            </w:r>
            <w:r>
              <w:rPr>
                <w:rFonts w:hint="default" w:ascii="Times New Roman" w:hAnsi="Times New Roman" w:cs="Times New Roman"/>
                <w:color w:val="auto"/>
                <w:lang w:val="en-US" w:eastAsia="zh-CN"/>
              </w:rPr>
              <w:t>。</w:t>
            </w:r>
          </w:p>
          <w:p w14:paraId="410886B7">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建设项目环境风险简单分析内容表：</w:t>
            </w:r>
          </w:p>
          <w:p w14:paraId="56AD8F91">
            <w:pPr>
              <w:bidi w:val="0"/>
              <w:jc w:val="center"/>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表</w:t>
            </w:r>
            <w:r>
              <w:rPr>
                <w:rFonts w:hint="default" w:ascii="Times New Roman" w:hAnsi="Times New Roman" w:cs="Times New Roman"/>
                <w:b/>
                <w:bCs/>
                <w:color w:val="auto"/>
                <w:lang w:val="en-US" w:eastAsia="zh-CN"/>
              </w:rPr>
              <w:t>4-2</w:t>
            </w:r>
            <w:r>
              <w:rPr>
                <w:rFonts w:hint="eastAsia" w:ascii="Times New Roman" w:hAnsi="Times New Roman" w:cs="Times New Roman"/>
                <w:b/>
                <w:bCs/>
                <w:color w:val="auto"/>
                <w:lang w:val="en-US" w:eastAsia="zh-CN"/>
              </w:rPr>
              <w:t>0</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lang w:eastAsia="zh-CN"/>
              </w:rPr>
              <w:t>建设项目环境风险简单分析内容表</w:t>
            </w:r>
          </w:p>
          <w:tbl>
            <w:tblPr>
              <w:tblStyle w:val="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3084"/>
              <w:gridCol w:w="2841"/>
            </w:tblGrid>
            <w:tr w14:paraId="29D5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4" w:type="pct"/>
                  <w:noWrap w:val="0"/>
                  <w:vAlign w:val="center"/>
                </w:tcPr>
                <w:p w14:paraId="5B7682DC">
                  <w:pPr>
                    <w:pStyle w:val="14"/>
                    <w:bidi w:val="0"/>
                    <w:rPr>
                      <w:rFonts w:hint="default" w:ascii="Times New Roman" w:hAnsi="Times New Roman" w:cs="Times New Roman"/>
                      <w:color w:val="auto"/>
                    </w:rPr>
                  </w:pPr>
                  <w:r>
                    <w:rPr>
                      <w:rFonts w:hint="default" w:ascii="Times New Roman" w:hAnsi="Times New Roman" w:cs="Times New Roman"/>
                      <w:color w:val="auto"/>
                    </w:rPr>
                    <w:t>建设项目名称</w:t>
                  </w:r>
                </w:p>
              </w:tc>
              <w:tc>
                <w:tcPr>
                  <w:tcW w:w="3935" w:type="pct"/>
                  <w:gridSpan w:val="2"/>
                  <w:noWrap w:val="0"/>
                  <w:vAlign w:val="center"/>
                </w:tcPr>
                <w:p w14:paraId="10E5105F">
                  <w:pPr>
                    <w:pStyle w:val="14"/>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云南吉步商贸有限公司澄江吉步轻奢环保家具城厂房标准化建设项目</w:t>
                  </w:r>
                </w:p>
              </w:tc>
            </w:tr>
            <w:tr w14:paraId="14C53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4" w:type="pct"/>
                  <w:noWrap w:val="0"/>
                  <w:vAlign w:val="center"/>
                </w:tcPr>
                <w:p w14:paraId="31FD549F">
                  <w:pPr>
                    <w:pStyle w:val="14"/>
                    <w:bidi w:val="0"/>
                    <w:rPr>
                      <w:rFonts w:hint="default" w:ascii="Times New Roman" w:hAnsi="Times New Roman" w:cs="Times New Roman"/>
                      <w:color w:val="auto"/>
                    </w:rPr>
                  </w:pPr>
                  <w:r>
                    <w:rPr>
                      <w:rFonts w:hint="default" w:ascii="Times New Roman" w:hAnsi="Times New Roman" w:cs="Times New Roman"/>
                      <w:color w:val="auto"/>
                    </w:rPr>
                    <w:t>建设地点</w:t>
                  </w:r>
                </w:p>
              </w:tc>
              <w:tc>
                <w:tcPr>
                  <w:tcW w:w="3935" w:type="pct"/>
                  <w:gridSpan w:val="2"/>
                  <w:noWrap w:val="0"/>
                  <w:vAlign w:val="center"/>
                </w:tcPr>
                <w:p w14:paraId="32B79D2A">
                  <w:pPr>
                    <w:pStyle w:val="14"/>
                    <w:bidi w:val="0"/>
                    <w:rPr>
                      <w:rFonts w:hint="default" w:ascii="Times New Roman" w:hAnsi="Times New Roman" w:cs="Times New Roman"/>
                      <w:color w:val="auto"/>
                      <w:lang w:val="en-US"/>
                    </w:rPr>
                  </w:pPr>
                  <w:r>
                    <w:rPr>
                      <w:rFonts w:hint="default" w:ascii="Times New Roman" w:hAnsi="Times New Roman" w:cs="Times New Roman"/>
                      <w:color w:val="auto"/>
                      <w:lang w:val="en-US"/>
                    </w:rPr>
                    <w:t>云南省玉溪市澄江市右所镇右所社区大坡头</w:t>
                  </w:r>
                </w:p>
              </w:tc>
            </w:tr>
            <w:tr w14:paraId="3E87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4" w:type="pct"/>
                  <w:noWrap w:val="0"/>
                  <w:vAlign w:val="center"/>
                </w:tcPr>
                <w:p w14:paraId="652E3051">
                  <w:pPr>
                    <w:pStyle w:val="14"/>
                    <w:bidi w:val="0"/>
                    <w:rPr>
                      <w:rFonts w:hint="default" w:ascii="Times New Roman" w:hAnsi="Times New Roman" w:cs="Times New Roman"/>
                      <w:color w:val="auto"/>
                    </w:rPr>
                  </w:pPr>
                  <w:r>
                    <w:rPr>
                      <w:rFonts w:hint="default" w:ascii="Times New Roman" w:hAnsi="Times New Roman" w:cs="Times New Roman"/>
                      <w:color w:val="auto"/>
                    </w:rPr>
                    <w:t>地理坐标</w:t>
                  </w:r>
                </w:p>
              </w:tc>
              <w:tc>
                <w:tcPr>
                  <w:tcW w:w="2048" w:type="pct"/>
                  <w:noWrap w:val="0"/>
                  <w:vAlign w:val="center"/>
                </w:tcPr>
                <w:p w14:paraId="20E7C6B9">
                  <w:pPr>
                    <w:pStyle w:val="14"/>
                    <w:bidi w:val="0"/>
                    <w:rPr>
                      <w:rFonts w:hint="default" w:ascii="Times New Roman" w:hAnsi="Times New Roman" w:cs="Times New Roman"/>
                      <w:color w:val="auto"/>
                    </w:rPr>
                  </w:pPr>
                  <w:r>
                    <w:rPr>
                      <w:rFonts w:hint="default" w:ascii="Times New Roman" w:hAnsi="Times New Roman" w:cs="Times New Roman"/>
                      <w:color w:val="auto"/>
                    </w:rPr>
                    <w:t>东经102°</w:t>
                  </w:r>
                  <w:r>
                    <w:rPr>
                      <w:rFonts w:hint="default" w:ascii="Times New Roman" w:hAnsi="Times New Roman" w:cs="Times New Roman"/>
                      <w:color w:val="auto"/>
                      <w:lang w:val="en-US" w:eastAsia="zh-CN"/>
                    </w:rPr>
                    <w:t>57</w:t>
                  </w:r>
                  <w:r>
                    <w:rPr>
                      <w:rFonts w:hint="default" w:ascii="Times New Roman" w:hAnsi="Times New Roman" w:cs="Times New Roman"/>
                      <w:color w:val="auto"/>
                    </w:rPr>
                    <w:t>′</w:t>
                  </w:r>
                  <w:r>
                    <w:rPr>
                      <w:rFonts w:hint="default" w:ascii="Times New Roman" w:hAnsi="Times New Roman" w:cs="Times New Roman"/>
                      <w:color w:val="auto"/>
                      <w:lang w:val="en-US" w:eastAsia="zh-CN"/>
                    </w:rPr>
                    <w:t>14.873</w:t>
                  </w:r>
                  <w:r>
                    <w:rPr>
                      <w:rFonts w:hint="default" w:ascii="Times New Roman" w:hAnsi="Times New Roman" w:cs="Times New Roman"/>
                      <w:color w:val="auto"/>
                    </w:rPr>
                    <w:t>″</w:t>
                  </w:r>
                </w:p>
              </w:tc>
              <w:tc>
                <w:tcPr>
                  <w:tcW w:w="1886" w:type="pct"/>
                  <w:noWrap w:val="0"/>
                  <w:vAlign w:val="center"/>
                </w:tcPr>
                <w:p w14:paraId="51E9FA63">
                  <w:pPr>
                    <w:pStyle w:val="14"/>
                    <w:bidi w:val="0"/>
                    <w:rPr>
                      <w:rFonts w:hint="default" w:ascii="Times New Roman" w:hAnsi="Times New Roman" w:cs="Times New Roman"/>
                      <w:color w:val="auto"/>
                    </w:rPr>
                  </w:pPr>
                  <w:r>
                    <w:rPr>
                      <w:rFonts w:hint="default" w:ascii="Times New Roman" w:hAnsi="Times New Roman" w:cs="Times New Roman"/>
                      <w:color w:val="auto"/>
                    </w:rPr>
                    <w:t>北纬2</w:t>
                  </w:r>
                  <w:r>
                    <w:rPr>
                      <w:rFonts w:hint="default" w:ascii="Times New Roman" w:hAnsi="Times New Roman" w:cs="Times New Roman"/>
                      <w:color w:val="auto"/>
                      <w:lang w:val="en-US" w:eastAsia="zh-CN"/>
                    </w:rPr>
                    <w:t>4</w:t>
                  </w:r>
                  <w:r>
                    <w:rPr>
                      <w:rFonts w:hint="default" w:ascii="Times New Roman" w:hAnsi="Times New Roman" w:cs="Times New Roman"/>
                      <w:color w:val="auto"/>
                    </w:rPr>
                    <w:t>°</w:t>
                  </w:r>
                  <w:r>
                    <w:rPr>
                      <w:rFonts w:hint="default" w:ascii="Times New Roman" w:hAnsi="Times New Roman" w:cs="Times New Roman"/>
                      <w:color w:val="auto"/>
                      <w:lang w:val="en-US" w:eastAsia="zh-CN"/>
                    </w:rPr>
                    <w:t>38</w:t>
                  </w:r>
                  <w:r>
                    <w:rPr>
                      <w:rFonts w:hint="default" w:ascii="Times New Roman" w:hAnsi="Times New Roman" w:cs="Times New Roman"/>
                      <w:color w:val="auto"/>
                    </w:rPr>
                    <w:t>′</w:t>
                  </w:r>
                  <w:r>
                    <w:rPr>
                      <w:rFonts w:hint="default" w:ascii="Times New Roman" w:hAnsi="Times New Roman" w:cs="Times New Roman"/>
                      <w:color w:val="auto"/>
                      <w:lang w:val="en-US" w:eastAsia="zh-CN"/>
                    </w:rPr>
                    <w:t>42.924</w:t>
                  </w:r>
                  <w:r>
                    <w:rPr>
                      <w:rFonts w:hint="default" w:ascii="Times New Roman" w:hAnsi="Times New Roman" w:cs="Times New Roman"/>
                      <w:color w:val="auto"/>
                    </w:rPr>
                    <w:t>″</w:t>
                  </w:r>
                </w:p>
              </w:tc>
            </w:tr>
            <w:tr w14:paraId="28E6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4" w:type="pct"/>
                  <w:noWrap w:val="0"/>
                  <w:vAlign w:val="center"/>
                </w:tcPr>
                <w:p w14:paraId="0FE3247E">
                  <w:pPr>
                    <w:pStyle w:val="14"/>
                    <w:bidi w:val="0"/>
                    <w:rPr>
                      <w:rFonts w:hint="default" w:ascii="Times New Roman" w:hAnsi="Times New Roman" w:cs="Times New Roman"/>
                      <w:color w:val="auto"/>
                    </w:rPr>
                  </w:pPr>
                  <w:r>
                    <w:rPr>
                      <w:rFonts w:hint="default" w:ascii="Times New Roman" w:hAnsi="Times New Roman" w:cs="Times New Roman"/>
                      <w:color w:val="auto"/>
                    </w:rPr>
                    <w:t>主要危险物质及分布</w:t>
                  </w:r>
                </w:p>
              </w:tc>
              <w:tc>
                <w:tcPr>
                  <w:tcW w:w="3935" w:type="pct"/>
                  <w:gridSpan w:val="2"/>
                  <w:noWrap w:val="0"/>
                  <w:vAlign w:val="center"/>
                </w:tcPr>
                <w:p w14:paraId="7011CA32">
                  <w:pPr>
                    <w:pStyle w:val="14"/>
                    <w:bidi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废机油存放于危废暂存间</w:t>
                  </w:r>
                  <w:r>
                    <w:rPr>
                      <w:rFonts w:hint="eastAsia" w:cs="Times New Roman"/>
                      <w:color w:val="auto"/>
                      <w:lang w:val="en-US" w:eastAsia="zh-CN"/>
                    </w:rPr>
                    <w:t>、油漆、稀释剂等存放于油漆存放区</w:t>
                  </w:r>
                </w:p>
              </w:tc>
            </w:tr>
            <w:tr w14:paraId="363E1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4" w:type="pct"/>
                  <w:noWrap w:val="0"/>
                  <w:vAlign w:val="center"/>
                </w:tcPr>
                <w:p w14:paraId="05974F00">
                  <w:pPr>
                    <w:pStyle w:val="14"/>
                    <w:bidi w:val="0"/>
                    <w:rPr>
                      <w:rFonts w:hint="default" w:ascii="Times New Roman" w:hAnsi="Times New Roman" w:cs="Times New Roman"/>
                      <w:color w:val="auto"/>
                    </w:rPr>
                  </w:pPr>
                  <w:r>
                    <w:rPr>
                      <w:rFonts w:hint="default" w:ascii="Times New Roman" w:hAnsi="Times New Roman" w:cs="Times New Roman"/>
                      <w:color w:val="auto"/>
                    </w:rPr>
                    <w:t>环境影响途径及影响后果</w:t>
                  </w:r>
                </w:p>
              </w:tc>
              <w:tc>
                <w:tcPr>
                  <w:tcW w:w="3935" w:type="pct"/>
                  <w:gridSpan w:val="2"/>
                  <w:noWrap w:val="0"/>
                  <w:vAlign w:val="center"/>
                </w:tcPr>
                <w:p w14:paraId="0C7CD78B">
                  <w:pPr>
                    <w:pStyle w:val="14"/>
                    <w:bidi w:val="0"/>
                    <w:jc w:val="left"/>
                    <w:rPr>
                      <w:rFonts w:hint="default" w:ascii="Times New Roman" w:hAnsi="Times New Roman" w:cs="Times New Roman"/>
                      <w:color w:val="auto"/>
                    </w:rPr>
                  </w:pPr>
                  <w:r>
                    <w:rPr>
                      <w:rFonts w:hint="default" w:ascii="Times New Roman" w:hAnsi="Times New Roman" w:cs="Times New Roman"/>
                      <w:color w:val="auto"/>
                    </w:rPr>
                    <w:t>结合拟建项目使用的危险物质，可能影响环境的途径为：</w:t>
                  </w:r>
                </w:p>
                <w:p w14:paraId="75D06042">
                  <w:pPr>
                    <w:pStyle w:val="14"/>
                    <w:bidi w:val="0"/>
                    <w:jc w:val="left"/>
                    <w:rPr>
                      <w:rFonts w:hint="default" w:ascii="Times New Roman" w:hAnsi="Times New Roman" w:cs="Times New Roman"/>
                      <w:color w:val="auto"/>
                      <w:lang w:eastAsia="zh-CN"/>
                    </w:rPr>
                  </w:pPr>
                  <w:r>
                    <w:rPr>
                      <w:rFonts w:hint="eastAsia" w:cs="Times New Roman"/>
                      <w:color w:val="auto"/>
                      <w:lang w:val="en-US" w:eastAsia="zh-CN"/>
                    </w:rPr>
                    <w:t>①</w:t>
                  </w:r>
                  <w:r>
                    <w:rPr>
                      <w:rFonts w:hint="default" w:ascii="Times New Roman" w:hAnsi="Times New Roman" w:cs="Times New Roman"/>
                      <w:color w:val="auto"/>
                      <w:lang w:val="en-US" w:eastAsia="zh-CN"/>
                    </w:rPr>
                    <w:t>废机油</w:t>
                  </w:r>
                  <w:r>
                    <w:rPr>
                      <w:rFonts w:hint="eastAsia" w:cs="Times New Roman"/>
                      <w:color w:val="auto"/>
                      <w:lang w:val="en-US" w:eastAsia="zh-CN"/>
                    </w:rPr>
                    <w:t>因</w:t>
                  </w:r>
                  <w:r>
                    <w:rPr>
                      <w:rFonts w:hint="default" w:ascii="Times New Roman" w:hAnsi="Times New Roman" w:cs="Times New Roman"/>
                      <w:color w:val="auto"/>
                      <w:lang w:val="en-US" w:eastAsia="zh-CN"/>
                    </w:rPr>
                    <w:t>为储存桶破裂导致泄漏，废机油泄漏会对厂区土壤、地下水及周边地表水造成污染</w:t>
                  </w:r>
                  <w:r>
                    <w:rPr>
                      <w:rFonts w:hint="eastAsia" w:cs="Times New Roman"/>
                      <w:color w:val="auto"/>
                      <w:lang w:val="en-US" w:eastAsia="zh-CN"/>
                    </w:rPr>
                    <w:t>；</w:t>
                  </w:r>
                  <w:r>
                    <w:rPr>
                      <w:rFonts w:hint="default" w:ascii="Times New Roman" w:hAnsi="Times New Roman" w:cs="Times New Roman"/>
                      <w:color w:val="auto"/>
                      <w:lang w:val="en-US" w:eastAsia="zh-CN"/>
                    </w:rPr>
                    <w:t>其次废机油泄漏遇明火容易引发火灾事故，会造成大气、地表水环境污染</w:t>
                  </w:r>
                  <w:r>
                    <w:rPr>
                      <w:rFonts w:hint="default" w:ascii="Times New Roman" w:hAnsi="Times New Roman" w:cs="Times New Roman"/>
                      <w:color w:val="auto"/>
                      <w:lang w:eastAsia="zh-CN"/>
                    </w:rPr>
                    <w:t>。</w:t>
                  </w:r>
                </w:p>
                <w:p w14:paraId="38324FF9">
                  <w:pPr>
                    <w:pStyle w:val="14"/>
                    <w:bidi w:val="0"/>
                    <w:jc w:val="left"/>
                    <w:rPr>
                      <w:rFonts w:hint="default" w:ascii="Times New Roman" w:hAnsi="Times New Roman" w:cs="Times New Roman"/>
                      <w:color w:val="auto"/>
                      <w:lang w:val="en-US" w:eastAsia="zh-CN"/>
                    </w:rPr>
                  </w:pPr>
                  <w:r>
                    <w:rPr>
                      <w:rFonts w:hint="eastAsia" w:cs="Times New Roman"/>
                      <w:color w:val="auto"/>
                      <w:lang w:val="en-US" w:eastAsia="zh-CN"/>
                    </w:rPr>
                    <w:t>②油漆、稀释剂等因</w:t>
                  </w:r>
                  <w:r>
                    <w:rPr>
                      <w:rFonts w:hint="default" w:ascii="Times New Roman" w:hAnsi="Times New Roman" w:cs="Times New Roman"/>
                      <w:color w:val="auto"/>
                      <w:lang w:val="en-US" w:eastAsia="zh-CN"/>
                    </w:rPr>
                    <w:t>为储存桶破裂导致泄漏，</w:t>
                  </w:r>
                  <w:r>
                    <w:rPr>
                      <w:rFonts w:hint="eastAsia" w:cs="Times New Roman"/>
                      <w:color w:val="auto"/>
                      <w:lang w:val="en-US" w:eastAsia="zh-CN"/>
                    </w:rPr>
                    <w:t>油漆等所含化学物质</w:t>
                  </w:r>
                  <w:r>
                    <w:rPr>
                      <w:rFonts w:hint="default" w:ascii="Times New Roman" w:hAnsi="Times New Roman" w:cs="Times New Roman"/>
                      <w:color w:val="auto"/>
                      <w:lang w:val="en-US" w:eastAsia="zh-CN"/>
                    </w:rPr>
                    <w:t>会对厂区土壤、地下水及周边地表水造成污染</w:t>
                  </w:r>
                  <w:r>
                    <w:rPr>
                      <w:rFonts w:hint="eastAsia" w:cs="Times New Roman"/>
                      <w:color w:val="auto"/>
                      <w:lang w:val="en-US" w:eastAsia="zh-CN"/>
                    </w:rPr>
                    <w:t>；</w:t>
                  </w:r>
                  <w:r>
                    <w:rPr>
                      <w:rFonts w:hint="default" w:ascii="Times New Roman" w:hAnsi="Times New Roman" w:cs="Times New Roman"/>
                      <w:color w:val="auto"/>
                      <w:lang w:val="en-US" w:eastAsia="zh-CN"/>
                    </w:rPr>
                    <w:t>其次</w:t>
                  </w:r>
                  <w:r>
                    <w:rPr>
                      <w:rFonts w:hint="eastAsia" w:cs="Times New Roman"/>
                      <w:color w:val="auto"/>
                      <w:lang w:val="en-US" w:eastAsia="zh-CN"/>
                    </w:rPr>
                    <w:t>油漆等</w:t>
                  </w:r>
                  <w:r>
                    <w:rPr>
                      <w:rFonts w:hint="default" w:ascii="Times New Roman" w:hAnsi="Times New Roman" w:cs="Times New Roman"/>
                      <w:color w:val="auto"/>
                      <w:lang w:val="en-US" w:eastAsia="zh-CN"/>
                    </w:rPr>
                    <w:t>泄漏</w:t>
                  </w:r>
                  <w:r>
                    <w:rPr>
                      <w:rFonts w:hint="eastAsia" w:cs="Times New Roman"/>
                      <w:color w:val="auto"/>
                      <w:lang w:val="en-US" w:eastAsia="zh-CN"/>
                    </w:rPr>
                    <w:t>后</w:t>
                  </w:r>
                  <w:r>
                    <w:rPr>
                      <w:rFonts w:hint="default" w:ascii="Times New Roman" w:hAnsi="Times New Roman" w:cs="Times New Roman"/>
                      <w:color w:val="auto"/>
                    </w:rPr>
                    <w:t>其蒸气与空气可形成爆炸性混合物，遇明火、高热能引起燃烧爆炸</w:t>
                  </w:r>
                  <w:r>
                    <w:rPr>
                      <w:rFonts w:hint="default" w:ascii="Times New Roman" w:hAnsi="Times New Roman" w:cs="Times New Roman"/>
                      <w:color w:val="auto"/>
                      <w:lang w:val="en-US" w:eastAsia="zh-CN"/>
                    </w:rPr>
                    <w:t>，</w:t>
                  </w:r>
                  <w:r>
                    <w:rPr>
                      <w:rFonts w:hint="eastAsia" w:cs="Times New Roman"/>
                      <w:color w:val="auto"/>
                      <w:lang w:val="en-US" w:eastAsia="zh-CN"/>
                    </w:rPr>
                    <w:t>火灾产生次生灾害</w:t>
                  </w:r>
                  <w:r>
                    <w:rPr>
                      <w:rFonts w:hint="default" w:ascii="Times New Roman" w:hAnsi="Times New Roman" w:cs="Times New Roman"/>
                      <w:color w:val="auto"/>
                      <w:lang w:val="en-US" w:eastAsia="zh-CN"/>
                    </w:rPr>
                    <w:t>会造成大气、地表水环境污染</w:t>
                  </w:r>
                  <w:r>
                    <w:rPr>
                      <w:rFonts w:hint="eastAsia" w:cs="Times New Roman"/>
                      <w:color w:val="auto"/>
                      <w:lang w:val="en-US" w:eastAsia="zh-CN"/>
                    </w:rPr>
                    <w:t>。</w:t>
                  </w:r>
                </w:p>
              </w:tc>
            </w:tr>
            <w:tr w14:paraId="37E9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64" w:type="pct"/>
                  <w:noWrap w:val="0"/>
                  <w:vAlign w:val="center"/>
                </w:tcPr>
                <w:p w14:paraId="679194AA">
                  <w:pPr>
                    <w:pStyle w:val="14"/>
                    <w:bidi w:val="0"/>
                    <w:rPr>
                      <w:rFonts w:hint="default" w:ascii="Times New Roman" w:hAnsi="Times New Roman" w:cs="Times New Roman"/>
                      <w:color w:val="auto"/>
                    </w:rPr>
                  </w:pPr>
                  <w:r>
                    <w:rPr>
                      <w:rFonts w:hint="default" w:ascii="Times New Roman" w:hAnsi="Times New Roman" w:cs="Times New Roman"/>
                      <w:color w:val="auto"/>
                    </w:rPr>
                    <w:t>风险防范措施要求</w:t>
                  </w:r>
                </w:p>
              </w:tc>
              <w:tc>
                <w:tcPr>
                  <w:tcW w:w="3935" w:type="pct"/>
                  <w:gridSpan w:val="2"/>
                  <w:noWrap w:val="0"/>
                  <w:vAlign w:val="center"/>
                </w:tcPr>
                <w:p w14:paraId="35953201">
                  <w:pPr>
                    <w:pStyle w:val="14"/>
                    <w:bidi w:val="0"/>
                    <w:jc w:val="left"/>
                    <w:rPr>
                      <w:rFonts w:hint="default" w:ascii="Times New Roman" w:hAnsi="Times New Roman" w:eastAsia="宋体" w:cs="Times New Roman"/>
                      <w:color w:val="auto"/>
                      <w:lang w:eastAsia="zh-CN"/>
                    </w:rPr>
                  </w:pPr>
                  <w:r>
                    <w:rPr>
                      <w:rFonts w:hint="eastAsia" w:cs="Times New Roman"/>
                      <w:color w:val="auto"/>
                      <w:lang w:val="en-US" w:eastAsia="zh-CN"/>
                    </w:rPr>
                    <w:t>①</w:t>
                  </w:r>
                  <w:r>
                    <w:rPr>
                      <w:rFonts w:hint="default" w:ascii="Times New Roman" w:hAnsi="Times New Roman" w:cs="Times New Roman"/>
                      <w:color w:val="auto"/>
                    </w:rPr>
                    <w:t>本着</w:t>
                  </w:r>
                  <w:r>
                    <w:rPr>
                      <w:rFonts w:hint="eastAsia" w:cs="Times New Roman"/>
                      <w:color w:val="auto"/>
                      <w:lang w:eastAsia="zh-CN"/>
                    </w:rPr>
                    <w:t>“</w:t>
                  </w:r>
                  <w:r>
                    <w:rPr>
                      <w:rFonts w:hint="default" w:ascii="Times New Roman" w:hAnsi="Times New Roman" w:cs="Times New Roman"/>
                      <w:color w:val="auto"/>
                    </w:rPr>
                    <w:t>预防为主，防控结合</w:t>
                  </w:r>
                  <w:r>
                    <w:rPr>
                      <w:rFonts w:hint="eastAsia" w:cs="Times New Roman"/>
                      <w:color w:val="auto"/>
                      <w:lang w:eastAsia="zh-CN"/>
                    </w:rPr>
                    <w:t>”</w:t>
                  </w:r>
                  <w:r>
                    <w:rPr>
                      <w:rFonts w:hint="default" w:ascii="Times New Roman" w:hAnsi="Times New Roman" w:cs="Times New Roman"/>
                      <w:color w:val="auto"/>
                    </w:rPr>
                    <w:t>的指导思想在场区内设置安全、及时、有效的事故风险防范体系</w:t>
                  </w:r>
                  <w:r>
                    <w:rPr>
                      <w:rFonts w:hint="eastAsia" w:cs="Times New Roman"/>
                      <w:color w:val="auto"/>
                      <w:lang w:eastAsia="zh-CN"/>
                    </w:rPr>
                    <w:t>；</w:t>
                  </w:r>
                </w:p>
                <w:p w14:paraId="6711F10D">
                  <w:pPr>
                    <w:pStyle w:val="14"/>
                    <w:bidi w:val="0"/>
                    <w:jc w:val="left"/>
                    <w:rPr>
                      <w:rFonts w:hint="default" w:ascii="Times New Roman" w:hAnsi="Times New Roman" w:cs="Times New Roman"/>
                      <w:color w:val="auto"/>
                      <w:lang w:val="en-US" w:eastAsia="zh-CN"/>
                    </w:rPr>
                  </w:pPr>
                  <w:r>
                    <w:rPr>
                      <w:rFonts w:hint="eastAsia" w:cs="Times New Roman"/>
                      <w:color w:val="auto"/>
                      <w:lang w:val="en-US" w:eastAsia="zh-CN"/>
                    </w:rPr>
                    <w:t>②</w:t>
                  </w:r>
                  <w:r>
                    <w:rPr>
                      <w:rFonts w:hint="default" w:ascii="Times New Roman" w:hAnsi="Times New Roman" w:cs="Times New Roman"/>
                      <w:color w:val="auto"/>
                      <w:lang w:val="en-US" w:eastAsia="zh-CN"/>
                    </w:rPr>
                    <w:t>按要求建设危废暂存间，设置防渗措施，危废间上锁。废机油收集于油桶后暂存于危废间，委托有资质的单位进行处置</w:t>
                  </w:r>
                  <w:r>
                    <w:rPr>
                      <w:rFonts w:hint="eastAsia" w:cs="Times New Roman"/>
                      <w:color w:val="auto"/>
                      <w:lang w:val="en-US" w:eastAsia="zh-CN"/>
                    </w:rPr>
                    <w:t>；</w:t>
                  </w:r>
                </w:p>
                <w:p w14:paraId="0AD1F75D">
                  <w:pPr>
                    <w:pStyle w:val="14"/>
                    <w:bidi w:val="0"/>
                    <w:jc w:val="left"/>
                    <w:rPr>
                      <w:rFonts w:hint="default" w:ascii="Times New Roman" w:hAnsi="Times New Roman" w:cs="Times New Roman"/>
                      <w:color w:val="auto"/>
                      <w:lang w:val="en-US" w:eastAsia="zh-CN"/>
                    </w:rPr>
                  </w:pPr>
                  <w:r>
                    <w:rPr>
                      <w:rFonts w:hint="eastAsia" w:cs="Times New Roman"/>
                      <w:color w:val="auto"/>
                      <w:lang w:val="en-US" w:eastAsia="zh-CN"/>
                    </w:rPr>
                    <w:t>③</w:t>
                  </w:r>
                  <w:r>
                    <w:rPr>
                      <w:rFonts w:hint="default" w:ascii="Times New Roman" w:hAnsi="Times New Roman" w:cs="Times New Roman"/>
                      <w:color w:val="auto"/>
                      <w:lang w:val="en-US" w:eastAsia="zh-CN"/>
                    </w:rPr>
                    <w:t>危废暂存间设专人管理，严禁其他人员出入，周边严禁烟火</w:t>
                  </w:r>
                  <w:r>
                    <w:rPr>
                      <w:rFonts w:hint="eastAsia" w:cs="Times New Roman"/>
                      <w:color w:val="auto"/>
                      <w:lang w:val="en-US" w:eastAsia="zh-CN"/>
                    </w:rPr>
                    <w:t>；</w:t>
                  </w:r>
                </w:p>
                <w:p w14:paraId="16F62AF0">
                  <w:pPr>
                    <w:pStyle w:val="14"/>
                    <w:bidi w:val="0"/>
                    <w:jc w:val="left"/>
                    <w:rPr>
                      <w:rFonts w:hint="default" w:ascii="Times New Roman" w:hAnsi="Times New Roman" w:cs="Times New Roman"/>
                      <w:color w:val="auto"/>
                      <w:lang w:val="en-US" w:eastAsia="zh-CN"/>
                    </w:rPr>
                  </w:pPr>
                  <w:r>
                    <w:rPr>
                      <w:rFonts w:hint="eastAsia" w:cs="Times New Roman"/>
                      <w:color w:val="auto"/>
                      <w:lang w:val="en-US" w:eastAsia="zh-CN"/>
                    </w:rPr>
                    <w:t>④</w:t>
                  </w:r>
                  <w:r>
                    <w:rPr>
                      <w:rFonts w:hint="default" w:ascii="Times New Roman" w:hAnsi="Times New Roman" w:cs="Times New Roman"/>
                      <w:color w:val="auto"/>
                      <w:lang w:val="en-US" w:eastAsia="zh-CN"/>
                    </w:rPr>
                    <w:t>公司制定相应的废机油、机修废物管理制度，废危险品定点存放、专人管理，并建立危险品管理台账制度</w:t>
                  </w:r>
                  <w:r>
                    <w:rPr>
                      <w:rFonts w:hint="eastAsia" w:cs="Times New Roman"/>
                      <w:color w:val="auto"/>
                      <w:lang w:val="en-US" w:eastAsia="zh-CN"/>
                    </w:rPr>
                    <w:t>；</w:t>
                  </w:r>
                </w:p>
                <w:p w14:paraId="66F1D60E">
                  <w:pPr>
                    <w:pStyle w:val="14"/>
                    <w:bidi w:val="0"/>
                    <w:jc w:val="left"/>
                    <w:rPr>
                      <w:rFonts w:hint="default"/>
                      <w:color w:val="auto"/>
                      <w:lang w:val="en-US" w:eastAsia="zh-CN"/>
                    </w:rPr>
                  </w:pPr>
                  <w:r>
                    <w:rPr>
                      <w:rFonts w:hint="eastAsia" w:cs="Times New Roman"/>
                      <w:color w:val="auto"/>
                      <w:lang w:val="en-US" w:eastAsia="zh-CN"/>
                    </w:rPr>
                    <w:t>⑤</w:t>
                  </w:r>
                  <w:r>
                    <w:rPr>
                      <w:rFonts w:hint="default" w:ascii="Times New Roman" w:hAnsi="Times New Roman" w:cs="Times New Roman"/>
                      <w:color w:val="auto"/>
                      <w:lang w:val="en-US" w:eastAsia="zh-CN"/>
                    </w:rPr>
                    <w:t>健全、完善消防设施，配齐干粉灭火器，并培训员工熟练使用。</w:t>
                  </w:r>
                  <w:r>
                    <w:rPr>
                      <w:rFonts w:hint="eastAsia"/>
                      <w:color w:val="auto"/>
                      <w:lang w:val="en-US" w:eastAsia="zh-CN"/>
                    </w:rPr>
                    <w:t>⑥根据本次提出的油漆和稀释剂等贮存事项、预防措施、事故响应以及泄露应急响应相关要求配备相应消防设施及预防管控系统。⑦编制突发环境事件应急预案。</w:t>
                  </w:r>
                </w:p>
              </w:tc>
            </w:tr>
            <w:tr w14:paraId="1EE04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pct"/>
                  <w:noWrap w:val="0"/>
                  <w:vAlign w:val="center"/>
                </w:tcPr>
                <w:p w14:paraId="4CCDE44B">
                  <w:pPr>
                    <w:pStyle w:val="14"/>
                    <w:bidi w:val="0"/>
                    <w:rPr>
                      <w:rFonts w:hint="default" w:ascii="Times New Roman" w:hAnsi="Times New Roman" w:cs="Times New Roman"/>
                      <w:color w:val="auto"/>
                    </w:rPr>
                  </w:pPr>
                  <w:r>
                    <w:rPr>
                      <w:rFonts w:hint="default" w:ascii="Times New Roman" w:hAnsi="Times New Roman" w:cs="Times New Roman"/>
                      <w:color w:val="auto"/>
                    </w:rPr>
                    <w:t>填表说明</w:t>
                  </w:r>
                </w:p>
              </w:tc>
              <w:tc>
                <w:tcPr>
                  <w:tcW w:w="3935" w:type="pct"/>
                  <w:gridSpan w:val="2"/>
                  <w:noWrap w:val="0"/>
                  <w:vAlign w:val="center"/>
                </w:tcPr>
                <w:p w14:paraId="5711FF43">
                  <w:pPr>
                    <w:pStyle w:val="14"/>
                    <w:bidi w:val="0"/>
                    <w:jc w:val="left"/>
                    <w:rPr>
                      <w:rFonts w:hint="default" w:ascii="Times New Roman" w:hAnsi="Times New Roman" w:cs="Times New Roman"/>
                      <w:color w:val="auto"/>
                    </w:rPr>
                  </w:pPr>
                  <w:r>
                    <w:rPr>
                      <w:rFonts w:hint="default" w:ascii="Times New Roman" w:hAnsi="Times New Roman" w:cs="Times New Roman"/>
                      <w:color w:val="auto"/>
                    </w:rPr>
                    <w:t>通过加强运行期环境风险管理、落实相应的防控措施和应急措施，该项目环境风险水平可接受。另外，项目建成后应及时编制突发事故应急预案，保证企业在出现突发事故时，能够有计划进行抢险、救险，使事故产生的影响范围得以减小，财产损失率及人员伤亡率降到最低，对周边环境及环境保护目标影响程度降到最低。</w:t>
                  </w:r>
                </w:p>
              </w:tc>
            </w:tr>
          </w:tbl>
          <w:p w14:paraId="4C2AC207">
            <w:pPr>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8</w:t>
            </w:r>
            <w:r>
              <w:rPr>
                <w:rFonts w:hint="default" w:ascii="Times New Roman" w:hAnsi="Times New Roman" w:cs="Times New Roman"/>
                <w:b/>
                <w:bCs/>
                <w:color w:val="auto"/>
              </w:rPr>
              <w:t>、环保投资</w:t>
            </w:r>
          </w:p>
          <w:p w14:paraId="5D7E1E2B">
            <w:pPr>
              <w:bidi w:val="0"/>
              <w:rPr>
                <w:rFonts w:hint="default" w:ascii="Times New Roman" w:hAnsi="Times New Roman" w:cs="Times New Roman"/>
                <w:color w:val="auto"/>
                <w:lang w:eastAsia="zh-CN"/>
              </w:rPr>
            </w:pPr>
            <w:r>
              <w:rPr>
                <w:rFonts w:hint="default" w:ascii="Times New Roman" w:hAnsi="Times New Roman" w:cs="Times New Roman"/>
                <w:color w:val="auto"/>
              </w:rPr>
              <w:t>项目总投资</w:t>
            </w:r>
            <w:r>
              <w:rPr>
                <w:rFonts w:hint="default" w:ascii="Times New Roman" w:hAnsi="Times New Roman" w:cs="Times New Roman"/>
                <w:color w:val="auto"/>
                <w:lang w:val="en-US" w:eastAsia="zh-CN"/>
              </w:rPr>
              <w:t>860</w:t>
            </w:r>
            <w:r>
              <w:rPr>
                <w:rFonts w:hint="default" w:ascii="Times New Roman" w:hAnsi="Times New Roman" w:cs="Times New Roman"/>
                <w:color w:val="auto"/>
              </w:rPr>
              <w:t>万元，其中环保投资</w:t>
            </w:r>
            <w:r>
              <w:rPr>
                <w:rFonts w:hint="default" w:ascii="Times New Roman" w:hAnsi="Times New Roman" w:cs="Times New Roman"/>
                <w:color w:val="auto"/>
                <w:lang w:val="en-US" w:eastAsia="zh-CN"/>
              </w:rPr>
              <w:t>38.5</w:t>
            </w:r>
            <w:r>
              <w:rPr>
                <w:rFonts w:hint="default" w:ascii="Times New Roman" w:hAnsi="Times New Roman" w:cs="Times New Roman"/>
                <w:color w:val="auto"/>
              </w:rPr>
              <w:t>万元，占总投资的</w:t>
            </w:r>
            <w:r>
              <w:rPr>
                <w:rFonts w:hint="default" w:ascii="Times New Roman" w:hAnsi="Times New Roman" w:cs="Times New Roman"/>
                <w:color w:val="auto"/>
                <w:lang w:val="en-US" w:eastAsia="zh-CN"/>
              </w:rPr>
              <w:t>4.47</w:t>
            </w:r>
            <w:r>
              <w:rPr>
                <w:rFonts w:hint="default" w:ascii="Times New Roman" w:hAnsi="Times New Roman" w:cs="Times New Roman"/>
                <w:color w:val="auto"/>
              </w:rPr>
              <w:t>%，环保投资主要用于营运期产生的废水、废气、噪声、固废治理等。具体环保投资见下表</w:t>
            </w:r>
            <w:r>
              <w:rPr>
                <w:rFonts w:hint="default" w:ascii="Times New Roman" w:hAnsi="Times New Roman" w:cs="Times New Roman"/>
                <w:color w:val="auto"/>
                <w:lang w:eastAsia="zh-CN"/>
              </w:rPr>
              <w:t>。</w:t>
            </w:r>
          </w:p>
          <w:p w14:paraId="32F73C77">
            <w:pPr>
              <w:bidi w:val="0"/>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4-2</w:t>
            </w:r>
            <w:r>
              <w:rPr>
                <w:rFonts w:hint="eastAsia" w:ascii="Times New Roman" w:hAnsi="Times New Roman" w:cs="Times New Roman"/>
                <w:b/>
                <w:bCs/>
                <w:color w:val="auto"/>
                <w:lang w:val="en-US" w:eastAsia="zh-CN"/>
              </w:rPr>
              <w:t>1</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 xml:space="preserve">项目环保投资一览表 </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单位：万元</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6"/>
              <w:gridCol w:w="820"/>
              <w:gridCol w:w="1165"/>
              <w:gridCol w:w="3188"/>
              <w:gridCol w:w="551"/>
              <w:gridCol w:w="1180"/>
            </w:tblGrid>
            <w:tr w14:paraId="752F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6" w:type="dxa"/>
                  <w:noWrap w:val="0"/>
                  <w:vAlign w:val="center"/>
                </w:tcPr>
                <w:p w14:paraId="5642E034">
                  <w:pPr>
                    <w:pStyle w:val="14"/>
                    <w:widowControl w:val="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时段</w:t>
                  </w:r>
                </w:p>
              </w:tc>
              <w:tc>
                <w:tcPr>
                  <w:tcW w:w="820" w:type="dxa"/>
                  <w:noWrap w:val="0"/>
                  <w:vAlign w:val="center"/>
                </w:tcPr>
                <w:p w14:paraId="3140E55F">
                  <w:pPr>
                    <w:pStyle w:val="14"/>
                    <w:widowControl w:val="0"/>
                    <w:bidi w:val="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类别</w:t>
                  </w:r>
                </w:p>
              </w:tc>
              <w:tc>
                <w:tcPr>
                  <w:tcW w:w="1165" w:type="dxa"/>
                  <w:noWrap w:val="0"/>
                  <w:vAlign w:val="center"/>
                </w:tcPr>
                <w:p w14:paraId="7EF3D0BE">
                  <w:pPr>
                    <w:pStyle w:val="14"/>
                    <w:widowControl w:val="0"/>
                    <w:bidi w:val="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污染源</w:t>
                  </w:r>
                </w:p>
              </w:tc>
              <w:tc>
                <w:tcPr>
                  <w:tcW w:w="3188" w:type="dxa"/>
                  <w:noWrap w:val="0"/>
                  <w:vAlign w:val="center"/>
                </w:tcPr>
                <w:p w14:paraId="7ABEFF26">
                  <w:pPr>
                    <w:pStyle w:val="14"/>
                    <w:widowControl w:val="0"/>
                    <w:bidi w:val="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环保投资项目</w:t>
                  </w:r>
                </w:p>
              </w:tc>
              <w:tc>
                <w:tcPr>
                  <w:tcW w:w="551" w:type="dxa"/>
                  <w:noWrap w:val="0"/>
                  <w:vAlign w:val="center"/>
                </w:tcPr>
                <w:p w14:paraId="56E254F4">
                  <w:pPr>
                    <w:pStyle w:val="14"/>
                    <w:widowControl w:val="0"/>
                    <w:bidi w:val="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投资</w:t>
                  </w:r>
                </w:p>
              </w:tc>
              <w:tc>
                <w:tcPr>
                  <w:tcW w:w="1180" w:type="dxa"/>
                  <w:noWrap w:val="0"/>
                  <w:vAlign w:val="center"/>
                </w:tcPr>
                <w:p w14:paraId="5EB91439">
                  <w:pPr>
                    <w:pStyle w:val="14"/>
                    <w:widowControl w:val="0"/>
                    <w:bidi w:val="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备注</w:t>
                  </w:r>
                </w:p>
              </w:tc>
            </w:tr>
            <w:tr w14:paraId="4AB5E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6" w:type="dxa"/>
                  <w:noWrap w:val="0"/>
                  <w:vAlign w:val="center"/>
                </w:tcPr>
                <w:p w14:paraId="666935A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施工期</w:t>
                  </w:r>
                </w:p>
              </w:tc>
              <w:tc>
                <w:tcPr>
                  <w:tcW w:w="820" w:type="dxa"/>
                  <w:noWrap w:val="0"/>
                  <w:vAlign w:val="center"/>
                </w:tcPr>
                <w:p w14:paraId="14750856">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165" w:type="dxa"/>
                  <w:noWrap w:val="0"/>
                  <w:vAlign w:val="center"/>
                </w:tcPr>
                <w:p w14:paraId="3E5056D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3188" w:type="dxa"/>
                  <w:noWrap w:val="0"/>
                  <w:vAlign w:val="center"/>
                </w:tcPr>
                <w:p w14:paraId="68BE38AE">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洒水降尘</w:t>
                  </w:r>
                  <w:r>
                    <w:rPr>
                      <w:rFonts w:hint="eastAsia" w:cs="Times New Roman"/>
                      <w:color w:val="auto"/>
                      <w:lang w:val="en-US" w:eastAsia="zh-CN"/>
                    </w:rPr>
                    <w:t>；</w:t>
                  </w:r>
                  <w:r>
                    <w:rPr>
                      <w:rFonts w:hint="default" w:ascii="Times New Roman" w:hAnsi="Times New Roman" w:cs="Times New Roman"/>
                      <w:color w:val="auto"/>
                      <w:lang w:val="en-US" w:eastAsia="zh-CN"/>
                    </w:rPr>
                    <w:t>隔声围挡、建筑垃圾清运等</w:t>
                  </w:r>
                </w:p>
              </w:tc>
              <w:tc>
                <w:tcPr>
                  <w:tcW w:w="551" w:type="dxa"/>
                  <w:noWrap w:val="0"/>
                  <w:vAlign w:val="center"/>
                </w:tcPr>
                <w:p w14:paraId="647D8FB7">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p>
              </w:tc>
              <w:tc>
                <w:tcPr>
                  <w:tcW w:w="1180" w:type="dxa"/>
                  <w:noWrap w:val="0"/>
                  <w:vAlign w:val="center"/>
                </w:tcPr>
                <w:p w14:paraId="208CD20B">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新建</w:t>
                  </w:r>
                </w:p>
              </w:tc>
            </w:tr>
            <w:tr w14:paraId="45EBE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6" w:type="dxa"/>
                  <w:vMerge w:val="restart"/>
                  <w:noWrap w:val="0"/>
                  <w:vAlign w:val="center"/>
                </w:tcPr>
                <w:p w14:paraId="6385F03F">
                  <w:pPr>
                    <w:pStyle w:val="14"/>
                    <w:widowControl w:val="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运营期</w:t>
                  </w:r>
                </w:p>
              </w:tc>
              <w:tc>
                <w:tcPr>
                  <w:tcW w:w="820" w:type="dxa"/>
                  <w:noWrap w:val="0"/>
                  <w:vAlign w:val="center"/>
                </w:tcPr>
                <w:p w14:paraId="7F4C1C49">
                  <w:pPr>
                    <w:pStyle w:val="14"/>
                    <w:widowControl w:val="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废气</w:t>
                  </w:r>
                </w:p>
              </w:tc>
              <w:tc>
                <w:tcPr>
                  <w:tcW w:w="1165" w:type="dxa"/>
                  <w:noWrap w:val="0"/>
                  <w:vAlign w:val="center"/>
                </w:tcPr>
                <w:p w14:paraId="1609FC6C">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喷漆废气</w:t>
                  </w:r>
                </w:p>
              </w:tc>
              <w:tc>
                <w:tcPr>
                  <w:tcW w:w="3188" w:type="dxa"/>
                  <w:noWrap w:val="0"/>
                  <w:vAlign w:val="center"/>
                </w:tcPr>
                <w:p w14:paraId="35FA7A04">
                  <w:pPr>
                    <w:pStyle w:val="14"/>
                    <w:widowControl w:val="0"/>
                    <w:bidi w:val="0"/>
                    <w:rPr>
                      <w:rFonts w:hint="default" w:ascii="Times New Roman" w:hAnsi="Times New Roman" w:cs="Times New Roman"/>
                      <w:color w:val="auto"/>
                      <w:lang w:val="en-US" w:eastAsia="zh-CN"/>
                    </w:rPr>
                  </w:pPr>
                  <w:r>
                    <w:rPr>
                      <w:rFonts w:hint="eastAsia" w:cs="Times New Roman"/>
                      <w:color w:val="auto"/>
                      <w:lang w:val="en-US" w:eastAsia="zh-CN"/>
                    </w:rPr>
                    <w:t>喷漆房全密封设置</w:t>
                  </w:r>
                  <w:r>
                    <w:rPr>
                      <w:rFonts w:hint="default" w:ascii="Times New Roman" w:hAnsi="Times New Roman" w:cs="Times New Roman"/>
                      <w:color w:val="auto"/>
                      <w:lang w:val="en-US" w:eastAsia="zh-CN"/>
                    </w:rPr>
                    <w:t>+配套负压抽风系统+1套</w:t>
                  </w:r>
                  <w:r>
                    <w:rPr>
                      <w:rFonts w:hint="eastAsia" w:cs="Times New Roman"/>
                      <w:color w:val="auto"/>
                      <w:lang w:val="en-US" w:eastAsia="zh-CN"/>
                    </w:rPr>
                    <w:t>水帘+活性炭吸附系统</w:t>
                  </w:r>
                  <w:r>
                    <w:rPr>
                      <w:rFonts w:hint="default" w:ascii="Times New Roman" w:hAnsi="Times New Roman" w:cs="Times New Roman"/>
                      <w:color w:val="auto"/>
                      <w:lang w:val="en-US" w:eastAsia="zh-CN"/>
                    </w:rPr>
                    <w:t>+1根2</w:t>
                  </w:r>
                  <w:r>
                    <w:rPr>
                      <w:rFonts w:hint="eastAsia" w:cs="Times New Roman"/>
                      <w:color w:val="auto"/>
                      <w:lang w:val="en-US" w:eastAsia="zh-CN"/>
                    </w:rPr>
                    <w:t>5</w:t>
                  </w:r>
                  <w:r>
                    <w:rPr>
                      <w:rFonts w:hint="default" w:ascii="Times New Roman" w:hAnsi="Times New Roman" w:cs="Times New Roman"/>
                      <w:color w:val="auto"/>
                      <w:lang w:val="en-US" w:eastAsia="zh-CN"/>
                    </w:rPr>
                    <w:t>m高的DA001排气筒</w:t>
                  </w:r>
                </w:p>
              </w:tc>
              <w:tc>
                <w:tcPr>
                  <w:tcW w:w="551" w:type="dxa"/>
                  <w:noWrap w:val="0"/>
                  <w:vAlign w:val="center"/>
                </w:tcPr>
                <w:p w14:paraId="7CD46A1E">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w:t>
                  </w:r>
                </w:p>
              </w:tc>
              <w:tc>
                <w:tcPr>
                  <w:tcW w:w="1180" w:type="dxa"/>
                  <w:noWrap w:val="0"/>
                  <w:vAlign w:val="center"/>
                </w:tcPr>
                <w:p w14:paraId="4F240FEE">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新建</w:t>
                  </w:r>
                </w:p>
              </w:tc>
            </w:tr>
            <w:tr w14:paraId="6059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6" w:type="dxa"/>
                  <w:vMerge w:val="continue"/>
                  <w:noWrap w:val="0"/>
                  <w:vAlign w:val="center"/>
                </w:tcPr>
                <w:p w14:paraId="2D304F5F">
                  <w:pPr>
                    <w:pStyle w:val="14"/>
                    <w:widowControl w:val="0"/>
                    <w:bidi w:val="0"/>
                    <w:rPr>
                      <w:rFonts w:hint="default" w:ascii="Times New Roman" w:hAnsi="Times New Roman" w:cs="Times New Roman"/>
                      <w:color w:val="auto"/>
                      <w:lang w:val="en-US" w:eastAsia="zh-CN"/>
                    </w:rPr>
                  </w:pPr>
                </w:p>
              </w:tc>
              <w:tc>
                <w:tcPr>
                  <w:tcW w:w="820" w:type="dxa"/>
                  <w:vMerge w:val="restart"/>
                  <w:noWrap w:val="0"/>
                  <w:vAlign w:val="center"/>
                </w:tcPr>
                <w:p w14:paraId="25AE007F">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废水</w:t>
                  </w:r>
                </w:p>
              </w:tc>
              <w:tc>
                <w:tcPr>
                  <w:tcW w:w="1165" w:type="dxa"/>
                  <w:noWrap w:val="0"/>
                  <w:vAlign w:val="center"/>
                </w:tcPr>
                <w:p w14:paraId="53878659">
                  <w:pPr>
                    <w:pStyle w:val="14"/>
                    <w:widowControl w:val="0"/>
                    <w:bidi w:val="0"/>
                    <w:rPr>
                      <w:rFonts w:hint="default" w:ascii="Times New Roman" w:hAnsi="Times New Roman" w:cs="Times New Roman"/>
                      <w:color w:val="auto"/>
                      <w:lang w:val="en-US" w:eastAsia="zh-CN"/>
                    </w:rPr>
                  </w:pPr>
                  <w:r>
                    <w:rPr>
                      <w:rFonts w:hint="eastAsia" w:cs="Times New Roman"/>
                      <w:color w:val="auto"/>
                      <w:lang w:val="en-US" w:eastAsia="zh-CN"/>
                    </w:rPr>
                    <w:t>“</w:t>
                  </w:r>
                  <w:r>
                    <w:rPr>
                      <w:rFonts w:hint="default" w:ascii="Times New Roman" w:hAnsi="Times New Roman" w:cs="Times New Roman"/>
                      <w:color w:val="auto"/>
                      <w:lang w:val="en-US" w:eastAsia="zh-CN"/>
                    </w:rPr>
                    <w:t>雨污分流</w:t>
                  </w:r>
                  <w:r>
                    <w:rPr>
                      <w:rFonts w:hint="eastAsia" w:cs="Times New Roman"/>
                      <w:color w:val="auto"/>
                      <w:lang w:val="en-US" w:eastAsia="zh-CN"/>
                    </w:rPr>
                    <w:t>”</w:t>
                  </w:r>
                  <w:r>
                    <w:rPr>
                      <w:rFonts w:hint="default" w:ascii="Times New Roman" w:hAnsi="Times New Roman" w:cs="Times New Roman"/>
                      <w:color w:val="auto"/>
                      <w:lang w:val="en-US" w:eastAsia="zh-CN"/>
                    </w:rPr>
                    <w:t>排水系统</w:t>
                  </w:r>
                </w:p>
              </w:tc>
              <w:tc>
                <w:tcPr>
                  <w:tcW w:w="3188" w:type="dxa"/>
                  <w:noWrap w:val="0"/>
                  <w:vAlign w:val="center"/>
                </w:tcPr>
                <w:p w14:paraId="70B5D56B">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依托现有厂房、空地</w:t>
                  </w:r>
                  <w:r>
                    <w:rPr>
                      <w:rFonts w:hint="eastAsia" w:cs="Times New Roman"/>
                      <w:color w:val="auto"/>
                      <w:lang w:val="en-US" w:eastAsia="zh-CN"/>
                    </w:rPr>
                    <w:t>“</w:t>
                  </w:r>
                  <w:r>
                    <w:rPr>
                      <w:rFonts w:hint="default" w:ascii="Times New Roman" w:hAnsi="Times New Roman" w:cs="Times New Roman"/>
                      <w:color w:val="auto"/>
                      <w:lang w:val="en-US" w:eastAsia="zh-CN"/>
                    </w:rPr>
                    <w:t>雨污分流</w:t>
                  </w:r>
                  <w:r>
                    <w:rPr>
                      <w:rFonts w:hint="eastAsia" w:cs="Times New Roman"/>
                      <w:color w:val="auto"/>
                      <w:lang w:val="en-US" w:eastAsia="zh-CN"/>
                    </w:rPr>
                    <w:t>”</w:t>
                  </w:r>
                  <w:r>
                    <w:rPr>
                      <w:rFonts w:hint="default" w:ascii="Times New Roman" w:hAnsi="Times New Roman" w:cs="Times New Roman"/>
                      <w:color w:val="auto"/>
                      <w:lang w:val="en-US" w:eastAsia="zh-CN"/>
                    </w:rPr>
                    <w:t>排水系统并完善相关雨水沟渠</w:t>
                  </w:r>
                </w:p>
              </w:tc>
              <w:tc>
                <w:tcPr>
                  <w:tcW w:w="551" w:type="dxa"/>
                  <w:noWrap w:val="0"/>
                  <w:vAlign w:val="center"/>
                </w:tcPr>
                <w:p w14:paraId="1F1AEDEB">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p>
              </w:tc>
              <w:tc>
                <w:tcPr>
                  <w:tcW w:w="1180" w:type="dxa"/>
                  <w:noWrap w:val="0"/>
                  <w:vAlign w:val="center"/>
                </w:tcPr>
                <w:p w14:paraId="39286587">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依托现有，部分修缮</w:t>
                  </w:r>
                </w:p>
              </w:tc>
            </w:tr>
            <w:tr w14:paraId="64971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6" w:type="dxa"/>
                  <w:vMerge w:val="continue"/>
                  <w:noWrap w:val="0"/>
                  <w:vAlign w:val="center"/>
                </w:tcPr>
                <w:p w14:paraId="6CB0BB9E">
                  <w:pPr>
                    <w:pStyle w:val="14"/>
                    <w:widowControl w:val="0"/>
                    <w:bidi w:val="0"/>
                    <w:rPr>
                      <w:rFonts w:hint="default" w:ascii="Times New Roman" w:hAnsi="Times New Roman" w:cs="Times New Roman"/>
                      <w:color w:val="auto"/>
                      <w:lang w:val="en-US" w:eastAsia="zh-CN"/>
                    </w:rPr>
                  </w:pPr>
                </w:p>
              </w:tc>
              <w:tc>
                <w:tcPr>
                  <w:tcW w:w="820" w:type="dxa"/>
                  <w:vMerge w:val="continue"/>
                  <w:noWrap w:val="0"/>
                  <w:vAlign w:val="center"/>
                </w:tcPr>
                <w:p w14:paraId="7AE7F53E">
                  <w:pPr>
                    <w:pStyle w:val="14"/>
                    <w:widowControl w:val="0"/>
                    <w:bidi w:val="0"/>
                    <w:rPr>
                      <w:rFonts w:hint="default" w:ascii="Times New Roman" w:hAnsi="Times New Roman" w:cs="Times New Roman"/>
                      <w:color w:val="auto"/>
                      <w:lang w:val="en-US" w:eastAsia="zh-CN"/>
                    </w:rPr>
                  </w:pPr>
                </w:p>
              </w:tc>
              <w:tc>
                <w:tcPr>
                  <w:tcW w:w="1165" w:type="dxa"/>
                  <w:noWrap w:val="0"/>
                  <w:vAlign w:val="center"/>
                </w:tcPr>
                <w:p w14:paraId="329574F2">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办公废水</w:t>
                  </w:r>
                </w:p>
              </w:tc>
              <w:tc>
                <w:tcPr>
                  <w:tcW w:w="3188" w:type="dxa"/>
                  <w:noWrap w:val="0"/>
                  <w:vAlign w:val="center"/>
                </w:tcPr>
                <w:p w14:paraId="0C548DE3">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设一个1m³沉淀池，办公洗手废水经沉淀池收集沉淀后用于厂区内地面洒水降尘，</w:t>
                  </w:r>
                </w:p>
              </w:tc>
              <w:tc>
                <w:tcPr>
                  <w:tcW w:w="551" w:type="dxa"/>
                  <w:noWrap w:val="0"/>
                  <w:vAlign w:val="center"/>
                </w:tcPr>
                <w:p w14:paraId="52D34D26">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c>
                <w:tcPr>
                  <w:tcW w:w="1180" w:type="dxa"/>
                  <w:noWrap w:val="0"/>
                  <w:vAlign w:val="center"/>
                </w:tcPr>
                <w:p w14:paraId="64CE5157">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新建</w:t>
                  </w:r>
                </w:p>
              </w:tc>
            </w:tr>
            <w:tr w14:paraId="6461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6" w:type="dxa"/>
                  <w:vMerge w:val="continue"/>
                  <w:noWrap w:val="0"/>
                  <w:vAlign w:val="center"/>
                </w:tcPr>
                <w:p w14:paraId="73F54F19">
                  <w:pPr>
                    <w:pStyle w:val="14"/>
                    <w:widowControl w:val="0"/>
                    <w:bidi w:val="0"/>
                    <w:rPr>
                      <w:rFonts w:hint="default" w:ascii="Times New Roman" w:hAnsi="Times New Roman" w:cs="Times New Roman"/>
                      <w:color w:val="auto"/>
                      <w:lang w:eastAsia="zh-CN"/>
                    </w:rPr>
                  </w:pPr>
                </w:p>
              </w:tc>
              <w:tc>
                <w:tcPr>
                  <w:tcW w:w="820" w:type="dxa"/>
                  <w:vMerge w:val="restart"/>
                  <w:noWrap w:val="0"/>
                  <w:vAlign w:val="center"/>
                </w:tcPr>
                <w:p w14:paraId="0537C279">
                  <w:pPr>
                    <w:pStyle w:val="14"/>
                    <w:widowControl w:val="0"/>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固废</w:t>
                  </w:r>
                </w:p>
              </w:tc>
              <w:tc>
                <w:tcPr>
                  <w:tcW w:w="1165" w:type="dxa"/>
                  <w:noWrap w:val="0"/>
                  <w:vAlign w:val="center"/>
                </w:tcPr>
                <w:p w14:paraId="4CA685E0">
                  <w:pPr>
                    <w:pStyle w:val="14"/>
                    <w:widowControl w:val="0"/>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生活垃圾</w:t>
                  </w:r>
                </w:p>
              </w:tc>
              <w:tc>
                <w:tcPr>
                  <w:tcW w:w="3188" w:type="dxa"/>
                  <w:noWrap w:val="0"/>
                  <w:vAlign w:val="center"/>
                </w:tcPr>
                <w:p w14:paraId="014E2461">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生活垃圾收集桶</w:t>
                  </w:r>
                  <w:r>
                    <w:rPr>
                      <w:rFonts w:hint="default" w:ascii="Times New Roman" w:hAnsi="Times New Roman" w:cs="Times New Roman"/>
                      <w:color w:val="auto"/>
                      <w:lang w:val="en-US" w:eastAsia="zh-CN"/>
                    </w:rPr>
                    <w:t>若干</w:t>
                  </w:r>
                </w:p>
              </w:tc>
              <w:tc>
                <w:tcPr>
                  <w:tcW w:w="551" w:type="dxa"/>
                  <w:noWrap w:val="0"/>
                  <w:vAlign w:val="center"/>
                </w:tcPr>
                <w:p w14:paraId="5BF46122">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0.5</w:t>
                  </w:r>
                </w:p>
              </w:tc>
              <w:tc>
                <w:tcPr>
                  <w:tcW w:w="1180" w:type="dxa"/>
                  <w:noWrap w:val="0"/>
                  <w:vAlign w:val="center"/>
                </w:tcPr>
                <w:p w14:paraId="1E741236">
                  <w:pPr>
                    <w:pStyle w:val="14"/>
                    <w:widowControl w:val="0"/>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新建</w:t>
                  </w:r>
                </w:p>
              </w:tc>
            </w:tr>
            <w:tr w14:paraId="7A10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6" w:type="dxa"/>
                  <w:vMerge w:val="continue"/>
                  <w:noWrap w:val="0"/>
                  <w:vAlign w:val="center"/>
                </w:tcPr>
                <w:p w14:paraId="683E9796">
                  <w:pPr>
                    <w:pStyle w:val="14"/>
                    <w:widowControl w:val="0"/>
                    <w:bidi w:val="0"/>
                    <w:rPr>
                      <w:rFonts w:hint="default" w:ascii="Times New Roman" w:hAnsi="Times New Roman" w:cs="Times New Roman"/>
                      <w:color w:val="auto"/>
                      <w:lang w:eastAsia="zh-CN"/>
                    </w:rPr>
                  </w:pPr>
                </w:p>
              </w:tc>
              <w:tc>
                <w:tcPr>
                  <w:tcW w:w="820" w:type="dxa"/>
                  <w:vMerge w:val="continue"/>
                  <w:noWrap w:val="0"/>
                  <w:vAlign w:val="center"/>
                </w:tcPr>
                <w:p w14:paraId="5D6F1D5A">
                  <w:pPr>
                    <w:pStyle w:val="14"/>
                    <w:widowControl w:val="0"/>
                    <w:bidi w:val="0"/>
                    <w:rPr>
                      <w:rFonts w:hint="default" w:ascii="Times New Roman" w:hAnsi="Times New Roman" w:cs="Times New Roman"/>
                      <w:color w:val="auto"/>
                      <w:lang w:eastAsia="zh-CN"/>
                    </w:rPr>
                  </w:pPr>
                </w:p>
              </w:tc>
              <w:tc>
                <w:tcPr>
                  <w:tcW w:w="1165" w:type="dxa"/>
                  <w:noWrap w:val="0"/>
                  <w:vAlign w:val="center"/>
                </w:tcPr>
                <w:p w14:paraId="06474741">
                  <w:pPr>
                    <w:pStyle w:val="14"/>
                    <w:widowControl w:val="0"/>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危险废物</w:t>
                  </w:r>
                </w:p>
              </w:tc>
              <w:tc>
                <w:tcPr>
                  <w:tcW w:w="3188" w:type="dxa"/>
                  <w:noWrap w:val="0"/>
                  <w:vAlign w:val="center"/>
                </w:tcPr>
                <w:p w14:paraId="6A0DC0E0">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1间危废暂存间，建筑面积5m</w:t>
                  </w:r>
                  <w:r>
                    <w:rPr>
                      <w:rFonts w:hint="default" w:ascii="Times New Roman" w:hAnsi="Times New Roman" w:cs="Times New Roman"/>
                      <w:color w:val="auto"/>
                      <w:vertAlign w:val="superscript"/>
                      <w:lang w:val="en-US" w:eastAsia="zh-CN"/>
                    </w:rPr>
                    <w:t>2</w:t>
                  </w:r>
                </w:p>
              </w:tc>
              <w:tc>
                <w:tcPr>
                  <w:tcW w:w="551" w:type="dxa"/>
                  <w:noWrap w:val="0"/>
                  <w:vAlign w:val="center"/>
                </w:tcPr>
                <w:p w14:paraId="0EE4E12E">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c>
                <w:tcPr>
                  <w:tcW w:w="1180" w:type="dxa"/>
                  <w:noWrap w:val="0"/>
                  <w:vAlign w:val="center"/>
                </w:tcPr>
                <w:p w14:paraId="796A43BA">
                  <w:pPr>
                    <w:pStyle w:val="14"/>
                    <w:widowControl w:val="0"/>
                    <w:bidi w:val="0"/>
                    <w:rPr>
                      <w:rFonts w:hint="default" w:ascii="Times New Roman" w:hAnsi="Times New Roman" w:cs="Times New Roman"/>
                      <w:color w:val="auto"/>
                    </w:rPr>
                  </w:pPr>
                  <w:r>
                    <w:rPr>
                      <w:rFonts w:hint="default" w:ascii="Times New Roman" w:hAnsi="Times New Roman" w:cs="Times New Roman"/>
                      <w:color w:val="auto"/>
                      <w:lang w:val="en-US" w:eastAsia="zh-CN"/>
                    </w:rPr>
                    <w:t>新建</w:t>
                  </w:r>
                </w:p>
              </w:tc>
            </w:tr>
            <w:tr w14:paraId="6C96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6" w:type="dxa"/>
                  <w:vMerge w:val="continue"/>
                  <w:noWrap w:val="0"/>
                  <w:vAlign w:val="center"/>
                </w:tcPr>
                <w:p w14:paraId="78543E10">
                  <w:pPr>
                    <w:pStyle w:val="14"/>
                    <w:widowControl w:val="0"/>
                    <w:bidi w:val="0"/>
                    <w:rPr>
                      <w:rFonts w:hint="default" w:ascii="Times New Roman" w:hAnsi="Times New Roman" w:cs="Times New Roman"/>
                      <w:color w:val="auto"/>
                      <w:lang w:eastAsia="zh-CN"/>
                    </w:rPr>
                  </w:pPr>
                </w:p>
              </w:tc>
              <w:tc>
                <w:tcPr>
                  <w:tcW w:w="820" w:type="dxa"/>
                  <w:vMerge w:val="continue"/>
                  <w:noWrap w:val="0"/>
                  <w:vAlign w:val="center"/>
                </w:tcPr>
                <w:p w14:paraId="6D769C42">
                  <w:pPr>
                    <w:pStyle w:val="14"/>
                    <w:widowControl w:val="0"/>
                    <w:bidi w:val="0"/>
                    <w:rPr>
                      <w:rFonts w:hint="default" w:ascii="Times New Roman" w:hAnsi="Times New Roman" w:cs="Times New Roman"/>
                      <w:color w:val="auto"/>
                      <w:lang w:eastAsia="zh-CN"/>
                    </w:rPr>
                  </w:pPr>
                </w:p>
              </w:tc>
              <w:tc>
                <w:tcPr>
                  <w:tcW w:w="1165" w:type="dxa"/>
                  <w:noWrap w:val="0"/>
                  <w:vAlign w:val="center"/>
                </w:tcPr>
                <w:p w14:paraId="50F476AC">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一般固废</w:t>
                  </w:r>
                </w:p>
              </w:tc>
              <w:tc>
                <w:tcPr>
                  <w:tcW w:w="3188" w:type="dxa"/>
                  <w:noWrap w:val="0"/>
                  <w:vAlign w:val="center"/>
                </w:tcPr>
                <w:p w14:paraId="2BCF3CF4">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1间20m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vertAlign w:val="baseline"/>
                      <w:lang w:val="en-US" w:eastAsia="zh-CN"/>
                    </w:rPr>
                    <w:t>的</w:t>
                  </w:r>
                  <w:r>
                    <w:rPr>
                      <w:rFonts w:hint="default" w:ascii="Times New Roman" w:hAnsi="Times New Roman" w:cs="Times New Roman"/>
                      <w:color w:val="auto"/>
                      <w:lang w:val="en-US" w:eastAsia="zh-CN"/>
                    </w:rPr>
                    <w:t>一般固废暂存间</w:t>
                  </w:r>
                </w:p>
              </w:tc>
              <w:tc>
                <w:tcPr>
                  <w:tcW w:w="551" w:type="dxa"/>
                  <w:noWrap w:val="0"/>
                  <w:vAlign w:val="center"/>
                </w:tcPr>
                <w:p w14:paraId="156F85DB">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w:t>
                  </w:r>
                </w:p>
              </w:tc>
              <w:tc>
                <w:tcPr>
                  <w:tcW w:w="1180" w:type="dxa"/>
                  <w:noWrap w:val="0"/>
                  <w:vAlign w:val="center"/>
                </w:tcPr>
                <w:p w14:paraId="2DF7553E">
                  <w:pPr>
                    <w:pStyle w:val="14"/>
                    <w:widowControl w:val="0"/>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新建</w:t>
                  </w:r>
                </w:p>
              </w:tc>
            </w:tr>
            <w:tr w14:paraId="35D50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6" w:type="dxa"/>
                  <w:vMerge w:val="continue"/>
                  <w:noWrap w:val="0"/>
                  <w:vAlign w:val="center"/>
                </w:tcPr>
                <w:p w14:paraId="7E089263">
                  <w:pPr>
                    <w:pStyle w:val="14"/>
                    <w:widowControl w:val="0"/>
                    <w:bidi w:val="0"/>
                    <w:rPr>
                      <w:rFonts w:hint="default" w:ascii="Times New Roman" w:hAnsi="Times New Roman" w:cs="Times New Roman"/>
                      <w:color w:val="auto"/>
                      <w:lang w:eastAsia="zh-CN"/>
                    </w:rPr>
                  </w:pPr>
                </w:p>
              </w:tc>
              <w:tc>
                <w:tcPr>
                  <w:tcW w:w="820" w:type="dxa"/>
                  <w:noWrap w:val="0"/>
                  <w:vAlign w:val="center"/>
                </w:tcPr>
                <w:p w14:paraId="25295DE0">
                  <w:pPr>
                    <w:pStyle w:val="14"/>
                    <w:widowControl w:val="0"/>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噪声</w:t>
                  </w:r>
                </w:p>
              </w:tc>
              <w:tc>
                <w:tcPr>
                  <w:tcW w:w="1165" w:type="dxa"/>
                  <w:noWrap w:val="0"/>
                  <w:vAlign w:val="center"/>
                </w:tcPr>
                <w:p w14:paraId="717A361E">
                  <w:pPr>
                    <w:pStyle w:val="14"/>
                    <w:widowControl w:val="0"/>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噪声</w:t>
                  </w:r>
                </w:p>
              </w:tc>
              <w:tc>
                <w:tcPr>
                  <w:tcW w:w="3188" w:type="dxa"/>
                  <w:noWrap w:val="0"/>
                  <w:vAlign w:val="center"/>
                </w:tcPr>
                <w:p w14:paraId="69EEE98F">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低噪设备、</w:t>
                  </w:r>
                  <w:r>
                    <w:rPr>
                      <w:rFonts w:hint="eastAsia" w:cs="Times New Roman"/>
                      <w:color w:val="auto"/>
                      <w:lang w:val="en-US" w:eastAsia="zh-CN"/>
                    </w:rPr>
                    <w:t>基础减震、</w:t>
                  </w:r>
                  <w:r>
                    <w:rPr>
                      <w:rFonts w:hint="default" w:ascii="Times New Roman" w:hAnsi="Times New Roman" w:cs="Times New Roman"/>
                      <w:color w:val="auto"/>
                      <w:lang w:val="en-US" w:eastAsia="zh-CN"/>
                    </w:rPr>
                    <w:t>厂房隔声</w:t>
                  </w:r>
                </w:p>
              </w:tc>
              <w:tc>
                <w:tcPr>
                  <w:tcW w:w="551" w:type="dxa"/>
                  <w:noWrap w:val="0"/>
                  <w:vAlign w:val="center"/>
                </w:tcPr>
                <w:p w14:paraId="7FBEDD78">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0.5</w:t>
                  </w:r>
                </w:p>
              </w:tc>
              <w:tc>
                <w:tcPr>
                  <w:tcW w:w="1180" w:type="dxa"/>
                  <w:noWrap w:val="0"/>
                  <w:vAlign w:val="center"/>
                </w:tcPr>
                <w:p w14:paraId="11F0D610">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新建</w:t>
                  </w:r>
                </w:p>
              </w:tc>
            </w:tr>
            <w:tr w14:paraId="71D7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6" w:type="dxa"/>
                  <w:vMerge w:val="continue"/>
                  <w:noWrap w:val="0"/>
                  <w:vAlign w:val="center"/>
                </w:tcPr>
                <w:p w14:paraId="23CB9ACA">
                  <w:pPr>
                    <w:pStyle w:val="14"/>
                    <w:widowControl w:val="0"/>
                    <w:bidi w:val="0"/>
                    <w:rPr>
                      <w:rFonts w:hint="default" w:ascii="Times New Roman" w:hAnsi="Times New Roman" w:cs="Times New Roman"/>
                      <w:color w:val="auto"/>
                      <w:lang w:eastAsia="zh-CN"/>
                    </w:rPr>
                  </w:pPr>
                </w:p>
              </w:tc>
              <w:tc>
                <w:tcPr>
                  <w:tcW w:w="820" w:type="dxa"/>
                  <w:noWrap w:val="0"/>
                  <w:vAlign w:val="center"/>
                </w:tcPr>
                <w:p w14:paraId="1AF5C6D6">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土壤、地下水</w:t>
                  </w:r>
                </w:p>
              </w:tc>
              <w:tc>
                <w:tcPr>
                  <w:tcW w:w="1165" w:type="dxa"/>
                  <w:noWrap w:val="0"/>
                  <w:vAlign w:val="center"/>
                </w:tcPr>
                <w:p w14:paraId="6CB58030">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3188" w:type="dxa"/>
                  <w:noWrap w:val="0"/>
                  <w:vAlign w:val="center"/>
                </w:tcPr>
                <w:p w14:paraId="7349964F">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分区防渗作业</w:t>
                  </w:r>
                </w:p>
              </w:tc>
              <w:tc>
                <w:tcPr>
                  <w:tcW w:w="551" w:type="dxa"/>
                  <w:noWrap w:val="0"/>
                  <w:vAlign w:val="center"/>
                </w:tcPr>
                <w:p w14:paraId="714CEB44">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180" w:type="dxa"/>
                  <w:noWrap w:val="0"/>
                  <w:vAlign w:val="center"/>
                </w:tcPr>
                <w:p w14:paraId="40340A19">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重点防渗区计入上述危废间投资，其他防渗分区，主体建设时配套建设</w:t>
                  </w:r>
                </w:p>
              </w:tc>
            </w:tr>
            <w:tr w14:paraId="33D8D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11" w:type="dxa"/>
                  <w:gridSpan w:val="3"/>
                  <w:noWrap w:val="0"/>
                  <w:vAlign w:val="center"/>
                </w:tcPr>
                <w:p w14:paraId="12A9DF5E">
                  <w:pPr>
                    <w:pStyle w:val="14"/>
                    <w:widowControl w:val="0"/>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合计</w:t>
                  </w:r>
                </w:p>
              </w:tc>
              <w:tc>
                <w:tcPr>
                  <w:tcW w:w="3188" w:type="dxa"/>
                  <w:noWrap w:val="0"/>
                  <w:vAlign w:val="center"/>
                </w:tcPr>
                <w:p w14:paraId="318F2366">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551" w:type="dxa"/>
                  <w:noWrap w:val="0"/>
                  <w:vAlign w:val="center"/>
                </w:tcPr>
                <w:p w14:paraId="2E41B983">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38.5</w:t>
                  </w:r>
                </w:p>
              </w:tc>
              <w:tc>
                <w:tcPr>
                  <w:tcW w:w="1180" w:type="dxa"/>
                  <w:noWrap w:val="0"/>
                  <w:vAlign w:val="center"/>
                </w:tcPr>
                <w:p w14:paraId="1F47ED93">
                  <w:pPr>
                    <w:pStyle w:val="14"/>
                    <w:widowControl w:val="0"/>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r>
          </w:tbl>
          <w:p w14:paraId="4BC253AB">
            <w:pPr>
              <w:bidi w:val="0"/>
              <w:ind w:left="0" w:leftChars="0" w:firstLine="0" w:firstLineChars="0"/>
              <w:rPr>
                <w:rFonts w:hint="default" w:ascii="Times New Roman" w:hAnsi="Times New Roman" w:eastAsia="宋体" w:cs="Times New Roman"/>
                <w:color w:val="auto"/>
                <w:lang w:val="en-US" w:eastAsia="zh-CN"/>
              </w:rPr>
            </w:pPr>
          </w:p>
        </w:tc>
      </w:tr>
    </w:tbl>
    <w:p w14:paraId="54268562">
      <w:pPr>
        <w:pStyle w:val="2"/>
        <w:bidi w:val="0"/>
        <w:rPr>
          <w:rFonts w:hint="default" w:ascii="Times New Roman" w:hAnsi="Times New Roman" w:cs="Times New Roman"/>
          <w:color w:val="auto"/>
          <w:lang w:val="en-US" w:eastAsia="zh-CN"/>
        </w:rPr>
      </w:pPr>
      <w:bookmarkStart w:id="6" w:name="_Toc2693"/>
      <w:r>
        <w:rPr>
          <w:rFonts w:hint="default" w:ascii="Times New Roman" w:hAnsi="Times New Roman" w:cs="Times New Roman"/>
          <w:color w:val="auto"/>
          <w:lang w:val="en-US" w:eastAsia="zh-CN"/>
        </w:rPr>
        <w:t>五、环境保护措施监督检查清单</w:t>
      </w:r>
      <w:bookmarkEnd w:id="6"/>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1232"/>
        <w:gridCol w:w="1270"/>
        <w:gridCol w:w="2377"/>
        <w:gridCol w:w="2693"/>
      </w:tblGrid>
      <w:tr w14:paraId="57FAD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tcBorders>
              <w:tl2br w:val="single" w:color="auto" w:sz="4" w:space="0"/>
            </w:tcBorders>
            <w:noWrap w:val="0"/>
            <w:vAlign w:val="center"/>
          </w:tcPr>
          <w:p w14:paraId="4A5CA584">
            <w:pPr>
              <w:keepNext w:val="0"/>
              <w:keepLines w:val="0"/>
              <w:pageBreakBefore w:val="0"/>
              <w:widowControl w:val="0"/>
              <w:kinsoku/>
              <w:wordWrap/>
              <w:overflowPunct/>
              <w:topLinePunct w:val="0"/>
              <w:autoSpaceDE/>
              <w:autoSpaceDN/>
              <w:bidi w:val="0"/>
              <w:adjustRightInd w:val="0"/>
              <w:snapToGrid w:val="0"/>
              <w:ind w:firstLine="0" w:firstLineChars="0"/>
              <w:jc w:val="right"/>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内容</w:t>
            </w:r>
          </w:p>
          <w:p w14:paraId="74E31937">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要素</w:t>
            </w:r>
          </w:p>
        </w:tc>
        <w:tc>
          <w:tcPr>
            <w:tcW w:w="1232" w:type="dxa"/>
            <w:noWrap w:val="0"/>
            <w:vAlign w:val="center"/>
          </w:tcPr>
          <w:p w14:paraId="18C485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排放口</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编号、名称</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/污染源</w:t>
            </w:r>
          </w:p>
        </w:tc>
        <w:tc>
          <w:tcPr>
            <w:tcW w:w="1270" w:type="dxa"/>
            <w:noWrap w:val="0"/>
            <w:vAlign w:val="center"/>
          </w:tcPr>
          <w:p w14:paraId="0ED1D8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污染物项目</w:t>
            </w:r>
          </w:p>
        </w:tc>
        <w:tc>
          <w:tcPr>
            <w:tcW w:w="2377" w:type="dxa"/>
            <w:noWrap w:val="0"/>
            <w:vAlign w:val="center"/>
          </w:tcPr>
          <w:p w14:paraId="397441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环境保护措施</w:t>
            </w:r>
          </w:p>
        </w:tc>
        <w:tc>
          <w:tcPr>
            <w:tcW w:w="2693" w:type="dxa"/>
            <w:noWrap w:val="0"/>
            <w:vAlign w:val="center"/>
          </w:tcPr>
          <w:p w14:paraId="3F8FE9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执行标准</w:t>
            </w:r>
          </w:p>
        </w:tc>
      </w:tr>
      <w:tr w14:paraId="2649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vMerge w:val="restart"/>
            <w:noWrap w:val="0"/>
            <w:vAlign w:val="center"/>
          </w:tcPr>
          <w:p w14:paraId="3A2DEE85">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大气环境</w:t>
            </w:r>
          </w:p>
        </w:tc>
        <w:tc>
          <w:tcPr>
            <w:tcW w:w="1232" w:type="dxa"/>
            <w:noWrap w:val="0"/>
            <w:vAlign w:val="center"/>
          </w:tcPr>
          <w:p w14:paraId="26BE5A09">
            <w:pPr>
              <w:pStyle w:val="14"/>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DA001排气筒</w:t>
            </w:r>
          </w:p>
        </w:tc>
        <w:tc>
          <w:tcPr>
            <w:tcW w:w="1270" w:type="dxa"/>
            <w:noWrap w:val="0"/>
            <w:vAlign w:val="center"/>
          </w:tcPr>
          <w:p w14:paraId="4D77C006">
            <w:pPr>
              <w:pStyle w:val="14"/>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漆雾、非甲烷总烃、二甲苯</w:t>
            </w:r>
          </w:p>
        </w:tc>
        <w:tc>
          <w:tcPr>
            <w:tcW w:w="2377" w:type="dxa"/>
            <w:noWrap w:val="0"/>
            <w:vAlign w:val="center"/>
          </w:tcPr>
          <w:p w14:paraId="56A37EB3">
            <w:pPr>
              <w:pStyle w:val="14"/>
              <w:bidi w:val="0"/>
              <w:spacing w:line="240" w:lineRule="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喷漆房密封设置</w:t>
            </w:r>
            <w:r>
              <w:rPr>
                <w:rFonts w:hint="default" w:ascii="Times New Roman" w:hAnsi="Times New Roman" w:cs="Times New Roman"/>
                <w:color w:val="auto"/>
                <w:sz w:val="21"/>
                <w:szCs w:val="21"/>
                <w:lang w:val="en-US" w:eastAsia="zh-CN"/>
              </w:rPr>
              <w:t>，经负压收集废气至1套</w:t>
            </w:r>
            <w:r>
              <w:rPr>
                <w:rFonts w:hint="eastAsia" w:cs="Times New Roman"/>
                <w:color w:val="auto"/>
                <w:sz w:val="21"/>
                <w:szCs w:val="21"/>
                <w:lang w:val="en-US" w:eastAsia="zh-CN"/>
              </w:rPr>
              <w:t>“水帘+活性炭吸附系统”</w:t>
            </w:r>
            <w:r>
              <w:rPr>
                <w:rFonts w:hint="default" w:ascii="Times New Roman" w:hAnsi="Times New Roman" w:cs="Times New Roman"/>
                <w:color w:val="auto"/>
                <w:sz w:val="21"/>
                <w:szCs w:val="21"/>
                <w:lang w:val="en-US" w:eastAsia="zh-CN"/>
              </w:rPr>
              <w:t>装置处理后通过2</w:t>
            </w:r>
            <w:r>
              <w:rPr>
                <w:rFonts w:hint="eastAsia" w:cs="Times New Roman"/>
                <w:color w:val="auto"/>
                <w:sz w:val="21"/>
                <w:szCs w:val="21"/>
                <w:lang w:val="en-US" w:eastAsia="zh-CN"/>
              </w:rPr>
              <w:t>5</w:t>
            </w:r>
            <w:r>
              <w:rPr>
                <w:rFonts w:hint="default" w:ascii="Times New Roman" w:hAnsi="Times New Roman" w:cs="Times New Roman"/>
                <w:color w:val="auto"/>
                <w:sz w:val="21"/>
                <w:szCs w:val="21"/>
                <w:lang w:val="en-US" w:eastAsia="zh-CN"/>
              </w:rPr>
              <w:t>m高的排气筒（DA001）有组织排放</w:t>
            </w:r>
          </w:p>
        </w:tc>
        <w:tc>
          <w:tcPr>
            <w:tcW w:w="2693" w:type="dxa"/>
            <w:noWrap w:val="0"/>
            <w:vAlign w:val="center"/>
          </w:tcPr>
          <w:p w14:paraId="3287DCF0">
            <w:pPr>
              <w:pStyle w:val="14"/>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执行《</w:t>
            </w:r>
            <w:r>
              <w:rPr>
                <w:rFonts w:hint="default" w:ascii="Times New Roman" w:hAnsi="Times New Roman" w:eastAsia="宋体" w:cs="Times New Roman"/>
                <w:color w:val="auto"/>
                <w:sz w:val="21"/>
                <w:szCs w:val="21"/>
                <w:lang w:val="en-US" w:eastAsia="zh-CN"/>
              </w:rPr>
              <w:t>大气污染物综合排放标准》</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GB16297-1996）表2中二级污</w:t>
            </w:r>
            <w:r>
              <w:rPr>
                <w:rFonts w:hint="eastAsia" w:cs="Times New Roman"/>
                <w:color w:val="auto"/>
                <w:sz w:val="21"/>
                <w:szCs w:val="21"/>
                <w:lang w:val="en-US" w:eastAsia="zh-CN"/>
              </w:rPr>
              <w:t>染物</w:t>
            </w:r>
            <w:r>
              <w:rPr>
                <w:rFonts w:hint="default" w:ascii="Times New Roman" w:hAnsi="Times New Roman" w:eastAsia="宋体" w:cs="Times New Roman"/>
                <w:color w:val="auto"/>
                <w:sz w:val="21"/>
                <w:szCs w:val="21"/>
                <w:lang w:val="en-US" w:eastAsia="zh-CN"/>
              </w:rPr>
              <w:t>最高允许排放速率及浓度</w:t>
            </w:r>
            <w:r>
              <w:rPr>
                <w:rFonts w:hint="default" w:ascii="Times New Roman" w:hAnsi="Times New Roman" w:cs="Times New Roman"/>
                <w:color w:val="auto"/>
                <w:sz w:val="21"/>
                <w:szCs w:val="21"/>
                <w:lang w:val="en-US" w:eastAsia="zh-CN"/>
              </w:rPr>
              <w:t>要求</w:t>
            </w:r>
          </w:p>
        </w:tc>
      </w:tr>
      <w:tr w14:paraId="4E11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vMerge w:val="continue"/>
            <w:noWrap w:val="0"/>
            <w:vAlign w:val="center"/>
          </w:tcPr>
          <w:p w14:paraId="009248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232" w:type="dxa"/>
            <w:vMerge w:val="restart"/>
            <w:noWrap w:val="0"/>
            <w:vAlign w:val="center"/>
          </w:tcPr>
          <w:p w14:paraId="3DF3E9D4">
            <w:pPr>
              <w:pStyle w:val="14"/>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无组织排放</w:t>
            </w:r>
          </w:p>
        </w:tc>
        <w:tc>
          <w:tcPr>
            <w:tcW w:w="1270" w:type="dxa"/>
            <w:noWrap w:val="0"/>
            <w:vAlign w:val="center"/>
          </w:tcPr>
          <w:p w14:paraId="3FD5C296">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颗粒物</w:t>
            </w:r>
          </w:p>
        </w:tc>
        <w:tc>
          <w:tcPr>
            <w:tcW w:w="2377" w:type="dxa"/>
            <w:noWrap w:val="0"/>
            <w:vAlign w:val="center"/>
          </w:tcPr>
          <w:p w14:paraId="50CF9FD5">
            <w:pPr>
              <w:pStyle w:val="14"/>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车间沉降、清扫收集、自然扩散</w:t>
            </w:r>
          </w:p>
        </w:tc>
        <w:tc>
          <w:tcPr>
            <w:tcW w:w="2693" w:type="dxa"/>
            <w:noWrap w:val="0"/>
            <w:vAlign w:val="center"/>
          </w:tcPr>
          <w:p w14:paraId="3F754907">
            <w:pPr>
              <w:pStyle w:val="14"/>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执行《大气污染物综合排放标准》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GB16297-1996）表2中</w:t>
            </w:r>
            <w:r>
              <w:rPr>
                <w:rFonts w:hint="default" w:ascii="Times New Roman" w:hAnsi="Times New Roman" w:cs="Times New Roman"/>
                <w:color w:val="auto"/>
                <w:sz w:val="21"/>
                <w:szCs w:val="21"/>
                <w:lang w:val="en-US" w:eastAsia="zh-CN"/>
              </w:rPr>
              <w:t>无组织排放浓度限值</w:t>
            </w:r>
          </w:p>
        </w:tc>
      </w:tr>
      <w:tr w14:paraId="229D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vMerge w:val="continue"/>
            <w:noWrap w:val="0"/>
            <w:vAlign w:val="center"/>
          </w:tcPr>
          <w:p w14:paraId="55C70B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232" w:type="dxa"/>
            <w:vMerge w:val="continue"/>
            <w:noWrap w:val="0"/>
            <w:vAlign w:val="center"/>
          </w:tcPr>
          <w:p w14:paraId="33D807EF">
            <w:pPr>
              <w:pStyle w:val="14"/>
              <w:bidi w:val="0"/>
              <w:spacing w:line="240" w:lineRule="auto"/>
              <w:rPr>
                <w:rFonts w:hint="default" w:ascii="Times New Roman" w:hAnsi="Times New Roman" w:cs="Times New Roman"/>
                <w:color w:val="auto"/>
                <w:sz w:val="21"/>
                <w:szCs w:val="21"/>
                <w:lang w:val="en-US" w:eastAsia="zh-CN"/>
              </w:rPr>
            </w:pPr>
          </w:p>
        </w:tc>
        <w:tc>
          <w:tcPr>
            <w:tcW w:w="1270" w:type="dxa"/>
            <w:noWrap w:val="0"/>
            <w:vAlign w:val="center"/>
          </w:tcPr>
          <w:p w14:paraId="7608BCF1">
            <w:pPr>
              <w:pStyle w:val="14"/>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非甲烷总烃、二甲苯</w:t>
            </w:r>
          </w:p>
        </w:tc>
        <w:tc>
          <w:tcPr>
            <w:tcW w:w="2377" w:type="dxa"/>
            <w:noWrap w:val="0"/>
            <w:vAlign w:val="center"/>
          </w:tcPr>
          <w:p w14:paraId="375D09E0">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自然扩散</w:t>
            </w:r>
          </w:p>
        </w:tc>
        <w:tc>
          <w:tcPr>
            <w:tcW w:w="2693" w:type="dxa"/>
            <w:noWrap w:val="0"/>
            <w:vAlign w:val="center"/>
          </w:tcPr>
          <w:p w14:paraId="5A836BDE">
            <w:pPr>
              <w:pStyle w:val="14"/>
              <w:bidi w:val="0"/>
              <w:spacing w:line="240" w:lineRule="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执行《大气污染物综合排放标准》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GB16297-1996）表2中</w:t>
            </w:r>
            <w:r>
              <w:rPr>
                <w:rFonts w:hint="default" w:ascii="Times New Roman" w:hAnsi="Times New Roman" w:cs="Times New Roman"/>
                <w:color w:val="auto"/>
                <w:sz w:val="21"/>
                <w:szCs w:val="21"/>
                <w:lang w:val="en-US" w:eastAsia="zh-CN"/>
              </w:rPr>
              <w:t>无组织排放监控浓度限值及《挥发性有机物无组织排放控制标准》（GB37822-2019）相关标准</w:t>
            </w:r>
          </w:p>
        </w:tc>
      </w:tr>
      <w:tr w14:paraId="0F66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vMerge w:val="continue"/>
            <w:noWrap w:val="0"/>
            <w:vAlign w:val="center"/>
          </w:tcPr>
          <w:p w14:paraId="73307D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232" w:type="dxa"/>
            <w:noWrap w:val="0"/>
            <w:vAlign w:val="center"/>
          </w:tcPr>
          <w:p w14:paraId="11FA79F3">
            <w:pPr>
              <w:pStyle w:val="14"/>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燃油机械废气</w:t>
            </w:r>
          </w:p>
        </w:tc>
        <w:tc>
          <w:tcPr>
            <w:tcW w:w="1270" w:type="dxa"/>
            <w:noWrap w:val="0"/>
            <w:vAlign w:val="center"/>
          </w:tcPr>
          <w:p w14:paraId="5F509391">
            <w:pPr>
              <w:pStyle w:val="14"/>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CO、NOx和THC</w:t>
            </w:r>
          </w:p>
        </w:tc>
        <w:tc>
          <w:tcPr>
            <w:tcW w:w="2377" w:type="dxa"/>
            <w:noWrap w:val="0"/>
            <w:vAlign w:val="center"/>
          </w:tcPr>
          <w:p w14:paraId="3752E791">
            <w:pPr>
              <w:pStyle w:val="14"/>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自然扩散</w:t>
            </w:r>
          </w:p>
        </w:tc>
        <w:tc>
          <w:tcPr>
            <w:tcW w:w="2693" w:type="dxa"/>
            <w:noWrap w:val="0"/>
            <w:vAlign w:val="center"/>
          </w:tcPr>
          <w:p w14:paraId="697E757E">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285E1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vMerge w:val="continue"/>
            <w:noWrap w:val="0"/>
            <w:vAlign w:val="center"/>
          </w:tcPr>
          <w:p w14:paraId="7BB8B5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232" w:type="dxa"/>
            <w:noWrap w:val="0"/>
            <w:vAlign w:val="center"/>
          </w:tcPr>
          <w:p w14:paraId="3C535DEB">
            <w:pPr>
              <w:pStyle w:val="14"/>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旱厕</w:t>
            </w:r>
            <w:r>
              <w:rPr>
                <w:rFonts w:hint="eastAsia" w:cs="Times New Roman"/>
                <w:color w:val="auto"/>
                <w:sz w:val="21"/>
                <w:szCs w:val="21"/>
                <w:lang w:val="en-US" w:eastAsia="zh-CN"/>
              </w:rPr>
              <w:t>、喷漆、晾干</w:t>
            </w:r>
          </w:p>
        </w:tc>
        <w:tc>
          <w:tcPr>
            <w:tcW w:w="1270" w:type="dxa"/>
            <w:noWrap w:val="0"/>
            <w:vAlign w:val="center"/>
          </w:tcPr>
          <w:p w14:paraId="608AB3DE">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臭气浓度</w:t>
            </w:r>
          </w:p>
        </w:tc>
        <w:tc>
          <w:tcPr>
            <w:tcW w:w="2377" w:type="dxa"/>
            <w:noWrap w:val="0"/>
            <w:vAlign w:val="center"/>
          </w:tcPr>
          <w:p w14:paraId="6FE82446">
            <w:pPr>
              <w:pStyle w:val="14"/>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自然扩散、绿化吸收</w:t>
            </w:r>
          </w:p>
        </w:tc>
        <w:tc>
          <w:tcPr>
            <w:tcW w:w="2693" w:type="dxa"/>
            <w:noWrap w:val="0"/>
            <w:vAlign w:val="center"/>
          </w:tcPr>
          <w:p w14:paraId="178B585E">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61845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noWrap w:val="0"/>
            <w:vAlign w:val="center"/>
          </w:tcPr>
          <w:p w14:paraId="11BB35C2">
            <w:pPr>
              <w:pStyle w:val="14"/>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w:t>
            </w:r>
          </w:p>
        </w:tc>
        <w:tc>
          <w:tcPr>
            <w:tcW w:w="1232" w:type="dxa"/>
            <w:noWrap w:val="0"/>
            <w:vAlign w:val="center"/>
          </w:tcPr>
          <w:p w14:paraId="732C3539">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办公废水</w:t>
            </w:r>
          </w:p>
        </w:tc>
        <w:tc>
          <w:tcPr>
            <w:tcW w:w="1270" w:type="dxa"/>
            <w:noWrap w:val="0"/>
            <w:vAlign w:val="center"/>
          </w:tcPr>
          <w:p w14:paraId="0F6BC1B5">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SS</w:t>
            </w:r>
          </w:p>
        </w:tc>
        <w:tc>
          <w:tcPr>
            <w:tcW w:w="2377" w:type="dxa"/>
            <w:noWrap w:val="0"/>
            <w:vAlign w:val="center"/>
          </w:tcPr>
          <w:p w14:paraId="3838CC14">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设置一个</w:t>
            </w:r>
            <w:r>
              <w:rPr>
                <w:rFonts w:hint="default"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m³的沉淀池，洗手废水经沉淀后回用于厂区道路洒水降尘</w:t>
            </w:r>
          </w:p>
        </w:tc>
        <w:tc>
          <w:tcPr>
            <w:tcW w:w="2693" w:type="dxa"/>
            <w:noWrap w:val="0"/>
            <w:vAlign w:val="center"/>
          </w:tcPr>
          <w:p w14:paraId="47905150">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181E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noWrap w:val="0"/>
            <w:vAlign w:val="center"/>
          </w:tcPr>
          <w:p w14:paraId="535D325E">
            <w:pPr>
              <w:pStyle w:val="14"/>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232" w:type="dxa"/>
            <w:noWrap w:val="0"/>
            <w:vAlign w:val="center"/>
          </w:tcPr>
          <w:p w14:paraId="470F5790">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生产设备</w:t>
            </w:r>
          </w:p>
        </w:tc>
        <w:tc>
          <w:tcPr>
            <w:tcW w:w="1270" w:type="dxa"/>
            <w:noWrap w:val="0"/>
            <w:vAlign w:val="center"/>
          </w:tcPr>
          <w:p w14:paraId="61455BFF">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噪声</w:t>
            </w:r>
          </w:p>
        </w:tc>
        <w:tc>
          <w:tcPr>
            <w:tcW w:w="2377" w:type="dxa"/>
            <w:noWrap w:val="0"/>
            <w:vAlign w:val="center"/>
          </w:tcPr>
          <w:p w14:paraId="23FF531B">
            <w:pPr>
              <w:pStyle w:val="14"/>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厂区合理布局，选用低噪声设备，</w:t>
            </w:r>
            <w:r>
              <w:rPr>
                <w:rFonts w:hint="default" w:ascii="Times New Roman" w:hAnsi="Times New Roman" w:cs="Times New Roman"/>
                <w:color w:val="auto"/>
                <w:sz w:val="21"/>
                <w:szCs w:val="21"/>
                <w:lang w:val="en-US" w:eastAsia="zh-CN"/>
              </w:rPr>
              <w:t>厂房隔声，</w:t>
            </w:r>
            <w:r>
              <w:rPr>
                <w:rFonts w:hint="default" w:ascii="Times New Roman" w:hAnsi="Times New Roman" w:cs="Times New Roman"/>
                <w:color w:val="auto"/>
                <w:sz w:val="21"/>
                <w:szCs w:val="21"/>
              </w:rPr>
              <w:t>加强设备维护，杜绝因设备非正常运转时产生的高噪声现象</w:t>
            </w:r>
          </w:p>
        </w:tc>
        <w:tc>
          <w:tcPr>
            <w:tcW w:w="2693" w:type="dxa"/>
            <w:noWrap w:val="0"/>
            <w:vAlign w:val="center"/>
          </w:tcPr>
          <w:p w14:paraId="3F7A0AD3">
            <w:pPr>
              <w:pStyle w:val="14"/>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GB12348-2008）</w:t>
            </w:r>
            <w:r>
              <w:rPr>
                <w:rFonts w:hint="eastAsia" w:cs="Times New Roman"/>
                <w:color w:val="auto"/>
                <w:sz w:val="21"/>
                <w:szCs w:val="21"/>
                <w:lang w:val="en-US" w:eastAsia="zh-CN"/>
              </w:rPr>
              <w:t>3</w:t>
            </w:r>
            <w:r>
              <w:rPr>
                <w:rFonts w:hint="default" w:ascii="Times New Roman" w:hAnsi="Times New Roman" w:cs="Times New Roman"/>
                <w:color w:val="auto"/>
                <w:sz w:val="21"/>
                <w:szCs w:val="21"/>
              </w:rPr>
              <w:t>类标准</w:t>
            </w:r>
          </w:p>
        </w:tc>
      </w:tr>
      <w:tr w14:paraId="0744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vMerge w:val="restart"/>
            <w:noWrap w:val="0"/>
            <w:vAlign w:val="center"/>
          </w:tcPr>
          <w:p w14:paraId="323EC90C">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固体废物</w:t>
            </w:r>
          </w:p>
        </w:tc>
        <w:tc>
          <w:tcPr>
            <w:tcW w:w="1232" w:type="dxa"/>
            <w:noWrap w:val="0"/>
            <w:vAlign w:val="center"/>
          </w:tcPr>
          <w:p w14:paraId="47BBB7D8">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员工</w:t>
            </w:r>
          </w:p>
        </w:tc>
        <w:tc>
          <w:tcPr>
            <w:tcW w:w="1270" w:type="dxa"/>
            <w:noWrap w:val="0"/>
            <w:vAlign w:val="center"/>
          </w:tcPr>
          <w:p w14:paraId="7F176B85">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垃圾</w:t>
            </w:r>
          </w:p>
        </w:tc>
        <w:tc>
          <w:tcPr>
            <w:tcW w:w="2377" w:type="dxa"/>
            <w:noWrap w:val="0"/>
            <w:vAlign w:val="center"/>
          </w:tcPr>
          <w:p w14:paraId="7937C6A4">
            <w:pPr>
              <w:pStyle w:val="14"/>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环卫部门清运处置</w:t>
            </w:r>
          </w:p>
        </w:tc>
        <w:tc>
          <w:tcPr>
            <w:tcW w:w="2693" w:type="dxa"/>
            <w:noWrap w:val="0"/>
            <w:vAlign w:val="center"/>
          </w:tcPr>
          <w:p w14:paraId="7A172965">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11DB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vMerge w:val="continue"/>
            <w:noWrap w:val="0"/>
            <w:vAlign w:val="center"/>
          </w:tcPr>
          <w:p w14:paraId="6C4B1F8F">
            <w:pPr>
              <w:pStyle w:val="14"/>
              <w:bidi w:val="0"/>
              <w:spacing w:line="240" w:lineRule="auto"/>
              <w:rPr>
                <w:rFonts w:hint="default" w:ascii="Times New Roman" w:hAnsi="Times New Roman" w:cs="Times New Roman"/>
                <w:color w:val="auto"/>
                <w:sz w:val="21"/>
                <w:szCs w:val="21"/>
              </w:rPr>
            </w:pPr>
          </w:p>
        </w:tc>
        <w:tc>
          <w:tcPr>
            <w:tcW w:w="1232" w:type="dxa"/>
            <w:noWrap w:val="0"/>
            <w:vAlign w:val="center"/>
          </w:tcPr>
          <w:p w14:paraId="48F419A8">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旱厕</w:t>
            </w:r>
          </w:p>
        </w:tc>
        <w:tc>
          <w:tcPr>
            <w:tcW w:w="1270" w:type="dxa"/>
            <w:noWrap w:val="0"/>
            <w:vAlign w:val="center"/>
          </w:tcPr>
          <w:p w14:paraId="2001F3B1">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化粪池粪污</w:t>
            </w:r>
          </w:p>
        </w:tc>
        <w:tc>
          <w:tcPr>
            <w:tcW w:w="2377" w:type="dxa"/>
            <w:noWrap w:val="0"/>
            <w:vAlign w:val="center"/>
          </w:tcPr>
          <w:p w14:paraId="463B1277">
            <w:pPr>
              <w:pStyle w:val="14"/>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委托周边村民定期清掏作农家肥使用</w:t>
            </w:r>
          </w:p>
        </w:tc>
        <w:tc>
          <w:tcPr>
            <w:tcW w:w="2693" w:type="dxa"/>
            <w:noWrap w:val="0"/>
            <w:vAlign w:val="center"/>
          </w:tcPr>
          <w:p w14:paraId="3393D9EE">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1DF6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vMerge w:val="continue"/>
            <w:noWrap w:val="0"/>
            <w:vAlign w:val="center"/>
          </w:tcPr>
          <w:p w14:paraId="3B3FB480">
            <w:pPr>
              <w:pStyle w:val="14"/>
              <w:bidi w:val="0"/>
              <w:spacing w:line="240" w:lineRule="auto"/>
              <w:rPr>
                <w:rFonts w:hint="default" w:ascii="Times New Roman" w:hAnsi="Times New Roman" w:cs="Times New Roman"/>
                <w:color w:val="auto"/>
                <w:sz w:val="21"/>
                <w:szCs w:val="21"/>
              </w:rPr>
            </w:pPr>
          </w:p>
        </w:tc>
        <w:tc>
          <w:tcPr>
            <w:tcW w:w="1232" w:type="dxa"/>
            <w:noWrap w:val="0"/>
            <w:vAlign w:val="center"/>
          </w:tcPr>
          <w:p w14:paraId="63D01CDE">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卸货</w:t>
            </w:r>
          </w:p>
        </w:tc>
        <w:tc>
          <w:tcPr>
            <w:tcW w:w="1270" w:type="dxa"/>
            <w:noWrap w:val="0"/>
            <w:vAlign w:val="center"/>
          </w:tcPr>
          <w:p w14:paraId="0CF9BA2D">
            <w:pPr>
              <w:pStyle w:val="14"/>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残次品</w:t>
            </w:r>
          </w:p>
        </w:tc>
        <w:tc>
          <w:tcPr>
            <w:tcW w:w="2377" w:type="dxa"/>
            <w:noWrap w:val="0"/>
            <w:vAlign w:val="center"/>
          </w:tcPr>
          <w:p w14:paraId="34E2FCED">
            <w:pPr>
              <w:pStyle w:val="14"/>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运回公司其他加工厂重新加工</w:t>
            </w:r>
          </w:p>
        </w:tc>
        <w:tc>
          <w:tcPr>
            <w:tcW w:w="2693" w:type="dxa"/>
            <w:noWrap w:val="0"/>
            <w:vAlign w:val="center"/>
          </w:tcPr>
          <w:p w14:paraId="0501DE2B">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0258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vMerge w:val="continue"/>
            <w:noWrap w:val="0"/>
            <w:vAlign w:val="center"/>
          </w:tcPr>
          <w:p w14:paraId="02C13E27">
            <w:pPr>
              <w:pStyle w:val="14"/>
              <w:bidi w:val="0"/>
              <w:spacing w:line="240" w:lineRule="auto"/>
              <w:rPr>
                <w:rFonts w:hint="default" w:ascii="Times New Roman" w:hAnsi="Times New Roman" w:cs="Times New Roman"/>
                <w:color w:val="auto"/>
                <w:sz w:val="21"/>
                <w:szCs w:val="21"/>
              </w:rPr>
            </w:pPr>
          </w:p>
        </w:tc>
        <w:tc>
          <w:tcPr>
            <w:tcW w:w="1232" w:type="dxa"/>
            <w:noWrap w:val="0"/>
            <w:vAlign w:val="center"/>
          </w:tcPr>
          <w:p w14:paraId="0E89195A">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产品包装</w:t>
            </w:r>
          </w:p>
        </w:tc>
        <w:tc>
          <w:tcPr>
            <w:tcW w:w="1270" w:type="dxa"/>
            <w:noWrap w:val="0"/>
            <w:vAlign w:val="center"/>
          </w:tcPr>
          <w:p w14:paraId="3937F910">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包装废料</w:t>
            </w:r>
          </w:p>
        </w:tc>
        <w:tc>
          <w:tcPr>
            <w:tcW w:w="2377" w:type="dxa"/>
            <w:noWrap w:val="0"/>
            <w:vAlign w:val="center"/>
          </w:tcPr>
          <w:p w14:paraId="1B26F90F">
            <w:pPr>
              <w:pStyle w:val="14"/>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出售废品回收站</w:t>
            </w:r>
          </w:p>
        </w:tc>
        <w:tc>
          <w:tcPr>
            <w:tcW w:w="2693" w:type="dxa"/>
            <w:noWrap w:val="0"/>
            <w:vAlign w:val="center"/>
          </w:tcPr>
          <w:p w14:paraId="40202233">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3E130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vMerge w:val="continue"/>
            <w:noWrap w:val="0"/>
            <w:vAlign w:val="center"/>
          </w:tcPr>
          <w:p w14:paraId="495076FF">
            <w:pPr>
              <w:pStyle w:val="14"/>
              <w:bidi w:val="0"/>
              <w:spacing w:line="240" w:lineRule="auto"/>
              <w:rPr>
                <w:rFonts w:hint="default" w:ascii="Times New Roman" w:hAnsi="Times New Roman" w:cs="Times New Roman"/>
                <w:color w:val="auto"/>
                <w:sz w:val="21"/>
                <w:szCs w:val="21"/>
              </w:rPr>
            </w:pPr>
          </w:p>
        </w:tc>
        <w:tc>
          <w:tcPr>
            <w:tcW w:w="1232" w:type="dxa"/>
            <w:noWrap w:val="0"/>
            <w:vAlign w:val="center"/>
          </w:tcPr>
          <w:p w14:paraId="6FE22374">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废劳保用品</w:t>
            </w:r>
          </w:p>
        </w:tc>
        <w:tc>
          <w:tcPr>
            <w:tcW w:w="1270" w:type="dxa"/>
            <w:noWrap w:val="0"/>
            <w:vAlign w:val="center"/>
          </w:tcPr>
          <w:p w14:paraId="67156A7F">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劳动保护</w:t>
            </w:r>
          </w:p>
        </w:tc>
        <w:tc>
          <w:tcPr>
            <w:tcW w:w="2377" w:type="dxa"/>
            <w:noWrap w:val="0"/>
            <w:vAlign w:val="center"/>
          </w:tcPr>
          <w:p w14:paraId="6573B30A">
            <w:pPr>
              <w:pStyle w:val="14"/>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出售废品回收站</w:t>
            </w:r>
          </w:p>
        </w:tc>
        <w:tc>
          <w:tcPr>
            <w:tcW w:w="2693" w:type="dxa"/>
            <w:noWrap w:val="0"/>
            <w:vAlign w:val="center"/>
          </w:tcPr>
          <w:p w14:paraId="4ED7D5F5">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172C3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vMerge w:val="continue"/>
            <w:noWrap w:val="0"/>
            <w:vAlign w:val="center"/>
          </w:tcPr>
          <w:p w14:paraId="6E08CB38">
            <w:pPr>
              <w:pStyle w:val="14"/>
              <w:bidi w:val="0"/>
              <w:spacing w:line="240" w:lineRule="auto"/>
              <w:rPr>
                <w:rFonts w:hint="default" w:ascii="Times New Roman" w:hAnsi="Times New Roman" w:cs="Times New Roman"/>
                <w:color w:val="auto"/>
                <w:sz w:val="21"/>
                <w:szCs w:val="21"/>
              </w:rPr>
            </w:pPr>
          </w:p>
        </w:tc>
        <w:tc>
          <w:tcPr>
            <w:tcW w:w="1232" w:type="dxa"/>
            <w:noWrap w:val="0"/>
            <w:vAlign w:val="center"/>
          </w:tcPr>
          <w:p w14:paraId="78CCB844">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设备检修</w:t>
            </w:r>
          </w:p>
        </w:tc>
        <w:tc>
          <w:tcPr>
            <w:tcW w:w="1270" w:type="dxa"/>
            <w:noWrap w:val="0"/>
            <w:vAlign w:val="center"/>
          </w:tcPr>
          <w:p w14:paraId="1347D72A">
            <w:pPr>
              <w:pStyle w:val="14"/>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废机油、机油桶、机油沾染物</w:t>
            </w:r>
          </w:p>
        </w:tc>
        <w:tc>
          <w:tcPr>
            <w:tcW w:w="2377" w:type="dxa"/>
            <w:vMerge w:val="restart"/>
            <w:noWrap w:val="0"/>
            <w:vAlign w:val="center"/>
          </w:tcPr>
          <w:p w14:paraId="3F049EB2">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暂存于危废间，</w:t>
            </w:r>
            <w:r>
              <w:rPr>
                <w:rFonts w:hint="default" w:ascii="Times New Roman" w:hAnsi="Times New Roman" w:cs="Times New Roman"/>
                <w:color w:val="auto"/>
                <w:sz w:val="21"/>
                <w:szCs w:val="21"/>
              </w:rPr>
              <w:t>委托</w:t>
            </w:r>
            <w:r>
              <w:rPr>
                <w:rFonts w:hint="default" w:ascii="Times New Roman" w:hAnsi="Times New Roman" w:cs="Times New Roman"/>
                <w:color w:val="auto"/>
                <w:sz w:val="21"/>
                <w:szCs w:val="21"/>
                <w:lang w:val="en-US" w:eastAsia="zh-CN"/>
              </w:rPr>
              <w:t>有资质的单位清运</w:t>
            </w:r>
            <w:r>
              <w:rPr>
                <w:rFonts w:hint="default" w:ascii="Times New Roman" w:hAnsi="Times New Roman" w:cs="Times New Roman"/>
                <w:color w:val="auto"/>
                <w:sz w:val="21"/>
                <w:szCs w:val="21"/>
              </w:rPr>
              <w:t>处理</w:t>
            </w:r>
          </w:p>
        </w:tc>
        <w:tc>
          <w:tcPr>
            <w:tcW w:w="2693" w:type="dxa"/>
            <w:noWrap w:val="0"/>
            <w:vAlign w:val="center"/>
          </w:tcPr>
          <w:p w14:paraId="096985F3">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1C25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vMerge w:val="continue"/>
            <w:noWrap w:val="0"/>
            <w:vAlign w:val="center"/>
          </w:tcPr>
          <w:p w14:paraId="10FD7310">
            <w:pPr>
              <w:pStyle w:val="14"/>
              <w:bidi w:val="0"/>
              <w:spacing w:line="240" w:lineRule="auto"/>
              <w:rPr>
                <w:rFonts w:hint="default" w:ascii="Times New Roman" w:hAnsi="Times New Roman" w:cs="Times New Roman"/>
                <w:color w:val="auto"/>
                <w:sz w:val="21"/>
                <w:szCs w:val="21"/>
              </w:rPr>
            </w:pPr>
          </w:p>
        </w:tc>
        <w:tc>
          <w:tcPr>
            <w:tcW w:w="1232" w:type="dxa"/>
            <w:noWrap w:val="0"/>
            <w:vAlign w:val="center"/>
          </w:tcPr>
          <w:p w14:paraId="77ECEC2A">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有机废气处理系统</w:t>
            </w:r>
          </w:p>
        </w:tc>
        <w:tc>
          <w:tcPr>
            <w:tcW w:w="1270" w:type="dxa"/>
            <w:noWrap w:val="0"/>
            <w:vAlign w:val="center"/>
          </w:tcPr>
          <w:p w14:paraId="3DB1B9D3">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废活性炭</w:t>
            </w:r>
          </w:p>
        </w:tc>
        <w:tc>
          <w:tcPr>
            <w:tcW w:w="2377" w:type="dxa"/>
            <w:vMerge w:val="continue"/>
            <w:noWrap w:val="0"/>
            <w:vAlign w:val="center"/>
          </w:tcPr>
          <w:p w14:paraId="21F929D6">
            <w:pPr>
              <w:pStyle w:val="14"/>
              <w:bidi w:val="0"/>
              <w:spacing w:line="240" w:lineRule="auto"/>
              <w:rPr>
                <w:rFonts w:hint="default" w:ascii="Times New Roman" w:hAnsi="Times New Roman" w:cs="Times New Roman"/>
                <w:color w:val="auto"/>
                <w:sz w:val="21"/>
                <w:szCs w:val="21"/>
              </w:rPr>
            </w:pPr>
          </w:p>
        </w:tc>
        <w:tc>
          <w:tcPr>
            <w:tcW w:w="2693" w:type="dxa"/>
            <w:noWrap w:val="0"/>
            <w:vAlign w:val="center"/>
          </w:tcPr>
          <w:p w14:paraId="62D3B6A9">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37CD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vMerge w:val="continue"/>
            <w:noWrap w:val="0"/>
            <w:vAlign w:val="center"/>
          </w:tcPr>
          <w:p w14:paraId="5B61571B">
            <w:pPr>
              <w:pStyle w:val="14"/>
              <w:bidi w:val="0"/>
              <w:spacing w:line="240" w:lineRule="auto"/>
              <w:rPr>
                <w:rFonts w:hint="default" w:ascii="Times New Roman" w:hAnsi="Times New Roman" w:cs="Times New Roman"/>
                <w:color w:val="auto"/>
                <w:sz w:val="21"/>
                <w:szCs w:val="21"/>
              </w:rPr>
            </w:pPr>
          </w:p>
        </w:tc>
        <w:tc>
          <w:tcPr>
            <w:tcW w:w="1232" w:type="dxa"/>
            <w:noWrap w:val="0"/>
            <w:vAlign w:val="center"/>
          </w:tcPr>
          <w:p w14:paraId="11ACE386">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喷漆</w:t>
            </w:r>
          </w:p>
        </w:tc>
        <w:tc>
          <w:tcPr>
            <w:tcW w:w="1270" w:type="dxa"/>
            <w:noWrap w:val="0"/>
            <w:vAlign w:val="center"/>
          </w:tcPr>
          <w:p w14:paraId="42F54DC5">
            <w:pPr>
              <w:pStyle w:val="14"/>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油漆、稀释剂、固化剂等废包装桶</w:t>
            </w:r>
          </w:p>
        </w:tc>
        <w:tc>
          <w:tcPr>
            <w:tcW w:w="2377" w:type="dxa"/>
            <w:vMerge w:val="continue"/>
            <w:noWrap w:val="0"/>
            <w:vAlign w:val="center"/>
          </w:tcPr>
          <w:p w14:paraId="71D32348">
            <w:pPr>
              <w:pStyle w:val="14"/>
              <w:bidi w:val="0"/>
              <w:spacing w:line="240" w:lineRule="auto"/>
              <w:rPr>
                <w:rFonts w:hint="default" w:ascii="Times New Roman" w:hAnsi="Times New Roman" w:cs="Times New Roman"/>
                <w:color w:val="auto"/>
                <w:sz w:val="21"/>
                <w:szCs w:val="21"/>
              </w:rPr>
            </w:pPr>
          </w:p>
        </w:tc>
        <w:tc>
          <w:tcPr>
            <w:tcW w:w="2693" w:type="dxa"/>
            <w:noWrap w:val="0"/>
            <w:vAlign w:val="center"/>
          </w:tcPr>
          <w:p w14:paraId="0196875E">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7377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vMerge w:val="continue"/>
            <w:noWrap w:val="0"/>
            <w:vAlign w:val="center"/>
          </w:tcPr>
          <w:p w14:paraId="5DB93061">
            <w:pPr>
              <w:pStyle w:val="14"/>
              <w:bidi w:val="0"/>
              <w:spacing w:line="240" w:lineRule="auto"/>
              <w:rPr>
                <w:rFonts w:hint="default" w:ascii="Times New Roman" w:hAnsi="Times New Roman" w:cs="Times New Roman"/>
                <w:color w:val="auto"/>
                <w:sz w:val="21"/>
                <w:szCs w:val="21"/>
              </w:rPr>
            </w:pPr>
          </w:p>
        </w:tc>
        <w:tc>
          <w:tcPr>
            <w:tcW w:w="1232" w:type="dxa"/>
            <w:noWrap w:val="0"/>
            <w:vAlign w:val="center"/>
          </w:tcPr>
          <w:p w14:paraId="224BB0F9">
            <w:pPr>
              <w:pStyle w:val="14"/>
              <w:bidi w:val="0"/>
              <w:spacing w:line="240" w:lineRule="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水帘系统</w:t>
            </w:r>
            <w:r>
              <w:rPr>
                <w:rFonts w:hint="default" w:ascii="Times New Roman" w:hAnsi="Times New Roman" w:cs="Times New Roman"/>
                <w:color w:val="auto"/>
                <w:sz w:val="21"/>
                <w:szCs w:val="21"/>
                <w:lang w:val="en-US" w:eastAsia="zh-CN"/>
              </w:rPr>
              <w:t>更换</w:t>
            </w:r>
          </w:p>
        </w:tc>
        <w:tc>
          <w:tcPr>
            <w:tcW w:w="1270" w:type="dxa"/>
            <w:noWrap w:val="0"/>
            <w:vAlign w:val="center"/>
          </w:tcPr>
          <w:p w14:paraId="64E082A1">
            <w:pPr>
              <w:pStyle w:val="14"/>
              <w:bidi w:val="0"/>
              <w:spacing w:line="240" w:lineRule="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水帘废液</w:t>
            </w:r>
          </w:p>
        </w:tc>
        <w:tc>
          <w:tcPr>
            <w:tcW w:w="2377" w:type="dxa"/>
            <w:vMerge w:val="continue"/>
            <w:noWrap w:val="0"/>
            <w:vAlign w:val="center"/>
          </w:tcPr>
          <w:p w14:paraId="66D301AE">
            <w:pPr>
              <w:pStyle w:val="14"/>
              <w:bidi w:val="0"/>
              <w:spacing w:line="240" w:lineRule="auto"/>
              <w:rPr>
                <w:rFonts w:hint="default" w:ascii="Times New Roman" w:hAnsi="Times New Roman" w:cs="Times New Roman"/>
                <w:color w:val="auto"/>
                <w:sz w:val="21"/>
                <w:szCs w:val="21"/>
              </w:rPr>
            </w:pPr>
          </w:p>
        </w:tc>
        <w:tc>
          <w:tcPr>
            <w:tcW w:w="2693" w:type="dxa"/>
            <w:noWrap w:val="0"/>
            <w:vAlign w:val="center"/>
          </w:tcPr>
          <w:p w14:paraId="367FA96E">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6EEA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vMerge w:val="continue"/>
            <w:noWrap w:val="0"/>
            <w:vAlign w:val="center"/>
          </w:tcPr>
          <w:p w14:paraId="6BFFD6A6">
            <w:pPr>
              <w:pStyle w:val="14"/>
              <w:bidi w:val="0"/>
              <w:spacing w:line="240" w:lineRule="auto"/>
              <w:rPr>
                <w:rFonts w:hint="default" w:ascii="Times New Roman" w:hAnsi="Times New Roman" w:cs="Times New Roman"/>
                <w:color w:val="auto"/>
                <w:sz w:val="21"/>
                <w:szCs w:val="21"/>
              </w:rPr>
            </w:pPr>
          </w:p>
        </w:tc>
        <w:tc>
          <w:tcPr>
            <w:tcW w:w="1232" w:type="dxa"/>
            <w:noWrap w:val="0"/>
            <w:vAlign w:val="center"/>
          </w:tcPr>
          <w:p w14:paraId="7E4C2146">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喷漆</w:t>
            </w:r>
          </w:p>
        </w:tc>
        <w:tc>
          <w:tcPr>
            <w:tcW w:w="1270" w:type="dxa"/>
            <w:noWrap w:val="0"/>
            <w:vAlign w:val="center"/>
          </w:tcPr>
          <w:p w14:paraId="47D2383C">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漆渣</w:t>
            </w:r>
          </w:p>
        </w:tc>
        <w:tc>
          <w:tcPr>
            <w:tcW w:w="2377" w:type="dxa"/>
            <w:vMerge w:val="continue"/>
            <w:noWrap w:val="0"/>
            <w:vAlign w:val="center"/>
          </w:tcPr>
          <w:p w14:paraId="6C9F1FD4">
            <w:pPr>
              <w:pStyle w:val="14"/>
              <w:bidi w:val="0"/>
              <w:spacing w:line="240" w:lineRule="auto"/>
              <w:rPr>
                <w:rFonts w:hint="default" w:ascii="Times New Roman" w:hAnsi="Times New Roman" w:cs="Times New Roman"/>
                <w:color w:val="auto"/>
                <w:sz w:val="21"/>
                <w:szCs w:val="21"/>
              </w:rPr>
            </w:pPr>
          </w:p>
        </w:tc>
        <w:tc>
          <w:tcPr>
            <w:tcW w:w="2693" w:type="dxa"/>
            <w:noWrap w:val="0"/>
            <w:vAlign w:val="center"/>
          </w:tcPr>
          <w:p w14:paraId="217F5087">
            <w:pPr>
              <w:pStyle w:val="14"/>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13B0E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noWrap w:val="0"/>
            <w:vAlign w:val="center"/>
          </w:tcPr>
          <w:p w14:paraId="544377E6">
            <w:pPr>
              <w:pStyle w:val="14"/>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电磁辐射</w:t>
            </w:r>
          </w:p>
        </w:tc>
        <w:tc>
          <w:tcPr>
            <w:tcW w:w="7572" w:type="dxa"/>
            <w:gridSpan w:val="4"/>
            <w:noWrap w:val="0"/>
            <w:vAlign w:val="center"/>
          </w:tcPr>
          <w:p w14:paraId="1F72F6E1">
            <w:pPr>
              <w:pStyle w:val="14"/>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73F6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noWrap w:val="0"/>
            <w:vAlign w:val="center"/>
          </w:tcPr>
          <w:p w14:paraId="0F24EC32">
            <w:pPr>
              <w:pStyle w:val="14"/>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土壤及地下水污染防治措施</w:t>
            </w:r>
          </w:p>
        </w:tc>
        <w:tc>
          <w:tcPr>
            <w:tcW w:w="7572" w:type="dxa"/>
            <w:gridSpan w:val="4"/>
            <w:noWrap w:val="0"/>
            <w:vAlign w:val="center"/>
          </w:tcPr>
          <w:p w14:paraId="7DCB954F">
            <w:pPr>
              <w:pStyle w:val="14"/>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1）清污分流：按清污分流分质处理的原则，</w:t>
            </w:r>
            <w:r>
              <w:rPr>
                <w:rFonts w:hint="default" w:ascii="Times New Roman" w:hAnsi="Times New Roman" w:cs="Times New Roman"/>
                <w:color w:val="auto"/>
                <w:sz w:val="21"/>
                <w:szCs w:val="21"/>
                <w:lang w:val="en-US" w:eastAsia="zh-CN"/>
              </w:rPr>
              <w:t>洗手废水及</w:t>
            </w:r>
            <w:r>
              <w:rPr>
                <w:rFonts w:hint="default" w:ascii="Times New Roman" w:hAnsi="Times New Roman" w:cs="Times New Roman"/>
                <w:color w:val="auto"/>
                <w:sz w:val="21"/>
                <w:szCs w:val="21"/>
              </w:rPr>
              <w:t>雨水要有组织地分别排入对应的系统管网和收集、处理系统处理。</w:t>
            </w:r>
          </w:p>
          <w:p w14:paraId="737E804D">
            <w:pPr>
              <w:pStyle w:val="14"/>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2）防渗措施</w:t>
            </w:r>
          </w:p>
          <w:p w14:paraId="40347B4E">
            <w:pPr>
              <w:pStyle w:val="14"/>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根据不同区域的防渗要求，本评价根据不同区域的功能划分，提出具体的防渗系数要求，分述如下：</w:t>
            </w:r>
          </w:p>
          <w:p w14:paraId="18B37FE0">
            <w:pPr>
              <w:pStyle w:val="14"/>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a.重点防渗区</w:t>
            </w:r>
          </w:p>
          <w:p w14:paraId="4B2CA8EB">
            <w:pPr>
              <w:pStyle w:val="14"/>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防渗技术要求为：等效黏土防渗层Mb≥6.0m，K≤1×10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hint="eastAsia" w:cs="Times New Roman"/>
                <w:color w:val="auto"/>
                <w:sz w:val="21"/>
                <w:szCs w:val="21"/>
                <w:lang w:eastAsia="zh-CN"/>
              </w:rPr>
              <w:t>；</w:t>
            </w:r>
            <w:r>
              <w:rPr>
                <w:rFonts w:hint="default" w:ascii="Times New Roman" w:hAnsi="Times New Roman" w:cs="Times New Roman"/>
                <w:color w:val="auto"/>
                <w:sz w:val="21"/>
                <w:szCs w:val="21"/>
              </w:rPr>
              <w:t>或参照GB18598执行。防渗措施：</w:t>
            </w:r>
            <w:r>
              <w:rPr>
                <w:rFonts w:hint="default" w:ascii="Times New Roman" w:hAnsi="Times New Roman" w:cs="Times New Roman"/>
                <w:color w:val="auto"/>
                <w:sz w:val="21"/>
                <w:szCs w:val="21"/>
                <w:lang w:val="en-US" w:eastAsia="zh-CN"/>
              </w:rPr>
              <w:t>建议采用</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抗渗系数为P8水泥+2.0mmHDPE膜+环氧树脂</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进行防渗，使其地面、围堰区达到渗透系数≤1×10</w:t>
            </w:r>
            <w:r>
              <w:rPr>
                <w:rFonts w:hint="default" w:ascii="Times New Roman" w:hAnsi="Times New Roman" w:cs="Times New Roman"/>
                <w:color w:val="auto"/>
                <w:sz w:val="21"/>
                <w:szCs w:val="21"/>
                <w:vertAlign w:val="superscript"/>
                <w:lang w:val="en-US" w:eastAsia="zh-CN"/>
              </w:rPr>
              <w:t>-10</w:t>
            </w:r>
            <w:r>
              <w:rPr>
                <w:rFonts w:hint="default" w:ascii="Times New Roman" w:hAnsi="Times New Roman" w:cs="Times New Roman"/>
                <w:color w:val="auto"/>
                <w:sz w:val="21"/>
                <w:szCs w:val="21"/>
                <w:lang w:val="en-US" w:eastAsia="zh-CN"/>
              </w:rPr>
              <w:t>cm/s的防渗性能。</w:t>
            </w:r>
          </w:p>
          <w:p w14:paraId="35465D73">
            <w:pPr>
              <w:pStyle w:val="14"/>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b.一般防渗区</w:t>
            </w:r>
          </w:p>
          <w:p w14:paraId="41897C01">
            <w:pPr>
              <w:pStyle w:val="14"/>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防渗技术要求为：等效黏土防渗层Mb≥1.5m，K≤1×10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hint="eastAsia" w:cs="Times New Roman"/>
                <w:color w:val="auto"/>
                <w:sz w:val="21"/>
                <w:szCs w:val="21"/>
                <w:lang w:eastAsia="zh-CN"/>
              </w:rPr>
              <w:t>；</w:t>
            </w:r>
            <w:r>
              <w:rPr>
                <w:rFonts w:hint="default" w:ascii="Times New Roman" w:hAnsi="Times New Roman" w:cs="Times New Roman"/>
                <w:color w:val="auto"/>
                <w:sz w:val="21"/>
                <w:szCs w:val="21"/>
              </w:rPr>
              <w:t>或参照GB16889执行。防渗措施：</w:t>
            </w:r>
            <w:r>
              <w:rPr>
                <w:rFonts w:hint="default" w:ascii="Times New Roman" w:hAnsi="Times New Roman" w:cs="Times New Roman"/>
                <w:color w:val="auto"/>
                <w:sz w:val="21"/>
                <w:szCs w:val="21"/>
                <w:lang w:val="en-US" w:eastAsia="zh-CN"/>
              </w:rPr>
              <w:t>沉淀池防渗层建议采用2.0mm厚HDPE防渗膜+硬化，防渗性能达到等效黏土防渗层Mb≥1.5m，渗透系数≤1.0×10</w:t>
            </w:r>
            <w:r>
              <w:rPr>
                <w:rFonts w:hint="default" w:ascii="Times New Roman" w:hAnsi="Times New Roman" w:cs="Times New Roman"/>
                <w:color w:val="auto"/>
                <w:sz w:val="21"/>
                <w:szCs w:val="21"/>
                <w:vertAlign w:val="superscript"/>
                <w:lang w:val="en-US" w:eastAsia="zh-CN"/>
              </w:rPr>
              <w:t>-7</w:t>
            </w:r>
            <w:r>
              <w:rPr>
                <w:rFonts w:hint="default" w:ascii="Times New Roman" w:hAnsi="Times New Roman" w:cs="Times New Roman"/>
                <w:color w:val="auto"/>
                <w:sz w:val="21"/>
                <w:szCs w:val="21"/>
                <w:lang w:val="en-US" w:eastAsia="zh-CN"/>
              </w:rPr>
              <w:t>cm/s</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生产厂房、</w:t>
            </w:r>
            <w:r>
              <w:rPr>
                <w:rFonts w:hint="default" w:ascii="Times New Roman" w:hAnsi="Times New Roman" w:cs="Times New Roman"/>
                <w:color w:val="auto"/>
                <w:sz w:val="21"/>
                <w:szCs w:val="21"/>
                <w:lang w:eastAsia="zh-CN"/>
              </w:rPr>
              <w:t>一般工业固废</w:t>
            </w:r>
            <w:r>
              <w:rPr>
                <w:rFonts w:hint="default" w:ascii="Times New Roman" w:hAnsi="Times New Roman" w:cs="Times New Roman"/>
                <w:color w:val="auto"/>
                <w:sz w:val="21"/>
                <w:szCs w:val="21"/>
              </w:rPr>
              <w:t>存放区参照《一般工业固体废物贮存和填埋污染控制标准》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GB18599-2020）要求防渗，等效粘土防渗层Mb≥0.75m，K≤1.0×10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cm/s。</w:t>
            </w:r>
          </w:p>
          <w:p w14:paraId="284820A3">
            <w:pPr>
              <w:pStyle w:val="14"/>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c.简单防渗区</w:t>
            </w:r>
          </w:p>
          <w:p w14:paraId="715A8652">
            <w:pPr>
              <w:pStyle w:val="14"/>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采用防渗混凝土作面层，面层厚度不小于100mm，渗透系数≤10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cm/s，其下铺砌砂石基层，进行一般地面硬化。</w:t>
            </w:r>
          </w:p>
          <w:p w14:paraId="37F49DB8">
            <w:pPr>
              <w:pStyle w:val="14"/>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3）应急处置措施</w:t>
            </w:r>
          </w:p>
          <w:p w14:paraId="4E25916C">
            <w:pPr>
              <w:pStyle w:val="14"/>
              <w:bidi w:val="0"/>
              <w:jc w:val="left"/>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①</w:t>
            </w:r>
            <w:r>
              <w:rPr>
                <w:rFonts w:hint="default" w:ascii="Times New Roman" w:hAnsi="Times New Roman" w:cs="Times New Roman"/>
                <w:color w:val="auto"/>
                <w:sz w:val="21"/>
                <w:szCs w:val="21"/>
              </w:rPr>
              <w:t>如发现地下水</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土壤</w:t>
            </w:r>
            <w:r>
              <w:rPr>
                <w:rFonts w:hint="default" w:ascii="Times New Roman" w:hAnsi="Times New Roman" w:cs="Times New Roman"/>
                <w:color w:val="auto"/>
                <w:sz w:val="21"/>
                <w:szCs w:val="21"/>
              </w:rPr>
              <w:t>污染事故，应立即向公司环保部门及行政管理部门报告，调查并确认污染源位置</w:t>
            </w:r>
            <w:r>
              <w:rPr>
                <w:rFonts w:hint="eastAsia" w:cs="Times New Roman"/>
                <w:color w:val="auto"/>
                <w:sz w:val="21"/>
                <w:szCs w:val="21"/>
                <w:lang w:eastAsia="zh-CN"/>
              </w:rPr>
              <w:t>；</w:t>
            </w:r>
          </w:p>
          <w:p w14:paraId="7F572067">
            <w:pPr>
              <w:pStyle w:val="14"/>
              <w:bidi w:val="0"/>
              <w:jc w:val="left"/>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②</w:t>
            </w:r>
            <w:r>
              <w:rPr>
                <w:rFonts w:hint="default" w:ascii="Times New Roman" w:hAnsi="Times New Roman" w:cs="Times New Roman"/>
                <w:color w:val="auto"/>
                <w:sz w:val="21"/>
                <w:szCs w:val="21"/>
              </w:rPr>
              <w:t>采取有效措施及时阻断确认的污染源，防止污染物继续渗漏到地下，导致土壤和地下水污染范围扩大</w:t>
            </w:r>
            <w:r>
              <w:rPr>
                <w:rFonts w:hint="eastAsia" w:cs="Times New Roman"/>
                <w:color w:val="auto"/>
                <w:sz w:val="21"/>
                <w:szCs w:val="21"/>
                <w:lang w:eastAsia="zh-CN"/>
              </w:rPr>
              <w:t>；</w:t>
            </w:r>
          </w:p>
          <w:p w14:paraId="74582339">
            <w:pPr>
              <w:pStyle w:val="14"/>
              <w:bidi w:val="0"/>
              <w:jc w:val="left"/>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③</w:t>
            </w:r>
            <w:r>
              <w:rPr>
                <w:rFonts w:hint="default" w:ascii="Times New Roman" w:hAnsi="Times New Roman" w:cs="Times New Roman"/>
                <w:color w:val="auto"/>
                <w:sz w:val="21"/>
                <w:szCs w:val="21"/>
              </w:rPr>
              <w:t>立即对重污染区域采取有效的修复措施，包括开挖并移走重污染土壤作危险废物处置，防止污染物在地下继续扩散</w:t>
            </w:r>
            <w:r>
              <w:rPr>
                <w:rFonts w:hint="eastAsia" w:cs="Times New Roman"/>
                <w:color w:val="auto"/>
                <w:sz w:val="21"/>
                <w:szCs w:val="21"/>
                <w:lang w:eastAsia="zh-CN"/>
              </w:rPr>
              <w:t>；</w:t>
            </w:r>
          </w:p>
          <w:p w14:paraId="64AA0E6B">
            <w:pPr>
              <w:pStyle w:val="14"/>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④若有必要，</w:t>
            </w:r>
            <w:r>
              <w:rPr>
                <w:rFonts w:hint="default" w:ascii="Times New Roman" w:hAnsi="Times New Roman" w:cs="Times New Roman"/>
                <w:color w:val="auto"/>
                <w:sz w:val="21"/>
                <w:szCs w:val="21"/>
              </w:rPr>
              <w:t>对项目区地下水进行监测，确定水质是否受到影响。</w:t>
            </w:r>
          </w:p>
        </w:tc>
      </w:tr>
      <w:tr w14:paraId="286F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noWrap w:val="0"/>
            <w:vAlign w:val="center"/>
          </w:tcPr>
          <w:p w14:paraId="1CF60490">
            <w:pPr>
              <w:pStyle w:val="14"/>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生态保护措施</w:t>
            </w:r>
          </w:p>
        </w:tc>
        <w:tc>
          <w:tcPr>
            <w:tcW w:w="7572" w:type="dxa"/>
            <w:gridSpan w:val="4"/>
            <w:noWrap w:val="0"/>
            <w:vAlign w:val="center"/>
          </w:tcPr>
          <w:p w14:paraId="50852A95">
            <w:pPr>
              <w:pStyle w:val="14"/>
              <w:bidi w:val="0"/>
              <w:jc w:val="lef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项目用地范围内无生态环境敏感目标，项目运行后保证污染物的达标排放，对生态环境影响</w:t>
            </w:r>
            <w:r>
              <w:rPr>
                <w:rFonts w:hint="default" w:ascii="Times New Roman" w:hAnsi="Times New Roman" w:cs="Times New Roman"/>
                <w:color w:val="auto"/>
                <w:sz w:val="21"/>
                <w:szCs w:val="21"/>
                <w:lang w:val="en-US" w:eastAsia="zh-CN"/>
              </w:rPr>
              <w:t>较小。</w:t>
            </w:r>
          </w:p>
        </w:tc>
      </w:tr>
      <w:tr w14:paraId="52DC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noWrap w:val="0"/>
            <w:vAlign w:val="center"/>
          </w:tcPr>
          <w:p w14:paraId="2314F273">
            <w:pPr>
              <w:pStyle w:val="14"/>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环境风险防范措施</w:t>
            </w:r>
          </w:p>
        </w:tc>
        <w:tc>
          <w:tcPr>
            <w:tcW w:w="7572" w:type="dxa"/>
            <w:gridSpan w:val="4"/>
            <w:noWrap w:val="0"/>
            <w:vAlign w:val="center"/>
          </w:tcPr>
          <w:p w14:paraId="633270BC">
            <w:pPr>
              <w:pStyle w:val="14"/>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①危险废物必须按规定设置警示标志，分类管理，分类存放</w:t>
            </w:r>
            <w:r>
              <w:rPr>
                <w:rFonts w:hint="eastAsia" w:cs="Times New Roman"/>
                <w:color w:val="auto"/>
                <w:sz w:val="21"/>
                <w:szCs w:val="21"/>
                <w:lang w:eastAsia="zh-CN"/>
              </w:rPr>
              <w:t>；</w:t>
            </w:r>
            <w:r>
              <w:rPr>
                <w:rFonts w:hint="default" w:ascii="Times New Roman" w:hAnsi="Times New Roman" w:cs="Times New Roman"/>
                <w:color w:val="auto"/>
                <w:sz w:val="21"/>
                <w:szCs w:val="21"/>
              </w:rPr>
              <w:t>配备必要的危险品事故防范和应急技术装备。</w:t>
            </w:r>
          </w:p>
          <w:p w14:paraId="62D66C2E">
            <w:pPr>
              <w:pStyle w:val="14"/>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②根据消防部门的要求配置泡沫灭火器等消防设施。</w:t>
            </w:r>
          </w:p>
          <w:p w14:paraId="29F572F1">
            <w:pPr>
              <w:pStyle w:val="14"/>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③严格按照《建筑设计防火规范》</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2018年版）等标准规范进行设计。</w:t>
            </w:r>
          </w:p>
          <w:p w14:paraId="30BB31D2">
            <w:pPr>
              <w:pStyle w:val="14"/>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④危废暂存间地面及围堰采用</w:t>
            </w:r>
            <w:r>
              <w:rPr>
                <w:rFonts w:hint="eastAsia" w:cs="Times New Roman"/>
                <w:color w:val="auto"/>
                <w:sz w:val="21"/>
                <w:szCs w:val="21"/>
                <w:lang w:eastAsia="zh-CN"/>
              </w:rPr>
              <w:t>“</w:t>
            </w:r>
            <w:r>
              <w:rPr>
                <w:rFonts w:hint="default" w:ascii="Times New Roman" w:hAnsi="Times New Roman" w:cs="Times New Roman"/>
                <w:color w:val="auto"/>
                <w:sz w:val="21"/>
                <w:szCs w:val="21"/>
              </w:rPr>
              <w:t>抗渗系数为P8水泥+2.0mmHDPE膜+环氧树脂</w:t>
            </w:r>
            <w:r>
              <w:rPr>
                <w:rFonts w:hint="eastAsia" w:cs="Times New Roman"/>
                <w:color w:val="auto"/>
                <w:sz w:val="21"/>
                <w:szCs w:val="21"/>
                <w:lang w:eastAsia="zh-CN"/>
              </w:rPr>
              <w:t>”</w:t>
            </w:r>
            <w:r>
              <w:rPr>
                <w:rFonts w:hint="default" w:ascii="Times New Roman" w:hAnsi="Times New Roman" w:cs="Times New Roman"/>
                <w:color w:val="auto"/>
                <w:sz w:val="21"/>
                <w:szCs w:val="21"/>
              </w:rPr>
              <w:t>进行防渗，使其地面、围堰区达到渗透系数≤1×10</w:t>
            </w:r>
            <w:r>
              <w:rPr>
                <w:rFonts w:hint="default" w:ascii="Times New Roman" w:hAnsi="Times New Roman" w:cs="Times New Roman"/>
                <w:color w:val="auto"/>
                <w:sz w:val="21"/>
                <w:szCs w:val="21"/>
                <w:vertAlign w:val="superscript"/>
              </w:rPr>
              <w:t>-10</w:t>
            </w:r>
            <w:r>
              <w:rPr>
                <w:rFonts w:hint="default" w:ascii="Times New Roman" w:hAnsi="Times New Roman" w:cs="Times New Roman"/>
                <w:color w:val="auto"/>
                <w:sz w:val="21"/>
                <w:szCs w:val="21"/>
              </w:rPr>
              <w:t>cm/s的防渗性能。</w:t>
            </w:r>
          </w:p>
          <w:p w14:paraId="4A3EB508">
            <w:pPr>
              <w:pStyle w:val="14"/>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⑤危废暂存间内废机油暂存区域设置0.3m高的围堰，围堰形成区域的容积大于日常</w:t>
            </w:r>
            <w:r>
              <w:rPr>
                <w:rFonts w:hint="default" w:ascii="Times New Roman" w:hAnsi="Times New Roman" w:cs="Times New Roman"/>
                <w:color w:val="auto"/>
                <w:sz w:val="21"/>
                <w:szCs w:val="21"/>
                <w:lang w:eastAsia="zh-CN"/>
              </w:rPr>
              <w:t>储存</w:t>
            </w:r>
            <w:r>
              <w:rPr>
                <w:rFonts w:hint="default" w:ascii="Times New Roman" w:hAnsi="Times New Roman" w:cs="Times New Roman"/>
                <w:color w:val="auto"/>
                <w:sz w:val="21"/>
                <w:szCs w:val="21"/>
              </w:rPr>
              <w:t>容积，用于收集、暂存事故情况下废机油。围堰防渗措施参照地面防渗要求。</w:t>
            </w:r>
          </w:p>
          <w:p w14:paraId="0FB4ABB9">
            <w:pPr>
              <w:pStyle w:val="14"/>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⑥盛装废机油容器上必须贴相应的危险废物标志。危险废物贮存设施都必须按环境保护图形《固体废物贮存</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处置）场》</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GB15562.2-1995）的规定设置警示标志。</w:t>
            </w:r>
          </w:p>
          <w:p w14:paraId="32BA017F">
            <w:pPr>
              <w:pStyle w:val="14"/>
              <w:bidi w:val="0"/>
              <w:jc w:val="lef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⑦设置危险固废管理台账，如实记载废机油的来源、数量、特性、包装容器类别、入库日期、存放库位。贮存期间，定期对存储容器进行检查，及时更换破损容器</w:t>
            </w:r>
            <w:r>
              <w:rPr>
                <w:rFonts w:hint="default" w:ascii="Times New Roman" w:hAnsi="Times New Roman" w:cs="Times New Roman"/>
                <w:color w:val="auto"/>
                <w:sz w:val="21"/>
                <w:szCs w:val="21"/>
                <w:lang w:eastAsia="zh-CN"/>
              </w:rPr>
              <w:t>。</w:t>
            </w:r>
          </w:p>
          <w:p w14:paraId="1BDF2EDA">
            <w:pPr>
              <w:pStyle w:val="14"/>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⑧根据本次提出的油漆和稀释剂等贮存事项、预防措施、事故</w:t>
            </w:r>
            <w:r>
              <w:rPr>
                <w:rFonts w:hint="eastAsia" w:cs="Times New Roman"/>
                <w:color w:val="auto"/>
                <w:sz w:val="21"/>
                <w:szCs w:val="21"/>
                <w:lang w:val="en-US" w:eastAsia="zh-CN"/>
              </w:rPr>
              <w:t>响应</w:t>
            </w:r>
            <w:r>
              <w:rPr>
                <w:rFonts w:hint="default" w:ascii="Times New Roman" w:hAnsi="Times New Roman" w:cs="Times New Roman"/>
                <w:color w:val="auto"/>
                <w:sz w:val="21"/>
                <w:szCs w:val="21"/>
                <w:lang w:val="en-US" w:eastAsia="zh-CN"/>
              </w:rPr>
              <w:t>以及泄露</w:t>
            </w:r>
            <w:r>
              <w:rPr>
                <w:rFonts w:hint="eastAsia" w:cs="Times New Roman"/>
                <w:color w:val="auto"/>
                <w:sz w:val="21"/>
                <w:szCs w:val="21"/>
                <w:lang w:val="en-US" w:eastAsia="zh-CN"/>
              </w:rPr>
              <w:t>应急响应</w:t>
            </w:r>
            <w:r>
              <w:rPr>
                <w:rFonts w:hint="default" w:ascii="Times New Roman" w:hAnsi="Times New Roman" w:cs="Times New Roman"/>
                <w:color w:val="auto"/>
                <w:sz w:val="21"/>
                <w:szCs w:val="21"/>
                <w:lang w:val="en-US" w:eastAsia="zh-CN"/>
              </w:rPr>
              <w:t>相关要求配备相应</w:t>
            </w:r>
            <w:r>
              <w:rPr>
                <w:rFonts w:hint="eastAsia" w:cs="Times New Roman"/>
                <w:color w:val="auto"/>
                <w:sz w:val="21"/>
                <w:szCs w:val="21"/>
                <w:lang w:val="en-US" w:eastAsia="zh-CN"/>
              </w:rPr>
              <w:t>消防</w:t>
            </w:r>
            <w:r>
              <w:rPr>
                <w:rFonts w:hint="default" w:ascii="Times New Roman" w:hAnsi="Times New Roman" w:cs="Times New Roman"/>
                <w:color w:val="auto"/>
                <w:sz w:val="21"/>
                <w:szCs w:val="21"/>
                <w:lang w:val="en-US" w:eastAsia="zh-CN"/>
              </w:rPr>
              <w:t>设施及预防管控系统</w:t>
            </w:r>
            <w:r>
              <w:rPr>
                <w:rFonts w:hint="eastAsia" w:cs="Times New Roman"/>
                <w:color w:val="auto"/>
                <w:sz w:val="21"/>
                <w:szCs w:val="21"/>
                <w:lang w:val="en-US" w:eastAsia="zh-CN"/>
              </w:rPr>
              <w:t>。</w:t>
            </w:r>
          </w:p>
          <w:p w14:paraId="3546A958">
            <w:pPr>
              <w:pStyle w:val="14"/>
              <w:bidi w:val="0"/>
              <w:jc w:val="left"/>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⑨</w:t>
            </w:r>
            <w:r>
              <w:rPr>
                <w:rFonts w:hint="default" w:ascii="Times New Roman" w:hAnsi="Times New Roman" w:cs="Times New Roman"/>
                <w:color w:val="auto"/>
                <w:sz w:val="21"/>
                <w:szCs w:val="21"/>
              </w:rPr>
              <w:t>制订详细的</w:t>
            </w:r>
            <w:r>
              <w:rPr>
                <w:rFonts w:hint="default" w:ascii="Times New Roman" w:hAnsi="Times New Roman" w:cs="Times New Roman"/>
                <w:color w:val="auto"/>
                <w:sz w:val="21"/>
                <w:szCs w:val="21"/>
                <w:lang w:val="en-US" w:eastAsia="zh-CN"/>
              </w:rPr>
              <w:t>突发环境</w:t>
            </w:r>
            <w:r>
              <w:rPr>
                <w:rFonts w:hint="default" w:ascii="Times New Roman" w:hAnsi="Times New Roman" w:cs="Times New Roman"/>
                <w:color w:val="auto"/>
                <w:sz w:val="21"/>
                <w:szCs w:val="21"/>
              </w:rPr>
              <w:t>事故应急预案，将应急预案要点细化列入，并上报当地环境主管部门</w:t>
            </w:r>
            <w:r>
              <w:rPr>
                <w:rFonts w:hint="default" w:ascii="Times New Roman" w:hAnsi="Times New Roman" w:cs="Times New Roman"/>
                <w:color w:val="auto"/>
                <w:sz w:val="21"/>
                <w:szCs w:val="21"/>
                <w:lang w:val="en-US" w:eastAsia="zh-CN"/>
              </w:rPr>
              <w:t>备案。</w:t>
            </w:r>
          </w:p>
        </w:tc>
      </w:tr>
      <w:tr w14:paraId="0861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noWrap w:val="0"/>
            <w:vAlign w:val="center"/>
          </w:tcPr>
          <w:p w14:paraId="6490823E">
            <w:pPr>
              <w:pStyle w:val="14"/>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其他环境管理要求</w:t>
            </w:r>
          </w:p>
        </w:tc>
        <w:tc>
          <w:tcPr>
            <w:tcW w:w="7572" w:type="dxa"/>
            <w:gridSpan w:val="4"/>
            <w:noWrap w:val="0"/>
            <w:vAlign w:val="center"/>
          </w:tcPr>
          <w:p w14:paraId="2CC8AAEC">
            <w:pPr>
              <w:pStyle w:val="14"/>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①建立健全生产环保规章制度，严格规范人员操作，防止发生突发环境事故。</w:t>
            </w:r>
          </w:p>
          <w:p w14:paraId="091B3D8D">
            <w:pPr>
              <w:pStyle w:val="14"/>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②企业应加强环保设施的日常管理、维护，建立健全环保设施的运行管理制度，定期检查制度、设备维护和检修制度，确保环保设施的高效、正常运转，尽量减少和避免事故排放。在当地生态环境主管部门的指导下，定期对污染源进行监测，并建立污染源管理档案，确保污染物达标排放。</w:t>
            </w:r>
          </w:p>
          <w:p w14:paraId="6264E8C8">
            <w:pPr>
              <w:pStyle w:val="14"/>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③加强厂区环境卫生管理，及时清扫厂区道路，严格落实厂区洒水降尘措施。</w:t>
            </w:r>
          </w:p>
          <w:p w14:paraId="6A81F863">
            <w:pPr>
              <w:pStyle w:val="14"/>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④项目应严格执行环境保护设施与主体工程同时设计、同时施工、同时投产使用的环境保护</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三同时</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制度</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项目建成后，在</w:t>
            </w:r>
            <w:r>
              <w:rPr>
                <w:rFonts w:hint="default" w:ascii="Times New Roman" w:hAnsi="Times New Roman" w:cs="Times New Roman"/>
                <w:color w:val="auto"/>
                <w:sz w:val="21"/>
                <w:szCs w:val="21"/>
              </w:rPr>
              <w:t>发生实际排污行为之前将按照《排污许可管理条例》的相关要求，及时办理固定污染源排污登记</w:t>
            </w:r>
            <w:r>
              <w:rPr>
                <w:rFonts w:hint="default" w:ascii="Times New Roman" w:hAnsi="Times New Roman" w:cs="Times New Roman"/>
                <w:color w:val="auto"/>
                <w:sz w:val="21"/>
                <w:szCs w:val="21"/>
                <w:lang w:val="en-US" w:eastAsia="zh-CN"/>
              </w:rPr>
              <w:t>或申报</w:t>
            </w:r>
            <w:r>
              <w:rPr>
                <w:rFonts w:hint="default" w:ascii="Times New Roman" w:hAnsi="Times New Roman" w:cs="Times New Roman"/>
                <w:color w:val="auto"/>
                <w:sz w:val="21"/>
                <w:szCs w:val="21"/>
              </w:rPr>
              <w:t>手续</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并按排污许可管理要求建立健全环境管理制度。</w:t>
            </w:r>
          </w:p>
          <w:p w14:paraId="293857A0">
            <w:pPr>
              <w:pStyle w:val="14"/>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⑤企业应加强环保宣传教育工作，强化企业的各项环境管理工作。自觉接受各级生态环境主管部门对公司环保工作的监督指导。</w:t>
            </w:r>
          </w:p>
          <w:p w14:paraId="5E961A22">
            <w:pPr>
              <w:pStyle w:val="14"/>
              <w:bidi w:val="0"/>
              <w:jc w:val="left"/>
              <w:rPr>
                <w:rFonts w:hint="default" w:ascii="Times New Roman" w:hAnsi="Times New Roman" w:cs="Times New Roman"/>
                <w:color w:val="auto"/>
                <w:sz w:val="21"/>
                <w:szCs w:val="21"/>
                <w:lang w:val="en-US" w:eastAsia="zh-CN"/>
              </w:rPr>
            </w:pPr>
          </w:p>
          <w:p w14:paraId="301B4CEC">
            <w:pPr>
              <w:pStyle w:val="14"/>
              <w:bidi w:val="0"/>
              <w:jc w:val="left"/>
              <w:rPr>
                <w:rFonts w:hint="default" w:ascii="Times New Roman" w:hAnsi="Times New Roman" w:cs="Times New Roman"/>
                <w:color w:val="auto"/>
                <w:sz w:val="21"/>
                <w:szCs w:val="21"/>
                <w:lang w:val="en-US" w:eastAsia="zh-CN"/>
              </w:rPr>
            </w:pPr>
          </w:p>
          <w:p w14:paraId="4F05C549">
            <w:pPr>
              <w:pStyle w:val="14"/>
              <w:bidi w:val="0"/>
              <w:jc w:val="left"/>
              <w:rPr>
                <w:rFonts w:hint="default" w:ascii="Times New Roman" w:hAnsi="Times New Roman" w:cs="Times New Roman"/>
                <w:color w:val="auto"/>
                <w:sz w:val="21"/>
                <w:szCs w:val="21"/>
                <w:lang w:val="en-US" w:eastAsia="zh-CN"/>
              </w:rPr>
            </w:pPr>
          </w:p>
          <w:p w14:paraId="55B63662">
            <w:pPr>
              <w:pStyle w:val="14"/>
              <w:bidi w:val="0"/>
              <w:jc w:val="left"/>
              <w:rPr>
                <w:rFonts w:hint="default" w:ascii="Times New Roman" w:hAnsi="Times New Roman" w:cs="Times New Roman"/>
                <w:color w:val="auto"/>
                <w:sz w:val="21"/>
                <w:szCs w:val="21"/>
                <w:lang w:val="en-US" w:eastAsia="zh-CN"/>
              </w:rPr>
            </w:pPr>
          </w:p>
          <w:p w14:paraId="4B490ECF">
            <w:pPr>
              <w:pStyle w:val="14"/>
              <w:bidi w:val="0"/>
              <w:jc w:val="left"/>
              <w:rPr>
                <w:rFonts w:hint="default" w:ascii="Times New Roman" w:hAnsi="Times New Roman" w:cs="Times New Roman"/>
                <w:color w:val="auto"/>
                <w:sz w:val="21"/>
                <w:szCs w:val="21"/>
                <w:lang w:val="en-US" w:eastAsia="zh-CN"/>
              </w:rPr>
            </w:pPr>
          </w:p>
          <w:p w14:paraId="42FB26AF">
            <w:pPr>
              <w:pStyle w:val="14"/>
              <w:bidi w:val="0"/>
              <w:jc w:val="left"/>
              <w:rPr>
                <w:rFonts w:hint="default" w:ascii="Times New Roman" w:hAnsi="Times New Roman" w:cs="Times New Roman"/>
                <w:color w:val="auto"/>
                <w:sz w:val="21"/>
                <w:szCs w:val="21"/>
                <w:lang w:val="en-US" w:eastAsia="zh-CN"/>
              </w:rPr>
            </w:pPr>
          </w:p>
          <w:p w14:paraId="1783406B">
            <w:pPr>
              <w:pStyle w:val="14"/>
              <w:bidi w:val="0"/>
              <w:jc w:val="left"/>
              <w:rPr>
                <w:rFonts w:hint="default" w:ascii="Times New Roman" w:hAnsi="Times New Roman" w:cs="Times New Roman"/>
                <w:color w:val="auto"/>
                <w:sz w:val="21"/>
                <w:szCs w:val="21"/>
                <w:lang w:val="en-US" w:eastAsia="zh-CN"/>
              </w:rPr>
            </w:pPr>
          </w:p>
          <w:p w14:paraId="41EF982A">
            <w:pPr>
              <w:pStyle w:val="14"/>
              <w:bidi w:val="0"/>
              <w:jc w:val="left"/>
              <w:rPr>
                <w:rFonts w:hint="default" w:ascii="Times New Roman" w:hAnsi="Times New Roman" w:cs="Times New Roman"/>
                <w:color w:val="auto"/>
                <w:sz w:val="21"/>
                <w:szCs w:val="21"/>
              </w:rPr>
            </w:pPr>
          </w:p>
          <w:p w14:paraId="09FC25AB">
            <w:pPr>
              <w:pStyle w:val="14"/>
              <w:bidi w:val="0"/>
              <w:jc w:val="left"/>
              <w:rPr>
                <w:rFonts w:hint="default" w:ascii="Times New Roman" w:hAnsi="Times New Roman" w:cs="Times New Roman"/>
                <w:color w:val="auto"/>
                <w:sz w:val="21"/>
                <w:szCs w:val="21"/>
              </w:rPr>
            </w:pPr>
          </w:p>
          <w:p w14:paraId="4F7E5AB5">
            <w:pPr>
              <w:pStyle w:val="14"/>
              <w:bidi w:val="0"/>
              <w:jc w:val="left"/>
              <w:rPr>
                <w:rFonts w:hint="default" w:ascii="Times New Roman" w:hAnsi="Times New Roman" w:cs="Times New Roman"/>
                <w:color w:val="auto"/>
                <w:sz w:val="21"/>
                <w:szCs w:val="21"/>
              </w:rPr>
            </w:pPr>
          </w:p>
          <w:p w14:paraId="6BD504CE">
            <w:pPr>
              <w:pStyle w:val="14"/>
              <w:bidi w:val="0"/>
              <w:jc w:val="left"/>
              <w:rPr>
                <w:rFonts w:hint="default" w:ascii="Times New Roman" w:hAnsi="Times New Roman" w:cs="Times New Roman"/>
                <w:color w:val="auto"/>
                <w:sz w:val="21"/>
                <w:szCs w:val="21"/>
              </w:rPr>
            </w:pPr>
          </w:p>
          <w:p w14:paraId="11FDEA87">
            <w:pPr>
              <w:pStyle w:val="14"/>
              <w:bidi w:val="0"/>
              <w:jc w:val="left"/>
              <w:rPr>
                <w:rFonts w:hint="default" w:ascii="Times New Roman" w:hAnsi="Times New Roman" w:cs="Times New Roman"/>
                <w:color w:val="auto"/>
                <w:sz w:val="21"/>
                <w:szCs w:val="21"/>
              </w:rPr>
            </w:pPr>
          </w:p>
          <w:p w14:paraId="6883EAC7">
            <w:pPr>
              <w:pStyle w:val="14"/>
              <w:bidi w:val="0"/>
              <w:jc w:val="left"/>
              <w:rPr>
                <w:rFonts w:hint="default" w:ascii="Times New Roman" w:hAnsi="Times New Roman" w:cs="Times New Roman"/>
                <w:color w:val="auto"/>
                <w:sz w:val="21"/>
                <w:szCs w:val="21"/>
              </w:rPr>
            </w:pPr>
          </w:p>
          <w:p w14:paraId="7BF562CF">
            <w:pPr>
              <w:pStyle w:val="14"/>
              <w:bidi w:val="0"/>
              <w:jc w:val="left"/>
              <w:rPr>
                <w:rFonts w:hint="default" w:ascii="Times New Roman" w:hAnsi="Times New Roman" w:cs="Times New Roman"/>
                <w:color w:val="auto"/>
                <w:sz w:val="21"/>
                <w:szCs w:val="21"/>
              </w:rPr>
            </w:pPr>
          </w:p>
          <w:p w14:paraId="364A1C1B">
            <w:pPr>
              <w:pStyle w:val="14"/>
              <w:bidi w:val="0"/>
              <w:jc w:val="left"/>
              <w:rPr>
                <w:rFonts w:hint="default" w:ascii="Times New Roman" w:hAnsi="Times New Roman" w:cs="Times New Roman"/>
                <w:color w:val="auto"/>
                <w:sz w:val="21"/>
                <w:szCs w:val="21"/>
              </w:rPr>
            </w:pPr>
          </w:p>
          <w:p w14:paraId="250CDDE2">
            <w:pPr>
              <w:pStyle w:val="14"/>
              <w:bidi w:val="0"/>
              <w:jc w:val="left"/>
              <w:rPr>
                <w:rFonts w:hint="default" w:ascii="Times New Roman" w:hAnsi="Times New Roman" w:cs="Times New Roman"/>
                <w:color w:val="auto"/>
                <w:sz w:val="21"/>
                <w:szCs w:val="21"/>
              </w:rPr>
            </w:pPr>
          </w:p>
          <w:p w14:paraId="0D16C00D">
            <w:pPr>
              <w:pStyle w:val="14"/>
              <w:bidi w:val="0"/>
              <w:jc w:val="left"/>
              <w:rPr>
                <w:rFonts w:hint="default" w:ascii="Times New Roman" w:hAnsi="Times New Roman" w:cs="Times New Roman"/>
                <w:color w:val="auto"/>
                <w:sz w:val="21"/>
                <w:szCs w:val="21"/>
              </w:rPr>
            </w:pPr>
          </w:p>
          <w:p w14:paraId="7C6794F4">
            <w:pPr>
              <w:pStyle w:val="14"/>
              <w:bidi w:val="0"/>
              <w:jc w:val="left"/>
              <w:rPr>
                <w:rFonts w:hint="default" w:ascii="Times New Roman" w:hAnsi="Times New Roman" w:cs="Times New Roman"/>
                <w:color w:val="auto"/>
                <w:sz w:val="21"/>
                <w:szCs w:val="21"/>
              </w:rPr>
            </w:pPr>
          </w:p>
        </w:tc>
      </w:tr>
    </w:tbl>
    <w:p w14:paraId="0C7AC79C">
      <w:pPr>
        <w:pStyle w:val="2"/>
        <w:bidi w:val="0"/>
        <w:rPr>
          <w:rFonts w:hint="default" w:ascii="Times New Roman" w:hAnsi="Times New Roman" w:cs="Times New Roman"/>
          <w:color w:val="auto"/>
          <w:lang w:val="en-US" w:eastAsia="zh-CN"/>
        </w:rPr>
      </w:pPr>
      <w:bookmarkStart w:id="7" w:name="_Toc29747"/>
      <w:r>
        <w:rPr>
          <w:rFonts w:hint="default" w:ascii="Times New Roman" w:hAnsi="Times New Roman" w:cs="Times New Roman"/>
          <w:color w:val="auto"/>
          <w:lang w:val="en-US" w:eastAsia="zh-CN"/>
        </w:rPr>
        <w:t>六、结论</w:t>
      </w:r>
      <w:bookmarkEnd w:id="7"/>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701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22" w:type="dxa"/>
            <w:vAlign w:val="center"/>
          </w:tcPr>
          <w:p w14:paraId="7EE5BC58">
            <w:pPr>
              <w:bidi w:val="0"/>
              <w:rPr>
                <w:rFonts w:hint="default" w:ascii="Times New Roman" w:hAnsi="Times New Roman" w:eastAsia="宋体" w:cs="Times New Roman"/>
                <w:color w:val="auto"/>
                <w:lang w:eastAsia="zh-CN"/>
              </w:rPr>
            </w:pPr>
            <w:r>
              <w:rPr>
                <w:rFonts w:hint="default" w:ascii="Times New Roman" w:hAnsi="Times New Roman" w:cs="Times New Roman"/>
                <w:color w:val="auto"/>
              </w:rPr>
              <w:t>本项目符合国家产业政策及相关规划，选址、布局合理可行</w:t>
            </w:r>
            <w:r>
              <w:rPr>
                <w:rFonts w:hint="eastAsia" w:cs="Times New Roman"/>
                <w:color w:val="auto"/>
                <w:lang w:eastAsia="zh-CN"/>
              </w:rPr>
              <w:t>；</w:t>
            </w:r>
            <w:r>
              <w:rPr>
                <w:rFonts w:hint="default" w:ascii="Times New Roman" w:hAnsi="Times New Roman" w:cs="Times New Roman"/>
                <w:color w:val="auto"/>
              </w:rPr>
              <w:t>通过对项目所在地区的环境现状以及项目产生的环境影响进行分析，项目产生的环境影响包括废气、噪声、废水、固体废弃物等，在采取环评提出的防治措施后，废气和噪声均能达标排放，废水经处理达标后回用于项目</w:t>
            </w:r>
            <w:r>
              <w:rPr>
                <w:rFonts w:hint="default" w:ascii="Times New Roman" w:hAnsi="Times New Roman" w:cs="Times New Roman"/>
                <w:color w:val="auto"/>
                <w:lang w:val="en-US" w:eastAsia="zh-CN"/>
              </w:rPr>
              <w:t>洒水降尘</w:t>
            </w:r>
            <w:r>
              <w:rPr>
                <w:rFonts w:hint="default" w:ascii="Times New Roman" w:hAnsi="Times New Roman" w:cs="Times New Roman"/>
                <w:color w:val="auto"/>
              </w:rPr>
              <w:t>，固体废物均得到妥善处置。项目产生的影响可以得到有效控制，不会对周围环境产生显著的影响。在认真执行设计方案及环评中提出的污染防治措施后，在方案不变的情况下，产生的污染物对环境的影响较小，从环境保护的角度分析，该项目建设是可行的</w:t>
            </w:r>
            <w:r>
              <w:rPr>
                <w:rFonts w:hint="default" w:ascii="Times New Roman" w:hAnsi="Times New Roman" w:cs="Times New Roman"/>
                <w:color w:val="auto"/>
                <w:lang w:eastAsia="zh-CN"/>
              </w:rPr>
              <w:t>。</w:t>
            </w:r>
          </w:p>
          <w:p w14:paraId="769ECAD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344DBDC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12FB340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386C699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3EA06F7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336A23A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0247B61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612CB6A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3A9CCD5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59C31BD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2DCC3CF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4D3C412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7498630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363D3B8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27EFE14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73F6EB5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5B5B69C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7239315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45CBF1F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6807233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6079201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5A0BB7D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60BB765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3F2E4FE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5DD1980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119CDA9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4CBDC35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70DD8F9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0570535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p w14:paraId="1816A39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vertAlign w:val="baseline"/>
              </w:rPr>
            </w:pPr>
          </w:p>
        </w:tc>
      </w:tr>
    </w:tbl>
    <w:p w14:paraId="59FFA01A">
      <w:pPr>
        <w:rPr>
          <w:rFonts w:hint="default" w:ascii="Times New Roman" w:hAnsi="Times New Roman" w:cs="Times New Roman"/>
          <w:color w:val="auto"/>
        </w:rPr>
      </w:pPr>
    </w:p>
    <w:p w14:paraId="5AD02392">
      <w:pPr>
        <w:rPr>
          <w:rFonts w:hint="default" w:ascii="Times New Roman" w:hAnsi="Times New Roman" w:cs="Times New Roman"/>
          <w:color w:val="auto"/>
        </w:rPr>
        <w:sectPr>
          <w:footerReference r:id="rId5" w:type="default"/>
          <w:pgSz w:w="11906" w:h="16838"/>
          <w:pgMar w:top="1440" w:right="1800" w:bottom="1440" w:left="1800" w:header="851" w:footer="992" w:gutter="0"/>
          <w:pgNumType w:fmt="decimal" w:start="1"/>
          <w:cols w:space="425" w:num="1"/>
          <w:docGrid w:type="lines" w:linePitch="312" w:charSpace="0"/>
        </w:sectPr>
      </w:pPr>
    </w:p>
    <w:p w14:paraId="3EA02A5E">
      <w:pPr>
        <w:rPr>
          <w:rFonts w:hint="default" w:ascii="Times New Roman" w:hAnsi="Times New Roman" w:cs="Times New Roman"/>
          <w:b/>
          <w:bCs/>
          <w:color w:val="auto"/>
          <w:sz w:val="30"/>
          <w:szCs w:val="30"/>
          <w:lang w:val="en-US" w:eastAsia="zh-CN"/>
        </w:rPr>
      </w:pPr>
      <w:r>
        <w:rPr>
          <w:rFonts w:hint="default" w:ascii="Times New Roman" w:hAnsi="Times New Roman" w:cs="Times New Roman"/>
          <w:b/>
          <w:bCs/>
          <w:color w:val="auto"/>
          <w:sz w:val="30"/>
          <w:szCs w:val="30"/>
          <w:lang w:val="en-US" w:eastAsia="zh-CN"/>
        </w:rPr>
        <w:t>附表</w:t>
      </w:r>
    </w:p>
    <w:p w14:paraId="115A0DFE">
      <w:pPr>
        <w:ind w:left="0" w:leftChars="0" w:firstLine="0" w:firstLineChars="0"/>
        <w:jc w:val="center"/>
        <w:rPr>
          <w:rFonts w:hint="default" w:ascii="Times New Roman" w:hAnsi="Times New Roman" w:cs="Times New Roman"/>
          <w:b/>
          <w:bCs/>
          <w:color w:val="auto"/>
          <w:sz w:val="30"/>
          <w:szCs w:val="30"/>
          <w:lang w:val="en-US" w:eastAsia="zh-CN"/>
        </w:rPr>
      </w:pPr>
      <w:r>
        <w:rPr>
          <w:rFonts w:hint="default" w:ascii="Times New Roman" w:hAnsi="Times New Roman" w:cs="Times New Roman"/>
          <w:b/>
          <w:bCs/>
          <w:color w:val="auto"/>
          <w:sz w:val="30"/>
          <w:szCs w:val="30"/>
          <w:lang w:val="en-US" w:eastAsia="zh-CN"/>
        </w:rPr>
        <w:t>建设项目污染物排放量汇总表  单位：t/a</w:t>
      </w:r>
    </w:p>
    <w:tbl>
      <w:tblPr>
        <w:tblStyle w:val="9"/>
        <w:tblW w:w="50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00"/>
        <w:gridCol w:w="2018"/>
        <w:gridCol w:w="1568"/>
        <w:gridCol w:w="1567"/>
        <w:gridCol w:w="1568"/>
        <w:gridCol w:w="1568"/>
        <w:gridCol w:w="1568"/>
        <w:gridCol w:w="2032"/>
        <w:gridCol w:w="1105"/>
      </w:tblGrid>
      <w:tr w14:paraId="54EF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99" w:type="dxa"/>
            <w:vAlign w:val="center"/>
            <mc:AlternateContent>
              <mc:Choice Requires="wpsCustomData">
                <wpsCustomData:diagonals>
                  <wpsCustomData:diagonal from="30000" to="10000">
                    <wpsCustomData:border w:val="single" w:color="auto" w:sz="4" w:space="0"/>
                  </wpsCustomData:diagonal>
                </wpsCustomData:diagonals>
              </mc:Choice>
            </mc:AlternateContent>
          </w:tcPr>
          <w:p w14:paraId="07E3C7A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mc:AlternateContent>
                <mc:Choice Requires="wpsCustomData">
                  <wpsCustomData:diagonalParaType/>
                </mc:Choice>
              </mc:AlternateContent>
              <w:rPr>
                <w:rFonts w:hint="default" w:ascii="Times New Roman" w:hAnsi="Times New Roman" w:eastAsia="黑体" w:cs="Times New Roman"/>
                <w:b w:val="0"/>
                <w:bCs w:val="0"/>
                <w:color w:val="auto"/>
                <w:sz w:val="21"/>
                <w:szCs w:val="21"/>
                <w:vertAlign w:val="baseline"/>
                <w:lang w:val="en-US" w:eastAsia="zh-CN"/>
              </w:rPr>
            </w:pPr>
            <w:r>
              <w:rPr>
                <w:rFonts w:hint="default" w:ascii="Times New Roman" w:hAnsi="Times New Roman" w:eastAsia="黑体" w:cs="Times New Roman"/>
                <w:b w:val="0"/>
                <w:bCs w:val="0"/>
                <w:color w:val="auto"/>
                <w:sz w:val="21"/>
                <w:szCs w:val="21"/>
                <w:vertAlign w:val="baseline"/>
                <w:lang w:val="en-US" w:eastAsia="zh-CN"/>
              </w:rPr>
              <w:t>分类</w:t>
            </w:r>
          </w:p>
          <w:p w14:paraId="6D97D4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auto"/>
                <w:sz w:val="21"/>
                <w:szCs w:val="21"/>
                <w:vertAlign w:val="baseline"/>
                <w:lang w:val="en-US" w:eastAsia="zh-CN"/>
              </w:rPr>
            </w:pPr>
            <w:r>
              <w:rPr>
                <w:rFonts w:hint="default" w:ascii="Times New Roman" w:hAnsi="Times New Roman" w:eastAsia="黑体" w:cs="Times New Roman"/>
                <w:b w:val="0"/>
                <w:bCs w:val="0"/>
                <w:color w:val="auto"/>
                <w:sz w:val="21"/>
                <w:szCs w:val="21"/>
                <w:vertAlign w:val="baseline"/>
                <w:lang w:val="en-US" w:eastAsia="zh-CN"/>
              </w:rPr>
              <w:t>项目</w:t>
            </w:r>
          </w:p>
        </w:tc>
        <w:tc>
          <w:tcPr>
            <w:tcW w:w="2017" w:type="dxa"/>
            <w:vAlign w:val="center"/>
          </w:tcPr>
          <w:p w14:paraId="5B9BFB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auto"/>
                <w:sz w:val="21"/>
                <w:szCs w:val="21"/>
                <w:vertAlign w:val="baseline"/>
                <w:lang w:val="en-US" w:eastAsia="zh-CN"/>
              </w:rPr>
            </w:pPr>
            <w:r>
              <w:rPr>
                <w:rFonts w:hint="default" w:ascii="Times New Roman" w:hAnsi="Times New Roman" w:eastAsia="黑体" w:cs="Times New Roman"/>
                <w:b w:val="0"/>
                <w:bCs w:val="0"/>
                <w:color w:val="auto"/>
                <w:sz w:val="21"/>
                <w:szCs w:val="21"/>
                <w:vertAlign w:val="baseline"/>
                <w:lang w:val="en-US" w:eastAsia="zh-CN"/>
              </w:rPr>
              <w:t>污染物名称</w:t>
            </w:r>
          </w:p>
        </w:tc>
        <w:tc>
          <w:tcPr>
            <w:tcW w:w="1567" w:type="dxa"/>
            <w:vAlign w:val="center"/>
          </w:tcPr>
          <w:p w14:paraId="48298A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auto"/>
                <w:sz w:val="21"/>
                <w:szCs w:val="21"/>
                <w:vertAlign w:val="baseline"/>
                <w:lang w:val="en-US" w:eastAsia="zh-CN"/>
              </w:rPr>
            </w:pPr>
            <w:r>
              <w:rPr>
                <w:rFonts w:hint="default" w:ascii="Times New Roman" w:hAnsi="Times New Roman" w:eastAsia="黑体" w:cs="Times New Roman"/>
                <w:b w:val="0"/>
                <w:bCs w:val="0"/>
                <w:color w:val="auto"/>
                <w:sz w:val="21"/>
                <w:szCs w:val="21"/>
                <w:vertAlign w:val="baseline"/>
                <w:lang w:val="en-US" w:eastAsia="zh-CN"/>
              </w:rPr>
              <w:t>现有工程</w:t>
            </w:r>
          </w:p>
          <w:p w14:paraId="23D570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auto"/>
                <w:sz w:val="21"/>
                <w:szCs w:val="21"/>
                <w:vertAlign w:val="baseline"/>
                <w:lang w:val="en-US" w:eastAsia="zh-CN"/>
              </w:rPr>
            </w:pPr>
            <w:r>
              <w:rPr>
                <w:rFonts w:hint="default" w:ascii="Times New Roman" w:hAnsi="Times New Roman" w:eastAsia="黑体" w:cs="Times New Roman"/>
                <w:b w:val="0"/>
                <w:bCs w:val="0"/>
                <w:color w:val="auto"/>
                <w:sz w:val="21"/>
                <w:szCs w:val="21"/>
                <w:vertAlign w:val="baseline"/>
                <w:lang w:val="en-US" w:eastAsia="zh-CN"/>
              </w:rPr>
              <w:t>排放量（固体废物产生量）①</w:t>
            </w:r>
          </w:p>
        </w:tc>
        <w:tc>
          <w:tcPr>
            <w:tcW w:w="1566" w:type="dxa"/>
            <w:vAlign w:val="center"/>
          </w:tcPr>
          <w:p w14:paraId="620949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auto"/>
                <w:sz w:val="21"/>
                <w:szCs w:val="21"/>
                <w:vertAlign w:val="baseline"/>
                <w:lang w:val="en-US" w:eastAsia="zh-CN"/>
              </w:rPr>
            </w:pPr>
            <w:r>
              <w:rPr>
                <w:rFonts w:hint="default" w:ascii="Times New Roman" w:hAnsi="Times New Roman" w:eastAsia="黑体" w:cs="Times New Roman"/>
                <w:b w:val="0"/>
                <w:bCs w:val="0"/>
                <w:color w:val="auto"/>
                <w:sz w:val="21"/>
                <w:szCs w:val="21"/>
                <w:vertAlign w:val="baseline"/>
                <w:lang w:val="en-US" w:eastAsia="zh-CN"/>
              </w:rPr>
              <w:t>现有工程</w:t>
            </w:r>
          </w:p>
          <w:p w14:paraId="0C910D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auto"/>
                <w:sz w:val="21"/>
                <w:szCs w:val="21"/>
                <w:vertAlign w:val="baseline"/>
                <w:lang w:val="en-US" w:eastAsia="zh-CN"/>
              </w:rPr>
            </w:pPr>
            <w:r>
              <w:rPr>
                <w:rFonts w:hint="default" w:ascii="Times New Roman" w:hAnsi="Times New Roman" w:eastAsia="黑体" w:cs="Times New Roman"/>
                <w:b w:val="0"/>
                <w:bCs w:val="0"/>
                <w:color w:val="auto"/>
                <w:sz w:val="21"/>
                <w:szCs w:val="21"/>
                <w:vertAlign w:val="baseline"/>
                <w:lang w:val="en-US" w:eastAsia="zh-CN"/>
              </w:rPr>
              <w:t>许可排放量②</w:t>
            </w:r>
          </w:p>
        </w:tc>
        <w:tc>
          <w:tcPr>
            <w:tcW w:w="1567" w:type="dxa"/>
            <w:vAlign w:val="center"/>
          </w:tcPr>
          <w:p w14:paraId="2C0B76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auto"/>
                <w:sz w:val="21"/>
                <w:szCs w:val="21"/>
                <w:vertAlign w:val="baseline"/>
                <w:lang w:val="en-US" w:eastAsia="zh-CN"/>
              </w:rPr>
            </w:pPr>
            <w:r>
              <w:rPr>
                <w:rFonts w:hint="default" w:ascii="Times New Roman" w:hAnsi="Times New Roman" w:eastAsia="黑体" w:cs="Times New Roman"/>
                <w:b w:val="0"/>
                <w:bCs w:val="0"/>
                <w:color w:val="auto"/>
                <w:sz w:val="21"/>
                <w:szCs w:val="21"/>
                <w:vertAlign w:val="baseline"/>
                <w:lang w:val="en-US" w:eastAsia="zh-CN"/>
              </w:rPr>
              <w:t>在建工程</w:t>
            </w:r>
          </w:p>
          <w:p w14:paraId="30A4F7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auto"/>
                <w:sz w:val="21"/>
                <w:szCs w:val="21"/>
                <w:vertAlign w:val="baseline"/>
                <w:lang w:val="en-US" w:eastAsia="zh-CN"/>
              </w:rPr>
            </w:pPr>
            <w:r>
              <w:rPr>
                <w:rFonts w:hint="default" w:ascii="Times New Roman" w:hAnsi="Times New Roman" w:eastAsia="黑体" w:cs="Times New Roman"/>
                <w:b w:val="0"/>
                <w:bCs w:val="0"/>
                <w:color w:val="auto"/>
                <w:sz w:val="21"/>
                <w:szCs w:val="21"/>
                <w:vertAlign w:val="baseline"/>
                <w:lang w:val="en-US" w:eastAsia="zh-CN"/>
              </w:rPr>
              <w:t>排放量（固体废物产生量）③</w:t>
            </w:r>
          </w:p>
        </w:tc>
        <w:tc>
          <w:tcPr>
            <w:tcW w:w="1567" w:type="dxa"/>
            <w:vAlign w:val="center"/>
          </w:tcPr>
          <w:p w14:paraId="429E40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auto"/>
                <w:sz w:val="21"/>
                <w:szCs w:val="21"/>
                <w:vertAlign w:val="baseline"/>
                <w:lang w:val="en-US" w:eastAsia="zh-CN"/>
              </w:rPr>
            </w:pPr>
            <w:r>
              <w:rPr>
                <w:rFonts w:hint="default" w:ascii="Times New Roman" w:hAnsi="Times New Roman" w:eastAsia="黑体" w:cs="Times New Roman"/>
                <w:b w:val="0"/>
                <w:bCs w:val="0"/>
                <w:color w:val="auto"/>
                <w:sz w:val="21"/>
                <w:szCs w:val="21"/>
                <w:vertAlign w:val="baseline"/>
                <w:lang w:val="en-US" w:eastAsia="zh-CN"/>
              </w:rPr>
              <w:t>本项目</w:t>
            </w:r>
          </w:p>
          <w:p w14:paraId="49F030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auto"/>
                <w:sz w:val="21"/>
                <w:szCs w:val="21"/>
                <w:vertAlign w:val="baseline"/>
                <w:lang w:val="en-US" w:eastAsia="zh-CN"/>
              </w:rPr>
            </w:pPr>
            <w:r>
              <w:rPr>
                <w:rFonts w:hint="default" w:ascii="Times New Roman" w:hAnsi="Times New Roman" w:eastAsia="黑体" w:cs="Times New Roman"/>
                <w:b w:val="0"/>
                <w:bCs w:val="0"/>
                <w:color w:val="auto"/>
                <w:sz w:val="21"/>
                <w:szCs w:val="21"/>
                <w:vertAlign w:val="baseline"/>
                <w:lang w:val="en-US" w:eastAsia="zh-CN"/>
              </w:rPr>
              <w:t>排放量（固体废物产生量）④</w:t>
            </w:r>
          </w:p>
        </w:tc>
        <w:tc>
          <w:tcPr>
            <w:tcW w:w="1567" w:type="dxa"/>
            <w:vAlign w:val="center"/>
          </w:tcPr>
          <w:p w14:paraId="519CF4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auto"/>
                <w:sz w:val="21"/>
                <w:szCs w:val="21"/>
                <w:vertAlign w:val="baseline"/>
                <w:lang w:val="en-US" w:eastAsia="zh-CN"/>
              </w:rPr>
            </w:pPr>
            <w:r>
              <w:rPr>
                <w:rFonts w:hint="default" w:ascii="Times New Roman" w:hAnsi="Times New Roman" w:eastAsia="黑体" w:cs="Times New Roman"/>
                <w:b w:val="0"/>
                <w:bCs w:val="0"/>
                <w:color w:val="auto"/>
                <w:sz w:val="21"/>
                <w:szCs w:val="21"/>
                <w:vertAlign w:val="baseline"/>
                <w:lang w:val="en-US" w:eastAsia="zh-CN"/>
              </w:rPr>
              <w:t>以新带老削减量</w:t>
            </w:r>
          </w:p>
          <w:p w14:paraId="14E350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auto"/>
                <w:sz w:val="21"/>
                <w:szCs w:val="21"/>
                <w:vertAlign w:val="baseline"/>
                <w:lang w:val="en-US" w:eastAsia="zh-CN"/>
              </w:rPr>
            </w:pPr>
            <w:r>
              <w:rPr>
                <w:rFonts w:hint="default" w:ascii="Times New Roman" w:hAnsi="Times New Roman" w:eastAsia="黑体" w:cs="Times New Roman"/>
                <w:b w:val="0"/>
                <w:bCs w:val="0"/>
                <w:color w:val="auto"/>
                <w:sz w:val="21"/>
                <w:szCs w:val="21"/>
                <w:vertAlign w:val="baseline"/>
                <w:lang w:val="en-US" w:eastAsia="zh-CN"/>
              </w:rPr>
              <w:t>（新建项目不填）⑤</w:t>
            </w:r>
          </w:p>
        </w:tc>
        <w:tc>
          <w:tcPr>
            <w:tcW w:w="2031" w:type="dxa"/>
            <w:vAlign w:val="center"/>
          </w:tcPr>
          <w:p w14:paraId="567526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auto"/>
                <w:sz w:val="21"/>
                <w:szCs w:val="21"/>
                <w:vertAlign w:val="baseline"/>
                <w:lang w:val="en-US" w:eastAsia="zh-CN"/>
              </w:rPr>
            </w:pPr>
            <w:r>
              <w:rPr>
                <w:rFonts w:hint="default" w:ascii="Times New Roman" w:hAnsi="Times New Roman" w:eastAsia="黑体" w:cs="Times New Roman"/>
                <w:b w:val="0"/>
                <w:bCs w:val="0"/>
                <w:color w:val="auto"/>
                <w:sz w:val="21"/>
                <w:szCs w:val="21"/>
                <w:vertAlign w:val="baseline"/>
                <w:lang w:val="en-US" w:eastAsia="zh-CN"/>
              </w:rPr>
              <w:t>本项目建成后</w:t>
            </w:r>
          </w:p>
          <w:p w14:paraId="224DC1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auto"/>
                <w:sz w:val="21"/>
                <w:szCs w:val="21"/>
                <w:vertAlign w:val="baseline"/>
                <w:lang w:val="en-US" w:eastAsia="zh-CN"/>
              </w:rPr>
            </w:pPr>
            <w:r>
              <w:rPr>
                <w:rFonts w:hint="default" w:ascii="Times New Roman" w:hAnsi="Times New Roman" w:eastAsia="黑体" w:cs="Times New Roman"/>
                <w:b w:val="0"/>
                <w:bCs w:val="0"/>
                <w:color w:val="auto"/>
                <w:sz w:val="21"/>
                <w:szCs w:val="21"/>
                <w:vertAlign w:val="baseline"/>
                <w:lang w:val="en-US" w:eastAsia="zh-CN"/>
              </w:rPr>
              <w:t>全厂排放量（固体废物产生量）⑥</w:t>
            </w:r>
          </w:p>
        </w:tc>
        <w:tc>
          <w:tcPr>
            <w:tcW w:w="1104" w:type="dxa"/>
            <w:vAlign w:val="center"/>
          </w:tcPr>
          <w:p w14:paraId="3F987E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auto"/>
                <w:sz w:val="21"/>
                <w:szCs w:val="21"/>
                <w:vertAlign w:val="baseline"/>
                <w:lang w:val="en-US" w:eastAsia="zh-CN"/>
              </w:rPr>
            </w:pPr>
            <w:r>
              <w:rPr>
                <w:rFonts w:hint="default" w:ascii="Times New Roman" w:hAnsi="Times New Roman" w:eastAsia="黑体" w:cs="Times New Roman"/>
                <w:b w:val="0"/>
                <w:bCs w:val="0"/>
                <w:color w:val="auto"/>
                <w:sz w:val="21"/>
                <w:szCs w:val="21"/>
                <w:vertAlign w:val="baseline"/>
                <w:lang w:val="en-US" w:eastAsia="zh-CN"/>
              </w:rPr>
              <w:t>变化量⑦</w:t>
            </w:r>
          </w:p>
        </w:tc>
      </w:tr>
      <w:tr w14:paraId="0858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99" w:type="dxa"/>
            <w:vMerge w:val="restart"/>
            <w:vAlign w:val="center"/>
          </w:tcPr>
          <w:p w14:paraId="2097913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废气</w:t>
            </w:r>
          </w:p>
        </w:tc>
        <w:tc>
          <w:tcPr>
            <w:tcW w:w="2017" w:type="dxa"/>
            <w:vAlign w:val="center"/>
          </w:tcPr>
          <w:p w14:paraId="169F2222">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颗粒物（含漆雾）</w:t>
            </w:r>
          </w:p>
        </w:tc>
        <w:tc>
          <w:tcPr>
            <w:tcW w:w="1567" w:type="dxa"/>
            <w:vAlign w:val="center"/>
          </w:tcPr>
          <w:p w14:paraId="68705FFB">
            <w:pPr>
              <w:pStyle w:val="14"/>
              <w:widowControl w:val="0"/>
              <w:bidi w:val="0"/>
              <w:rPr>
                <w:rFonts w:hint="default" w:ascii="Times New Roman" w:hAnsi="Times New Roman" w:cs="Times New Roman"/>
                <w:color w:val="auto"/>
                <w:lang w:val="en-US" w:eastAsia="zh-CN"/>
              </w:rPr>
            </w:pPr>
          </w:p>
        </w:tc>
        <w:tc>
          <w:tcPr>
            <w:tcW w:w="1566" w:type="dxa"/>
            <w:vAlign w:val="center"/>
          </w:tcPr>
          <w:p w14:paraId="0A712738">
            <w:pPr>
              <w:pStyle w:val="14"/>
              <w:widowControl w:val="0"/>
              <w:bidi w:val="0"/>
              <w:rPr>
                <w:rFonts w:hint="default" w:ascii="Times New Roman" w:hAnsi="Times New Roman" w:cs="Times New Roman"/>
                <w:color w:val="auto"/>
                <w:lang w:val="en-US" w:eastAsia="zh-CN"/>
              </w:rPr>
            </w:pPr>
          </w:p>
        </w:tc>
        <w:tc>
          <w:tcPr>
            <w:tcW w:w="1567" w:type="dxa"/>
            <w:vAlign w:val="center"/>
          </w:tcPr>
          <w:p w14:paraId="43BD1C58">
            <w:pPr>
              <w:pStyle w:val="14"/>
              <w:widowControl w:val="0"/>
              <w:bidi w:val="0"/>
              <w:rPr>
                <w:rFonts w:hint="default" w:ascii="Times New Roman" w:hAnsi="Times New Roman" w:cs="Times New Roman"/>
                <w:color w:val="auto"/>
                <w:lang w:val="en-US" w:eastAsia="zh-CN"/>
              </w:rPr>
            </w:pPr>
          </w:p>
        </w:tc>
        <w:tc>
          <w:tcPr>
            <w:tcW w:w="1567" w:type="dxa"/>
            <w:vAlign w:val="center"/>
          </w:tcPr>
          <w:p w14:paraId="31D0BFEB">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0.05</w:t>
            </w:r>
          </w:p>
        </w:tc>
        <w:tc>
          <w:tcPr>
            <w:tcW w:w="1567" w:type="dxa"/>
            <w:vAlign w:val="center"/>
          </w:tcPr>
          <w:p w14:paraId="1FF2D2F3">
            <w:pPr>
              <w:pStyle w:val="14"/>
              <w:widowControl w:val="0"/>
              <w:bidi w:val="0"/>
              <w:rPr>
                <w:rFonts w:hint="default" w:ascii="Times New Roman" w:hAnsi="Times New Roman" w:cs="Times New Roman"/>
                <w:color w:val="auto"/>
                <w:lang w:val="en-US" w:eastAsia="zh-CN"/>
              </w:rPr>
            </w:pPr>
          </w:p>
        </w:tc>
        <w:tc>
          <w:tcPr>
            <w:tcW w:w="2031" w:type="dxa"/>
            <w:vAlign w:val="center"/>
          </w:tcPr>
          <w:p w14:paraId="2668B989">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0.05</w:t>
            </w:r>
          </w:p>
        </w:tc>
        <w:tc>
          <w:tcPr>
            <w:tcW w:w="1104" w:type="dxa"/>
            <w:vAlign w:val="center"/>
          </w:tcPr>
          <w:p w14:paraId="4879D190">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+0.05</w:t>
            </w:r>
          </w:p>
        </w:tc>
      </w:tr>
      <w:tr w14:paraId="372B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99" w:type="dxa"/>
            <w:vMerge w:val="continue"/>
            <w:vAlign w:val="center"/>
          </w:tcPr>
          <w:p w14:paraId="15D2441C">
            <w:pPr>
              <w:pStyle w:val="14"/>
              <w:widowControl w:val="0"/>
              <w:bidi w:val="0"/>
              <w:rPr>
                <w:rFonts w:hint="default" w:ascii="Times New Roman" w:hAnsi="Times New Roman" w:cs="Times New Roman"/>
                <w:color w:val="auto"/>
                <w:lang w:val="en-US" w:eastAsia="zh-CN"/>
              </w:rPr>
            </w:pPr>
          </w:p>
        </w:tc>
        <w:tc>
          <w:tcPr>
            <w:tcW w:w="2017" w:type="dxa"/>
            <w:vAlign w:val="center"/>
          </w:tcPr>
          <w:p w14:paraId="220D5EDC">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非甲烷总烃</w:t>
            </w:r>
          </w:p>
        </w:tc>
        <w:tc>
          <w:tcPr>
            <w:tcW w:w="1567" w:type="dxa"/>
            <w:vAlign w:val="center"/>
          </w:tcPr>
          <w:p w14:paraId="60FA4DBF">
            <w:pPr>
              <w:pStyle w:val="14"/>
              <w:widowControl w:val="0"/>
              <w:bidi w:val="0"/>
              <w:rPr>
                <w:rFonts w:hint="default" w:ascii="Times New Roman" w:hAnsi="Times New Roman" w:cs="Times New Roman"/>
                <w:color w:val="auto"/>
                <w:lang w:val="en-US" w:eastAsia="zh-CN"/>
              </w:rPr>
            </w:pPr>
          </w:p>
        </w:tc>
        <w:tc>
          <w:tcPr>
            <w:tcW w:w="1566" w:type="dxa"/>
            <w:vAlign w:val="center"/>
          </w:tcPr>
          <w:p w14:paraId="35100B4B">
            <w:pPr>
              <w:pStyle w:val="14"/>
              <w:widowControl w:val="0"/>
              <w:bidi w:val="0"/>
              <w:rPr>
                <w:rFonts w:hint="default" w:ascii="Times New Roman" w:hAnsi="Times New Roman" w:cs="Times New Roman"/>
                <w:color w:val="auto"/>
                <w:lang w:val="en-US" w:eastAsia="zh-CN"/>
              </w:rPr>
            </w:pPr>
          </w:p>
        </w:tc>
        <w:tc>
          <w:tcPr>
            <w:tcW w:w="1567" w:type="dxa"/>
            <w:vAlign w:val="center"/>
          </w:tcPr>
          <w:p w14:paraId="293ECAB8">
            <w:pPr>
              <w:pStyle w:val="14"/>
              <w:widowControl w:val="0"/>
              <w:bidi w:val="0"/>
              <w:rPr>
                <w:rFonts w:hint="default" w:ascii="Times New Roman" w:hAnsi="Times New Roman" w:cs="Times New Roman"/>
                <w:color w:val="auto"/>
                <w:lang w:val="en-US" w:eastAsia="zh-CN"/>
              </w:rPr>
            </w:pPr>
          </w:p>
        </w:tc>
        <w:tc>
          <w:tcPr>
            <w:tcW w:w="1567" w:type="dxa"/>
            <w:vAlign w:val="center"/>
          </w:tcPr>
          <w:p w14:paraId="4A7DEEA7">
            <w:pPr>
              <w:pStyle w:val="14"/>
              <w:widowControl w:val="0"/>
              <w:bidi w:val="0"/>
              <w:rPr>
                <w:rFonts w:hint="default" w:ascii="Times New Roman" w:hAnsi="Times New Roman" w:cs="Times New Roman"/>
                <w:color w:val="auto"/>
                <w:lang w:val="en-US" w:eastAsia="zh-CN"/>
              </w:rPr>
            </w:pPr>
            <w:r>
              <w:rPr>
                <w:rFonts w:hint="eastAsia" w:cs="Times New Roman"/>
                <w:color w:val="auto"/>
                <w:lang w:val="en-US" w:eastAsia="zh-CN"/>
              </w:rPr>
              <w:t>0.99</w:t>
            </w:r>
          </w:p>
        </w:tc>
        <w:tc>
          <w:tcPr>
            <w:tcW w:w="1567" w:type="dxa"/>
            <w:vAlign w:val="center"/>
          </w:tcPr>
          <w:p w14:paraId="622A4520">
            <w:pPr>
              <w:pStyle w:val="14"/>
              <w:widowControl w:val="0"/>
              <w:bidi w:val="0"/>
              <w:rPr>
                <w:rFonts w:hint="default" w:ascii="Times New Roman" w:hAnsi="Times New Roman" w:cs="Times New Roman"/>
                <w:color w:val="auto"/>
                <w:lang w:val="en-US" w:eastAsia="zh-CN"/>
              </w:rPr>
            </w:pPr>
          </w:p>
        </w:tc>
        <w:tc>
          <w:tcPr>
            <w:tcW w:w="2031" w:type="dxa"/>
            <w:vAlign w:val="center"/>
          </w:tcPr>
          <w:p w14:paraId="095E80CE">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s="Times New Roman"/>
                <w:color w:val="auto"/>
                <w:lang w:val="en-US" w:eastAsia="zh-CN"/>
              </w:rPr>
              <w:t>0.99</w:t>
            </w:r>
          </w:p>
        </w:tc>
        <w:tc>
          <w:tcPr>
            <w:tcW w:w="1104" w:type="dxa"/>
            <w:vAlign w:val="center"/>
          </w:tcPr>
          <w:p w14:paraId="11EFE2E0">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s="Times New Roman"/>
                <w:color w:val="auto"/>
                <w:lang w:val="en-US" w:eastAsia="zh-CN"/>
              </w:rPr>
              <w:t>+0.99</w:t>
            </w:r>
          </w:p>
        </w:tc>
      </w:tr>
      <w:tr w14:paraId="1FAE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99" w:type="dxa"/>
            <w:vMerge w:val="continue"/>
            <w:vAlign w:val="center"/>
          </w:tcPr>
          <w:p w14:paraId="4680F234">
            <w:pPr>
              <w:pStyle w:val="14"/>
              <w:widowControl w:val="0"/>
              <w:bidi w:val="0"/>
              <w:rPr>
                <w:rFonts w:hint="default" w:ascii="Times New Roman" w:hAnsi="Times New Roman" w:cs="Times New Roman"/>
                <w:color w:val="auto"/>
                <w:lang w:val="en-US" w:eastAsia="zh-CN"/>
              </w:rPr>
            </w:pPr>
          </w:p>
        </w:tc>
        <w:tc>
          <w:tcPr>
            <w:tcW w:w="2017" w:type="dxa"/>
            <w:vAlign w:val="center"/>
          </w:tcPr>
          <w:p w14:paraId="17BD1853">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二甲苯</w:t>
            </w:r>
          </w:p>
        </w:tc>
        <w:tc>
          <w:tcPr>
            <w:tcW w:w="1567" w:type="dxa"/>
            <w:vAlign w:val="center"/>
          </w:tcPr>
          <w:p w14:paraId="6D2100F7">
            <w:pPr>
              <w:pStyle w:val="14"/>
              <w:widowControl w:val="0"/>
              <w:bidi w:val="0"/>
              <w:rPr>
                <w:rFonts w:hint="default" w:ascii="Times New Roman" w:hAnsi="Times New Roman" w:cs="Times New Roman"/>
                <w:color w:val="auto"/>
                <w:lang w:val="en-US" w:eastAsia="zh-CN"/>
              </w:rPr>
            </w:pPr>
          </w:p>
        </w:tc>
        <w:tc>
          <w:tcPr>
            <w:tcW w:w="1566" w:type="dxa"/>
            <w:vAlign w:val="center"/>
          </w:tcPr>
          <w:p w14:paraId="26EC26C7">
            <w:pPr>
              <w:pStyle w:val="14"/>
              <w:widowControl w:val="0"/>
              <w:bidi w:val="0"/>
              <w:rPr>
                <w:rFonts w:hint="default" w:ascii="Times New Roman" w:hAnsi="Times New Roman" w:cs="Times New Roman"/>
                <w:color w:val="auto"/>
                <w:lang w:val="en-US" w:eastAsia="zh-CN"/>
              </w:rPr>
            </w:pPr>
          </w:p>
        </w:tc>
        <w:tc>
          <w:tcPr>
            <w:tcW w:w="1567" w:type="dxa"/>
            <w:vAlign w:val="center"/>
          </w:tcPr>
          <w:p w14:paraId="50931B38">
            <w:pPr>
              <w:pStyle w:val="14"/>
              <w:widowControl w:val="0"/>
              <w:bidi w:val="0"/>
              <w:rPr>
                <w:rFonts w:hint="default" w:ascii="Times New Roman" w:hAnsi="Times New Roman" w:cs="Times New Roman"/>
                <w:color w:val="auto"/>
                <w:lang w:val="en-US" w:eastAsia="zh-CN"/>
              </w:rPr>
            </w:pPr>
          </w:p>
        </w:tc>
        <w:tc>
          <w:tcPr>
            <w:tcW w:w="1567" w:type="dxa"/>
            <w:vAlign w:val="center"/>
          </w:tcPr>
          <w:p w14:paraId="53961B00">
            <w:pPr>
              <w:pStyle w:val="14"/>
              <w:widowControl w:val="0"/>
              <w:bidi w:val="0"/>
              <w:rPr>
                <w:rFonts w:hint="default" w:ascii="Times New Roman" w:hAnsi="Times New Roman" w:cs="Times New Roman"/>
                <w:color w:val="auto"/>
                <w:lang w:val="en-US" w:eastAsia="zh-CN"/>
              </w:rPr>
            </w:pPr>
            <w:r>
              <w:rPr>
                <w:rFonts w:hint="eastAsia" w:cs="Times New Roman"/>
                <w:color w:val="auto"/>
                <w:lang w:val="en-US" w:eastAsia="zh-CN"/>
              </w:rPr>
              <w:t>0.63</w:t>
            </w:r>
          </w:p>
        </w:tc>
        <w:tc>
          <w:tcPr>
            <w:tcW w:w="1567" w:type="dxa"/>
            <w:vAlign w:val="center"/>
          </w:tcPr>
          <w:p w14:paraId="146CD997">
            <w:pPr>
              <w:pStyle w:val="14"/>
              <w:widowControl w:val="0"/>
              <w:bidi w:val="0"/>
              <w:rPr>
                <w:rFonts w:hint="default" w:ascii="Times New Roman" w:hAnsi="Times New Roman" w:cs="Times New Roman"/>
                <w:color w:val="auto"/>
                <w:lang w:val="en-US" w:eastAsia="zh-CN"/>
              </w:rPr>
            </w:pPr>
          </w:p>
        </w:tc>
        <w:tc>
          <w:tcPr>
            <w:tcW w:w="2031" w:type="dxa"/>
            <w:vAlign w:val="center"/>
          </w:tcPr>
          <w:p w14:paraId="371785FB">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s="Times New Roman"/>
                <w:color w:val="auto"/>
                <w:lang w:val="en-US" w:eastAsia="zh-CN"/>
              </w:rPr>
              <w:t>0.63</w:t>
            </w:r>
          </w:p>
        </w:tc>
        <w:tc>
          <w:tcPr>
            <w:tcW w:w="1104" w:type="dxa"/>
            <w:vAlign w:val="center"/>
          </w:tcPr>
          <w:p w14:paraId="1C3F6159">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s="Times New Roman"/>
                <w:color w:val="auto"/>
                <w:lang w:val="en-US" w:eastAsia="zh-CN"/>
              </w:rPr>
              <w:t>+0.63</w:t>
            </w:r>
          </w:p>
        </w:tc>
      </w:tr>
      <w:tr w14:paraId="55CF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99" w:type="dxa"/>
            <w:vMerge w:val="continue"/>
            <w:vAlign w:val="center"/>
          </w:tcPr>
          <w:p w14:paraId="4FC4C98F">
            <w:pPr>
              <w:pStyle w:val="14"/>
              <w:widowControl w:val="0"/>
              <w:bidi w:val="0"/>
              <w:rPr>
                <w:rFonts w:hint="default" w:ascii="Times New Roman" w:hAnsi="Times New Roman" w:cs="Times New Roman"/>
                <w:color w:val="auto"/>
                <w:lang w:val="en-US" w:eastAsia="zh-CN"/>
              </w:rPr>
            </w:pPr>
          </w:p>
        </w:tc>
        <w:tc>
          <w:tcPr>
            <w:tcW w:w="2017" w:type="dxa"/>
            <w:vAlign w:val="center"/>
          </w:tcPr>
          <w:p w14:paraId="42BBF83E">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燃油机械废气</w:t>
            </w:r>
          </w:p>
        </w:tc>
        <w:tc>
          <w:tcPr>
            <w:tcW w:w="1567" w:type="dxa"/>
            <w:vAlign w:val="center"/>
          </w:tcPr>
          <w:p w14:paraId="0BA65394">
            <w:pPr>
              <w:pStyle w:val="14"/>
              <w:widowControl w:val="0"/>
              <w:bidi w:val="0"/>
              <w:rPr>
                <w:rFonts w:hint="default" w:ascii="Times New Roman" w:hAnsi="Times New Roman" w:cs="Times New Roman"/>
                <w:color w:val="auto"/>
                <w:lang w:val="en-US" w:eastAsia="zh-CN"/>
              </w:rPr>
            </w:pPr>
          </w:p>
        </w:tc>
        <w:tc>
          <w:tcPr>
            <w:tcW w:w="1566" w:type="dxa"/>
            <w:vAlign w:val="center"/>
          </w:tcPr>
          <w:p w14:paraId="2E56091E">
            <w:pPr>
              <w:pStyle w:val="14"/>
              <w:widowControl w:val="0"/>
              <w:bidi w:val="0"/>
              <w:rPr>
                <w:rFonts w:hint="default" w:ascii="Times New Roman" w:hAnsi="Times New Roman" w:cs="Times New Roman"/>
                <w:color w:val="auto"/>
                <w:lang w:val="en-US" w:eastAsia="zh-CN"/>
              </w:rPr>
            </w:pPr>
          </w:p>
        </w:tc>
        <w:tc>
          <w:tcPr>
            <w:tcW w:w="1567" w:type="dxa"/>
            <w:vAlign w:val="center"/>
          </w:tcPr>
          <w:p w14:paraId="3A9D9919">
            <w:pPr>
              <w:pStyle w:val="14"/>
              <w:widowControl w:val="0"/>
              <w:bidi w:val="0"/>
              <w:rPr>
                <w:rFonts w:hint="default" w:ascii="Times New Roman" w:hAnsi="Times New Roman" w:cs="Times New Roman"/>
                <w:color w:val="auto"/>
                <w:lang w:val="en-US" w:eastAsia="zh-CN"/>
              </w:rPr>
            </w:pPr>
          </w:p>
        </w:tc>
        <w:tc>
          <w:tcPr>
            <w:tcW w:w="1567" w:type="dxa"/>
            <w:vAlign w:val="center"/>
          </w:tcPr>
          <w:p w14:paraId="7A2F044A">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少量</w:t>
            </w:r>
          </w:p>
        </w:tc>
        <w:tc>
          <w:tcPr>
            <w:tcW w:w="1567" w:type="dxa"/>
            <w:vAlign w:val="center"/>
          </w:tcPr>
          <w:p w14:paraId="63ADF7EB">
            <w:pPr>
              <w:pStyle w:val="14"/>
              <w:widowControl w:val="0"/>
              <w:bidi w:val="0"/>
              <w:rPr>
                <w:rFonts w:hint="default" w:ascii="Times New Roman" w:hAnsi="Times New Roman" w:cs="Times New Roman"/>
                <w:color w:val="auto"/>
                <w:lang w:val="en-US" w:eastAsia="zh-CN"/>
              </w:rPr>
            </w:pPr>
          </w:p>
        </w:tc>
        <w:tc>
          <w:tcPr>
            <w:tcW w:w="2031" w:type="dxa"/>
            <w:vAlign w:val="center"/>
          </w:tcPr>
          <w:p w14:paraId="0A59F539">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少量</w:t>
            </w:r>
          </w:p>
        </w:tc>
        <w:tc>
          <w:tcPr>
            <w:tcW w:w="1104" w:type="dxa"/>
            <w:vAlign w:val="center"/>
          </w:tcPr>
          <w:p w14:paraId="58F22B4B">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w:t>
            </w:r>
          </w:p>
        </w:tc>
      </w:tr>
      <w:tr w14:paraId="369A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99" w:type="dxa"/>
            <w:vMerge w:val="continue"/>
            <w:vAlign w:val="center"/>
          </w:tcPr>
          <w:p w14:paraId="1CAAE41B">
            <w:pPr>
              <w:pStyle w:val="14"/>
              <w:widowControl w:val="0"/>
              <w:bidi w:val="0"/>
              <w:rPr>
                <w:rFonts w:hint="default" w:ascii="Times New Roman" w:hAnsi="Times New Roman" w:cs="Times New Roman"/>
                <w:color w:val="auto"/>
                <w:lang w:val="en-US" w:eastAsia="zh-CN"/>
              </w:rPr>
            </w:pPr>
          </w:p>
        </w:tc>
        <w:tc>
          <w:tcPr>
            <w:tcW w:w="2017" w:type="dxa"/>
            <w:vAlign w:val="center"/>
          </w:tcPr>
          <w:p w14:paraId="49249DBB">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臭气浓度</w:t>
            </w:r>
          </w:p>
        </w:tc>
        <w:tc>
          <w:tcPr>
            <w:tcW w:w="1567" w:type="dxa"/>
            <w:vAlign w:val="center"/>
          </w:tcPr>
          <w:p w14:paraId="128048F5">
            <w:pPr>
              <w:pStyle w:val="14"/>
              <w:widowControl w:val="0"/>
              <w:bidi w:val="0"/>
              <w:rPr>
                <w:rFonts w:hint="default" w:ascii="Times New Roman" w:hAnsi="Times New Roman" w:cs="Times New Roman"/>
                <w:color w:val="auto"/>
                <w:lang w:val="en-US" w:eastAsia="zh-CN"/>
              </w:rPr>
            </w:pPr>
          </w:p>
        </w:tc>
        <w:tc>
          <w:tcPr>
            <w:tcW w:w="1566" w:type="dxa"/>
            <w:vAlign w:val="center"/>
          </w:tcPr>
          <w:p w14:paraId="4D2ED6BA">
            <w:pPr>
              <w:pStyle w:val="14"/>
              <w:widowControl w:val="0"/>
              <w:bidi w:val="0"/>
              <w:rPr>
                <w:rFonts w:hint="default" w:ascii="Times New Roman" w:hAnsi="Times New Roman" w:cs="Times New Roman"/>
                <w:color w:val="auto"/>
                <w:lang w:val="en-US" w:eastAsia="zh-CN"/>
              </w:rPr>
            </w:pPr>
          </w:p>
        </w:tc>
        <w:tc>
          <w:tcPr>
            <w:tcW w:w="1567" w:type="dxa"/>
            <w:vAlign w:val="center"/>
          </w:tcPr>
          <w:p w14:paraId="1030C658">
            <w:pPr>
              <w:pStyle w:val="14"/>
              <w:widowControl w:val="0"/>
              <w:bidi w:val="0"/>
              <w:rPr>
                <w:rFonts w:hint="default" w:ascii="Times New Roman" w:hAnsi="Times New Roman" w:cs="Times New Roman"/>
                <w:color w:val="auto"/>
                <w:lang w:val="en-US" w:eastAsia="zh-CN"/>
              </w:rPr>
            </w:pPr>
          </w:p>
        </w:tc>
        <w:tc>
          <w:tcPr>
            <w:tcW w:w="1567" w:type="dxa"/>
            <w:vAlign w:val="center"/>
          </w:tcPr>
          <w:p w14:paraId="5856BDCD">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567" w:type="dxa"/>
            <w:vAlign w:val="center"/>
          </w:tcPr>
          <w:p w14:paraId="24FB4276">
            <w:pPr>
              <w:pStyle w:val="14"/>
              <w:widowControl w:val="0"/>
              <w:bidi w:val="0"/>
              <w:rPr>
                <w:rFonts w:hint="default" w:ascii="Times New Roman" w:hAnsi="Times New Roman" w:cs="Times New Roman"/>
                <w:color w:val="auto"/>
                <w:lang w:val="en-US" w:eastAsia="zh-CN"/>
              </w:rPr>
            </w:pPr>
          </w:p>
        </w:tc>
        <w:tc>
          <w:tcPr>
            <w:tcW w:w="2031" w:type="dxa"/>
            <w:vAlign w:val="center"/>
          </w:tcPr>
          <w:p w14:paraId="1634A75C">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w:t>
            </w:r>
          </w:p>
        </w:tc>
        <w:tc>
          <w:tcPr>
            <w:tcW w:w="1104" w:type="dxa"/>
            <w:vAlign w:val="center"/>
          </w:tcPr>
          <w:p w14:paraId="4D8F08DF">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w:t>
            </w:r>
          </w:p>
        </w:tc>
      </w:tr>
      <w:tr w14:paraId="43EC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99" w:type="dxa"/>
            <w:vAlign w:val="center"/>
          </w:tcPr>
          <w:p w14:paraId="3159B0A2">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废水</w:t>
            </w:r>
          </w:p>
        </w:tc>
        <w:tc>
          <w:tcPr>
            <w:tcW w:w="2017" w:type="dxa"/>
            <w:vAlign w:val="center"/>
          </w:tcPr>
          <w:p w14:paraId="35C2EC3B">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办公废水</w:t>
            </w:r>
          </w:p>
        </w:tc>
        <w:tc>
          <w:tcPr>
            <w:tcW w:w="1567" w:type="dxa"/>
            <w:vAlign w:val="center"/>
          </w:tcPr>
          <w:p w14:paraId="26ED2F3B">
            <w:pPr>
              <w:pStyle w:val="14"/>
              <w:widowControl w:val="0"/>
              <w:bidi w:val="0"/>
              <w:rPr>
                <w:rFonts w:hint="default" w:ascii="Times New Roman" w:hAnsi="Times New Roman" w:cs="Times New Roman"/>
                <w:color w:val="auto"/>
                <w:lang w:val="en-US" w:eastAsia="zh-CN"/>
              </w:rPr>
            </w:pPr>
          </w:p>
        </w:tc>
        <w:tc>
          <w:tcPr>
            <w:tcW w:w="1566" w:type="dxa"/>
            <w:vAlign w:val="center"/>
          </w:tcPr>
          <w:p w14:paraId="1E6BE999">
            <w:pPr>
              <w:pStyle w:val="14"/>
              <w:widowControl w:val="0"/>
              <w:bidi w:val="0"/>
              <w:rPr>
                <w:rFonts w:hint="default" w:ascii="Times New Roman" w:hAnsi="Times New Roman" w:cs="Times New Roman"/>
                <w:color w:val="auto"/>
                <w:lang w:val="en-US" w:eastAsia="zh-CN"/>
              </w:rPr>
            </w:pPr>
          </w:p>
        </w:tc>
        <w:tc>
          <w:tcPr>
            <w:tcW w:w="1567" w:type="dxa"/>
            <w:vAlign w:val="center"/>
          </w:tcPr>
          <w:p w14:paraId="6B11927B">
            <w:pPr>
              <w:pStyle w:val="14"/>
              <w:widowControl w:val="0"/>
              <w:bidi w:val="0"/>
              <w:rPr>
                <w:rFonts w:hint="default" w:ascii="Times New Roman" w:hAnsi="Times New Roman" w:cs="Times New Roman"/>
                <w:color w:val="auto"/>
                <w:lang w:val="en-US" w:eastAsia="zh-CN"/>
              </w:rPr>
            </w:pPr>
          </w:p>
        </w:tc>
        <w:tc>
          <w:tcPr>
            <w:tcW w:w="1567" w:type="dxa"/>
            <w:vAlign w:val="center"/>
          </w:tcPr>
          <w:p w14:paraId="7C6C9197">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w:t>
            </w:r>
          </w:p>
        </w:tc>
        <w:tc>
          <w:tcPr>
            <w:tcW w:w="1567" w:type="dxa"/>
            <w:vAlign w:val="center"/>
          </w:tcPr>
          <w:p w14:paraId="18AA3833">
            <w:pPr>
              <w:pStyle w:val="14"/>
              <w:widowControl w:val="0"/>
              <w:bidi w:val="0"/>
              <w:rPr>
                <w:rFonts w:hint="default" w:ascii="Times New Roman" w:hAnsi="Times New Roman" w:cs="Times New Roman"/>
                <w:color w:val="auto"/>
                <w:lang w:val="en-US" w:eastAsia="zh-CN"/>
              </w:rPr>
            </w:pPr>
          </w:p>
        </w:tc>
        <w:tc>
          <w:tcPr>
            <w:tcW w:w="2031" w:type="dxa"/>
            <w:vAlign w:val="center"/>
          </w:tcPr>
          <w:p w14:paraId="5676E025">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w:t>
            </w:r>
          </w:p>
        </w:tc>
        <w:tc>
          <w:tcPr>
            <w:tcW w:w="1104" w:type="dxa"/>
            <w:vAlign w:val="center"/>
          </w:tcPr>
          <w:p w14:paraId="2CE47297">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w:t>
            </w:r>
          </w:p>
        </w:tc>
      </w:tr>
      <w:tr w14:paraId="061E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99" w:type="dxa"/>
            <w:vMerge w:val="restart"/>
            <w:vAlign w:val="center"/>
          </w:tcPr>
          <w:p w14:paraId="175FB429">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一般工业固体废物</w:t>
            </w:r>
          </w:p>
        </w:tc>
        <w:tc>
          <w:tcPr>
            <w:tcW w:w="2017" w:type="dxa"/>
            <w:vAlign w:val="center"/>
          </w:tcPr>
          <w:p w14:paraId="10B14171">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rPr>
              <w:t>生活垃圾</w:t>
            </w:r>
          </w:p>
        </w:tc>
        <w:tc>
          <w:tcPr>
            <w:tcW w:w="1567" w:type="dxa"/>
            <w:vAlign w:val="center"/>
          </w:tcPr>
          <w:p w14:paraId="6EFF7AEF">
            <w:pPr>
              <w:pStyle w:val="14"/>
              <w:widowControl w:val="0"/>
              <w:bidi w:val="0"/>
              <w:rPr>
                <w:rFonts w:hint="default" w:ascii="Times New Roman" w:hAnsi="Times New Roman" w:cs="Times New Roman"/>
                <w:color w:val="auto"/>
                <w:lang w:val="en-US" w:eastAsia="zh-CN"/>
              </w:rPr>
            </w:pPr>
          </w:p>
        </w:tc>
        <w:tc>
          <w:tcPr>
            <w:tcW w:w="1566" w:type="dxa"/>
            <w:vAlign w:val="center"/>
          </w:tcPr>
          <w:p w14:paraId="62D37E09">
            <w:pPr>
              <w:pStyle w:val="14"/>
              <w:widowControl w:val="0"/>
              <w:bidi w:val="0"/>
              <w:rPr>
                <w:rFonts w:hint="default" w:ascii="Times New Roman" w:hAnsi="Times New Roman" w:cs="Times New Roman"/>
                <w:color w:val="auto"/>
                <w:lang w:val="en-US" w:eastAsia="zh-CN"/>
              </w:rPr>
            </w:pPr>
          </w:p>
        </w:tc>
        <w:tc>
          <w:tcPr>
            <w:tcW w:w="1567" w:type="dxa"/>
            <w:vAlign w:val="center"/>
          </w:tcPr>
          <w:p w14:paraId="16579D89">
            <w:pPr>
              <w:pStyle w:val="14"/>
              <w:widowControl w:val="0"/>
              <w:bidi w:val="0"/>
              <w:rPr>
                <w:rFonts w:hint="default" w:ascii="Times New Roman" w:hAnsi="Times New Roman" w:cs="Times New Roman"/>
                <w:color w:val="auto"/>
                <w:lang w:val="en-US" w:eastAsia="zh-CN"/>
              </w:rPr>
            </w:pPr>
          </w:p>
        </w:tc>
        <w:tc>
          <w:tcPr>
            <w:tcW w:w="1567" w:type="dxa"/>
            <w:vAlign w:val="center"/>
          </w:tcPr>
          <w:p w14:paraId="11F57B03">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0.6</w:t>
            </w:r>
          </w:p>
        </w:tc>
        <w:tc>
          <w:tcPr>
            <w:tcW w:w="1567" w:type="dxa"/>
            <w:vAlign w:val="center"/>
          </w:tcPr>
          <w:p w14:paraId="08EA490A">
            <w:pPr>
              <w:pStyle w:val="14"/>
              <w:widowControl w:val="0"/>
              <w:bidi w:val="0"/>
              <w:rPr>
                <w:rFonts w:hint="default" w:ascii="Times New Roman" w:hAnsi="Times New Roman" w:cs="Times New Roman"/>
                <w:color w:val="auto"/>
                <w:lang w:val="en-US" w:eastAsia="zh-CN"/>
              </w:rPr>
            </w:pPr>
          </w:p>
        </w:tc>
        <w:tc>
          <w:tcPr>
            <w:tcW w:w="2031" w:type="dxa"/>
            <w:vAlign w:val="center"/>
          </w:tcPr>
          <w:p w14:paraId="4BFDA026">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0.6</w:t>
            </w:r>
          </w:p>
        </w:tc>
        <w:tc>
          <w:tcPr>
            <w:tcW w:w="1104" w:type="dxa"/>
            <w:vAlign w:val="center"/>
          </w:tcPr>
          <w:p w14:paraId="3DF210DD">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+0.6</w:t>
            </w:r>
          </w:p>
        </w:tc>
      </w:tr>
      <w:tr w14:paraId="5454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99" w:type="dxa"/>
            <w:vMerge w:val="continue"/>
            <w:vAlign w:val="center"/>
          </w:tcPr>
          <w:p w14:paraId="278473C8">
            <w:pPr>
              <w:pStyle w:val="14"/>
              <w:widowControl w:val="0"/>
              <w:bidi w:val="0"/>
              <w:rPr>
                <w:rFonts w:hint="default" w:ascii="Times New Roman" w:hAnsi="Times New Roman" w:cs="Times New Roman"/>
                <w:color w:val="auto"/>
                <w:lang w:val="en-US" w:eastAsia="zh-CN"/>
              </w:rPr>
            </w:pPr>
          </w:p>
        </w:tc>
        <w:tc>
          <w:tcPr>
            <w:tcW w:w="2017" w:type="dxa"/>
            <w:vAlign w:val="center"/>
          </w:tcPr>
          <w:p w14:paraId="7A9FF587">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旱厕粪污</w:t>
            </w:r>
          </w:p>
        </w:tc>
        <w:tc>
          <w:tcPr>
            <w:tcW w:w="1567" w:type="dxa"/>
            <w:vAlign w:val="center"/>
          </w:tcPr>
          <w:p w14:paraId="7E4546BF">
            <w:pPr>
              <w:pStyle w:val="14"/>
              <w:widowControl w:val="0"/>
              <w:bidi w:val="0"/>
              <w:rPr>
                <w:rFonts w:hint="default" w:ascii="Times New Roman" w:hAnsi="Times New Roman" w:cs="Times New Roman"/>
                <w:color w:val="auto"/>
                <w:lang w:val="en-US" w:eastAsia="zh-CN"/>
              </w:rPr>
            </w:pPr>
          </w:p>
        </w:tc>
        <w:tc>
          <w:tcPr>
            <w:tcW w:w="1566" w:type="dxa"/>
            <w:vAlign w:val="center"/>
          </w:tcPr>
          <w:p w14:paraId="19006B67">
            <w:pPr>
              <w:pStyle w:val="14"/>
              <w:widowControl w:val="0"/>
              <w:bidi w:val="0"/>
              <w:rPr>
                <w:rFonts w:hint="default" w:ascii="Times New Roman" w:hAnsi="Times New Roman" w:cs="Times New Roman"/>
                <w:color w:val="auto"/>
                <w:lang w:val="en-US" w:eastAsia="zh-CN"/>
              </w:rPr>
            </w:pPr>
          </w:p>
        </w:tc>
        <w:tc>
          <w:tcPr>
            <w:tcW w:w="1567" w:type="dxa"/>
            <w:vAlign w:val="center"/>
          </w:tcPr>
          <w:p w14:paraId="5A0EAD0A">
            <w:pPr>
              <w:pStyle w:val="14"/>
              <w:widowControl w:val="0"/>
              <w:bidi w:val="0"/>
              <w:rPr>
                <w:rFonts w:hint="default" w:ascii="Times New Roman" w:hAnsi="Times New Roman" w:cs="Times New Roman"/>
                <w:color w:val="auto"/>
                <w:lang w:val="en-US" w:eastAsia="zh-CN"/>
              </w:rPr>
            </w:pPr>
          </w:p>
        </w:tc>
        <w:tc>
          <w:tcPr>
            <w:tcW w:w="1567" w:type="dxa"/>
            <w:vAlign w:val="center"/>
          </w:tcPr>
          <w:p w14:paraId="132D8E45">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0.78</w:t>
            </w:r>
          </w:p>
        </w:tc>
        <w:tc>
          <w:tcPr>
            <w:tcW w:w="1567" w:type="dxa"/>
            <w:vAlign w:val="center"/>
          </w:tcPr>
          <w:p w14:paraId="2CFF0278">
            <w:pPr>
              <w:pStyle w:val="14"/>
              <w:widowControl w:val="0"/>
              <w:bidi w:val="0"/>
              <w:rPr>
                <w:rFonts w:hint="default" w:ascii="Times New Roman" w:hAnsi="Times New Roman" w:cs="Times New Roman"/>
                <w:color w:val="auto"/>
                <w:lang w:val="en-US" w:eastAsia="zh-CN"/>
              </w:rPr>
            </w:pPr>
          </w:p>
        </w:tc>
        <w:tc>
          <w:tcPr>
            <w:tcW w:w="2031" w:type="dxa"/>
            <w:vAlign w:val="center"/>
          </w:tcPr>
          <w:p w14:paraId="64955BC7">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0.78</w:t>
            </w:r>
          </w:p>
        </w:tc>
        <w:tc>
          <w:tcPr>
            <w:tcW w:w="1104" w:type="dxa"/>
            <w:vAlign w:val="center"/>
          </w:tcPr>
          <w:p w14:paraId="55AD8EDE">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+0.78</w:t>
            </w:r>
          </w:p>
        </w:tc>
      </w:tr>
      <w:tr w14:paraId="12AA2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99" w:type="dxa"/>
            <w:vMerge w:val="continue"/>
            <w:vAlign w:val="center"/>
          </w:tcPr>
          <w:p w14:paraId="5446D37C">
            <w:pPr>
              <w:pStyle w:val="14"/>
              <w:widowControl w:val="0"/>
              <w:bidi w:val="0"/>
              <w:rPr>
                <w:rFonts w:hint="default" w:ascii="Times New Roman" w:hAnsi="Times New Roman" w:cs="Times New Roman"/>
                <w:color w:val="auto"/>
                <w:lang w:val="en-US" w:eastAsia="zh-CN"/>
              </w:rPr>
            </w:pPr>
          </w:p>
        </w:tc>
        <w:tc>
          <w:tcPr>
            <w:tcW w:w="2017" w:type="dxa"/>
            <w:vAlign w:val="center"/>
          </w:tcPr>
          <w:p w14:paraId="63B141F1">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残次品</w:t>
            </w:r>
          </w:p>
        </w:tc>
        <w:tc>
          <w:tcPr>
            <w:tcW w:w="1567" w:type="dxa"/>
            <w:vAlign w:val="center"/>
          </w:tcPr>
          <w:p w14:paraId="1795A0F6">
            <w:pPr>
              <w:pStyle w:val="14"/>
              <w:widowControl w:val="0"/>
              <w:bidi w:val="0"/>
              <w:rPr>
                <w:rFonts w:hint="default" w:ascii="Times New Roman" w:hAnsi="Times New Roman" w:cs="Times New Roman"/>
                <w:color w:val="auto"/>
                <w:lang w:val="en-US" w:eastAsia="zh-CN"/>
              </w:rPr>
            </w:pPr>
          </w:p>
        </w:tc>
        <w:tc>
          <w:tcPr>
            <w:tcW w:w="1566" w:type="dxa"/>
            <w:vAlign w:val="center"/>
          </w:tcPr>
          <w:p w14:paraId="4E612B20">
            <w:pPr>
              <w:pStyle w:val="14"/>
              <w:widowControl w:val="0"/>
              <w:bidi w:val="0"/>
              <w:rPr>
                <w:rFonts w:hint="default" w:ascii="Times New Roman" w:hAnsi="Times New Roman" w:cs="Times New Roman"/>
                <w:color w:val="auto"/>
                <w:lang w:val="en-US" w:eastAsia="zh-CN"/>
              </w:rPr>
            </w:pPr>
          </w:p>
        </w:tc>
        <w:tc>
          <w:tcPr>
            <w:tcW w:w="1567" w:type="dxa"/>
            <w:vAlign w:val="center"/>
          </w:tcPr>
          <w:p w14:paraId="31664D0F">
            <w:pPr>
              <w:pStyle w:val="14"/>
              <w:widowControl w:val="0"/>
              <w:bidi w:val="0"/>
              <w:rPr>
                <w:rFonts w:hint="default" w:ascii="Times New Roman" w:hAnsi="Times New Roman" w:cs="Times New Roman"/>
                <w:color w:val="auto"/>
                <w:lang w:val="en-US" w:eastAsia="zh-CN"/>
              </w:rPr>
            </w:pPr>
          </w:p>
        </w:tc>
        <w:tc>
          <w:tcPr>
            <w:tcW w:w="1567" w:type="dxa"/>
            <w:vAlign w:val="center"/>
          </w:tcPr>
          <w:p w14:paraId="1954F6A5">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0.25</w:t>
            </w:r>
          </w:p>
        </w:tc>
        <w:tc>
          <w:tcPr>
            <w:tcW w:w="1567" w:type="dxa"/>
            <w:vAlign w:val="center"/>
          </w:tcPr>
          <w:p w14:paraId="690A319D">
            <w:pPr>
              <w:pStyle w:val="14"/>
              <w:widowControl w:val="0"/>
              <w:bidi w:val="0"/>
              <w:rPr>
                <w:rFonts w:hint="default" w:ascii="Times New Roman" w:hAnsi="Times New Roman" w:cs="Times New Roman"/>
                <w:color w:val="auto"/>
                <w:lang w:val="en-US" w:eastAsia="zh-CN"/>
              </w:rPr>
            </w:pPr>
          </w:p>
        </w:tc>
        <w:tc>
          <w:tcPr>
            <w:tcW w:w="2031" w:type="dxa"/>
            <w:vAlign w:val="center"/>
          </w:tcPr>
          <w:p w14:paraId="71EE62C3">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0.25</w:t>
            </w:r>
          </w:p>
        </w:tc>
        <w:tc>
          <w:tcPr>
            <w:tcW w:w="1104" w:type="dxa"/>
            <w:vAlign w:val="center"/>
          </w:tcPr>
          <w:p w14:paraId="130899AB">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+0.25</w:t>
            </w:r>
          </w:p>
        </w:tc>
      </w:tr>
      <w:tr w14:paraId="73E4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99" w:type="dxa"/>
            <w:vMerge w:val="continue"/>
            <w:vAlign w:val="center"/>
          </w:tcPr>
          <w:p w14:paraId="0BE6B567">
            <w:pPr>
              <w:pStyle w:val="14"/>
              <w:widowControl w:val="0"/>
              <w:bidi w:val="0"/>
              <w:rPr>
                <w:rFonts w:hint="default" w:ascii="Times New Roman" w:hAnsi="Times New Roman" w:cs="Times New Roman"/>
                <w:color w:val="auto"/>
                <w:lang w:val="en-US" w:eastAsia="zh-CN"/>
              </w:rPr>
            </w:pPr>
          </w:p>
        </w:tc>
        <w:tc>
          <w:tcPr>
            <w:tcW w:w="2017" w:type="dxa"/>
            <w:vAlign w:val="center"/>
          </w:tcPr>
          <w:p w14:paraId="4194A22F">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包装废料</w:t>
            </w:r>
          </w:p>
        </w:tc>
        <w:tc>
          <w:tcPr>
            <w:tcW w:w="1567" w:type="dxa"/>
            <w:vAlign w:val="center"/>
          </w:tcPr>
          <w:p w14:paraId="10A59B88">
            <w:pPr>
              <w:pStyle w:val="14"/>
              <w:widowControl w:val="0"/>
              <w:bidi w:val="0"/>
              <w:rPr>
                <w:rFonts w:hint="default" w:ascii="Times New Roman" w:hAnsi="Times New Roman" w:cs="Times New Roman"/>
                <w:color w:val="auto"/>
                <w:lang w:val="en-US" w:eastAsia="zh-CN"/>
              </w:rPr>
            </w:pPr>
          </w:p>
        </w:tc>
        <w:tc>
          <w:tcPr>
            <w:tcW w:w="1566" w:type="dxa"/>
            <w:vAlign w:val="center"/>
          </w:tcPr>
          <w:p w14:paraId="105EEBAE">
            <w:pPr>
              <w:pStyle w:val="14"/>
              <w:widowControl w:val="0"/>
              <w:bidi w:val="0"/>
              <w:rPr>
                <w:rFonts w:hint="default" w:ascii="Times New Roman" w:hAnsi="Times New Roman" w:cs="Times New Roman"/>
                <w:color w:val="auto"/>
                <w:lang w:val="en-US" w:eastAsia="zh-CN"/>
              </w:rPr>
            </w:pPr>
          </w:p>
        </w:tc>
        <w:tc>
          <w:tcPr>
            <w:tcW w:w="1567" w:type="dxa"/>
            <w:vAlign w:val="center"/>
          </w:tcPr>
          <w:p w14:paraId="46D47CC6">
            <w:pPr>
              <w:pStyle w:val="14"/>
              <w:widowControl w:val="0"/>
              <w:bidi w:val="0"/>
              <w:rPr>
                <w:rFonts w:hint="default" w:ascii="Times New Roman" w:hAnsi="Times New Roman" w:cs="Times New Roman"/>
                <w:color w:val="auto"/>
                <w:lang w:val="en-US" w:eastAsia="zh-CN"/>
              </w:rPr>
            </w:pPr>
          </w:p>
        </w:tc>
        <w:tc>
          <w:tcPr>
            <w:tcW w:w="1567" w:type="dxa"/>
            <w:vAlign w:val="center"/>
          </w:tcPr>
          <w:p w14:paraId="351E2AFA">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5</w:t>
            </w:r>
          </w:p>
        </w:tc>
        <w:tc>
          <w:tcPr>
            <w:tcW w:w="1567" w:type="dxa"/>
            <w:vAlign w:val="center"/>
          </w:tcPr>
          <w:p w14:paraId="196D6DDD">
            <w:pPr>
              <w:pStyle w:val="14"/>
              <w:widowControl w:val="0"/>
              <w:bidi w:val="0"/>
              <w:rPr>
                <w:rFonts w:hint="default" w:ascii="Times New Roman" w:hAnsi="Times New Roman" w:cs="Times New Roman"/>
                <w:color w:val="auto"/>
                <w:lang w:val="en-US" w:eastAsia="zh-CN"/>
              </w:rPr>
            </w:pPr>
          </w:p>
        </w:tc>
        <w:tc>
          <w:tcPr>
            <w:tcW w:w="2031" w:type="dxa"/>
            <w:vAlign w:val="center"/>
          </w:tcPr>
          <w:p w14:paraId="569FA6BF">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5</w:t>
            </w:r>
          </w:p>
        </w:tc>
        <w:tc>
          <w:tcPr>
            <w:tcW w:w="1104" w:type="dxa"/>
            <w:vAlign w:val="center"/>
          </w:tcPr>
          <w:p w14:paraId="27B23844">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+5</w:t>
            </w:r>
          </w:p>
        </w:tc>
      </w:tr>
      <w:tr w14:paraId="1F3C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99" w:type="dxa"/>
            <w:vMerge w:val="continue"/>
            <w:vAlign w:val="center"/>
          </w:tcPr>
          <w:p w14:paraId="5ACDCDAE">
            <w:pPr>
              <w:pStyle w:val="14"/>
              <w:widowControl w:val="0"/>
              <w:bidi w:val="0"/>
              <w:rPr>
                <w:rFonts w:hint="default" w:ascii="Times New Roman" w:hAnsi="Times New Roman" w:cs="Times New Roman"/>
                <w:color w:val="auto"/>
                <w:lang w:val="en-US" w:eastAsia="zh-CN"/>
              </w:rPr>
            </w:pPr>
          </w:p>
        </w:tc>
        <w:tc>
          <w:tcPr>
            <w:tcW w:w="2017" w:type="dxa"/>
            <w:vAlign w:val="center"/>
          </w:tcPr>
          <w:p w14:paraId="7F6829C1">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废劳保用品</w:t>
            </w:r>
          </w:p>
        </w:tc>
        <w:tc>
          <w:tcPr>
            <w:tcW w:w="1567" w:type="dxa"/>
            <w:vAlign w:val="center"/>
          </w:tcPr>
          <w:p w14:paraId="085B06FD">
            <w:pPr>
              <w:pStyle w:val="14"/>
              <w:widowControl w:val="0"/>
              <w:bidi w:val="0"/>
              <w:rPr>
                <w:rFonts w:hint="default" w:ascii="Times New Roman" w:hAnsi="Times New Roman" w:cs="Times New Roman"/>
                <w:color w:val="auto"/>
                <w:lang w:val="en-US" w:eastAsia="zh-CN"/>
              </w:rPr>
            </w:pPr>
          </w:p>
        </w:tc>
        <w:tc>
          <w:tcPr>
            <w:tcW w:w="1566" w:type="dxa"/>
            <w:vAlign w:val="center"/>
          </w:tcPr>
          <w:p w14:paraId="4CC1076A">
            <w:pPr>
              <w:pStyle w:val="14"/>
              <w:widowControl w:val="0"/>
              <w:bidi w:val="0"/>
              <w:rPr>
                <w:rFonts w:hint="default" w:ascii="Times New Roman" w:hAnsi="Times New Roman" w:cs="Times New Roman"/>
                <w:color w:val="auto"/>
                <w:lang w:val="en-US" w:eastAsia="zh-CN"/>
              </w:rPr>
            </w:pPr>
          </w:p>
        </w:tc>
        <w:tc>
          <w:tcPr>
            <w:tcW w:w="1567" w:type="dxa"/>
            <w:vAlign w:val="center"/>
          </w:tcPr>
          <w:p w14:paraId="19EC7623">
            <w:pPr>
              <w:pStyle w:val="14"/>
              <w:widowControl w:val="0"/>
              <w:bidi w:val="0"/>
              <w:rPr>
                <w:rFonts w:hint="default" w:ascii="Times New Roman" w:hAnsi="Times New Roman" w:cs="Times New Roman"/>
                <w:color w:val="auto"/>
                <w:lang w:val="en-US" w:eastAsia="zh-CN"/>
              </w:rPr>
            </w:pPr>
          </w:p>
        </w:tc>
        <w:tc>
          <w:tcPr>
            <w:tcW w:w="1567" w:type="dxa"/>
            <w:vAlign w:val="center"/>
          </w:tcPr>
          <w:p w14:paraId="16484FDC">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0.5</w:t>
            </w:r>
          </w:p>
        </w:tc>
        <w:tc>
          <w:tcPr>
            <w:tcW w:w="1567" w:type="dxa"/>
            <w:vAlign w:val="center"/>
          </w:tcPr>
          <w:p w14:paraId="060A7052">
            <w:pPr>
              <w:pStyle w:val="14"/>
              <w:widowControl w:val="0"/>
              <w:bidi w:val="0"/>
              <w:rPr>
                <w:rFonts w:hint="default" w:ascii="Times New Roman" w:hAnsi="Times New Roman" w:cs="Times New Roman"/>
                <w:color w:val="auto"/>
                <w:lang w:val="en-US" w:eastAsia="zh-CN"/>
              </w:rPr>
            </w:pPr>
          </w:p>
        </w:tc>
        <w:tc>
          <w:tcPr>
            <w:tcW w:w="2031" w:type="dxa"/>
            <w:vAlign w:val="center"/>
          </w:tcPr>
          <w:p w14:paraId="31D60F8D">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0.5</w:t>
            </w:r>
          </w:p>
        </w:tc>
        <w:tc>
          <w:tcPr>
            <w:tcW w:w="1104" w:type="dxa"/>
            <w:vAlign w:val="center"/>
          </w:tcPr>
          <w:p w14:paraId="3E7DDA42">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+0.5</w:t>
            </w:r>
          </w:p>
        </w:tc>
      </w:tr>
      <w:tr w14:paraId="095AD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99" w:type="dxa"/>
            <w:vMerge w:val="restart"/>
            <w:vAlign w:val="center"/>
          </w:tcPr>
          <w:p w14:paraId="7F7DDA4F">
            <w:pPr>
              <w:pStyle w:val="14"/>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w:t>
            </w:r>
          </w:p>
        </w:tc>
        <w:tc>
          <w:tcPr>
            <w:tcW w:w="2017" w:type="dxa"/>
            <w:vAlign w:val="center"/>
          </w:tcPr>
          <w:p w14:paraId="6C170ECC">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废机油、机油桶等</w:t>
            </w:r>
          </w:p>
        </w:tc>
        <w:tc>
          <w:tcPr>
            <w:tcW w:w="1567" w:type="dxa"/>
            <w:vAlign w:val="center"/>
          </w:tcPr>
          <w:p w14:paraId="13F81AD8">
            <w:pPr>
              <w:pStyle w:val="14"/>
              <w:widowControl w:val="0"/>
              <w:bidi w:val="0"/>
              <w:rPr>
                <w:rFonts w:hint="default" w:ascii="Times New Roman" w:hAnsi="Times New Roman" w:cs="Times New Roman"/>
                <w:color w:val="auto"/>
                <w:lang w:val="en-US" w:eastAsia="zh-CN"/>
              </w:rPr>
            </w:pPr>
          </w:p>
        </w:tc>
        <w:tc>
          <w:tcPr>
            <w:tcW w:w="1566" w:type="dxa"/>
            <w:vAlign w:val="center"/>
          </w:tcPr>
          <w:p w14:paraId="47B67E37">
            <w:pPr>
              <w:pStyle w:val="14"/>
              <w:widowControl w:val="0"/>
              <w:bidi w:val="0"/>
              <w:rPr>
                <w:rFonts w:hint="default" w:ascii="Times New Roman" w:hAnsi="Times New Roman" w:cs="Times New Roman"/>
                <w:color w:val="auto"/>
                <w:lang w:val="en-US" w:eastAsia="zh-CN"/>
              </w:rPr>
            </w:pPr>
          </w:p>
        </w:tc>
        <w:tc>
          <w:tcPr>
            <w:tcW w:w="1567" w:type="dxa"/>
            <w:vAlign w:val="center"/>
          </w:tcPr>
          <w:p w14:paraId="64AC5E28">
            <w:pPr>
              <w:pStyle w:val="14"/>
              <w:widowControl w:val="0"/>
              <w:bidi w:val="0"/>
              <w:rPr>
                <w:rFonts w:hint="default" w:ascii="Times New Roman" w:hAnsi="Times New Roman" w:cs="Times New Roman"/>
                <w:color w:val="auto"/>
                <w:lang w:val="en-US" w:eastAsia="zh-CN"/>
              </w:rPr>
            </w:pPr>
          </w:p>
        </w:tc>
        <w:tc>
          <w:tcPr>
            <w:tcW w:w="1567" w:type="dxa"/>
            <w:vAlign w:val="center"/>
          </w:tcPr>
          <w:p w14:paraId="56C2E9D7">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0.3</w:t>
            </w:r>
          </w:p>
        </w:tc>
        <w:tc>
          <w:tcPr>
            <w:tcW w:w="1567" w:type="dxa"/>
            <w:vAlign w:val="center"/>
          </w:tcPr>
          <w:p w14:paraId="79A91FC1">
            <w:pPr>
              <w:pStyle w:val="14"/>
              <w:widowControl w:val="0"/>
              <w:bidi w:val="0"/>
              <w:rPr>
                <w:rFonts w:hint="default" w:ascii="Times New Roman" w:hAnsi="Times New Roman" w:cs="Times New Roman"/>
                <w:color w:val="auto"/>
                <w:lang w:val="en-US" w:eastAsia="zh-CN"/>
              </w:rPr>
            </w:pPr>
          </w:p>
        </w:tc>
        <w:tc>
          <w:tcPr>
            <w:tcW w:w="2031" w:type="dxa"/>
            <w:vAlign w:val="center"/>
          </w:tcPr>
          <w:p w14:paraId="5E71134A">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0.3</w:t>
            </w:r>
          </w:p>
        </w:tc>
        <w:tc>
          <w:tcPr>
            <w:tcW w:w="1104" w:type="dxa"/>
            <w:vAlign w:val="center"/>
          </w:tcPr>
          <w:p w14:paraId="5FCC32B4">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+0.3</w:t>
            </w:r>
          </w:p>
        </w:tc>
      </w:tr>
      <w:tr w14:paraId="005D7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1099" w:type="dxa"/>
            <w:vMerge w:val="continue"/>
            <w:vAlign w:val="center"/>
          </w:tcPr>
          <w:p w14:paraId="435D7924">
            <w:pPr>
              <w:pStyle w:val="14"/>
              <w:widowControl w:val="0"/>
              <w:bidi w:val="0"/>
              <w:rPr>
                <w:rFonts w:hint="default" w:ascii="Times New Roman" w:hAnsi="Times New Roman" w:cs="Times New Roman"/>
                <w:color w:val="auto"/>
                <w:lang w:val="en-US" w:eastAsia="zh-CN"/>
              </w:rPr>
            </w:pPr>
          </w:p>
        </w:tc>
        <w:tc>
          <w:tcPr>
            <w:tcW w:w="2017" w:type="dxa"/>
            <w:vAlign w:val="center"/>
          </w:tcPr>
          <w:p w14:paraId="40C4E2AD">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废活性炭</w:t>
            </w:r>
          </w:p>
        </w:tc>
        <w:tc>
          <w:tcPr>
            <w:tcW w:w="1567" w:type="dxa"/>
            <w:vAlign w:val="center"/>
          </w:tcPr>
          <w:p w14:paraId="07A80264">
            <w:pPr>
              <w:pStyle w:val="14"/>
              <w:widowControl w:val="0"/>
              <w:bidi w:val="0"/>
              <w:rPr>
                <w:rFonts w:hint="default" w:ascii="Times New Roman" w:hAnsi="Times New Roman" w:cs="Times New Roman"/>
                <w:color w:val="auto"/>
                <w:lang w:val="en-US" w:eastAsia="zh-CN"/>
              </w:rPr>
            </w:pPr>
          </w:p>
        </w:tc>
        <w:tc>
          <w:tcPr>
            <w:tcW w:w="1566" w:type="dxa"/>
            <w:vAlign w:val="center"/>
          </w:tcPr>
          <w:p w14:paraId="68ADC1BA">
            <w:pPr>
              <w:pStyle w:val="14"/>
              <w:widowControl w:val="0"/>
              <w:bidi w:val="0"/>
              <w:rPr>
                <w:rFonts w:hint="default" w:ascii="Times New Roman" w:hAnsi="Times New Roman" w:cs="Times New Roman"/>
                <w:color w:val="auto"/>
                <w:lang w:val="en-US" w:eastAsia="zh-CN"/>
              </w:rPr>
            </w:pPr>
          </w:p>
        </w:tc>
        <w:tc>
          <w:tcPr>
            <w:tcW w:w="1567" w:type="dxa"/>
            <w:vAlign w:val="center"/>
          </w:tcPr>
          <w:p w14:paraId="6066F5C7">
            <w:pPr>
              <w:pStyle w:val="14"/>
              <w:widowControl w:val="0"/>
              <w:bidi w:val="0"/>
              <w:rPr>
                <w:rFonts w:hint="default" w:ascii="Times New Roman" w:hAnsi="Times New Roman" w:cs="Times New Roman"/>
                <w:color w:val="auto"/>
                <w:lang w:val="en-US" w:eastAsia="zh-CN"/>
              </w:rPr>
            </w:pPr>
          </w:p>
        </w:tc>
        <w:tc>
          <w:tcPr>
            <w:tcW w:w="1567" w:type="dxa"/>
            <w:vAlign w:val="center"/>
          </w:tcPr>
          <w:p w14:paraId="4F315130">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s="Times New Roman"/>
                <w:color w:val="auto"/>
                <w:lang w:val="en-US" w:eastAsia="zh-CN"/>
              </w:rPr>
              <w:t>0.59</w:t>
            </w:r>
          </w:p>
        </w:tc>
        <w:tc>
          <w:tcPr>
            <w:tcW w:w="1567" w:type="dxa"/>
            <w:vAlign w:val="center"/>
          </w:tcPr>
          <w:p w14:paraId="67304542">
            <w:pPr>
              <w:pStyle w:val="14"/>
              <w:widowControl w:val="0"/>
              <w:bidi w:val="0"/>
              <w:rPr>
                <w:rFonts w:hint="default" w:ascii="Times New Roman" w:hAnsi="Times New Roman" w:cs="Times New Roman"/>
                <w:color w:val="auto"/>
                <w:lang w:val="en-US" w:eastAsia="zh-CN"/>
              </w:rPr>
            </w:pPr>
          </w:p>
        </w:tc>
        <w:tc>
          <w:tcPr>
            <w:tcW w:w="2031" w:type="dxa"/>
            <w:vAlign w:val="center"/>
          </w:tcPr>
          <w:p w14:paraId="1AE662F5">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s="Times New Roman"/>
                <w:color w:val="auto"/>
                <w:lang w:val="en-US" w:eastAsia="zh-CN"/>
              </w:rPr>
              <w:t>0.59</w:t>
            </w:r>
          </w:p>
        </w:tc>
        <w:tc>
          <w:tcPr>
            <w:tcW w:w="1104" w:type="dxa"/>
            <w:vAlign w:val="center"/>
          </w:tcPr>
          <w:p w14:paraId="74DFC24B">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w:t>
            </w:r>
            <w:r>
              <w:rPr>
                <w:rFonts w:hint="eastAsia" w:cs="Times New Roman"/>
                <w:color w:val="auto"/>
                <w:lang w:val="en-US" w:eastAsia="zh-CN"/>
              </w:rPr>
              <w:t>0.59</w:t>
            </w:r>
          </w:p>
        </w:tc>
      </w:tr>
      <w:tr w14:paraId="46C23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99" w:type="dxa"/>
            <w:vMerge w:val="continue"/>
            <w:vAlign w:val="center"/>
          </w:tcPr>
          <w:p w14:paraId="1B7CE625">
            <w:pPr>
              <w:pStyle w:val="14"/>
              <w:widowControl w:val="0"/>
              <w:bidi w:val="0"/>
              <w:rPr>
                <w:rFonts w:hint="default" w:ascii="Times New Roman" w:hAnsi="Times New Roman" w:cs="Times New Roman"/>
                <w:color w:val="auto"/>
                <w:lang w:val="en-US" w:eastAsia="zh-CN"/>
              </w:rPr>
            </w:pPr>
          </w:p>
        </w:tc>
        <w:tc>
          <w:tcPr>
            <w:tcW w:w="2017" w:type="dxa"/>
            <w:vAlign w:val="center"/>
          </w:tcPr>
          <w:p w14:paraId="64C76ED5">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废包装桶</w:t>
            </w:r>
          </w:p>
        </w:tc>
        <w:tc>
          <w:tcPr>
            <w:tcW w:w="1567" w:type="dxa"/>
            <w:vAlign w:val="center"/>
          </w:tcPr>
          <w:p w14:paraId="7E58D17B">
            <w:pPr>
              <w:pStyle w:val="14"/>
              <w:widowControl w:val="0"/>
              <w:bidi w:val="0"/>
              <w:rPr>
                <w:rFonts w:hint="default" w:ascii="Times New Roman" w:hAnsi="Times New Roman" w:cs="Times New Roman"/>
                <w:color w:val="auto"/>
                <w:lang w:val="en-US" w:eastAsia="zh-CN"/>
              </w:rPr>
            </w:pPr>
          </w:p>
        </w:tc>
        <w:tc>
          <w:tcPr>
            <w:tcW w:w="1566" w:type="dxa"/>
            <w:vAlign w:val="center"/>
          </w:tcPr>
          <w:p w14:paraId="6902F96F">
            <w:pPr>
              <w:pStyle w:val="14"/>
              <w:widowControl w:val="0"/>
              <w:bidi w:val="0"/>
              <w:rPr>
                <w:rFonts w:hint="default" w:ascii="Times New Roman" w:hAnsi="Times New Roman" w:cs="Times New Roman"/>
                <w:color w:val="auto"/>
                <w:lang w:val="en-US" w:eastAsia="zh-CN"/>
              </w:rPr>
            </w:pPr>
          </w:p>
        </w:tc>
        <w:tc>
          <w:tcPr>
            <w:tcW w:w="1567" w:type="dxa"/>
            <w:vAlign w:val="center"/>
          </w:tcPr>
          <w:p w14:paraId="5A6DE446">
            <w:pPr>
              <w:pStyle w:val="14"/>
              <w:widowControl w:val="0"/>
              <w:bidi w:val="0"/>
              <w:rPr>
                <w:rFonts w:hint="default" w:ascii="Times New Roman" w:hAnsi="Times New Roman" w:cs="Times New Roman"/>
                <w:color w:val="auto"/>
                <w:lang w:val="en-US" w:eastAsia="zh-CN"/>
              </w:rPr>
            </w:pPr>
          </w:p>
        </w:tc>
        <w:tc>
          <w:tcPr>
            <w:tcW w:w="1567" w:type="dxa"/>
            <w:vAlign w:val="center"/>
          </w:tcPr>
          <w:p w14:paraId="694433FD">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0.11</w:t>
            </w:r>
          </w:p>
        </w:tc>
        <w:tc>
          <w:tcPr>
            <w:tcW w:w="1567" w:type="dxa"/>
            <w:vAlign w:val="center"/>
          </w:tcPr>
          <w:p w14:paraId="27EEBE78">
            <w:pPr>
              <w:pStyle w:val="14"/>
              <w:widowControl w:val="0"/>
              <w:bidi w:val="0"/>
              <w:rPr>
                <w:rFonts w:hint="default" w:ascii="Times New Roman" w:hAnsi="Times New Roman" w:cs="Times New Roman"/>
                <w:color w:val="auto"/>
                <w:lang w:val="en-US" w:eastAsia="zh-CN"/>
              </w:rPr>
            </w:pPr>
          </w:p>
        </w:tc>
        <w:tc>
          <w:tcPr>
            <w:tcW w:w="2031" w:type="dxa"/>
            <w:vAlign w:val="center"/>
          </w:tcPr>
          <w:p w14:paraId="145EBFD8">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0.11</w:t>
            </w:r>
          </w:p>
        </w:tc>
        <w:tc>
          <w:tcPr>
            <w:tcW w:w="1104" w:type="dxa"/>
            <w:vAlign w:val="center"/>
          </w:tcPr>
          <w:p w14:paraId="3B3EB5AD">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+0.11</w:t>
            </w:r>
          </w:p>
        </w:tc>
      </w:tr>
      <w:tr w14:paraId="348C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99" w:type="dxa"/>
            <w:vMerge w:val="continue"/>
            <w:vAlign w:val="center"/>
          </w:tcPr>
          <w:p w14:paraId="2AC65CCC">
            <w:pPr>
              <w:pStyle w:val="14"/>
              <w:widowControl w:val="0"/>
              <w:bidi w:val="0"/>
              <w:rPr>
                <w:rFonts w:hint="default" w:ascii="Times New Roman" w:hAnsi="Times New Roman" w:cs="Times New Roman"/>
                <w:color w:val="auto"/>
                <w:lang w:val="en-US" w:eastAsia="zh-CN"/>
              </w:rPr>
            </w:pPr>
          </w:p>
        </w:tc>
        <w:tc>
          <w:tcPr>
            <w:tcW w:w="2017" w:type="dxa"/>
            <w:vAlign w:val="center"/>
          </w:tcPr>
          <w:p w14:paraId="317DE6B9">
            <w:pPr>
              <w:pStyle w:val="14"/>
              <w:widowControl w:val="0"/>
              <w:bidi w:val="0"/>
              <w:ind w:firstLine="0" w:firstLineChars="0"/>
              <w:rPr>
                <w:rFonts w:hint="default" w:ascii="Times New Roman" w:hAnsi="Times New Roman" w:eastAsia="宋体" w:cs="Times New Roman"/>
                <w:color w:val="auto"/>
                <w:sz w:val="21"/>
                <w:lang w:val="en-US" w:eastAsia="zh-CN"/>
              </w:rPr>
            </w:pPr>
            <w:r>
              <w:rPr>
                <w:rFonts w:hint="eastAsia" w:cs="Times New Roman"/>
                <w:color w:val="auto"/>
                <w:lang w:val="en-US" w:eastAsia="zh-CN"/>
              </w:rPr>
              <w:t>水帘废液</w:t>
            </w:r>
          </w:p>
        </w:tc>
        <w:tc>
          <w:tcPr>
            <w:tcW w:w="1567" w:type="dxa"/>
            <w:vAlign w:val="center"/>
          </w:tcPr>
          <w:p w14:paraId="0DDA5E12">
            <w:pPr>
              <w:pStyle w:val="14"/>
              <w:widowControl w:val="0"/>
              <w:bidi w:val="0"/>
              <w:rPr>
                <w:rFonts w:hint="default" w:ascii="Times New Roman" w:hAnsi="Times New Roman" w:cs="Times New Roman"/>
                <w:color w:val="auto"/>
                <w:lang w:val="en-US" w:eastAsia="zh-CN"/>
              </w:rPr>
            </w:pPr>
          </w:p>
        </w:tc>
        <w:tc>
          <w:tcPr>
            <w:tcW w:w="1566" w:type="dxa"/>
            <w:vAlign w:val="center"/>
          </w:tcPr>
          <w:p w14:paraId="371D62FD">
            <w:pPr>
              <w:pStyle w:val="14"/>
              <w:widowControl w:val="0"/>
              <w:bidi w:val="0"/>
              <w:rPr>
                <w:rFonts w:hint="default" w:ascii="Times New Roman" w:hAnsi="Times New Roman" w:cs="Times New Roman"/>
                <w:color w:val="auto"/>
                <w:lang w:val="en-US" w:eastAsia="zh-CN"/>
              </w:rPr>
            </w:pPr>
          </w:p>
        </w:tc>
        <w:tc>
          <w:tcPr>
            <w:tcW w:w="1567" w:type="dxa"/>
            <w:vAlign w:val="center"/>
          </w:tcPr>
          <w:p w14:paraId="6F0A5EB6">
            <w:pPr>
              <w:pStyle w:val="14"/>
              <w:widowControl w:val="0"/>
              <w:bidi w:val="0"/>
              <w:rPr>
                <w:rFonts w:hint="default" w:ascii="Times New Roman" w:hAnsi="Times New Roman" w:cs="Times New Roman"/>
                <w:color w:val="auto"/>
                <w:lang w:val="en-US" w:eastAsia="zh-CN"/>
              </w:rPr>
            </w:pPr>
          </w:p>
        </w:tc>
        <w:tc>
          <w:tcPr>
            <w:tcW w:w="1567" w:type="dxa"/>
            <w:vAlign w:val="center"/>
          </w:tcPr>
          <w:p w14:paraId="04F0B83C">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2</w:t>
            </w:r>
          </w:p>
        </w:tc>
        <w:tc>
          <w:tcPr>
            <w:tcW w:w="1567" w:type="dxa"/>
            <w:vAlign w:val="center"/>
          </w:tcPr>
          <w:p w14:paraId="1B692FCD">
            <w:pPr>
              <w:pStyle w:val="14"/>
              <w:widowControl w:val="0"/>
              <w:bidi w:val="0"/>
              <w:rPr>
                <w:rFonts w:hint="default" w:ascii="Times New Roman" w:hAnsi="Times New Roman" w:cs="Times New Roman"/>
                <w:color w:val="auto"/>
                <w:lang w:val="en-US" w:eastAsia="zh-CN"/>
              </w:rPr>
            </w:pPr>
          </w:p>
        </w:tc>
        <w:tc>
          <w:tcPr>
            <w:tcW w:w="2031" w:type="dxa"/>
            <w:vAlign w:val="center"/>
          </w:tcPr>
          <w:p w14:paraId="1457F279">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2</w:t>
            </w:r>
          </w:p>
        </w:tc>
        <w:tc>
          <w:tcPr>
            <w:tcW w:w="1104" w:type="dxa"/>
            <w:vAlign w:val="center"/>
          </w:tcPr>
          <w:p w14:paraId="313E447C">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+2</w:t>
            </w:r>
          </w:p>
        </w:tc>
      </w:tr>
      <w:tr w14:paraId="3E27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99" w:type="dxa"/>
            <w:vMerge w:val="continue"/>
            <w:vAlign w:val="center"/>
          </w:tcPr>
          <w:p w14:paraId="7B6C90CB">
            <w:pPr>
              <w:pStyle w:val="14"/>
              <w:widowControl w:val="0"/>
              <w:bidi w:val="0"/>
              <w:rPr>
                <w:rFonts w:hint="default" w:ascii="Times New Roman" w:hAnsi="Times New Roman" w:cs="Times New Roman"/>
                <w:color w:val="auto"/>
                <w:lang w:val="en-US" w:eastAsia="zh-CN"/>
              </w:rPr>
            </w:pPr>
          </w:p>
        </w:tc>
        <w:tc>
          <w:tcPr>
            <w:tcW w:w="2017" w:type="dxa"/>
            <w:vAlign w:val="center"/>
          </w:tcPr>
          <w:p w14:paraId="6384D40D">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漆渣</w:t>
            </w:r>
          </w:p>
        </w:tc>
        <w:tc>
          <w:tcPr>
            <w:tcW w:w="1567" w:type="dxa"/>
            <w:vAlign w:val="center"/>
          </w:tcPr>
          <w:p w14:paraId="1859EE24">
            <w:pPr>
              <w:pStyle w:val="14"/>
              <w:widowControl w:val="0"/>
              <w:bidi w:val="0"/>
              <w:rPr>
                <w:rFonts w:hint="default" w:ascii="Times New Roman" w:hAnsi="Times New Roman" w:cs="Times New Roman"/>
                <w:color w:val="auto"/>
                <w:lang w:val="en-US" w:eastAsia="zh-CN"/>
              </w:rPr>
            </w:pPr>
          </w:p>
        </w:tc>
        <w:tc>
          <w:tcPr>
            <w:tcW w:w="1566" w:type="dxa"/>
            <w:vAlign w:val="center"/>
          </w:tcPr>
          <w:p w14:paraId="270219DB">
            <w:pPr>
              <w:pStyle w:val="14"/>
              <w:widowControl w:val="0"/>
              <w:bidi w:val="0"/>
              <w:rPr>
                <w:rFonts w:hint="default" w:ascii="Times New Roman" w:hAnsi="Times New Roman" w:cs="Times New Roman"/>
                <w:color w:val="auto"/>
                <w:lang w:val="en-US" w:eastAsia="zh-CN"/>
              </w:rPr>
            </w:pPr>
          </w:p>
        </w:tc>
        <w:tc>
          <w:tcPr>
            <w:tcW w:w="1567" w:type="dxa"/>
            <w:vAlign w:val="center"/>
          </w:tcPr>
          <w:p w14:paraId="01B7EA17">
            <w:pPr>
              <w:pStyle w:val="14"/>
              <w:widowControl w:val="0"/>
              <w:bidi w:val="0"/>
              <w:rPr>
                <w:rFonts w:hint="default" w:ascii="Times New Roman" w:hAnsi="Times New Roman" w:cs="Times New Roman"/>
                <w:color w:val="auto"/>
                <w:lang w:val="en-US" w:eastAsia="zh-CN"/>
              </w:rPr>
            </w:pPr>
          </w:p>
        </w:tc>
        <w:tc>
          <w:tcPr>
            <w:tcW w:w="1567" w:type="dxa"/>
            <w:vAlign w:val="center"/>
          </w:tcPr>
          <w:p w14:paraId="7E2678F9">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0.39</w:t>
            </w:r>
          </w:p>
        </w:tc>
        <w:tc>
          <w:tcPr>
            <w:tcW w:w="1567" w:type="dxa"/>
            <w:vAlign w:val="center"/>
          </w:tcPr>
          <w:p w14:paraId="4CFC2E5C">
            <w:pPr>
              <w:pStyle w:val="14"/>
              <w:widowControl w:val="0"/>
              <w:bidi w:val="0"/>
              <w:rPr>
                <w:rFonts w:hint="default" w:ascii="Times New Roman" w:hAnsi="Times New Roman" w:cs="Times New Roman"/>
                <w:color w:val="auto"/>
                <w:lang w:val="en-US" w:eastAsia="zh-CN"/>
              </w:rPr>
            </w:pPr>
          </w:p>
        </w:tc>
        <w:tc>
          <w:tcPr>
            <w:tcW w:w="2031" w:type="dxa"/>
            <w:vAlign w:val="center"/>
          </w:tcPr>
          <w:p w14:paraId="58416293">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0.39</w:t>
            </w:r>
          </w:p>
        </w:tc>
        <w:tc>
          <w:tcPr>
            <w:tcW w:w="1104" w:type="dxa"/>
            <w:vAlign w:val="center"/>
          </w:tcPr>
          <w:p w14:paraId="143D87EB">
            <w:pPr>
              <w:pStyle w:val="14"/>
              <w:widowControl w:val="0"/>
              <w:bidi w:val="0"/>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lang w:val="en-US" w:eastAsia="zh-CN"/>
              </w:rPr>
              <w:t>+0.39</w:t>
            </w:r>
          </w:p>
        </w:tc>
      </w:tr>
    </w:tbl>
    <w:p w14:paraId="26788413">
      <w:pP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注：⑥=①+③+④-⑤</w:t>
      </w:r>
      <w:r>
        <w:rPr>
          <w:rFonts w:hint="eastAsia" w:cs="Times New Roman"/>
          <w:b w:val="0"/>
          <w:bCs w:val="0"/>
          <w:color w:val="auto"/>
          <w:lang w:val="en-US" w:eastAsia="zh-CN"/>
        </w:rPr>
        <w:t>；</w:t>
      </w:r>
      <w:r>
        <w:rPr>
          <w:rFonts w:hint="default" w:ascii="Times New Roman" w:hAnsi="Times New Roman" w:eastAsia="宋体" w:cs="Times New Roman"/>
          <w:b w:val="0"/>
          <w:bCs w:val="0"/>
          <w:color w:val="auto"/>
          <w:lang w:val="en-US" w:eastAsia="zh-CN"/>
        </w:rPr>
        <w:t>⑦=⑥-①</w:t>
      </w:r>
    </w:p>
    <w:sectPr>
      <w:footerReference r:id="rId6" w:type="default"/>
      <w:pgSz w:w="16838" w:h="11906" w:orient="landscape"/>
      <w:pgMar w:top="1800" w:right="1440" w:bottom="180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5AA00">
    <w:pPr>
      <w:tabs>
        <w:tab w:val="center" w:pos="4153"/>
        <w:tab w:val="right" w:pos="8306"/>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14E5E">
                          <w:pPr>
                            <w:tabs>
                              <w:tab w:val="center" w:pos="4153"/>
                              <w:tab w:val="right" w:pos="8306"/>
                            </w:tabs>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1714E5E">
                    <w:pPr>
                      <w:tabs>
                        <w:tab w:val="center" w:pos="4153"/>
                        <w:tab w:val="right" w:pos="8306"/>
                      </w:tabs>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A9D14">
    <w:pPr>
      <w:tabs>
        <w:tab w:val="center" w:pos="4153"/>
        <w:tab w:val="right" w:pos="830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FhOTFhYTI1YTc2ZTg0YWE1ZjMzMTg0MGMyN2Q3NTIifQ=="/>
  </w:docVars>
  <w:rsids>
    <w:rsidRoot w:val="00172A27"/>
    <w:rsid w:val="003A1912"/>
    <w:rsid w:val="00A70265"/>
    <w:rsid w:val="01083215"/>
    <w:rsid w:val="014772CD"/>
    <w:rsid w:val="01877B89"/>
    <w:rsid w:val="0209567A"/>
    <w:rsid w:val="02462677"/>
    <w:rsid w:val="025F66DA"/>
    <w:rsid w:val="02922C89"/>
    <w:rsid w:val="02C10E79"/>
    <w:rsid w:val="02D83C0F"/>
    <w:rsid w:val="030F7E85"/>
    <w:rsid w:val="032C2363"/>
    <w:rsid w:val="03505BD3"/>
    <w:rsid w:val="035B6E9D"/>
    <w:rsid w:val="0370464D"/>
    <w:rsid w:val="03806F86"/>
    <w:rsid w:val="038334D8"/>
    <w:rsid w:val="03906B3A"/>
    <w:rsid w:val="03936CB9"/>
    <w:rsid w:val="039B5B6E"/>
    <w:rsid w:val="03C81EB9"/>
    <w:rsid w:val="03E434EA"/>
    <w:rsid w:val="03E71C2F"/>
    <w:rsid w:val="042C2C6A"/>
    <w:rsid w:val="044B10F9"/>
    <w:rsid w:val="04B1068B"/>
    <w:rsid w:val="04B574F8"/>
    <w:rsid w:val="05517DA6"/>
    <w:rsid w:val="055C1B0D"/>
    <w:rsid w:val="05682B8A"/>
    <w:rsid w:val="06366EB8"/>
    <w:rsid w:val="06511E39"/>
    <w:rsid w:val="068D1352"/>
    <w:rsid w:val="06CF7B59"/>
    <w:rsid w:val="06FF0E08"/>
    <w:rsid w:val="07022A8F"/>
    <w:rsid w:val="07860AB8"/>
    <w:rsid w:val="079A3461"/>
    <w:rsid w:val="07BE331C"/>
    <w:rsid w:val="080A6175"/>
    <w:rsid w:val="08325296"/>
    <w:rsid w:val="086329D2"/>
    <w:rsid w:val="08901020"/>
    <w:rsid w:val="089A7E7D"/>
    <w:rsid w:val="090132CE"/>
    <w:rsid w:val="0902043D"/>
    <w:rsid w:val="090B01CC"/>
    <w:rsid w:val="094C3466"/>
    <w:rsid w:val="097A6225"/>
    <w:rsid w:val="097E3F67"/>
    <w:rsid w:val="09C30D73"/>
    <w:rsid w:val="09EA5159"/>
    <w:rsid w:val="0A8B0954"/>
    <w:rsid w:val="0AE63309"/>
    <w:rsid w:val="0AF53DB5"/>
    <w:rsid w:val="0B2B3C7B"/>
    <w:rsid w:val="0B2C4D78"/>
    <w:rsid w:val="0BB86339"/>
    <w:rsid w:val="0BE522A1"/>
    <w:rsid w:val="0C7E427E"/>
    <w:rsid w:val="0CC02DCB"/>
    <w:rsid w:val="0CCB4C1C"/>
    <w:rsid w:val="0D586F24"/>
    <w:rsid w:val="0DB10D5F"/>
    <w:rsid w:val="0DCD145C"/>
    <w:rsid w:val="0E377EAC"/>
    <w:rsid w:val="0E932523"/>
    <w:rsid w:val="0E9B1118"/>
    <w:rsid w:val="0F264B20"/>
    <w:rsid w:val="0F3B3D47"/>
    <w:rsid w:val="0FBD0C1A"/>
    <w:rsid w:val="0FEB4EF3"/>
    <w:rsid w:val="10082C14"/>
    <w:rsid w:val="103E61FE"/>
    <w:rsid w:val="10A67867"/>
    <w:rsid w:val="10E40EDA"/>
    <w:rsid w:val="1119624C"/>
    <w:rsid w:val="11301FEB"/>
    <w:rsid w:val="11587965"/>
    <w:rsid w:val="1174364F"/>
    <w:rsid w:val="11D2232E"/>
    <w:rsid w:val="11F91C21"/>
    <w:rsid w:val="12294780"/>
    <w:rsid w:val="12460175"/>
    <w:rsid w:val="128D6FC9"/>
    <w:rsid w:val="12C20774"/>
    <w:rsid w:val="12F21BE5"/>
    <w:rsid w:val="13136A19"/>
    <w:rsid w:val="133C70F0"/>
    <w:rsid w:val="13962879"/>
    <w:rsid w:val="13964270"/>
    <w:rsid w:val="13B9002F"/>
    <w:rsid w:val="13CA6B44"/>
    <w:rsid w:val="13DA30E0"/>
    <w:rsid w:val="141D15AC"/>
    <w:rsid w:val="1444190A"/>
    <w:rsid w:val="1450631A"/>
    <w:rsid w:val="14D64C58"/>
    <w:rsid w:val="15741D12"/>
    <w:rsid w:val="15B800C3"/>
    <w:rsid w:val="15C50FB4"/>
    <w:rsid w:val="15F6230E"/>
    <w:rsid w:val="15FD14B1"/>
    <w:rsid w:val="1638229F"/>
    <w:rsid w:val="16A00F8B"/>
    <w:rsid w:val="16B9038D"/>
    <w:rsid w:val="16BD1B91"/>
    <w:rsid w:val="16D03928"/>
    <w:rsid w:val="172E2587"/>
    <w:rsid w:val="179577F4"/>
    <w:rsid w:val="179C426C"/>
    <w:rsid w:val="179F70F2"/>
    <w:rsid w:val="17A7349C"/>
    <w:rsid w:val="17E51A4B"/>
    <w:rsid w:val="17F56CC3"/>
    <w:rsid w:val="18245CDA"/>
    <w:rsid w:val="18247385"/>
    <w:rsid w:val="184565CC"/>
    <w:rsid w:val="185B418B"/>
    <w:rsid w:val="19061883"/>
    <w:rsid w:val="19383D27"/>
    <w:rsid w:val="19747F97"/>
    <w:rsid w:val="19772D3B"/>
    <w:rsid w:val="198C2360"/>
    <w:rsid w:val="19F536DA"/>
    <w:rsid w:val="1A1F0DFC"/>
    <w:rsid w:val="1A1F7543"/>
    <w:rsid w:val="1A3462E6"/>
    <w:rsid w:val="1A7A1C9C"/>
    <w:rsid w:val="1AEE0DCB"/>
    <w:rsid w:val="1B1D245C"/>
    <w:rsid w:val="1B280286"/>
    <w:rsid w:val="1B292F54"/>
    <w:rsid w:val="1B7F0078"/>
    <w:rsid w:val="1BA8051F"/>
    <w:rsid w:val="1BAF3882"/>
    <w:rsid w:val="1BFE4A94"/>
    <w:rsid w:val="1C547866"/>
    <w:rsid w:val="1C681F29"/>
    <w:rsid w:val="1C8E26CC"/>
    <w:rsid w:val="1CBF4C21"/>
    <w:rsid w:val="1CD173CC"/>
    <w:rsid w:val="1CEC0FC1"/>
    <w:rsid w:val="1D2D73DF"/>
    <w:rsid w:val="1D8F69CB"/>
    <w:rsid w:val="1D994E14"/>
    <w:rsid w:val="1DC64C25"/>
    <w:rsid w:val="1DCE6087"/>
    <w:rsid w:val="1DDC3149"/>
    <w:rsid w:val="1EF33721"/>
    <w:rsid w:val="1F285DD6"/>
    <w:rsid w:val="1F4A1B4C"/>
    <w:rsid w:val="1F634801"/>
    <w:rsid w:val="1F807F97"/>
    <w:rsid w:val="1F8E2626"/>
    <w:rsid w:val="1FF95C9E"/>
    <w:rsid w:val="208D515F"/>
    <w:rsid w:val="20916C27"/>
    <w:rsid w:val="20B56E67"/>
    <w:rsid w:val="20B821F8"/>
    <w:rsid w:val="20D94A0B"/>
    <w:rsid w:val="20FB7AB0"/>
    <w:rsid w:val="213B4094"/>
    <w:rsid w:val="214C5B45"/>
    <w:rsid w:val="215366BB"/>
    <w:rsid w:val="21BC064D"/>
    <w:rsid w:val="21E12E8E"/>
    <w:rsid w:val="22146DBF"/>
    <w:rsid w:val="22394A78"/>
    <w:rsid w:val="22920161"/>
    <w:rsid w:val="22A244DC"/>
    <w:rsid w:val="22BB5211"/>
    <w:rsid w:val="22E959E0"/>
    <w:rsid w:val="22F4099F"/>
    <w:rsid w:val="23166CBA"/>
    <w:rsid w:val="232D0B2E"/>
    <w:rsid w:val="237A6101"/>
    <w:rsid w:val="237C4C1C"/>
    <w:rsid w:val="238D6C98"/>
    <w:rsid w:val="239013BD"/>
    <w:rsid w:val="240818EF"/>
    <w:rsid w:val="24090F19"/>
    <w:rsid w:val="245931AF"/>
    <w:rsid w:val="24A87C93"/>
    <w:rsid w:val="24AB0FA4"/>
    <w:rsid w:val="24D5741B"/>
    <w:rsid w:val="251D68AE"/>
    <w:rsid w:val="25627E42"/>
    <w:rsid w:val="25867FD4"/>
    <w:rsid w:val="258806B0"/>
    <w:rsid w:val="258E0C37"/>
    <w:rsid w:val="25E22D30"/>
    <w:rsid w:val="25E36AB2"/>
    <w:rsid w:val="263D16B5"/>
    <w:rsid w:val="26690388"/>
    <w:rsid w:val="277A0154"/>
    <w:rsid w:val="2786498A"/>
    <w:rsid w:val="278D323D"/>
    <w:rsid w:val="27B5073C"/>
    <w:rsid w:val="27C035FE"/>
    <w:rsid w:val="27C41723"/>
    <w:rsid w:val="280C4004"/>
    <w:rsid w:val="283923B2"/>
    <w:rsid w:val="283E346D"/>
    <w:rsid w:val="28C17575"/>
    <w:rsid w:val="292E0918"/>
    <w:rsid w:val="29A60CAC"/>
    <w:rsid w:val="29AE7EFD"/>
    <w:rsid w:val="29CE7C26"/>
    <w:rsid w:val="2A330D37"/>
    <w:rsid w:val="2A5E4472"/>
    <w:rsid w:val="2A6331F8"/>
    <w:rsid w:val="2A6603D4"/>
    <w:rsid w:val="2A95039D"/>
    <w:rsid w:val="2ABD592A"/>
    <w:rsid w:val="2AC54546"/>
    <w:rsid w:val="2AD824EB"/>
    <w:rsid w:val="2B254B05"/>
    <w:rsid w:val="2B414C3E"/>
    <w:rsid w:val="2B571E7D"/>
    <w:rsid w:val="2B57552B"/>
    <w:rsid w:val="2B6A3EF4"/>
    <w:rsid w:val="2BC01DAA"/>
    <w:rsid w:val="2BC57061"/>
    <w:rsid w:val="2C2736A5"/>
    <w:rsid w:val="2C585CBB"/>
    <w:rsid w:val="2CA83379"/>
    <w:rsid w:val="2CAB75A8"/>
    <w:rsid w:val="2D0A1F5A"/>
    <w:rsid w:val="2D2676CB"/>
    <w:rsid w:val="2D6F3072"/>
    <w:rsid w:val="2DA27F95"/>
    <w:rsid w:val="2DA763C5"/>
    <w:rsid w:val="2DC94412"/>
    <w:rsid w:val="2E150C24"/>
    <w:rsid w:val="2E3C5FFD"/>
    <w:rsid w:val="2E756E38"/>
    <w:rsid w:val="2E937B88"/>
    <w:rsid w:val="2EED590F"/>
    <w:rsid w:val="2F44656A"/>
    <w:rsid w:val="2F540A7A"/>
    <w:rsid w:val="2FA500EB"/>
    <w:rsid w:val="2FAD3BD3"/>
    <w:rsid w:val="2FE8565E"/>
    <w:rsid w:val="30343481"/>
    <w:rsid w:val="304C704B"/>
    <w:rsid w:val="30612CB4"/>
    <w:rsid w:val="30717C34"/>
    <w:rsid w:val="30913CD1"/>
    <w:rsid w:val="30964DA2"/>
    <w:rsid w:val="309A4933"/>
    <w:rsid w:val="310C5667"/>
    <w:rsid w:val="3143321D"/>
    <w:rsid w:val="314423A4"/>
    <w:rsid w:val="31485E54"/>
    <w:rsid w:val="318850D4"/>
    <w:rsid w:val="31B4437A"/>
    <w:rsid w:val="322A5DE7"/>
    <w:rsid w:val="32417120"/>
    <w:rsid w:val="324B35D2"/>
    <w:rsid w:val="32B015E2"/>
    <w:rsid w:val="32BF245A"/>
    <w:rsid w:val="32E07DD8"/>
    <w:rsid w:val="33131B9F"/>
    <w:rsid w:val="332A6F97"/>
    <w:rsid w:val="33506E12"/>
    <w:rsid w:val="33702291"/>
    <w:rsid w:val="337A66AC"/>
    <w:rsid w:val="33AA7007"/>
    <w:rsid w:val="33F319C6"/>
    <w:rsid w:val="343241E8"/>
    <w:rsid w:val="34BC5CBA"/>
    <w:rsid w:val="34D924ED"/>
    <w:rsid w:val="35172895"/>
    <w:rsid w:val="351D5B33"/>
    <w:rsid w:val="352829B1"/>
    <w:rsid w:val="352E5012"/>
    <w:rsid w:val="35313A1C"/>
    <w:rsid w:val="35520B34"/>
    <w:rsid w:val="357F234A"/>
    <w:rsid w:val="3582570D"/>
    <w:rsid w:val="35942299"/>
    <w:rsid w:val="359A0803"/>
    <w:rsid w:val="364F029B"/>
    <w:rsid w:val="365F7548"/>
    <w:rsid w:val="368D7B7B"/>
    <w:rsid w:val="369916A7"/>
    <w:rsid w:val="36A461F5"/>
    <w:rsid w:val="36AE2076"/>
    <w:rsid w:val="36CC5A63"/>
    <w:rsid w:val="36E72FDB"/>
    <w:rsid w:val="36F56D67"/>
    <w:rsid w:val="37292EF0"/>
    <w:rsid w:val="3754175A"/>
    <w:rsid w:val="3760656A"/>
    <w:rsid w:val="376D1B1A"/>
    <w:rsid w:val="37702F00"/>
    <w:rsid w:val="37BA5D4C"/>
    <w:rsid w:val="37D90437"/>
    <w:rsid w:val="37EB053D"/>
    <w:rsid w:val="387A0479"/>
    <w:rsid w:val="38DD6BC3"/>
    <w:rsid w:val="38F10CF7"/>
    <w:rsid w:val="38F67506"/>
    <w:rsid w:val="390B7D98"/>
    <w:rsid w:val="3953187A"/>
    <w:rsid w:val="396272C6"/>
    <w:rsid w:val="39B63196"/>
    <w:rsid w:val="39BB052F"/>
    <w:rsid w:val="39CE037A"/>
    <w:rsid w:val="39E135F4"/>
    <w:rsid w:val="3A2160C5"/>
    <w:rsid w:val="3A24486C"/>
    <w:rsid w:val="3A775B77"/>
    <w:rsid w:val="3A9D5AD6"/>
    <w:rsid w:val="3AEE20E3"/>
    <w:rsid w:val="3B693A27"/>
    <w:rsid w:val="3BA93361"/>
    <w:rsid w:val="3BCB0FDF"/>
    <w:rsid w:val="3BE762FA"/>
    <w:rsid w:val="3BF52658"/>
    <w:rsid w:val="3C0B4937"/>
    <w:rsid w:val="3C11517C"/>
    <w:rsid w:val="3C8A377A"/>
    <w:rsid w:val="3CF439AC"/>
    <w:rsid w:val="3CF6661C"/>
    <w:rsid w:val="3D114A5C"/>
    <w:rsid w:val="3D301E4A"/>
    <w:rsid w:val="3D5440BC"/>
    <w:rsid w:val="3DB46EF6"/>
    <w:rsid w:val="3DB9419E"/>
    <w:rsid w:val="3DD940E7"/>
    <w:rsid w:val="3E0E18D5"/>
    <w:rsid w:val="3E1A0D44"/>
    <w:rsid w:val="3E5C2B0B"/>
    <w:rsid w:val="3E5D4C90"/>
    <w:rsid w:val="3F0829D3"/>
    <w:rsid w:val="3F11495A"/>
    <w:rsid w:val="3F577EDE"/>
    <w:rsid w:val="3F9714AE"/>
    <w:rsid w:val="400943E7"/>
    <w:rsid w:val="401A559A"/>
    <w:rsid w:val="403B5F75"/>
    <w:rsid w:val="407212AF"/>
    <w:rsid w:val="40AF5E62"/>
    <w:rsid w:val="40F2706C"/>
    <w:rsid w:val="41692BED"/>
    <w:rsid w:val="417B7252"/>
    <w:rsid w:val="41861BF0"/>
    <w:rsid w:val="419B675D"/>
    <w:rsid w:val="41D62C80"/>
    <w:rsid w:val="42172C78"/>
    <w:rsid w:val="422E62A5"/>
    <w:rsid w:val="425C76E1"/>
    <w:rsid w:val="42670147"/>
    <w:rsid w:val="42C20CCB"/>
    <w:rsid w:val="42E22FAF"/>
    <w:rsid w:val="435C6144"/>
    <w:rsid w:val="436434C0"/>
    <w:rsid w:val="43695B49"/>
    <w:rsid w:val="43883C20"/>
    <w:rsid w:val="43AF44C5"/>
    <w:rsid w:val="43BD6E5F"/>
    <w:rsid w:val="440C56F0"/>
    <w:rsid w:val="44185451"/>
    <w:rsid w:val="44223E3A"/>
    <w:rsid w:val="444507CE"/>
    <w:rsid w:val="44567FC0"/>
    <w:rsid w:val="44965950"/>
    <w:rsid w:val="44BE218A"/>
    <w:rsid w:val="44CD013B"/>
    <w:rsid w:val="44D938D1"/>
    <w:rsid w:val="45235AD9"/>
    <w:rsid w:val="45575091"/>
    <w:rsid w:val="456652D4"/>
    <w:rsid w:val="458E5EE1"/>
    <w:rsid w:val="45BB5620"/>
    <w:rsid w:val="45DF1776"/>
    <w:rsid w:val="460645E6"/>
    <w:rsid w:val="460D74FE"/>
    <w:rsid w:val="461A3E8A"/>
    <w:rsid w:val="462B7F6B"/>
    <w:rsid w:val="46DD6834"/>
    <w:rsid w:val="47136AD8"/>
    <w:rsid w:val="472849E8"/>
    <w:rsid w:val="473A7B2B"/>
    <w:rsid w:val="47673FB9"/>
    <w:rsid w:val="477E77FE"/>
    <w:rsid w:val="47D429C9"/>
    <w:rsid w:val="47EE6906"/>
    <w:rsid w:val="483F42E6"/>
    <w:rsid w:val="491F33FC"/>
    <w:rsid w:val="4A017CC1"/>
    <w:rsid w:val="4A2F3855"/>
    <w:rsid w:val="4A3810A7"/>
    <w:rsid w:val="4A4B3091"/>
    <w:rsid w:val="4A4F27DB"/>
    <w:rsid w:val="4A757FD0"/>
    <w:rsid w:val="4A9F5CD9"/>
    <w:rsid w:val="4AD56F2F"/>
    <w:rsid w:val="4AE83552"/>
    <w:rsid w:val="4AFB1F65"/>
    <w:rsid w:val="4B0D48B0"/>
    <w:rsid w:val="4B3F3605"/>
    <w:rsid w:val="4B461E6F"/>
    <w:rsid w:val="4B730DB8"/>
    <w:rsid w:val="4B9E5066"/>
    <w:rsid w:val="4BCC7B75"/>
    <w:rsid w:val="4BE0213A"/>
    <w:rsid w:val="4C0827A6"/>
    <w:rsid w:val="4C2021AB"/>
    <w:rsid w:val="4C8B022F"/>
    <w:rsid w:val="4C9F6FE2"/>
    <w:rsid w:val="4CBC2188"/>
    <w:rsid w:val="4CE20FFC"/>
    <w:rsid w:val="4CE44FC4"/>
    <w:rsid w:val="4D2910C1"/>
    <w:rsid w:val="4DDE00FE"/>
    <w:rsid w:val="4DE01B9E"/>
    <w:rsid w:val="4E3A2636"/>
    <w:rsid w:val="4E48026B"/>
    <w:rsid w:val="4E796078"/>
    <w:rsid w:val="4ED37863"/>
    <w:rsid w:val="4EFE4DC0"/>
    <w:rsid w:val="4FBF7C68"/>
    <w:rsid w:val="4FD80B7D"/>
    <w:rsid w:val="4FD95020"/>
    <w:rsid w:val="502E1E34"/>
    <w:rsid w:val="502F09EF"/>
    <w:rsid w:val="504F52E3"/>
    <w:rsid w:val="50906169"/>
    <w:rsid w:val="509171E2"/>
    <w:rsid w:val="50FE1D8D"/>
    <w:rsid w:val="51181E38"/>
    <w:rsid w:val="51254AA9"/>
    <w:rsid w:val="51374F2F"/>
    <w:rsid w:val="517C731C"/>
    <w:rsid w:val="51BA2BB1"/>
    <w:rsid w:val="51FB409D"/>
    <w:rsid w:val="52546C2A"/>
    <w:rsid w:val="528D5C4E"/>
    <w:rsid w:val="52976F06"/>
    <w:rsid w:val="52A513E1"/>
    <w:rsid w:val="52B12656"/>
    <w:rsid w:val="52B2091C"/>
    <w:rsid w:val="52CA0C50"/>
    <w:rsid w:val="53185E60"/>
    <w:rsid w:val="5323271F"/>
    <w:rsid w:val="536A2F85"/>
    <w:rsid w:val="536D14B3"/>
    <w:rsid w:val="539B083F"/>
    <w:rsid w:val="53B04383"/>
    <w:rsid w:val="53CD79BC"/>
    <w:rsid w:val="543A1C6E"/>
    <w:rsid w:val="54496382"/>
    <w:rsid w:val="54675332"/>
    <w:rsid w:val="5479305A"/>
    <w:rsid w:val="54C33223"/>
    <w:rsid w:val="5568393D"/>
    <w:rsid w:val="559F4616"/>
    <w:rsid w:val="55FE2210"/>
    <w:rsid w:val="55FF4A03"/>
    <w:rsid w:val="563F75B3"/>
    <w:rsid w:val="56653B93"/>
    <w:rsid w:val="567E5984"/>
    <w:rsid w:val="569D31BF"/>
    <w:rsid w:val="575E405D"/>
    <w:rsid w:val="57C96BD5"/>
    <w:rsid w:val="57FC78E2"/>
    <w:rsid w:val="58476CED"/>
    <w:rsid w:val="58521A0C"/>
    <w:rsid w:val="5855609E"/>
    <w:rsid w:val="587B4E2A"/>
    <w:rsid w:val="58A44E96"/>
    <w:rsid w:val="58F033DB"/>
    <w:rsid w:val="59843850"/>
    <w:rsid w:val="59B03048"/>
    <w:rsid w:val="59C13FC6"/>
    <w:rsid w:val="59C902E6"/>
    <w:rsid w:val="59D43181"/>
    <w:rsid w:val="5A443795"/>
    <w:rsid w:val="5A5D05FC"/>
    <w:rsid w:val="5AFC24BB"/>
    <w:rsid w:val="5B0155D4"/>
    <w:rsid w:val="5B3A4760"/>
    <w:rsid w:val="5B646893"/>
    <w:rsid w:val="5B7025B1"/>
    <w:rsid w:val="5BBB7A1A"/>
    <w:rsid w:val="5BBD57F6"/>
    <w:rsid w:val="5BD71482"/>
    <w:rsid w:val="5BF15351"/>
    <w:rsid w:val="5BF62E3F"/>
    <w:rsid w:val="5C4E1025"/>
    <w:rsid w:val="5C8146F7"/>
    <w:rsid w:val="5C8F46CE"/>
    <w:rsid w:val="5CA846E2"/>
    <w:rsid w:val="5CE76F8F"/>
    <w:rsid w:val="5D1301A1"/>
    <w:rsid w:val="5D372507"/>
    <w:rsid w:val="5D9440E8"/>
    <w:rsid w:val="5E035A53"/>
    <w:rsid w:val="5E0D2339"/>
    <w:rsid w:val="5E3521D8"/>
    <w:rsid w:val="5E653F23"/>
    <w:rsid w:val="5EE220A3"/>
    <w:rsid w:val="5EF469B1"/>
    <w:rsid w:val="5EFA052E"/>
    <w:rsid w:val="5F100333"/>
    <w:rsid w:val="5F556FE9"/>
    <w:rsid w:val="5FDD18E4"/>
    <w:rsid w:val="60396096"/>
    <w:rsid w:val="60766398"/>
    <w:rsid w:val="608508AD"/>
    <w:rsid w:val="60DE6AFF"/>
    <w:rsid w:val="60EE649E"/>
    <w:rsid w:val="60EE654C"/>
    <w:rsid w:val="61181BD2"/>
    <w:rsid w:val="6143162D"/>
    <w:rsid w:val="6298375F"/>
    <w:rsid w:val="62E564F2"/>
    <w:rsid w:val="63093C1B"/>
    <w:rsid w:val="630D290F"/>
    <w:rsid w:val="634471FE"/>
    <w:rsid w:val="63451C0E"/>
    <w:rsid w:val="63AF5239"/>
    <w:rsid w:val="63F85793"/>
    <w:rsid w:val="64164478"/>
    <w:rsid w:val="64322AF9"/>
    <w:rsid w:val="64990483"/>
    <w:rsid w:val="64AD2180"/>
    <w:rsid w:val="64E85293"/>
    <w:rsid w:val="65721AEE"/>
    <w:rsid w:val="6579470D"/>
    <w:rsid w:val="65894C98"/>
    <w:rsid w:val="65F7799F"/>
    <w:rsid w:val="662709CC"/>
    <w:rsid w:val="6641025F"/>
    <w:rsid w:val="666679AD"/>
    <w:rsid w:val="666B109B"/>
    <w:rsid w:val="668E3573"/>
    <w:rsid w:val="66C81B51"/>
    <w:rsid w:val="66EC48CD"/>
    <w:rsid w:val="67006EDF"/>
    <w:rsid w:val="671F5C1A"/>
    <w:rsid w:val="67266D35"/>
    <w:rsid w:val="676A5608"/>
    <w:rsid w:val="67722E88"/>
    <w:rsid w:val="6794030F"/>
    <w:rsid w:val="67975BE6"/>
    <w:rsid w:val="67993D68"/>
    <w:rsid w:val="67A30DCD"/>
    <w:rsid w:val="67D24A05"/>
    <w:rsid w:val="68326A79"/>
    <w:rsid w:val="687F0DF1"/>
    <w:rsid w:val="689C5115"/>
    <w:rsid w:val="68CF3A3A"/>
    <w:rsid w:val="69417A62"/>
    <w:rsid w:val="6956457A"/>
    <w:rsid w:val="69615692"/>
    <w:rsid w:val="699E3549"/>
    <w:rsid w:val="69E53FF5"/>
    <w:rsid w:val="69F83C7C"/>
    <w:rsid w:val="6A103A5E"/>
    <w:rsid w:val="6A440E91"/>
    <w:rsid w:val="6A485E76"/>
    <w:rsid w:val="6A65572A"/>
    <w:rsid w:val="6AA2543B"/>
    <w:rsid w:val="6AB1506D"/>
    <w:rsid w:val="6B0F76F1"/>
    <w:rsid w:val="6B113937"/>
    <w:rsid w:val="6B423D68"/>
    <w:rsid w:val="6B434BB1"/>
    <w:rsid w:val="6B600FEF"/>
    <w:rsid w:val="6B7C2D3E"/>
    <w:rsid w:val="6BEB4D72"/>
    <w:rsid w:val="6BED0900"/>
    <w:rsid w:val="6BEE062A"/>
    <w:rsid w:val="6BF328F5"/>
    <w:rsid w:val="6C082583"/>
    <w:rsid w:val="6C297BE8"/>
    <w:rsid w:val="6C3A53DD"/>
    <w:rsid w:val="6C3E20D6"/>
    <w:rsid w:val="6C5A2BED"/>
    <w:rsid w:val="6C7E7C44"/>
    <w:rsid w:val="6C952C04"/>
    <w:rsid w:val="6C9D4C01"/>
    <w:rsid w:val="6CA76044"/>
    <w:rsid w:val="6D1A691F"/>
    <w:rsid w:val="6D2F4DA6"/>
    <w:rsid w:val="6D7A255F"/>
    <w:rsid w:val="6D7A6B8C"/>
    <w:rsid w:val="6DA80963"/>
    <w:rsid w:val="6DB85A46"/>
    <w:rsid w:val="6E0B6EB4"/>
    <w:rsid w:val="6E57695F"/>
    <w:rsid w:val="6E8775F7"/>
    <w:rsid w:val="6EA3518C"/>
    <w:rsid w:val="6EAA40C9"/>
    <w:rsid w:val="6F120210"/>
    <w:rsid w:val="6F8A77EF"/>
    <w:rsid w:val="6FA963DC"/>
    <w:rsid w:val="6FE43B88"/>
    <w:rsid w:val="6FE6736D"/>
    <w:rsid w:val="701A7C4C"/>
    <w:rsid w:val="70596115"/>
    <w:rsid w:val="711E43A2"/>
    <w:rsid w:val="712E12D8"/>
    <w:rsid w:val="71367A8D"/>
    <w:rsid w:val="713D3063"/>
    <w:rsid w:val="717E441A"/>
    <w:rsid w:val="72037883"/>
    <w:rsid w:val="720930EC"/>
    <w:rsid w:val="723431A9"/>
    <w:rsid w:val="723737C6"/>
    <w:rsid w:val="724944C4"/>
    <w:rsid w:val="72B87F62"/>
    <w:rsid w:val="72C1698F"/>
    <w:rsid w:val="72FC49FE"/>
    <w:rsid w:val="730D09BA"/>
    <w:rsid w:val="73353A6C"/>
    <w:rsid w:val="736760C3"/>
    <w:rsid w:val="74107C2B"/>
    <w:rsid w:val="74502E0D"/>
    <w:rsid w:val="745A01D9"/>
    <w:rsid w:val="747D1EEF"/>
    <w:rsid w:val="74A628E0"/>
    <w:rsid w:val="74D277B3"/>
    <w:rsid w:val="75153291"/>
    <w:rsid w:val="754136E1"/>
    <w:rsid w:val="758B2A6B"/>
    <w:rsid w:val="759E08DE"/>
    <w:rsid w:val="759E133E"/>
    <w:rsid w:val="75D41223"/>
    <w:rsid w:val="75DF652C"/>
    <w:rsid w:val="75E014EA"/>
    <w:rsid w:val="76016F92"/>
    <w:rsid w:val="76057914"/>
    <w:rsid w:val="76326989"/>
    <w:rsid w:val="76800A44"/>
    <w:rsid w:val="768E1E11"/>
    <w:rsid w:val="76900E30"/>
    <w:rsid w:val="76C44A56"/>
    <w:rsid w:val="76FD33E8"/>
    <w:rsid w:val="771D75C8"/>
    <w:rsid w:val="77707769"/>
    <w:rsid w:val="77CC1BE8"/>
    <w:rsid w:val="78B55D22"/>
    <w:rsid w:val="78BB74C5"/>
    <w:rsid w:val="791308B3"/>
    <w:rsid w:val="791C767D"/>
    <w:rsid w:val="79B402CA"/>
    <w:rsid w:val="79BC57D8"/>
    <w:rsid w:val="7A2016BF"/>
    <w:rsid w:val="7A4738C8"/>
    <w:rsid w:val="7A5C4800"/>
    <w:rsid w:val="7A6F67A6"/>
    <w:rsid w:val="7AC74194"/>
    <w:rsid w:val="7ADC3C58"/>
    <w:rsid w:val="7B115253"/>
    <w:rsid w:val="7B1A054E"/>
    <w:rsid w:val="7B2E2ADC"/>
    <w:rsid w:val="7B2F29D5"/>
    <w:rsid w:val="7B8148BB"/>
    <w:rsid w:val="7C457749"/>
    <w:rsid w:val="7C8141C6"/>
    <w:rsid w:val="7C9803AA"/>
    <w:rsid w:val="7CD61D98"/>
    <w:rsid w:val="7CED53B8"/>
    <w:rsid w:val="7CFB7AD5"/>
    <w:rsid w:val="7D4079E6"/>
    <w:rsid w:val="7DD54F92"/>
    <w:rsid w:val="7DE844FD"/>
    <w:rsid w:val="7E0954C2"/>
    <w:rsid w:val="7E556325"/>
    <w:rsid w:val="7E7E429A"/>
    <w:rsid w:val="7E955D07"/>
    <w:rsid w:val="7F1430D0"/>
    <w:rsid w:val="7F1A341D"/>
    <w:rsid w:val="7F272BF0"/>
    <w:rsid w:val="7F631E50"/>
    <w:rsid w:val="7FDF2D3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562"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link w:val="11"/>
    <w:autoRedefine/>
    <w:qFormat/>
    <w:uiPriority w:val="0"/>
    <w:pPr>
      <w:keepNext/>
      <w:pageBreakBefore/>
      <w:spacing w:line="480" w:lineRule="auto"/>
      <w:ind w:firstLine="0" w:firstLineChars="0"/>
      <w:jc w:val="center"/>
      <w:outlineLvl w:val="0"/>
    </w:pPr>
    <w:rPr>
      <w:rFonts w:eastAsia="黑体"/>
      <w:b/>
      <w:sz w:val="30"/>
      <w:szCs w:val="20"/>
    </w:rPr>
  </w:style>
  <w:style w:type="paragraph" w:styleId="3">
    <w:name w:val="heading 2"/>
    <w:basedOn w:val="1"/>
    <w:next w:val="1"/>
    <w:link w:val="12"/>
    <w:autoRedefine/>
    <w:unhideWhenUsed/>
    <w:qFormat/>
    <w:uiPriority w:val="0"/>
    <w:pPr>
      <w:keepNext/>
      <w:keepLines/>
      <w:spacing w:line="360" w:lineRule="auto"/>
      <w:ind w:firstLine="0" w:firstLineChars="0"/>
      <w:jc w:val="left"/>
      <w:outlineLvl w:val="1"/>
    </w:pPr>
    <w:rPr>
      <w:rFonts w:ascii="Times New Roman" w:hAnsi="Times New Roman" w:eastAsia="宋体"/>
      <w:b/>
      <w:bCs/>
      <w:sz w:val="28"/>
      <w:szCs w:val="32"/>
    </w:rPr>
  </w:style>
  <w:style w:type="paragraph" w:styleId="4">
    <w:name w:val="heading 3"/>
    <w:basedOn w:val="1"/>
    <w:next w:val="1"/>
    <w:link w:val="13"/>
    <w:autoRedefine/>
    <w:semiHidden/>
    <w:unhideWhenUsed/>
    <w:qFormat/>
    <w:uiPriority w:val="0"/>
    <w:pPr>
      <w:keepNext/>
      <w:keepLines/>
      <w:spacing w:line="360" w:lineRule="auto"/>
      <w:ind w:firstLine="0" w:firstLineChars="0"/>
      <w:jc w:val="left"/>
      <w:outlineLvl w:val="2"/>
    </w:pPr>
    <w:rPr>
      <w:rFonts w:ascii="Times New Roman" w:hAnsi="Times New Roman" w:eastAsia="宋体"/>
      <w:b/>
      <w:bCs/>
      <w:szCs w:val="32"/>
    </w:rPr>
  </w:style>
  <w:style w:type="paragraph" w:styleId="5">
    <w:name w:val="heading 4"/>
    <w:basedOn w:val="1"/>
    <w:next w:val="1"/>
    <w:link w:val="15"/>
    <w:autoRedefine/>
    <w:semiHidden/>
    <w:unhideWhenUsed/>
    <w:qFormat/>
    <w:uiPriority w:val="0"/>
    <w:pPr>
      <w:keepNext/>
      <w:keepLines/>
      <w:spacing w:line="360" w:lineRule="auto"/>
      <w:jc w:val="left"/>
      <w:outlineLvl w:val="3"/>
    </w:pPr>
    <w:rPr>
      <w:rFonts w:ascii="Times New Roman" w:hAnsi="Times New Roman" w:eastAsia="宋体"/>
      <w:b/>
      <w:bCs/>
      <w:szCs w:val="28"/>
    </w:rPr>
  </w:style>
  <w:style w:type="paragraph" w:styleId="6">
    <w:name w:val="heading 5"/>
    <w:basedOn w:val="7"/>
    <w:next w:val="1"/>
    <w:link w:val="16"/>
    <w:autoRedefine/>
    <w:semiHidden/>
    <w:unhideWhenUsed/>
    <w:qFormat/>
    <w:uiPriority w:val="0"/>
    <w:pPr>
      <w:keepNext/>
      <w:keepLines/>
      <w:spacing w:beforeLines="0" w:beforeAutospacing="0" w:afterLines="0" w:afterAutospacing="0" w:line="360" w:lineRule="auto"/>
      <w:ind w:firstLine="480" w:firstLineChars="200"/>
      <w:outlineLvl w:val="4"/>
    </w:pPr>
    <w:rPr>
      <w:rFonts w:ascii="Times New Roman" w:hAnsi="Times New Roman" w:eastAsia="宋体"/>
      <w:sz w:val="24"/>
    </w:rPr>
  </w:style>
  <w:style w:type="character" w:default="1" w:styleId="10">
    <w:name w:val="Default Paragraph Font"/>
    <w:autoRedefine/>
    <w:semiHidden/>
    <w:unhideWhenUsed/>
    <w:qFormat/>
    <w:uiPriority w:val="1"/>
  </w:style>
  <w:style w:type="table" w:default="1" w:styleId="8">
    <w:name w:val="Normal Table"/>
    <w:autoRedefine/>
    <w:semiHidden/>
    <w:qFormat/>
    <w:uiPriority w:val="0"/>
    <w:tblPr>
      <w:tblCellMar>
        <w:top w:w="0" w:type="dxa"/>
        <w:left w:w="108" w:type="dxa"/>
        <w:bottom w:w="0" w:type="dxa"/>
        <w:right w:w="108" w:type="dxa"/>
      </w:tblCellMar>
    </w:tblPr>
  </w:style>
  <w:style w:type="paragraph" w:styleId="7">
    <w:name w:val="Title"/>
    <w:basedOn w:val="1"/>
    <w:autoRedefine/>
    <w:qFormat/>
    <w:uiPriority w:val="0"/>
    <w:pPr>
      <w:spacing w:before="240" w:beforeLines="0" w:beforeAutospacing="0" w:after="60" w:afterLines="0" w:afterAutospacing="0"/>
      <w:jc w:val="center"/>
      <w:outlineLvl w:val="0"/>
    </w:pPr>
    <w:rPr>
      <w:rFonts w:ascii="Arial" w:hAnsi="Arial"/>
      <w:b/>
      <w:sz w:val="32"/>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标题 1 Char"/>
    <w:link w:val="2"/>
    <w:autoRedefine/>
    <w:qFormat/>
    <w:uiPriority w:val="0"/>
    <w:rPr>
      <w:rFonts w:hint="default" w:ascii="Times New Roman" w:hAnsi="Times New Roman" w:eastAsia="黑体" w:cstheme="minorBidi"/>
      <w:b/>
      <w:bCs/>
      <w:kern w:val="44"/>
      <w:sz w:val="30"/>
      <w:szCs w:val="48"/>
      <w:lang w:val="en-US" w:eastAsia="zh-CN" w:bidi="ar-SA"/>
    </w:rPr>
  </w:style>
  <w:style w:type="character" w:customStyle="1" w:styleId="12">
    <w:name w:val="标题 2 字符"/>
    <w:basedOn w:val="10"/>
    <w:link w:val="3"/>
    <w:autoRedefine/>
    <w:qFormat/>
    <w:uiPriority w:val="9"/>
    <w:rPr>
      <w:rFonts w:ascii="Times New Roman" w:hAnsi="Times New Roman" w:eastAsia="宋体" w:cstheme="majorBidi"/>
      <w:b/>
      <w:bCs/>
      <w:sz w:val="28"/>
      <w:szCs w:val="32"/>
    </w:rPr>
  </w:style>
  <w:style w:type="character" w:customStyle="1" w:styleId="13">
    <w:name w:val="标题 3 Char"/>
    <w:link w:val="4"/>
    <w:autoRedefine/>
    <w:qFormat/>
    <w:uiPriority w:val="0"/>
    <w:rPr>
      <w:rFonts w:ascii="Times New Roman" w:hAnsi="Times New Roman" w:eastAsia="宋体"/>
      <w:b/>
      <w:sz w:val="24"/>
    </w:rPr>
  </w:style>
  <w:style w:type="paragraph" w:customStyle="1" w:styleId="14">
    <w:name w:val="表格"/>
    <w:next w:val="1"/>
    <w:autoRedefine/>
    <w:qFormat/>
    <w:uiPriority w:val="0"/>
    <w:pPr>
      <w:spacing w:line="240" w:lineRule="auto"/>
      <w:ind w:firstLine="0" w:firstLineChars="0"/>
      <w:jc w:val="center"/>
    </w:pPr>
    <w:rPr>
      <w:rFonts w:ascii="Times New Roman" w:hAnsi="Times New Roman" w:eastAsia="宋体" w:cs="Times New Roman"/>
      <w:sz w:val="21"/>
    </w:rPr>
  </w:style>
  <w:style w:type="character" w:customStyle="1" w:styleId="15">
    <w:name w:val=" Char Char41"/>
    <w:link w:val="5"/>
    <w:autoRedefine/>
    <w:qFormat/>
    <w:uiPriority w:val="0"/>
    <w:rPr>
      <w:rFonts w:ascii="Times New Roman" w:hAnsi="Times New Roman" w:eastAsia="宋体"/>
      <w:b/>
      <w:bCs/>
      <w:kern w:val="2"/>
      <w:sz w:val="24"/>
      <w:szCs w:val="28"/>
      <w:lang w:val="en-US" w:eastAsia="zh-CN" w:bidi="ar-SA"/>
    </w:rPr>
  </w:style>
  <w:style w:type="character" w:customStyle="1" w:styleId="16">
    <w:name w:val="标题 5 Char"/>
    <w:link w:val="6"/>
    <w:autoRedefine/>
    <w:qFormat/>
    <w:uiPriority w:val="0"/>
    <w:rPr>
      <w:rFonts w:ascii="Times New Roman" w:hAnsi="Times New Roman" w:eastAsia="宋体"/>
      <w:b/>
      <w:sz w:val="24"/>
    </w:rPr>
  </w:style>
  <w:style w:type="table" w:customStyle="1" w:styleId="17">
    <w:name w:val="Table Normal"/>
    <w:autoRedefine/>
    <w:unhideWhenUsed/>
    <w:qFormat/>
    <w:uiPriority w:val="0"/>
    <w:tblPr>
      <w:tblCellMar>
        <w:top w:w="0" w:type="dxa"/>
        <w:left w:w="0" w:type="dxa"/>
        <w:bottom w:w="0" w:type="dxa"/>
        <w:right w:w="0" w:type="dxa"/>
      </w:tblCellMar>
    </w:tblPr>
  </w:style>
  <w:style w:type="character" w:customStyle="1" w:styleId="18">
    <w:name w:val="font21"/>
    <w:basedOn w:val="10"/>
    <w:qFormat/>
    <w:uiPriority w:val="0"/>
    <w:rPr>
      <w:rFonts w:hint="eastAsia" w:ascii="宋体" w:hAnsi="宋体" w:eastAsia="宋体" w:cs="宋体"/>
      <w:color w:val="0000FF"/>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wmf"/><Relationship Id="rId16" Type="http://schemas.openxmlformats.org/officeDocument/2006/relationships/oleObject" Target="embeddings/oleObject1.bin"/><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保兴</Company>
  <Pages>81</Pages>
  <Words>18333</Words>
  <Characters>19214</Characters>
  <Lines>0</Lines>
  <Paragraphs>0</Paragraphs>
  <TotalTime>6</TotalTime>
  <ScaleCrop>false</ScaleCrop>
  <LinksUpToDate>false</LinksUpToDate>
  <CharactersWithSpaces>19351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2024-05-28T06:01:00Z</dcterms:created>
  <dc:creator>口口</dc:creator>
  <cp:lastModifiedBy>devil々</cp:lastModifiedBy>
  <cp:lastPrinted>2024-07-23T03:02:00Z</cp:lastPrinted>
  <dcterms:modified xsi:type="dcterms:W3CDTF">2025-01-06T07:20:16Z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963FDB57D6C743B4B83909AE6CCE6309_11</vt:lpwstr>
  </property>
  <property fmtid="{D5CDD505-2E9C-101B-9397-08002B2CF9AE}" pid="4" name="KSOTemplateDocerSaveRecord">
    <vt:lpwstr>eyJoZGlkIjoiNTdmMDUyOThhMjBmYmI0NmY4NmI4NWVjOTgxOGJkZGUiLCJ1c2VySWQiOiIzNzQyNzc5MzIifQ==</vt:lpwstr>
  </property>
</Properties>
</file>