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6E4D7">
      <w:pPr>
        <w:keepNext w:val="0"/>
        <w:keepLines w:val="0"/>
        <w:pageBreakBefore w:val="0"/>
        <w:widowControl w:val="0"/>
        <w:kinsoku/>
        <w:wordWrap/>
        <w:overflowPunct/>
        <w:topLinePunct w:val="0"/>
        <w:autoSpaceDE w:val="0"/>
        <w:autoSpaceDN/>
        <w:bidi w:val="0"/>
        <w:adjustRightInd/>
        <w:snapToGrid/>
        <w:spacing w:beforeAutospacing="0" w:afterAutospacing="0" w:line="590" w:lineRule="exact"/>
        <w:jc w:val="center"/>
        <w:textAlignment w:val="auto"/>
        <w:rPr>
          <w:rFonts w:eastAsia="方正小标宋_GBK"/>
          <w:color w:val="auto"/>
          <w:sz w:val="44"/>
          <w:szCs w:val="44"/>
        </w:rPr>
      </w:pPr>
      <w:r>
        <w:rPr>
          <w:rFonts w:eastAsia="方正小标宋_GBK"/>
          <w:color w:val="auto"/>
          <w:sz w:val="44"/>
          <w:szCs w:val="44"/>
        </w:rPr>
        <w:t>澄江</w:t>
      </w:r>
      <w:r>
        <w:rPr>
          <w:rFonts w:hint="eastAsia" w:eastAsia="方正小标宋_GBK"/>
          <w:color w:val="auto"/>
          <w:sz w:val="44"/>
          <w:szCs w:val="44"/>
        </w:rPr>
        <w:t>市</w:t>
      </w:r>
      <w:r>
        <w:rPr>
          <w:rFonts w:eastAsia="方正小标宋_GBK"/>
          <w:color w:val="auto"/>
          <w:sz w:val="44"/>
          <w:szCs w:val="44"/>
        </w:rPr>
        <w:t>20</w:t>
      </w:r>
      <w:r>
        <w:rPr>
          <w:rFonts w:hint="eastAsia" w:eastAsia="方正小标宋_GBK"/>
          <w:color w:val="auto"/>
          <w:sz w:val="44"/>
          <w:szCs w:val="44"/>
        </w:rPr>
        <w:t>2</w:t>
      </w:r>
      <w:r>
        <w:rPr>
          <w:rFonts w:hint="eastAsia" w:eastAsia="方正小标宋_GBK"/>
          <w:color w:val="auto"/>
          <w:sz w:val="44"/>
          <w:szCs w:val="44"/>
          <w:lang w:val="en-US" w:eastAsia="zh-CN"/>
        </w:rPr>
        <w:t>5</w:t>
      </w:r>
      <w:r>
        <w:rPr>
          <w:rFonts w:eastAsia="方正小标宋_GBK"/>
          <w:color w:val="auto"/>
          <w:sz w:val="44"/>
          <w:szCs w:val="44"/>
        </w:rPr>
        <w:t>年</w:t>
      </w:r>
      <w:r>
        <w:rPr>
          <w:rFonts w:hint="eastAsia" w:eastAsia="方正小标宋_GBK"/>
          <w:color w:val="auto"/>
          <w:sz w:val="44"/>
          <w:szCs w:val="44"/>
          <w:lang w:val="en-US" w:eastAsia="zh-CN"/>
        </w:rPr>
        <w:t>政府</w:t>
      </w:r>
      <w:r>
        <w:rPr>
          <w:rFonts w:eastAsia="方正小标宋_GBK"/>
          <w:color w:val="auto"/>
          <w:sz w:val="44"/>
          <w:szCs w:val="44"/>
        </w:rPr>
        <w:t>预算公开说明</w:t>
      </w:r>
    </w:p>
    <w:p w14:paraId="46367275">
      <w:pPr>
        <w:pStyle w:val="2"/>
        <w:keepNext w:val="0"/>
        <w:keepLines w:val="0"/>
        <w:pageBreakBefore w:val="0"/>
        <w:widowControl w:val="0"/>
        <w:kinsoku/>
        <w:wordWrap/>
        <w:overflowPunct/>
        <w:topLinePunct w:val="0"/>
        <w:autoSpaceDE w:val="0"/>
        <w:autoSpaceDN/>
        <w:bidi w:val="0"/>
        <w:adjustRightInd/>
        <w:snapToGrid/>
        <w:spacing w:beforeAutospacing="0" w:afterAutospacing="0" w:line="590" w:lineRule="exact"/>
        <w:jc w:val="both"/>
        <w:textAlignment w:val="auto"/>
      </w:pPr>
    </w:p>
    <w:p w14:paraId="7BE99AAE">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eastAsia="方正黑体_GBK"/>
          <w:color w:val="auto"/>
          <w:sz w:val="32"/>
          <w:szCs w:val="32"/>
        </w:rPr>
      </w:pPr>
      <w:r>
        <w:rPr>
          <w:rFonts w:hint="eastAsia" w:ascii="黑体" w:hAnsi="黑体" w:eastAsia="黑体" w:cs="黑体"/>
          <w:color w:val="auto"/>
          <w:sz w:val="32"/>
          <w:szCs w:val="32"/>
        </w:rPr>
        <w:t>一、基本的情况</w:t>
      </w:r>
    </w:p>
    <w:p w14:paraId="1D48218E">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eastAsia="方正楷体_GBK"/>
          <w:color w:val="auto"/>
          <w:sz w:val="32"/>
          <w:szCs w:val="32"/>
        </w:rPr>
      </w:pPr>
      <w:r>
        <w:rPr>
          <w:rFonts w:hint="eastAsia" w:ascii="楷体" w:hAnsi="楷体" w:eastAsia="楷体" w:cs="楷体"/>
          <w:color w:val="auto"/>
          <w:sz w:val="32"/>
          <w:szCs w:val="32"/>
        </w:rPr>
        <w:t>（一）人员构成情况</w:t>
      </w:r>
    </w:p>
    <w:p w14:paraId="227A1DD9">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eastAsia="方正仿宋_GBK"/>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年末，澄江</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财政供养人员</w:t>
      </w:r>
      <w:r>
        <w:rPr>
          <w:rFonts w:hint="eastAsia" w:ascii="仿宋" w:hAnsi="仿宋" w:eastAsia="仿宋" w:cs="仿宋"/>
          <w:color w:val="auto"/>
          <w:sz w:val="32"/>
          <w:szCs w:val="32"/>
          <w:lang w:val="en-US" w:eastAsia="zh-CN"/>
        </w:rPr>
        <w:t>7,169</w:t>
      </w:r>
      <w:r>
        <w:rPr>
          <w:rFonts w:hint="eastAsia" w:ascii="仿宋" w:hAnsi="仿宋" w:eastAsia="仿宋" w:cs="仿宋"/>
          <w:color w:val="auto"/>
          <w:sz w:val="32"/>
          <w:szCs w:val="32"/>
        </w:rPr>
        <w:t>人，其中：在职</w:t>
      </w:r>
      <w:r>
        <w:rPr>
          <w:rFonts w:hint="eastAsia" w:ascii="仿宋" w:hAnsi="仿宋" w:eastAsia="仿宋" w:cs="仿宋"/>
          <w:color w:val="auto"/>
          <w:sz w:val="32"/>
          <w:szCs w:val="32"/>
          <w:lang w:val="en-US" w:eastAsia="zh-CN"/>
        </w:rPr>
        <w:t>4,668</w:t>
      </w:r>
      <w:r>
        <w:rPr>
          <w:rFonts w:hint="eastAsia" w:ascii="仿宋" w:hAnsi="仿宋" w:eastAsia="仿宋" w:cs="仿宋"/>
          <w:color w:val="auto"/>
          <w:sz w:val="32"/>
          <w:szCs w:val="32"/>
        </w:rPr>
        <w:t>人，退休</w:t>
      </w:r>
      <w:r>
        <w:rPr>
          <w:rFonts w:hint="eastAsia" w:ascii="仿宋" w:hAnsi="仿宋" w:eastAsia="仿宋" w:cs="仿宋"/>
          <w:color w:val="auto"/>
          <w:sz w:val="32"/>
          <w:szCs w:val="32"/>
          <w:lang w:val="en-US" w:eastAsia="zh-CN"/>
        </w:rPr>
        <w:t>2,501</w:t>
      </w:r>
      <w:r>
        <w:rPr>
          <w:rFonts w:hint="eastAsia" w:ascii="仿宋" w:hAnsi="仿宋" w:eastAsia="仿宋" w:cs="仿宋"/>
          <w:color w:val="auto"/>
          <w:sz w:val="32"/>
          <w:szCs w:val="32"/>
        </w:rPr>
        <w:t>人，离休</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人。</w:t>
      </w:r>
    </w:p>
    <w:p w14:paraId="54BCC9C4">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（二）公务用车配备情况</w:t>
      </w:r>
    </w:p>
    <w:p w14:paraId="43375FA4">
      <w:pPr>
        <w:keepNext w:val="0"/>
        <w:keepLines w:val="0"/>
        <w:pageBreakBefore w:val="0"/>
        <w:widowControl w:val="0"/>
        <w:kinsoku/>
        <w:wordWrap/>
        <w:overflowPunct/>
        <w:topLinePunct w:val="0"/>
        <w:autoSpaceDE w:val="0"/>
        <w:autoSpaceDN/>
        <w:bidi w:val="0"/>
        <w:spacing w:line="590" w:lineRule="exact"/>
        <w:ind w:left="0" w:right="0" w:rightChars="0" w:firstLine="640" w:firstLineChars="200"/>
        <w:jc w:val="both"/>
        <w:textAlignment w:val="auto"/>
        <w:rPr>
          <w:rFonts w:eastAsia="方正仿宋_GBK"/>
          <w:color w:val="auto"/>
          <w:sz w:val="32"/>
          <w:szCs w:val="32"/>
        </w:rPr>
      </w:pPr>
      <w:r>
        <w:rPr>
          <w:rFonts w:hint="eastAsia" w:ascii="仿宋" w:hAnsi="仿宋" w:eastAsia="仿宋" w:cs="仿宋"/>
          <w:color w:val="auto"/>
          <w:sz w:val="32"/>
          <w:szCs w:val="32"/>
        </w:rPr>
        <w:t>全</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财政供养公务用车3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辆，其中：一般公务用车2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执法执勤用车15辆。（不含机关事务管理局保留车辆）</w:t>
      </w:r>
    </w:p>
    <w:p w14:paraId="4FA7B50E">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default" w:ascii="Times New Roman" w:hAnsi="Times New Roman" w:eastAsia="黑体" w:cs="Times New Roman"/>
          <w:color w:val="auto"/>
          <w:sz w:val="32"/>
          <w:szCs w:val="32"/>
        </w:rPr>
        <w:t>20</w:t>
      </w:r>
      <w:r>
        <w:rPr>
          <w:rFonts w:hint="default" w:ascii="Times New Roman" w:hAnsi="Times New Roman" w:eastAsia="黑体" w:cs="Times New Roman"/>
          <w:color w:val="auto"/>
          <w:sz w:val="32"/>
          <w:szCs w:val="32"/>
          <w:lang w:val="en-US" w:eastAsia="zh-CN"/>
        </w:rPr>
        <w:t>2</w:t>
      </w:r>
      <w:r>
        <w:rPr>
          <w:rFonts w:hint="eastAsia" w:eastAsia="黑体" w:cs="Times New Roman"/>
          <w:color w:val="auto"/>
          <w:sz w:val="32"/>
          <w:szCs w:val="32"/>
          <w:lang w:val="en-US" w:eastAsia="zh-CN"/>
        </w:rPr>
        <w:t>4</w:t>
      </w:r>
      <w:r>
        <w:rPr>
          <w:rFonts w:hint="eastAsia" w:ascii="黑体" w:hAnsi="黑体" w:eastAsia="黑体" w:cs="黑体"/>
          <w:color w:val="auto"/>
          <w:sz w:val="32"/>
          <w:szCs w:val="32"/>
        </w:rPr>
        <w:t>年财政收支完成情况</w:t>
      </w:r>
    </w:p>
    <w:p w14:paraId="04FFC65F">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（一）一般公共预算执行情况</w:t>
      </w:r>
    </w:p>
    <w:p w14:paraId="19C78B61">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仿宋" w:hAnsi="仿宋" w:eastAsia="仿宋" w:cs="仿宋"/>
          <w:color w:val="auto"/>
          <w:sz w:val="32"/>
          <w:szCs w:val="32"/>
        </w:rPr>
      </w:pPr>
      <w:r>
        <w:rPr>
          <w:rFonts w:hint="default" w:ascii="仿宋" w:hAnsi="仿宋" w:eastAsia="仿宋" w:cs="仿宋"/>
          <w:color w:val="auto"/>
          <w:sz w:val="32"/>
          <w:szCs w:val="32"/>
        </w:rPr>
        <w:t>一般公共预算收入完成</w:t>
      </w:r>
      <w:r>
        <w:rPr>
          <w:rFonts w:hint="eastAsia" w:ascii="仿宋" w:hAnsi="仿宋" w:eastAsia="仿宋" w:cs="仿宋"/>
          <w:color w:val="auto"/>
          <w:sz w:val="32"/>
          <w:szCs w:val="32"/>
          <w:lang w:val="en-US" w:eastAsia="zh-CN"/>
        </w:rPr>
        <w:t>78,228.00</w:t>
      </w:r>
      <w:r>
        <w:rPr>
          <w:rFonts w:hint="default" w:ascii="仿宋" w:hAnsi="仿宋" w:eastAsia="仿宋" w:cs="仿宋"/>
          <w:color w:val="auto"/>
          <w:sz w:val="32"/>
          <w:szCs w:val="32"/>
        </w:rPr>
        <w:t>万元，</w:t>
      </w:r>
      <w:r>
        <w:rPr>
          <w:rFonts w:hint="eastAsia" w:ascii="仿宋" w:hAnsi="仿宋" w:eastAsia="仿宋" w:cs="仿宋"/>
          <w:color w:val="auto"/>
          <w:sz w:val="32"/>
          <w:szCs w:val="32"/>
          <w:lang w:val="en-US" w:eastAsia="zh-CN"/>
        </w:rPr>
        <w:t>同比增长34.50</w:t>
      </w:r>
      <w:r>
        <w:rPr>
          <w:rFonts w:hint="default" w:ascii="仿宋" w:hAnsi="仿宋" w:eastAsia="仿宋" w:cs="仿宋"/>
          <w:color w:val="auto"/>
          <w:sz w:val="32"/>
          <w:szCs w:val="32"/>
        </w:rPr>
        <w:t>%，完成年初预算数的</w:t>
      </w:r>
      <w:r>
        <w:rPr>
          <w:rFonts w:hint="eastAsia" w:ascii="仿宋" w:hAnsi="仿宋" w:eastAsia="仿宋" w:cs="仿宋"/>
          <w:color w:val="auto"/>
          <w:sz w:val="32"/>
          <w:szCs w:val="32"/>
          <w:lang w:val="en-US" w:eastAsia="zh-CN"/>
        </w:rPr>
        <w:t>109.98</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的99.78%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一般公共预算支出完成</w:t>
      </w:r>
      <w:r>
        <w:rPr>
          <w:rFonts w:hint="eastAsia" w:ascii="仿宋" w:hAnsi="仿宋" w:eastAsia="仿宋" w:cs="仿宋"/>
          <w:color w:val="auto"/>
          <w:sz w:val="32"/>
          <w:szCs w:val="32"/>
          <w:lang w:val="en-US" w:eastAsia="zh-CN"/>
        </w:rPr>
        <w:t>218,431.00万</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同比增长2.84</w:t>
      </w:r>
      <w:r>
        <w:rPr>
          <w:rFonts w:hint="default" w:ascii="仿宋" w:hAnsi="仿宋" w:eastAsia="仿宋" w:cs="仿宋"/>
          <w:color w:val="auto"/>
          <w:sz w:val="32"/>
          <w:szCs w:val="32"/>
        </w:rPr>
        <w:t>%，完成年初预算数的</w:t>
      </w:r>
      <w:r>
        <w:rPr>
          <w:rFonts w:hint="eastAsia" w:ascii="仿宋" w:hAnsi="仿宋" w:eastAsia="仿宋" w:cs="仿宋"/>
          <w:color w:val="auto"/>
          <w:sz w:val="32"/>
          <w:szCs w:val="32"/>
          <w:lang w:val="en-US" w:eastAsia="zh-CN"/>
        </w:rPr>
        <w:t>101.84</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的89.59%</w:t>
      </w:r>
      <w:r>
        <w:rPr>
          <w:rFonts w:hint="default" w:ascii="仿宋" w:hAnsi="仿宋" w:eastAsia="仿宋" w:cs="仿宋"/>
          <w:color w:val="auto"/>
          <w:sz w:val="32"/>
          <w:szCs w:val="32"/>
        </w:rPr>
        <w:t>。</w:t>
      </w:r>
    </w:p>
    <w:p w14:paraId="239074C7">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（二）政府性基金预算执行情况</w:t>
      </w:r>
    </w:p>
    <w:p w14:paraId="45E29B84">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政府性基金</w:t>
      </w:r>
      <w:r>
        <w:rPr>
          <w:rFonts w:hint="default" w:ascii="仿宋" w:hAnsi="仿宋" w:eastAsia="仿宋" w:cs="仿宋"/>
          <w:color w:val="auto"/>
          <w:sz w:val="32"/>
          <w:szCs w:val="32"/>
        </w:rPr>
        <w:t>预算收入完成</w:t>
      </w:r>
      <w:r>
        <w:rPr>
          <w:rFonts w:hint="eastAsia" w:ascii="仿宋" w:hAnsi="仿宋" w:eastAsia="仿宋" w:cs="仿宋"/>
          <w:color w:val="auto"/>
          <w:sz w:val="32"/>
          <w:szCs w:val="32"/>
          <w:lang w:val="en-US" w:eastAsia="zh-CN"/>
        </w:rPr>
        <w:t>71,665.00</w:t>
      </w:r>
      <w:r>
        <w:rPr>
          <w:rFonts w:hint="default" w:ascii="仿宋" w:hAnsi="仿宋" w:eastAsia="仿宋" w:cs="仿宋"/>
          <w:color w:val="auto"/>
          <w:sz w:val="32"/>
          <w:szCs w:val="32"/>
        </w:rPr>
        <w:t>万元，</w:t>
      </w:r>
      <w:r>
        <w:rPr>
          <w:rFonts w:hint="eastAsia" w:ascii="仿宋" w:hAnsi="仿宋" w:eastAsia="仿宋" w:cs="仿宋"/>
          <w:color w:val="auto"/>
          <w:sz w:val="32"/>
          <w:szCs w:val="32"/>
          <w:lang w:val="en-US" w:eastAsia="zh-CN"/>
        </w:rPr>
        <w:t>同比下降34.93</w:t>
      </w:r>
      <w:r>
        <w:rPr>
          <w:rFonts w:hint="default" w:ascii="仿宋" w:hAnsi="仿宋" w:eastAsia="仿宋" w:cs="仿宋"/>
          <w:color w:val="auto"/>
          <w:sz w:val="32"/>
          <w:szCs w:val="32"/>
        </w:rPr>
        <w:t>%，完成年初预算数的</w:t>
      </w:r>
      <w:r>
        <w:rPr>
          <w:rFonts w:hint="eastAsia" w:ascii="仿宋" w:hAnsi="仿宋" w:eastAsia="仿宋" w:cs="仿宋"/>
          <w:color w:val="auto"/>
          <w:sz w:val="32"/>
          <w:szCs w:val="32"/>
          <w:lang w:val="en-US" w:eastAsia="zh-CN"/>
        </w:rPr>
        <w:t>56.92</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的56.57%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政府性基金</w:t>
      </w:r>
      <w:r>
        <w:rPr>
          <w:rFonts w:hint="default" w:ascii="仿宋" w:hAnsi="仿宋" w:eastAsia="仿宋" w:cs="仿宋"/>
          <w:color w:val="auto"/>
          <w:sz w:val="32"/>
          <w:szCs w:val="32"/>
        </w:rPr>
        <w:t>预算支出</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lang w:val="en-US" w:eastAsia="zh-CN"/>
        </w:rPr>
        <w:t>337,417.00</w:t>
      </w:r>
      <w:r>
        <w:rPr>
          <w:rFonts w:hint="default" w:ascii="仿宋" w:hAnsi="仿宋" w:eastAsia="仿宋" w:cs="仿宋"/>
          <w:color w:val="auto"/>
          <w:sz w:val="32"/>
          <w:szCs w:val="32"/>
        </w:rPr>
        <w:t>万元，</w:t>
      </w:r>
      <w:r>
        <w:rPr>
          <w:rFonts w:hint="eastAsia" w:ascii="仿宋" w:hAnsi="仿宋" w:eastAsia="仿宋" w:cs="仿宋"/>
          <w:color w:val="auto"/>
          <w:sz w:val="32"/>
          <w:szCs w:val="32"/>
          <w:lang w:val="en-US" w:eastAsia="zh-CN"/>
        </w:rPr>
        <w:t>同比增长183.47</w:t>
      </w:r>
      <w:r>
        <w:rPr>
          <w:rFonts w:hint="default" w:ascii="仿宋" w:hAnsi="仿宋" w:eastAsia="仿宋" w:cs="仿宋"/>
          <w:color w:val="auto"/>
          <w:sz w:val="32"/>
          <w:szCs w:val="32"/>
        </w:rPr>
        <w:t>%，完成年初预算数的</w:t>
      </w:r>
      <w:r>
        <w:rPr>
          <w:rFonts w:hint="eastAsia" w:ascii="仿宋" w:hAnsi="仿宋" w:eastAsia="仿宋" w:cs="仿宋"/>
          <w:color w:val="auto"/>
          <w:sz w:val="32"/>
          <w:szCs w:val="32"/>
          <w:lang w:val="en-US" w:eastAsia="zh-CN"/>
        </w:rPr>
        <w:t>307.88</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，完成预算调整数</w:t>
      </w:r>
      <w:r>
        <w:rPr>
          <w:rFonts w:hint="eastAsia" w:ascii="仿宋" w:hAnsi="仿宋" w:eastAsia="仿宋" w:cs="仿宋"/>
          <w:color w:val="auto"/>
          <w:sz w:val="32"/>
          <w:szCs w:val="32"/>
          <w:lang w:val="en-US" w:eastAsia="zh-CN"/>
        </w:rPr>
        <w:t>的95.75%</w:t>
      </w:r>
      <w:r>
        <w:rPr>
          <w:rFonts w:hint="default" w:ascii="仿宋" w:hAnsi="仿宋" w:eastAsia="仿宋" w:cs="仿宋"/>
          <w:color w:val="auto"/>
          <w:sz w:val="32"/>
          <w:szCs w:val="32"/>
        </w:rPr>
        <w:t>。</w:t>
      </w:r>
    </w:p>
    <w:p w14:paraId="63DCA29F">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（三）社会保险基金预算执行情况</w:t>
      </w:r>
    </w:p>
    <w:p w14:paraId="7DC4C870">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社会保险基金预算收入完成</w:t>
      </w:r>
      <w:r>
        <w:rPr>
          <w:rFonts w:hint="eastAsia" w:ascii="仿宋" w:hAnsi="仿宋" w:eastAsia="仿宋" w:cs="仿宋"/>
          <w:color w:val="auto"/>
          <w:sz w:val="32"/>
          <w:szCs w:val="32"/>
          <w:lang w:val="en-US" w:eastAsia="zh-CN"/>
        </w:rPr>
        <w:t>84,781.00万</w:t>
      </w:r>
      <w:r>
        <w:rPr>
          <w:rFonts w:hint="default" w:ascii="仿宋" w:hAnsi="仿宋" w:eastAsia="仿宋" w:cs="仿宋"/>
          <w:color w:val="auto"/>
          <w:sz w:val="32"/>
          <w:szCs w:val="32"/>
          <w:lang w:val="en-US" w:eastAsia="zh-CN"/>
        </w:rPr>
        <w:t>元</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同比增长</w:t>
      </w:r>
      <w:r>
        <w:rPr>
          <w:rFonts w:hint="eastAsia" w:ascii="仿宋" w:hAnsi="仿宋" w:eastAsia="仿宋" w:cs="仿宋"/>
          <w:color w:val="auto"/>
          <w:sz w:val="32"/>
          <w:szCs w:val="32"/>
          <w:lang w:val="en-US" w:eastAsia="zh-CN"/>
        </w:rPr>
        <w:t>14.55</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完成年初预算</w:t>
      </w:r>
      <w:r>
        <w:rPr>
          <w:rFonts w:hint="eastAsia" w:ascii="仿宋" w:hAnsi="仿宋" w:eastAsia="仿宋" w:cs="仿宋"/>
          <w:color w:val="auto"/>
          <w:sz w:val="32"/>
          <w:szCs w:val="32"/>
          <w:lang w:val="en-US" w:eastAsia="zh-CN"/>
        </w:rPr>
        <w:t>数的94.73</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社会保险基金预算支出完成</w:t>
      </w:r>
      <w:r>
        <w:rPr>
          <w:rFonts w:hint="eastAsia" w:ascii="仿宋" w:hAnsi="仿宋" w:eastAsia="仿宋" w:cs="仿宋"/>
          <w:color w:val="auto"/>
          <w:sz w:val="32"/>
          <w:szCs w:val="32"/>
          <w:lang w:val="en-US" w:eastAsia="zh-CN"/>
        </w:rPr>
        <w:t>78,112.00万</w:t>
      </w:r>
      <w:r>
        <w:rPr>
          <w:rFonts w:hint="default" w:ascii="仿宋" w:hAnsi="仿宋" w:eastAsia="仿宋" w:cs="仿宋"/>
          <w:color w:val="auto"/>
          <w:sz w:val="32"/>
          <w:szCs w:val="32"/>
          <w:lang w:val="en-US" w:eastAsia="zh-CN"/>
        </w:rPr>
        <w:t>元，同比</w:t>
      </w:r>
      <w:r>
        <w:rPr>
          <w:rFonts w:hint="eastAsia" w:ascii="仿宋" w:hAnsi="仿宋" w:eastAsia="仿宋" w:cs="仿宋"/>
          <w:color w:val="auto"/>
          <w:sz w:val="32"/>
          <w:szCs w:val="32"/>
          <w:lang w:val="en-US" w:eastAsia="zh-CN"/>
        </w:rPr>
        <w:t>增长0.47</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完成年初预算</w:t>
      </w:r>
      <w:r>
        <w:rPr>
          <w:rFonts w:hint="eastAsia" w:ascii="仿宋" w:hAnsi="仿宋" w:eastAsia="仿宋" w:cs="仿宋"/>
          <w:color w:val="auto"/>
          <w:sz w:val="32"/>
          <w:szCs w:val="32"/>
          <w:lang w:val="en-US" w:eastAsia="zh-CN"/>
        </w:rPr>
        <w:t>数的97.14</w:t>
      </w:r>
      <w:r>
        <w:rPr>
          <w:rFonts w:hint="default" w:ascii="仿宋" w:hAnsi="仿宋" w:eastAsia="仿宋" w:cs="仿宋"/>
          <w:color w:val="auto"/>
          <w:sz w:val="32"/>
          <w:szCs w:val="32"/>
          <w:lang w:val="en-US" w:eastAsia="zh-CN"/>
        </w:rPr>
        <w:t>%。</w:t>
      </w:r>
    </w:p>
    <w:p w14:paraId="519429BA">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（四）国有资本经营预算执行情况</w:t>
      </w:r>
    </w:p>
    <w:p w14:paraId="15408ECB">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国有资本经营预算收入完成</w:t>
      </w:r>
      <w:r>
        <w:rPr>
          <w:rFonts w:hint="eastAsia" w:ascii="仿宋" w:hAnsi="仿宋" w:eastAsia="仿宋" w:cs="仿宋"/>
          <w:color w:val="auto"/>
          <w:sz w:val="32"/>
          <w:szCs w:val="32"/>
          <w:lang w:val="en-US" w:eastAsia="zh-CN"/>
        </w:rPr>
        <w:t>13,300.00万元，同比增长65.5倍，</w:t>
      </w:r>
      <w:r>
        <w:rPr>
          <w:rFonts w:hint="default" w:ascii="Times New Roman" w:hAnsi="Times New Roman" w:eastAsia="方正仿宋_GBK" w:cs="Times New Roman"/>
          <w:color w:val="auto"/>
          <w:sz w:val="32"/>
          <w:szCs w:val="32"/>
          <w:lang w:eastAsia="zh-CN"/>
        </w:rPr>
        <w:t>完成年初预算的</w:t>
      </w:r>
      <w:r>
        <w:rPr>
          <w:rFonts w:hint="eastAsia" w:ascii="仿宋" w:hAnsi="仿宋" w:eastAsia="仿宋" w:cs="仿宋"/>
          <w:color w:val="auto"/>
          <w:sz w:val="32"/>
          <w:szCs w:val="32"/>
          <w:lang w:val="en-US" w:eastAsia="zh-CN"/>
        </w:rPr>
        <w:t>1023.08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国有资本经营预算支出完成</w:t>
      </w:r>
      <w:r>
        <w:rPr>
          <w:rFonts w:hint="eastAsia" w:ascii="仿宋" w:hAnsi="仿宋" w:eastAsia="仿宋" w:cs="仿宋"/>
          <w:color w:val="auto"/>
          <w:sz w:val="32"/>
          <w:szCs w:val="32"/>
          <w:lang w:val="en-US" w:eastAsia="zh-CN"/>
        </w:rPr>
        <w:t>7.00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同比</w:t>
      </w:r>
      <w:r>
        <w:rPr>
          <w:rFonts w:hint="eastAsia" w:ascii="仿宋" w:hAnsi="仿宋" w:eastAsia="仿宋" w:cs="仿宋"/>
          <w:color w:val="auto"/>
          <w:sz w:val="32"/>
          <w:szCs w:val="32"/>
          <w:lang w:val="en-US" w:eastAsia="zh-CN"/>
        </w:rPr>
        <w:t>增长100.00%，</w:t>
      </w:r>
      <w:r>
        <w:rPr>
          <w:rFonts w:hint="default" w:ascii="Times New Roman" w:hAnsi="Times New Roman" w:eastAsia="方正仿宋_GBK" w:cs="Times New Roman"/>
          <w:color w:val="auto"/>
          <w:sz w:val="32"/>
          <w:szCs w:val="32"/>
          <w:highlight w:val="none"/>
          <w:lang w:val="en-US" w:eastAsia="zh-CN"/>
        </w:rPr>
        <w:t>完成年初预算的</w:t>
      </w:r>
      <w:r>
        <w:rPr>
          <w:rFonts w:hint="eastAsia" w:ascii="仿宋" w:hAnsi="仿宋" w:eastAsia="仿宋" w:cs="仿宋"/>
          <w:color w:val="auto"/>
          <w:sz w:val="32"/>
          <w:szCs w:val="32"/>
          <w:highlight w:val="none"/>
          <w:lang w:val="en-US" w:eastAsia="zh-CN"/>
        </w:rPr>
        <w:t>36.84%</w:t>
      </w:r>
      <w:r>
        <w:rPr>
          <w:rFonts w:hint="eastAsia" w:ascii="仿宋" w:hAnsi="仿宋" w:eastAsia="仿宋" w:cs="仿宋"/>
          <w:color w:val="auto"/>
          <w:sz w:val="32"/>
          <w:szCs w:val="32"/>
          <w:lang w:val="en-US" w:eastAsia="zh-CN"/>
        </w:rPr>
        <w:t>。</w:t>
      </w:r>
    </w:p>
    <w:p w14:paraId="2187D444">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年财政收支预算情况</w:t>
      </w:r>
    </w:p>
    <w:p w14:paraId="76C322F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right="0" w:rightChars="0" w:firstLine="64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楷体" w:cs="Times New Roman"/>
          <w:color w:val="auto"/>
          <w:sz w:val="32"/>
          <w:szCs w:val="32"/>
          <w:lang w:val="en-US" w:eastAsia="zh-CN"/>
        </w:rPr>
        <w:t>（一）一般公共预算安排。</w:t>
      </w:r>
      <w:r>
        <w:rPr>
          <w:rFonts w:hint="eastAsia" w:ascii="仿宋" w:hAnsi="仿宋" w:eastAsia="仿宋" w:cs="仿宋"/>
          <w:color w:val="auto"/>
          <w:sz w:val="32"/>
          <w:szCs w:val="32"/>
          <w:lang w:val="en-US" w:eastAsia="zh-CN"/>
        </w:rPr>
        <w:t>2025</w:t>
      </w:r>
      <w:r>
        <w:rPr>
          <w:rFonts w:hint="eastAsia" w:ascii="Times New Roman" w:hAnsi="Times New Roman" w:eastAsia="楷体" w:cs="Times New Roman"/>
          <w:color w:val="auto"/>
          <w:sz w:val="32"/>
          <w:szCs w:val="32"/>
          <w:lang w:val="en-US" w:eastAsia="zh-CN"/>
        </w:rPr>
        <w:t>年</w:t>
      </w:r>
      <w:r>
        <w:rPr>
          <w:rFonts w:hint="eastAsia" w:ascii="仿宋" w:hAnsi="仿宋" w:eastAsia="仿宋" w:cs="仿宋"/>
          <w:color w:val="auto"/>
          <w:sz w:val="32"/>
          <w:szCs w:val="32"/>
        </w:rPr>
        <w:t>一般公共预算收入安排</w:t>
      </w:r>
      <w:r>
        <w:rPr>
          <w:rFonts w:hint="eastAsia" w:ascii="仿宋" w:hAnsi="仿宋" w:eastAsia="仿宋" w:cs="仿宋"/>
          <w:color w:val="auto"/>
          <w:sz w:val="32"/>
          <w:szCs w:val="32"/>
          <w:lang w:val="en-US" w:eastAsia="zh-CN"/>
        </w:rPr>
        <w:t>79,011.00万</w:t>
      </w:r>
      <w:r>
        <w:rPr>
          <w:rFonts w:hint="eastAsia" w:ascii="仿宋" w:hAnsi="仿宋" w:eastAsia="仿宋" w:cs="仿宋"/>
          <w:color w:val="auto"/>
          <w:sz w:val="32"/>
          <w:szCs w:val="32"/>
        </w:rPr>
        <w:t>元，同比增长</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%，其中：税收收入安排</w:t>
      </w:r>
      <w:r>
        <w:rPr>
          <w:rFonts w:hint="eastAsia" w:ascii="仿宋" w:hAnsi="仿宋" w:eastAsia="仿宋" w:cs="仿宋"/>
          <w:color w:val="auto"/>
          <w:sz w:val="32"/>
          <w:szCs w:val="32"/>
          <w:lang w:val="en-US" w:eastAsia="zh-CN"/>
        </w:rPr>
        <w:t>52,500.00万</w:t>
      </w:r>
      <w:r>
        <w:rPr>
          <w:rFonts w:hint="eastAsia" w:ascii="仿宋" w:hAnsi="仿宋" w:eastAsia="仿宋" w:cs="仿宋"/>
          <w:color w:val="auto"/>
          <w:sz w:val="32"/>
          <w:szCs w:val="32"/>
        </w:rPr>
        <w:t>元，同比增长</w:t>
      </w:r>
      <w:r>
        <w:rPr>
          <w:rFonts w:hint="eastAsia" w:ascii="仿宋" w:hAnsi="仿宋" w:eastAsia="仿宋" w:cs="仿宋"/>
          <w:color w:val="auto"/>
          <w:sz w:val="32"/>
          <w:szCs w:val="32"/>
          <w:lang w:val="en-US" w:eastAsia="zh-CN"/>
        </w:rPr>
        <w:t>40.37</w:t>
      </w:r>
      <w:r>
        <w:rPr>
          <w:rFonts w:hint="eastAsia" w:ascii="仿宋" w:hAnsi="仿宋" w:eastAsia="仿宋" w:cs="仿宋"/>
          <w:color w:val="auto"/>
          <w:sz w:val="32"/>
          <w:szCs w:val="32"/>
        </w:rPr>
        <w:t>%；非税收入安排</w:t>
      </w:r>
      <w:r>
        <w:rPr>
          <w:rFonts w:hint="eastAsia" w:ascii="仿宋" w:hAnsi="仿宋" w:eastAsia="仿宋" w:cs="仿宋"/>
          <w:color w:val="auto"/>
          <w:sz w:val="32"/>
          <w:szCs w:val="32"/>
          <w:lang w:val="en-US" w:eastAsia="zh-CN"/>
        </w:rPr>
        <w:t>26,511.00万</w:t>
      </w:r>
      <w:r>
        <w:rPr>
          <w:rFonts w:hint="eastAsia" w:ascii="仿宋" w:hAnsi="仿宋" w:eastAsia="仿宋" w:cs="仿宋"/>
          <w:color w:val="auto"/>
          <w:sz w:val="32"/>
          <w:szCs w:val="32"/>
        </w:rPr>
        <w:t>元，同比下降</w:t>
      </w:r>
      <w:r>
        <w:rPr>
          <w:rFonts w:hint="eastAsia" w:ascii="仿宋" w:hAnsi="仿宋" w:eastAsia="仿宋" w:cs="仿宋"/>
          <w:color w:val="auto"/>
          <w:sz w:val="32"/>
          <w:szCs w:val="32"/>
          <w:lang w:val="en-US" w:eastAsia="zh-CN"/>
        </w:rPr>
        <w:t>35.07</w:t>
      </w:r>
      <w:r>
        <w:rPr>
          <w:rFonts w:hint="eastAsia" w:ascii="仿宋" w:hAnsi="仿宋" w:eastAsia="仿宋" w:cs="仿宋"/>
          <w:color w:val="auto"/>
          <w:sz w:val="32"/>
          <w:szCs w:val="32"/>
        </w:rPr>
        <w:t>%。一般公共预算支出安排</w:t>
      </w:r>
      <w:r>
        <w:rPr>
          <w:rFonts w:hint="eastAsia" w:ascii="仿宋" w:hAnsi="仿宋" w:eastAsia="仿宋" w:cs="仿宋"/>
          <w:color w:val="auto"/>
          <w:sz w:val="32"/>
          <w:szCs w:val="32"/>
          <w:lang w:val="en-US" w:eastAsia="zh-CN"/>
        </w:rPr>
        <w:t>224,984.00万</w:t>
      </w:r>
      <w:r>
        <w:rPr>
          <w:rFonts w:hint="eastAsia" w:ascii="仿宋" w:hAnsi="仿宋" w:eastAsia="仿宋" w:cs="仿宋"/>
          <w:color w:val="auto"/>
          <w:sz w:val="32"/>
          <w:szCs w:val="32"/>
        </w:rPr>
        <w:t>元，同比增长</w:t>
      </w:r>
      <w:r>
        <w:rPr>
          <w:rFonts w:hint="eastAsia" w:ascii="仿宋" w:hAnsi="仿宋" w:eastAsia="仿宋" w:cs="仿宋"/>
          <w:color w:val="auto"/>
          <w:sz w:val="32"/>
          <w:szCs w:val="32"/>
          <w:lang w:val="en-US" w:eastAsia="zh-CN"/>
        </w:rPr>
        <w:t>3.00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05FF836A">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default" w:ascii="楷体" w:hAnsi="楷体" w:eastAsia="楷体" w:cs="楷体"/>
          <w:color w:val="auto"/>
          <w:sz w:val="32"/>
          <w:szCs w:val="32"/>
          <w:lang w:val="en-US" w:eastAsia="zh-CN"/>
        </w:rPr>
        <w:t>（二）政府性基金预算安排</w:t>
      </w:r>
      <w:r>
        <w:rPr>
          <w:rFonts w:hint="eastAsia" w:ascii="楷体" w:hAnsi="楷体" w:eastAsia="楷体" w:cs="楷体"/>
          <w:color w:val="auto"/>
          <w:sz w:val="32"/>
          <w:szCs w:val="32"/>
          <w:lang w:val="en-US" w:eastAsia="zh-CN"/>
        </w:rPr>
        <w:t>。</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年澄江市政府性基金预算收入安排</w:t>
      </w:r>
      <w:r>
        <w:rPr>
          <w:rFonts w:hint="eastAsia" w:ascii="仿宋" w:hAnsi="仿宋" w:eastAsia="仿宋" w:cs="仿宋"/>
          <w:color w:val="auto"/>
          <w:sz w:val="32"/>
          <w:szCs w:val="32"/>
          <w:lang w:val="en-US" w:eastAsia="zh-CN"/>
        </w:rPr>
        <w:t>154,689.00万</w:t>
      </w:r>
      <w:r>
        <w:rPr>
          <w:rFonts w:hint="eastAsia" w:ascii="仿宋" w:hAnsi="仿宋" w:eastAsia="仿宋" w:cs="仿宋"/>
          <w:color w:val="auto"/>
          <w:sz w:val="32"/>
          <w:szCs w:val="32"/>
        </w:rPr>
        <w:t>元，同比增长</w:t>
      </w:r>
      <w:r>
        <w:rPr>
          <w:rFonts w:hint="eastAsia" w:ascii="仿宋" w:hAnsi="仿宋" w:eastAsia="仿宋" w:cs="仿宋"/>
          <w:color w:val="auto"/>
          <w:sz w:val="32"/>
          <w:szCs w:val="32"/>
          <w:lang w:val="en-US" w:eastAsia="zh-CN"/>
        </w:rPr>
        <w:t>115.85</w:t>
      </w:r>
      <w:r>
        <w:rPr>
          <w:rFonts w:hint="eastAsia" w:ascii="仿宋" w:hAnsi="仿宋" w:eastAsia="仿宋" w:cs="仿宋"/>
          <w:color w:val="auto"/>
          <w:sz w:val="32"/>
          <w:szCs w:val="32"/>
        </w:rPr>
        <w:t>%，其中：土地出让收入</w:t>
      </w:r>
      <w:r>
        <w:rPr>
          <w:rFonts w:hint="eastAsia" w:ascii="仿宋" w:hAnsi="仿宋" w:eastAsia="仿宋" w:cs="仿宋"/>
          <w:color w:val="auto"/>
          <w:sz w:val="32"/>
          <w:szCs w:val="32"/>
          <w:lang w:val="en-US" w:eastAsia="zh-CN"/>
        </w:rPr>
        <w:t>141,771.00万</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其他政府性基金预算收入12,918.00</w:t>
      </w:r>
      <w:r>
        <w:rPr>
          <w:rFonts w:hint="eastAsia" w:ascii="仿宋" w:hAnsi="仿宋" w:eastAsia="仿宋" w:cs="仿宋"/>
          <w:color w:val="auto"/>
          <w:sz w:val="32"/>
          <w:szCs w:val="32"/>
        </w:rPr>
        <w:t>万元；政府性基金预算支出安排</w:t>
      </w:r>
      <w:r>
        <w:rPr>
          <w:rFonts w:hint="eastAsia" w:ascii="仿宋" w:hAnsi="仿宋" w:eastAsia="仿宋" w:cs="仿宋"/>
          <w:color w:val="auto"/>
          <w:sz w:val="32"/>
          <w:szCs w:val="32"/>
          <w:lang w:val="en-US" w:eastAsia="zh-CN"/>
        </w:rPr>
        <w:t>141,816.00万</w:t>
      </w:r>
      <w:r>
        <w:rPr>
          <w:rFonts w:hint="eastAsia" w:ascii="仿宋" w:hAnsi="仿宋" w:eastAsia="仿宋" w:cs="仿宋"/>
          <w:color w:val="auto"/>
          <w:sz w:val="32"/>
          <w:szCs w:val="32"/>
        </w:rPr>
        <w:t>元，同比</w:t>
      </w:r>
      <w:r>
        <w:rPr>
          <w:rFonts w:hint="eastAsia" w:ascii="仿宋" w:hAnsi="仿宋" w:eastAsia="仿宋" w:cs="仿宋"/>
          <w:color w:val="auto"/>
          <w:sz w:val="32"/>
          <w:szCs w:val="32"/>
          <w:lang w:val="en-US" w:eastAsia="zh-CN"/>
        </w:rPr>
        <w:t>下降57.97</w:t>
      </w:r>
      <w:r>
        <w:rPr>
          <w:rFonts w:hint="eastAsia" w:ascii="仿宋" w:hAnsi="仿宋" w:eastAsia="仿宋" w:cs="仿宋"/>
          <w:color w:val="auto"/>
          <w:sz w:val="32"/>
          <w:szCs w:val="32"/>
        </w:rPr>
        <w:t>%。</w:t>
      </w:r>
    </w:p>
    <w:p w14:paraId="4308DBE7">
      <w:pPr>
        <w:keepNext w:val="0"/>
        <w:keepLines w:val="0"/>
        <w:pageBreakBefore w:val="0"/>
        <w:widowControl w:val="0"/>
        <w:kinsoku/>
        <w:wordWrap/>
        <w:overflowPunct/>
        <w:topLinePunct w:val="0"/>
        <w:autoSpaceDE w:val="0"/>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（三）社会保险基金预算安排</w:t>
      </w:r>
      <w:r>
        <w:rPr>
          <w:rFonts w:hint="eastAsia" w:ascii="楷体" w:hAnsi="楷体" w:eastAsia="楷体" w:cs="楷体"/>
          <w:color w:val="auto"/>
          <w:sz w:val="32"/>
          <w:szCs w:val="32"/>
          <w:lang w:eastAsia="zh-CN"/>
        </w:rPr>
        <w:t>。</w:t>
      </w:r>
      <w:r>
        <w:rPr>
          <w:rFonts w:hint="default" w:ascii="仿宋" w:hAnsi="仿宋" w:eastAsia="仿宋" w:cs="仿宋"/>
          <w:color w:val="auto"/>
          <w:sz w:val="32"/>
          <w:szCs w:val="32"/>
          <w:lang w:val="en-US" w:eastAsia="zh-CN"/>
        </w:rPr>
        <w:t>202</w:t>
      </w:r>
      <w:r>
        <w:rPr>
          <w:rFonts w:hint="eastAsia" w:ascii="仿宋" w:hAnsi="仿宋" w:eastAsia="仿宋" w:cs="仿宋"/>
          <w:color w:val="auto"/>
          <w:sz w:val="32"/>
          <w:szCs w:val="32"/>
          <w:lang w:val="en-US" w:eastAsia="zh-CN"/>
        </w:rPr>
        <w:t>5</w:t>
      </w:r>
      <w:r>
        <w:rPr>
          <w:rFonts w:hint="default" w:ascii="仿宋" w:hAnsi="仿宋" w:eastAsia="仿宋" w:cs="仿宋"/>
          <w:color w:val="auto"/>
          <w:sz w:val="32"/>
          <w:szCs w:val="32"/>
          <w:lang w:val="en-US" w:eastAsia="zh-CN"/>
        </w:rPr>
        <w:t>年</w:t>
      </w:r>
      <w:r>
        <w:rPr>
          <w:rFonts w:hint="default" w:ascii="仿宋" w:hAnsi="仿宋" w:eastAsia="仿宋" w:cs="仿宋"/>
          <w:color w:val="auto"/>
          <w:sz w:val="32"/>
          <w:szCs w:val="32"/>
        </w:rPr>
        <w:t>社会保险基金预算收入安排</w:t>
      </w:r>
      <w:r>
        <w:rPr>
          <w:rFonts w:hint="eastAsia" w:ascii="仿宋" w:hAnsi="仿宋" w:eastAsia="仿宋" w:cs="仿宋"/>
          <w:color w:val="auto"/>
          <w:sz w:val="32"/>
          <w:szCs w:val="32"/>
          <w:lang w:val="en-US" w:eastAsia="zh-CN"/>
        </w:rPr>
        <w:t>88,980.00万</w:t>
      </w:r>
      <w:r>
        <w:rPr>
          <w:rFonts w:hint="default" w:ascii="仿宋" w:hAnsi="仿宋" w:eastAsia="仿宋" w:cs="仿宋"/>
          <w:color w:val="auto"/>
          <w:sz w:val="32"/>
          <w:szCs w:val="32"/>
        </w:rPr>
        <w:t>元，</w:t>
      </w:r>
      <w:r>
        <w:rPr>
          <w:rFonts w:hint="default" w:ascii="仿宋" w:hAnsi="仿宋" w:eastAsia="仿宋" w:cs="仿宋"/>
          <w:color w:val="auto"/>
          <w:sz w:val="32"/>
          <w:szCs w:val="32"/>
          <w:lang w:eastAsia="zh-CN"/>
        </w:rPr>
        <w:t>同比</w:t>
      </w:r>
      <w:r>
        <w:rPr>
          <w:rFonts w:hint="default" w:ascii="仿宋" w:hAnsi="仿宋" w:eastAsia="仿宋" w:cs="仿宋"/>
          <w:color w:val="auto"/>
          <w:sz w:val="32"/>
          <w:szCs w:val="32"/>
        </w:rPr>
        <w:t>增长</w:t>
      </w:r>
      <w:r>
        <w:rPr>
          <w:rFonts w:hint="eastAsia" w:ascii="仿宋" w:hAnsi="仿宋" w:eastAsia="仿宋" w:cs="仿宋"/>
          <w:color w:val="auto"/>
          <w:sz w:val="32"/>
          <w:szCs w:val="32"/>
          <w:lang w:val="en-US" w:eastAsia="zh-CN"/>
        </w:rPr>
        <w:t>4.95</w:t>
      </w:r>
      <w:r>
        <w:rPr>
          <w:rFonts w:hint="default"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rPr>
        <w:t>社会保险基金预算支出</w:t>
      </w:r>
      <w:r>
        <w:rPr>
          <w:rFonts w:hint="eastAsia" w:ascii="仿宋" w:hAnsi="仿宋" w:eastAsia="仿宋" w:cs="仿宋"/>
          <w:color w:val="auto"/>
          <w:sz w:val="32"/>
          <w:szCs w:val="32"/>
          <w:lang w:eastAsia="zh-CN"/>
        </w:rPr>
        <w:t>安排</w:t>
      </w:r>
      <w:r>
        <w:rPr>
          <w:rFonts w:hint="eastAsia" w:ascii="仿宋" w:hAnsi="仿宋" w:eastAsia="仿宋" w:cs="仿宋"/>
          <w:color w:val="auto"/>
          <w:sz w:val="32"/>
          <w:szCs w:val="32"/>
          <w:lang w:val="en-US" w:eastAsia="zh-CN"/>
        </w:rPr>
        <w:t>83,900.00万</w:t>
      </w:r>
      <w:r>
        <w:rPr>
          <w:rFonts w:hint="default" w:ascii="仿宋" w:hAnsi="仿宋" w:eastAsia="仿宋" w:cs="仿宋"/>
          <w:color w:val="auto"/>
          <w:sz w:val="32"/>
          <w:szCs w:val="32"/>
        </w:rPr>
        <w:t>元，</w:t>
      </w:r>
      <w:r>
        <w:rPr>
          <w:rFonts w:hint="default" w:ascii="仿宋" w:hAnsi="仿宋" w:eastAsia="仿宋" w:cs="仿宋"/>
          <w:color w:val="auto"/>
          <w:sz w:val="32"/>
          <w:szCs w:val="32"/>
          <w:lang w:eastAsia="zh-CN"/>
        </w:rPr>
        <w:t>同比</w:t>
      </w:r>
      <w:r>
        <w:rPr>
          <w:rFonts w:hint="default" w:ascii="仿宋" w:hAnsi="仿宋" w:eastAsia="仿宋" w:cs="仿宋"/>
          <w:color w:val="auto"/>
          <w:sz w:val="32"/>
          <w:szCs w:val="32"/>
        </w:rPr>
        <w:t>增长</w:t>
      </w:r>
      <w:r>
        <w:rPr>
          <w:rFonts w:hint="eastAsia" w:ascii="仿宋" w:hAnsi="仿宋" w:eastAsia="仿宋" w:cs="仿宋"/>
          <w:color w:val="auto"/>
          <w:sz w:val="32"/>
          <w:szCs w:val="32"/>
          <w:lang w:val="en-US" w:eastAsia="zh-CN"/>
        </w:rPr>
        <w:t>7.41</w:t>
      </w:r>
      <w:r>
        <w:rPr>
          <w:rFonts w:hint="default" w:ascii="仿宋" w:hAnsi="仿宋" w:eastAsia="仿宋" w:cs="仿宋"/>
          <w:color w:val="auto"/>
          <w:sz w:val="32"/>
          <w:szCs w:val="32"/>
        </w:rPr>
        <w:t>%。</w:t>
      </w:r>
    </w:p>
    <w:p w14:paraId="6A0BCA96">
      <w:pPr>
        <w:keepNext w:val="0"/>
        <w:keepLines w:val="0"/>
        <w:pageBreakBefore w:val="0"/>
        <w:widowControl w:val="0"/>
        <w:kinsoku/>
        <w:wordWrap/>
        <w:overflowPunct/>
        <w:topLinePunct w:val="0"/>
        <w:autoSpaceDE w:val="0"/>
        <w:autoSpaceDN/>
        <w:bidi w:val="0"/>
        <w:adjustRightInd/>
        <w:snapToGrid/>
        <w:spacing w:line="590" w:lineRule="exact"/>
        <w:ind w:left="0" w:leftChars="0" w:right="0" w:rightChars="0" w:firstLine="640" w:firstLineChars="200"/>
        <w:jc w:val="both"/>
        <w:textAlignment w:val="auto"/>
        <w:outlineLvl w:val="9"/>
        <w:rPr>
          <w:rFonts w:hint="eastAsia" w:eastAsia="方正仿宋_GBK"/>
          <w:color w:val="auto"/>
          <w:sz w:val="32"/>
          <w:szCs w:val="32"/>
          <w:highlight w:val="none"/>
          <w:lang w:val="en-US" w:eastAsia="zh-CN"/>
        </w:rPr>
      </w:pPr>
      <w:r>
        <w:rPr>
          <w:rFonts w:hint="eastAsia" w:ascii="楷体" w:hAnsi="楷体" w:eastAsia="楷体" w:cs="楷体"/>
          <w:color w:val="auto"/>
          <w:sz w:val="32"/>
          <w:szCs w:val="32"/>
        </w:rPr>
        <w:t>（四）国有资本经营预算安排</w:t>
      </w:r>
      <w:r>
        <w:rPr>
          <w:rFonts w:hint="eastAsia" w:ascii="楷体" w:hAnsi="楷体" w:eastAsia="楷体" w:cs="楷体"/>
          <w:color w:val="auto"/>
          <w:sz w:val="32"/>
          <w:szCs w:val="32"/>
          <w:lang w:eastAsia="zh-CN"/>
        </w:rPr>
        <w:t>。</w:t>
      </w:r>
      <w:r>
        <w:rPr>
          <w:rFonts w:hint="eastAsia" w:ascii="仿宋" w:hAnsi="仿宋" w:eastAsia="仿宋" w:cs="仿宋"/>
          <w:color w:val="auto"/>
          <w:sz w:val="32"/>
          <w:szCs w:val="32"/>
          <w:lang w:val="en-US" w:eastAsia="zh-CN"/>
        </w:rPr>
        <w:t>2025年国有资本经营预算收入安排5,815.00万元，同比下降56.28%；国有资本经营预算支出安排19.00万元，同比增长171.43%。</w:t>
      </w:r>
    </w:p>
    <w:p w14:paraId="6F053537">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四、转移支付</w:t>
      </w:r>
      <w:r>
        <w:rPr>
          <w:rFonts w:hint="eastAsia" w:ascii="黑体" w:hAnsi="黑体" w:eastAsia="黑体" w:cs="黑体"/>
          <w:color w:val="auto"/>
          <w:sz w:val="32"/>
          <w:szCs w:val="32"/>
          <w:lang w:val="en-US" w:eastAsia="zh-CN"/>
        </w:rPr>
        <w:t>收入</w:t>
      </w:r>
      <w:r>
        <w:rPr>
          <w:rFonts w:hint="eastAsia" w:ascii="黑体" w:hAnsi="黑体" w:eastAsia="黑体" w:cs="黑体"/>
          <w:color w:val="auto"/>
          <w:sz w:val="32"/>
          <w:szCs w:val="32"/>
        </w:rPr>
        <w:t>情况</w:t>
      </w:r>
    </w:p>
    <w:p w14:paraId="6430F901">
      <w:pPr>
        <w:keepNext w:val="0"/>
        <w:keepLines w:val="0"/>
        <w:pageBreakBefore w:val="0"/>
        <w:widowControl w:val="0"/>
        <w:kinsoku/>
        <w:wordWrap/>
        <w:overflowPunct/>
        <w:topLinePunct w:val="0"/>
        <w:autoSpaceDE w:val="0"/>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澄江市2024年转移性收入200,398.00万元，其中：返还性收入4,383.00万元（消费税和增值税税收返还277.00万元，所得税基数返还782.00万,中央返还和地方上缴基数4,155.00万元，其他返还性收入-831.00万元）；一般性转移支付补助收入73,827.00万元（均衡性转移支付收入15,964.00万元,县级基本财力保障机制奖补资金收入5,242.00万元,结算补助收入9,617.00万元,重点生态功能区转移支付收入6,024.00万元,固定数额补助收入7,216.00万元,民族地区转移支付收入-103.00万元，巩固脱贫攻坚成果衔接乡村振兴转移支付收入2,606.00万元,公共安全共同财政事权转移支付收入1,017.00万元,教育共同财政事权转移支付收入6,098.00万元,社会保障和就业共同财政事权转移支付收入7,687.00万元,医疗卫生共同财政事权转移支付收入3,809.00万元，住房保障共同财政事权转移支付收入18.00万元，文化旅游体育与传媒共同财政事权转移支付收入92.00万元，节能环保共同财政事权转移支付收入465.00万元，农林水共同财政事权转移支付收入7,403.00万元，交通运输共同财政事权转移支付收入216.00万元，粮油物资储备共同财政事权转移支付收入43.00万元，灾害防治及应急管理共同财政事权转移支付收入274.00万元，其他一般性转移支付收入132.00万元，其他共同财政事权转移支付收入7.00万元）；上级专项补助收入122,188.00万元（一般公共服务443.00万元，国防54.00万元，公共安全43.00万元，教育1,590.00万元，科学技术50.00万元，文化旅游体育和传媒231.00万元，社会保障和就业861.00万元，卫生健康522.00万元，节能环保110,388.00万元，城乡社区事务4,474.00万元，农林水事务2,109.00万元，交通运输974.00万元，资源勘探工业信息等3.00万元，自然资源海洋气象68.00万元，住房保障支出25.00万元，灾害防治及应急管理支出353.00万元）。</w:t>
      </w:r>
    </w:p>
    <w:p w14:paraId="14206549">
      <w:pPr>
        <w:keepNext w:val="0"/>
        <w:keepLines w:val="0"/>
        <w:pageBreakBefore w:val="0"/>
        <w:widowControl w:val="0"/>
        <w:kinsoku/>
        <w:wordWrap/>
        <w:overflowPunct/>
        <w:topLinePunct w:val="0"/>
        <w:autoSpaceDE w:val="0"/>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澄江市2025年预计转移性收入188,321.00万元，其中：返还性收入5,214.00万元；一般性转移支付补助收入70,337.00万元（均衡性转移支付收入18,390.00万元,县级基本财力保障机制奖补资金收入7,537.00万元,结算补助收入3,811.00万元,重点生态功能区转移支付收入7,512.00万元,固定数额补助收入7,024.00万元,巩固脱贫攻坚成果衔接乡村振兴转移支付收入2,067.00万元,公共安全共同财政事权转移支付收入1,011.00万元,教育共同财政事权转移支付收入4,582.00万元,文化旅游体育与传媒共同财政事权转移支付收入93.00万元，社会保障和就业共同财政事权转移支付收入7,765.00万元,医疗卫生共同财政事权转移支付收入3,518.00万元，节能环保共同财政事权转移支付收入62.00万元，农林水共同财政事权转移支付收入5,296.00万元，交通运输共同财政事权转移支付收入1,023.00万元，住房保障共同财政事权转移支付收入307.00万元，粮油物资储备共同财政事权转移支付收入43.00万元，灾害防治及应急管理共同财政事权转移支付收入159.00万元，其他共同财政事权转移支付收入5.00万元，其他一般性转移支付收入132.00万元）；上级专项补助收入55,850.00万元（一般公共服务341.00万元，国防54.00万元，公共安全35.00万元，教育248.00万元，科学技术5.00万元，文化旅游体育与传媒10.00万元，社会保障和就业928.00万元，卫生健康411.00万元，节能环保47,309.00万元，城乡社区1,225.00万元，农林水2,226.00万元，交通运输1,974.00万元，资源勘探工业信息3.00万元，自然资源海洋气象1.00万元，住房保障725万元，灾害防治及应急管理支出353.00万元，其他收入2.00万元）。</w:t>
      </w:r>
    </w:p>
    <w:p w14:paraId="07927C2C">
      <w:pPr>
        <w:keepNext w:val="0"/>
        <w:keepLines w:val="0"/>
        <w:pageBreakBefore w:val="0"/>
        <w:widowControl w:val="0"/>
        <w:kinsoku/>
        <w:wordWrap/>
        <w:overflowPunct/>
        <w:topLinePunct w:val="0"/>
        <w:autoSpaceDE w:val="0"/>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使用情况：一般性转移支付补助收入和返还性收入主要用于人员供养支出、部门（单位）和乡镇（街道）正常运转支出、民生支出。专项转移支付补助收入根据上级下达专项用途安排支出。</w:t>
      </w:r>
    </w:p>
    <w:p w14:paraId="43AF87CB">
      <w:pPr>
        <w:keepNext w:val="0"/>
        <w:keepLines w:val="0"/>
        <w:pageBreakBefore w:val="0"/>
        <w:widowControl w:val="0"/>
        <w:kinsoku/>
        <w:wordWrap/>
        <w:overflowPunct/>
        <w:topLinePunct w:val="0"/>
        <w:autoSpaceDE w:val="0"/>
        <w:autoSpaceDN/>
        <w:bidi w:val="0"/>
        <w:adjustRightInd/>
        <w:snapToGrid/>
        <w:spacing w:line="590" w:lineRule="exact"/>
        <w:ind w:left="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五、债务管理情况说明</w:t>
      </w:r>
    </w:p>
    <w:p w14:paraId="52DDF3E2">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（一）地方政府债务余额情况。</w:t>
      </w:r>
      <w:r>
        <w:rPr>
          <w:rFonts w:hint="eastAsia" w:ascii="仿宋" w:hAnsi="仿宋" w:eastAsia="仿宋" w:cs="仿宋"/>
          <w:color w:val="auto"/>
          <w:sz w:val="32"/>
          <w:szCs w:val="32"/>
          <w:lang w:val="en-US" w:eastAsia="zh-CN"/>
        </w:rPr>
        <w:t>截至2024年12月31日，政府法定债务余额129亿元，其中：一般债务26.5亿元、专项债务102.5亿元。</w:t>
      </w:r>
    </w:p>
    <w:p w14:paraId="6F7CB692">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（二）再融资债券资金情况。</w:t>
      </w:r>
      <w:r>
        <w:rPr>
          <w:rFonts w:hint="eastAsia" w:ascii="仿宋" w:hAnsi="仿宋" w:eastAsia="仿宋" w:cs="仿宋"/>
          <w:color w:val="auto"/>
          <w:sz w:val="32"/>
          <w:szCs w:val="32"/>
          <w:lang w:val="en-US" w:eastAsia="zh-CN"/>
        </w:rPr>
        <w:t>发行再融资债券4.6亿元，其中：一般债券1.63亿元、专项债券2.97亿元。</w:t>
      </w:r>
    </w:p>
    <w:p w14:paraId="2DF07F6B">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（三）地方政府债务偿还情况。</w:t>
      </w:r>
      <w:r>
        <w:rPr>
          <w:rFonts w:hint="eastAsia" w:ascii="仿宋" w:hAnsi="仿宋" w:eastAsia="仿宋" w:cs="仿宋"/>
          <w:color w:val="auto"/>
          <w:sz w:val="32"/>
          <w:szCs w:val="32"/>
          <w:lang w:val="en-US" w:eastAsia="zh-CN"/>
        </w:rPr>
        <w:t>2024年政府债务实际偿还本金2.45亿元，其中：一般债务本金1.85亿元、专项债务本金0.6亿元；实际支付利息3.48亿元，其中：一般债务利息0.96亿元、专项债务利息2.52亿元。</w:t>
      </w:r>
    </w:p>
    <w:p w14:paraId="7E072D2A">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楷体" w:hAnsi="楷体" w:eastAsia="楷体" w:cs="楷体"/>
          <w:color w:val="auto"/>
          <w:sz w:val="32"/>
          <w:szCs w:val="32"/>
          <w:lang w:val="en-US" w:eastAsia="zh-CN"/>
        </w:rPr>
        <w:t>（四）</w:t>
      </w:r>
      <w:r>
        <w:rPr>
          <w:rFonts w:hint="default" w:ascii="楷体" w:hAnsi="楷体" w:eastAsia="楷体" w:cs="楷体"/>
          <w:color w:val="auto"/>
          <w:sz w:val="32"/>
          <w:szCs w:val="32"/>
          <w:lang w:val="en-US" w:eastAsia="zh-CN"/>
        </w:rPr>
        <w:t>澄江市高度重视政府性债务管理工作，认真落实国家、省、市关于加强地方政府性债务管理工作的有关文件规定，依法依规管理地方政府债务，有针对性地采取切实有效的措施，规范政府举债行为，防范和化解政府债务风险，政府债务风险安全可控。</w:t>
      </w:r>
    </w:p>
    <w:p w14:paraId="5C101F3A">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1.建立健全债务风险管控机制。</w:t>
      </w:r>
      <w:r>
        <w:rPr>
          <w:rFonts w:hint="default" w:ascii="仿宋" w:hAnsi="仿宋" w:eastAsia="仿宋" w:cs="仿宋"/>
          <w:color w:val="auto"/>
          <w:sz w:val="32"/>
          <w:szCs w:val="32"/>
          <w:lang w:val="en-US" w:eastAsia="zh-CN"/>
        </w:rPr>
        <w:t>为进一步规范我市政府性债务管理，有效防范债务风险，促进全市经济持续健康发展、社会和谐稳定，成立了澄江市防范和化解政府债务专项工作领导小组、澄江市债务管理委员会、澄江市财政金融风险处置工作领导小组，加强对债务工作统一领导。制定了《澄江县人民政府办公室关于印发澄江县加强政府性债务管理实施方案的通知》（澄政办发〔2015〕151号）、《澄江县政府性债务风险应急处置预案》（澄政发〔2017〕57号）等一系列债务化解方案和措施。每年制定《债务化解方案》并严格执行，把防范化解政府债务风险作为一项重要的政治任务，落实主体责任，坚持“谁主管、谁负责，谁举借、谁偿还”的原则，按照“量力而行、尽力而为、风险可控”的要求，坚决遏制债务增量，稳妥化解债务存量，完成债务化解目标，牢牢守住不发生系统性债务风险的底线。</w:t>
      </w:r>
    </w:p>
    <w:p w14:paraId="1C27C013">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债务纳入预算管理。对地方政府债务实施限额管理，地方政府债务余额控制在玉溪市财政局下达的债务限额以内，对现有债务，根据偿债资金性质分别纳入一般公共预算和政府性基金预算管理，保证债券资金到期还本付息资金，规范债务资金管理和会计核算，进一步增强债务预算的科学性和完整性。</w:t>
      </w:r>
    </w:p>
    <w:p w14:paraId="1F061C95">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val="en-US" w:eastAsia="zh-CN"/>
        </w:rPr>
        <w:t>债务系统管理。法定债务全部纳入地方政府性债务管理系统，从项目录入、项目申报、项目发行、资金下达、资金使用、收益实现、偿还本息等全链条进行管理。</w:t>
      </w:r>
    </w:p>
    <w:p w14:paraId="04F491AD">
      <w:pPr>
        <w:ind w:firstLine="640" w:firstLineChars="200"/>
      </w:pPr>
      <w:r>
        <w:rPr>
          <w:rFonts w:hint="eastAsia" w:ascii="仿宋" w:hAnsi="仿宋" w:eastAsia="仿宋" w:cs="仿宋"/>
          <w:color w:val="auto"/>
          <w:sz w:val="32"/>
          <w:szCs w:val="32"/>
          <w:lang w:val="en-US" w:eastAsia="zh-CN"/>
        </w:rPr>
        <w:t>4.</w:t>
      </w:r>
      <w:r>
        <w:rPr>
          <w:rFonts w:hint="default" w:ascii="仿宋" w:hAnsi="仿宋" w:eastAsia="仿宋" w:cs="仿宋"/>
          <w:color w:val="auto"/>
          <w:sz w:val="32"/>
          <w:szCs w:val="32"/>
          <w:lang w:val="en-US" w:eastAsia="zh-CN"/>
        </w:rPr>
        <w:t>专项债券资金专户存储，并建立动态监控机制。新增发行的专项债券资金按照省、市要求，开设专项债券资金管理专户，并严格按照专户管理的要求存储专项债券资金。专项债券资金管理专户在项目存续期内保持稳定，专项债券资金到位后，用于项目建设支出。依托专项债券动态监控系统建立了专项债券资金动态监控工作机制，加强对地方政府债券资金全过程的监督管理，及时对债券资金流水进行确认，对于专项债券大额转账的行为，认真进行核实定期跟进项目进度，密切监控项目实施和资金使用全过程，确保债券资金安全、规范、高效使用，注重用好用足地方政府债券资金，充分发挥政府债务</w:t>
      </w:r>
      <w:r>
        <w:rPr>
          <w:rFonts w:hint="default" w:ascii="Times New Roman" w:hAnsi="Times New Roman" w:eastAsia="方正仿宋_GBK" w:cs="Times New Roman"/>
          <w:color w:val="auto"/>
          <w:sz w:val="32"/>
          <w:szCs w:val="32"/>
        </w:rPr>
        <w:t>对经济社会发展的支持作用。</w:t>
      </w:r>
    </w:p>
    <w:p w14:paraId="71B3952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4830"/>
          <w:tab w:val="left" w:pos="8640"/>
        </w:tabs>
        <w:kinsoku/>
        <w:wordWrap/>
        <w:overflowPunct/>
        <w:topLinePunct w:val="0"/>
        <w:autoSpaceDE w:val="0"/>
        <w:autoSpaceDN/>
        <w:bidi w:val="0"/>
        <w:adjustRightInd w:val="0"/>
        <w:snapToGrid w:val="0"/>
        <w:spacing w:beforeAutospacing="0" w:afterAutospacing="0" w:line="590" w:lineRule="exact"/>
        <w:ind w:left="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六、绩效管理情况说明</w:t>
      </w:r>
    </w:p>
    <w:p w14:paraId="52BCFA1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认真贯彻落实《中共云南省委、云南省人民政府关于全面实施预算绩效管理的实施意见》（云发〔2019〕11号）和《中共玉溪市委办公室、玉溪市人民政府办公室关于贯彻落实&lt;中共云南省委、云南省人民政府关于全面实施预算绩效管理的实施意见&gt;的通知》（玉办通〔2019〕23号）精神，结合《澄江县全面实施预算绩效管理实施方案》（澄政办发〔2019〕120号）、</w:t>
      </w:r>
      <w:r>
        <w:rPr>
          <w:rFonts w:hint="default" w:ascii="仿宋" w:hAnsi="仿宋" w:eastAsia="仿宋" w:cs="仿宋"/>
          <w:color w:val="auto"/>
          <w:sz w:val="32"/>
          <w:szCs w:val="32"/>
          <w:lang w:val="en-US" w:eastAsia="zh-CN"/>
        </w:rPr>
        <w:t>《澄江市项目支出事前绩效评估管理办法（试行）的通知》</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澄财发〔2022〕39号</w:t>
      </w:r>
      <w:r>
        <w:rPr>
          <w:rFonts w:hint="eastAsia" w:ascii="仿宋" w:hAnsi="仿宋" w:eastAsia="仿宋" w:cs="仿宋"/>
          <w:color w:val="auto"/>
          <w:sz w:val="32"/>
          <w:szCs w:val="32"/>
          <w:lang w:val="en-US" w:eastAsia="zh-CN"/>
        </w:rPr>
        <w:t>）等文件要求，不断强化部门绩效管理理念，切实提高财政资金使用效能。2025年将持续优化财政支出结构，做实预算绩效管理结果应用工作，进一步提升项目管理水平，将绩效管理结果作为调整及安排预算的重要依据，全力绘就深化预算绩效管理改革新图鉴。</w:t>
      </w:r>
    </w:p>
    <w:p w14:paraId="29EAE361">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4830"/>
          <w:tab w:val="left" w:pos="8640"/>
        </w:tabs>
        <w:kinsoku/>
        <w:wordWrap/>
        <w:overflowPunct/>
        <w:topLinePunct w:val="0"/>
        <w:autoSpaceDE w:val="0"/>
        <w:autoSpaceDN/>
        <w:bidi w:val="0"/>
        <w:adjustRightInd w:val="0"/>
        <w:snapToGrid w:val="0"/>
        <w:spacing w:beforeAutospacing="0" w:afterAutospacing="0" w:line="590" w:lineRule="exact"/>
        <w:ind w:left="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公开空表说明</w:t>
      </w:r>
    </w:p>
    <w:p w14:paraId="18C43949">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4830"/>
          <w:tab w:val="left" w:pos="8640"/>
        </w:tabs>
        <w:kinsoku/>
        <w:wordWrap/>
        <w:overflowPunct/>
        <w:topLinePunct w:val="0"/>
        <w:autoSpaceDE w:val="0"/>
        <w:autoSpaceDN/>
        <w:bidi w:val="0"/>
        <w:adjustRightInd w:val="0"/>
        <w:snapToGrid w:val="0"/>
        <w:spacing w:beforeAutospacing="0" w:afterAutospacing="0" w:line="590" w:lineRule="exact"/>
        <w:ind w:left="0" w:right="0" w:righ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因202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年无国有资本经营支出</w:t>
      </w:r>
      <w:r>
        <w:rPr>
          <w:rFonts w:hint="eastAsia" w:ascii="仿宋" w:hAnsi="仿宋" w:eastAsia="仿宋" w:cs="仿宋"/>
          <w:color w:val="auto"/>
          <w:sz w:val="32"/>
          <w:szCs w:val="32"/>
          <w:highlight w:val="none"/>
          <w:lang w:val="en-US" w:eastAsia="zh-CN"/>
        </w:rPr>
        <w:t>对下转移支付</w:t>
      </w:r>
      <w:r>
        <w:rPr>
          <w:rFonts w:hint="eastAsia" w:ascii="仿宋" w:hAnsi="仿宋" w:eastAsia="仿宋" w:cs="仿宋"/>
          <w:color w:val="auto"/>
          <w:sz w:val="32"/>
          <w:szCs w:val="32"/>
          <w:highlight w:val="none"/>
        </w:rPr>
        <w:t>，按照要求，国有资本经营</w:t>
      </w:r>
      <w:r>
        <w:rPr>
          <w:rFonts w:hint="eastAsia" w:ascii="仿宋" w:hAnsi="仿宋" w:eastAsia="仿宋" w:cs="仿宋"/>
          <w:color w:val="auto"/>
          <w:sz w:val="32"/>
          <w:szCs w:val="32"/>
          <w:highlight w:val="none"/>
          <w:lang w:val="en-US" w:eastAsia="zh-CN"/>
        </w:rPr>
        <w:t>预算转移支付表（分项目）</w:t>
      </w:r>
      <w:r>
        <w:rPr>
          <w:rFonts w:hint="eastAsia" w:ascii="仿宋" w:hAnsi="仿宋" w:eastAsia="仿宋" w:cs="仿宋"/>
          <w:color w:val="auto"/>
          <w:sz w:val="32"/>
          <w:szCs w:val="32"/>
          <w:highlight w:val="none"/>
        </w:rPr>
        <w:t>公开了空表。</w:t>
      </w:r>
    </w:p>
    <w:p w14:paraId="2493C420">
      <w:pPr>
        <w:keepNext w:val="0"/>
        <w:keepLines w:val="0"/>
        <w:pageBreakBefore w:val="0"/>
        <w:widowControl w:val="0"/>
        <w:numPr>
          <w:ilvl w:val="0"/>
          <w:numId w:val="0"/>
        </w:numPr>
        <w:pBdr>
          <w:top w:val="none" w:color="auto" w:sz="0" w:space="0"/>
          <w:left w:val="none" w:color="auto" w:sz="0" w:space="0"/>
          <w:bottom w:val="none" w:color="FFFFFF" w:sz="0" w:space="31"/>
          <w:right w:val="none" w:color="auto" w:sz="0" w:space="0"/>
          <w:between w:val="none" w:color="auto" w:sz="0" w:space="0"/>
        </w:pBdr>
        <w:tabs>
          <w:tab w:val="left" w:pos="4830"/>
          <w:tab w:val="left" w:pos="8640"/>
        </w:tabs>
        <w:kinsoku/>
        <w:wordWrap/>
        <w:overflowPunct/>
        <w:topLinePunct w:val="0"/>
        <w:autoSpaceDE w:val="0"/>
        <w:autoSpaceDN/>
        <w:bidi w:val="0"/>
        <w:adjustRightInd w:val="0"/>
        <w:snapToGrid/>
        <w:spacing w:beforeAutospacing="0" w:afterAutospacing="0" w:line="590" w:lineRule="exact"/>
        <w:ind w:left="0" w:right="0" w:rightChars="0" w:firstLine="640" w:firstLineChars="200"/>
        <w:jc w:val="both"/>
        <w:textAlignment w:val="auto"/>
        <w:rPr>
          <w:rFonts w:eastAsia="方正仿宋_GBK"/>
          <w:b w:val="0"/>
          <w:bCs w:val="0"/>
          <w:color w:val="auto"/>
          <w:sz w:val="32"/>
          <w:szCs w:val="32"/>
          <w:highlight w:val="none"/>
        </w:rPr>
      </w:pPr>
      <w:r>
        <w:rPr>
          <w:rFonts w:hint="eastAsia" w:ascii="仿宋" w:hAnsi="仿宋" w:eastAsia="仿宋" w:cs="仿宋"/>
          <w:b w:val="0"/>
          <w:color w:val="auto"/>
          <w:kern w:val="2"/>
          <w:sz w:val="32"/>
          <w:szCs w:val="32"/>
          <w:highlight w:val="none"/>
          <w:lang w:val="en-US" w:eastAsia="zh-CN" w:bidi="ar-SA"/>
        </w:rPr>
        <w:t>2.因2025年无年初新增地方政府债券资金，按照要求，澄江市2025年年初新增地方政府债</w:t>
      </w:r>
      <w:bookmarkStart w:id="0" w:name="_GoBack"/>
      <w:bookmarkEnd w:id="0"/>
      <w:r>
        <w:rPr>
          <w:rFonts w:hint="eastAsia" w:ascii="仿宋" w:hAnsi="仿宋" w:eastAsia="仿宋" w:cs="仿宋"/>
          <w:b w:val="0"/>
          <w:color w:val="auto"/>
          <w:kern w:val="2"/>
          <w:sz w:val="32"/>
          <w:szCs w:val="32"/>
          <w:highlight w:val="none"/>
          <w:lang w:val="en-US" w:eastAsia="zh-CN" w:bidi="ar-SA"/>
        </w:rPr>
        <w:t>券资金安排表公开了空表。</w:t>
      </w:r>
    </w:p>
    <w:sectPr>
      <w:footerReference r:id="rId3" w:type="default"/>
      <w:footerReference r:id="rId4" w:type="even"/>
      <w:pgSz w:w="11906" w:h="16838"/>
      <w:pgMar w:top="1440" w:right="127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B56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C0AA3">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EC0AA3">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CB6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8159CB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C3"/>
    <w:rsid w:val="000007B6"/>
    <w:rsid w:val="00002FFB"/>
    <w:rsid w:val="00007B28"/>
    <w:rsid w:val="00010989"/>
    <w:rsid w:val="00016EBD"/>
    <w:rsid w:val="0003522C"/>
    <w:rsid w:val="0005353E"/>
    <w:rsid w:val="00071A34"/>
    <w:rsid w:val="00087A34"/>
    <w:rsid w:val="000919C0"/>
    <w:rsid w:val="000A6914"/>
    <w:rsid w:val="000B3514"/>
    <w:rsid w:val="000C5B51"/>
    <w:rsid w:val="000C6976"/>
    <w:rsid w:val="000D2D5B"/>
    <w:rsid w:val="000D6853"/>
    <w:rsid w:val="000D7637"/>
    <w:rsid w:val="000F0603"/>
    <w:rsid w:val="000F1F0C"/>
    <w:rsid w:val="00103ABE"/>
    <w:rsid w:val="00106B4E"/>
    <w:rsid w:val="001313FE"/>
    <w:rsid w:val="001316C3"/>
    <w:rsid w:val="00141711"/>
    <w:rsid w:val="00147EF7"/>
    <w:rsid w:val="001537A4"/>
    <w:rsid w:val="0015472B"/>
    <w:rsid w:val="00161642"/>
    <w:rsid w:val="00165098"/>
    <w:rsid w:val="0017148D"/>
    <w:rsid w:val="001834B5"/>
    <w:rsid w:val="0018631D"/>
    <w:rsid w:val="00187ED3"/>
    <w:rsid w:val="001B4EEF"/>
    <w:rsid w:val="001B6DAE"/>
    <w:rsid w:val="001C12CB"/>
    <w:rsid w:val="001C6100"/>
    <w:rsid w:val="001D03BE"/>
    <w:rsid w:val="001D5A87"/>
    <w:rsid w:val="001D6862"/>
    <w:rsid w:val="001E0EC4"/>
    <w:rsid w:val="001E2032"/>
    <w:rsid w:val="002016AE"/>
    <w:rsid w:val="0020188B"/>
    <w:rsid w:val="00201EA0"/>
    <w:rsid w:val="00206D8D"/>
    <w:rsid w:val="00211AE5"/>
    <w:rsid w:val="00213DFF"/>
    <w:rsid w:val="002202B9"/>
    <w:rsid w:val="00223B6E"/>
    <w:rsid w:val="00232ACA"/>
    <w:rsid w:val="002351F2"/>
    <w:rsid w:val="00237389"/>
    <w:rsid w:val="0024003D"/>
    <w:rsid w:val="00246FE3"/>
    <w:rsid w:val="0025686E"/>
    <w:rsid w:val="0026030D"/>
    <w:rsid w:val="00281A77"/>
    <w:rsid w:val="002B28D8"/>
    <w:rsid w:val="002B3052"/>
    <w:rsid w:val="002B32E4"/>
    <w:rsid w:val="002B3FB8"/>
    <w:rsid w:val="002C07AF"/>
    <w:rsid w:val="002C251C"/>
    <w:rsid w:val="002E46F2"/>
    <w:rsid w:val="002F34C2"/>
    <w:rsid w:val="0030359B"/>
    <w:rsid w:val="003143F4"/>
    <w:rsid w:val="00324211"/>
    <w:rsid w:val="003327A8"/>
    <w:rsid w:val="003348F6"/>
    <w:rsid w:val="00337B2B"/>
    <w:rsid w:val="00342DF4"/>
    <w:rsid w:val="0034797A"/>
    <w:rsid w:val="0035399A"/>
    <w:rsid w:val="00367CFD"/>
    <w:rsid w:val="00372C56"/>
    <w:rsid w:val="00380999"/>
    <w:rsid w:val="00381BDD"/>
    <w:rsid w:val="003823A3"/>
    <w:rsid w:val="00384614"/>
    <w:rsid w:val="003A20B0"/>
    <w:rsid w:val="003B26DB"/>
    <w:rsid w:val="003B36D5"/>
    <w:rsid w:val="003C1911"/>
    <w:rsid w:val="003C2156"/>
    <w:rsid w:val="003C2D57"/>
    <w:rsid w:val="003D2907"/>
    <w:rsid w:val="003E5ECF"/>
    <w:rsid w:val="003F79BB"/>
    <w:rsid w:val="0040473D"/>
    <w:rsid w:val="00414B42"/>
    <w:rsid w:val="004205F5"/>
    <w:rsid w:val="00434603"/>
    <w:rsid w:val="004459E6"/>
    <w:rsid w:val="00447E67"/>
    <w:rsid w:val="004730DD"/>
    <w:rsid w:val="00473DA2"/>
    <w:rsid w:val="004B6B1A"/>
    <w:rsid w:val="004C4D04"/>
    <w:rsid w:val="004D0813"/>
    <w:rsid w:val="004D4213"/>
    <w:rsid w:val="004D5C87"/>
    <w:rsid w:val="004E6959"/>
    <w:rsid w:val="004F7195"/>
    <w:rsid w:val="004F76B1"/>
    <w:rsid w:val="00520640"/>
    <w:rsid w:val="005242E7"/>
    <w:rsid w:val="00554CC5"/>
    <w:rsid w:val="00567389"/>
    <w:rsid w:val="00581699"/>
    <w:rsid w:val="00586151"/>
    <w:rsid w:val="00595544"/>
    <w:rsid w:val="005A0F0D"/>
    <w:rsid w:val="005B16F7"/>
    <w:rsid w:val="005C2AFA"/>
    <w:rsid w:val="005C3212"/>
    <w:rsid w:val="005C7238"/>
    <w:rsid w:val="005D2B76"/>
    <w:rsid w:val="005D4DAB"/>
    <w:rsid w:val="005D591F"/>
    <w:rsid w:val="005E36E1"/>
    <w:rsid w:val="005E3A3C"/>
    <w:rsid w:val="006050B2"/>
    <w:rsid w:val="00614019"/>
    <w:rsid w:val="006156A5"/>
    <w:rsid w:val="00640FDA"/>
    <w:rsid w:val="00643093"/>
    <w:rsid w:val="006452F7"/>
    <w:rsid w:val="006605D4"/>
    <w:rsid w:val="006719E5"/>
    <w:rsid w:val="0067567F"/>
    <w:rsid w:val="00687620"/>
    <w:rsid w:val="00694E03"/>
    <w:rsid w:val="006A0B25"/>
    <w:rsid w:val="006A1662"/>
    <w:rsid w:val="006B4B42"/>
    <w:rsid w:val="006C539D"/>
    <w:rsid w:val="006D6F2D"/>
    <w:rsid w:val="006F226C"/>
    <w:rsid w:val="006F65A3"/>
    <w:rsid w:val="0071230B"/>
    <w:rsid w:val="00714994"/>
    <w:rsid w:val="00714E9E"/>
    <w:rsid w:val="007170A4"/>
    <w:rsid w:val="0071720C"/>
    <w:rsid w:val="00740C4F"/>
    <w:rsid w:val="00741137"/>
    <w:rsid w:val="007534A9"/>
    <w:rsid w:val="00753AD6"/>
    <w:rsid w:val="00761FED"/>
    <w:rsid w:val="00781648"/>
    <w:rsid w:val="00781668"/>
    <w:rsid w:val="007A7782"/>
    <w:rsid w:val="007C4E51"/>
    <w:rsid w:val="007D32B3"/>
    <w:rsid w:val="007D3661"/>
    <w:rsid w:val="007D4898"/>
    <w:rsid w:val="007F02AA"/>
    <w:rsid w:val="008164BF"/>
    <w:rsid w:val="00817658"/>
    <w:rsid w:val="008256F9"/>
    <w:rsid w:val="00826BCB"/>
    <w:rsid w:val="008327F1"/>
    <w:rsid w:val="00835BD3"/>
    <w:rsid w:val="00856BC4"/>
    <w:rsid w:val="008639FD"/>
    <w:rsid w:val="00864AE1"/>
    <w:rsid w:val="0089766E"/>
    <w:rsid w:val="008A48FC"/>
    <w:rsid w:val="008C09CF"/>
    <w:rsid w:val="008D2F4C"/>
    <w:rsid w:val="008E689F"/>
    <w:rsid w:val="008F7B11"/>
    <w:rsid w:val="0090090C"/>
    <w:rsid w:val="00905E21"/>
    <w:rsid w:val="00910D9E"/>
    <w:rsid w:val="009175E4"/>
    <w:rsid w:val="0091778A"/>
    <w:rsid w:val="009235DB"/>
    <w:rsid w:val="00926016"/>
    <w:rsid w:val="0094188B"/>
    <w:rsid w:val="00945181"/>
    <w:rsid w:val="00946165"/>
    <w:rsid w:val="00951AF5"/>
    <w:rsid w:val="009525CE"/>
    <w:rsid w:val="009626BB"/>
    <w:rsid w:val="00962A3E"/>
    <w:rsid w:val="00995BD2"/>
    <w:rsid w:val="009A2745"/>
    <w:rsid w:val="009A4A5D"/>
    <w:rsid w:val="009A75F1"/>
    <w:rsid w:val="009C2F98"/>
    <w:rsid w:val="009D2A3A"/>
    <w:rsid w:val="009D2BF0"/>
    <w:rsid w:val="009E09D2"/>
    <w:rsid w:val="009E7B6C"/>
    <w:rsid w:val="009F13B2"/>
    <w:rsid w:val="009F4F2A"/>
    <w:rsid w:val="00A17CA2"/>
    <w:rsid w:val="00A230E9"/>
    <w:rsid w:val="00A45BC9"/>
    <w:rsid w:val="00A541FF"/>
    <w:rsid w:val="00A745D4"/>
    <w:rsid w:val="00A84796"/>
    <w:rsid w:val="00A856CE"/>
    <w:rsid w:val="00A95D88"/>
    <w:rsid w:val="00AA6E2C"/>
    <w:rsid w:val="00AD4CA0"/>
    <w:rsid w:val="00AD594C"/>
    <w:rsid w:val="00AE0485"/>
    <w:rsid w:val="00AE08F3"/>
    <w:rsid w:val="00AE2B76"/>
    <w:rsid w:val="00B109D7"/>
    <w:rsid w:val="00B11D9D"/>
    <w:rsid w:val="00B326E4"/>
    <w:rsid w:val="00B32A41"/>
    <w:rsid w:val="00B345F9"/>
    <w:rsid w:val="00B44232"/>
    <w:rsid w:val="00B50791"/>
    <w:rsid w:val="00B52364"/>
    <w:rsid w:val="00B53A90"/>
    <w:rsid w:val="00B63DA4"/>
    <w:rsid w:val="00B64A3F"/>
    <w:rsid w:val="00B67168"/>
    <w:rsid w:val="00B77130"/>
    <w:rsid w:val="00BA11BB"/>
    <w:rsid w:val="00BA6DE6"/>
    <w:rsid w:val="00BB7AD9"/>
    <w:rsid w:val="00BC60C5"/>
    <w:rsid w:val="00BD5DC8"/>
    <w:rsid w:val="00BF7116"/>
    <w:rsid w:val="00C02508"/>
    <w:rsid w:val="00C06166"/>
    <w:rsid w:val="00C07676"/>
    <w:rsid w:val="00C121AB"/>
    <w:rsid w:val="00C26FB1"/>
    <w:rsid w:val="00C300F8"/>
    <w:rsid w:val="00C47BAA"/>
    <w:rsid w:val="00C57EBA"/>
    <w:rsid w:val="00C710A3"/>
    <w:rsid w:val="00C80AEC"/>
    <w:rsid w:val="00C8710F"/>
    <w:rsid w:val="00C933CB"/>
    <w:rsid w:val="00CA22A3"/>
    <w:rsid w:val="00CA49DB"/>
    <w:rsid w:val="00CC0CE5"/>
    <w:rsid w:val="00CC2AF7"/>
    <w:rsid w:val="00CC7DE2"/>
    <w:rsid w:val="00CD2019"/>
    <w:rsid w:val="00CD5C02"/>
    <w:rsid w:val="00CD7695"/>
    <w:rsid w:val="00D1296F"/>
    <w:rsid w:val="00D21593"/>
    <w:rsid w:val="00D22A35"/>
    <w:rsid w:val="00D26757"/>
    <w:rsid w:val="00D328FF"/>
    <w:rsid w:val="00D33B15"/>
    <w:rsid w:val="00D434B6"/>
    <w:rsid w:val="00D505EA"/>
    <w:rsid w:val="00D5216B"/>
    <w:rsid w:val="00D72F80"/>
    <w:rsid w:val="00D74A29"/>
    <w:rsid w:val="00D96293"/>
    <w:rsid w:val="00D97F0A"/>
    <w:rsid w:val="00DA117E"/>
    <w:rsid w:val="00DA232B"/>
    <w:rsid w:val="00DA6DC3"/>
    <w:rsid w:val="00DB0DBC"/>
    <w:rsid w:val="00DB6C4A"/>
    <w:rsid w:val="00DC5272"/>
    <w:rsid w:val="00DF4B64"/>
    <w:rsid w:val="00E0395D"/>
    <w:rsid w:val="00E06EFB"/>
    <w:rsid w:val="00E12945"/>
    <w:rsid w:val="00E62D77"/>
    <w:rsid w:val="00E70AC9"/>
    <w:rsid w:val="00E84A19"/>
    <w:rsid w:val="00E928FE"/>
    <w:rsid w:val="00EC7DDB"/>
    <w:rsid w:val="00EF32A7"/>
    <w:rsid w:val="00EF36C0"/>
    <w:rsid w:val="00F10170"/>
    <w:rsid w:val="00F12DEF"/>
    <w:rsid w:val="00F4676B"/>
    <w:rsid w:val="00F547B1"/>
    <w:rsid w:val="00F57B36"/>
    <w:rsid w:val="00F70E5E"/>
    <w:rsid w:val="00F84D13"/>
    <w:rsid w:val="00F903FD"/>
    <w:rsid w:val="00F94981"/>
    <w:rsid w:val="00F9710F"/>
    <w:rsid w:val="00FA465F"/>
    <w:rsid w:val="00FB080F"/>
    <w:rsid w:val="00FB10F7"/>
    <w:rsid w:val="00FB5335"/>
    <w:rsid w:val="00FB570D"/>
    <w:rsid w:val="00FB6E1D"/>
    <w:rsid w:val="00FB7EF7"/>
    <w:rsid w:val="00FC2756"/>
    <w:rsid w:val="00FC5694"/>
    <w:rsid w:val="00FD3A99"/>
    <w:rsid w:val="00FD4BEF"/>
    <w:rsid w:val="00FD4F35"/>
    <w:rsid w:val="00FE1E21"/>
    <w:rsid w:val="00FE41A2"/>
    <w:rsid w:val="00FE6D76"/>
    <w:rsid w:val="00FF0F8F"/>
    <w:rsid w:val="00FF46FB"/>
    <w:rsid w:val="0479157A"/>
    <w:rsid w:val="050156E5"/>
    <w:rsid w:val="057C2F4A"/>
    <w:rsid w:val="05C07B0D"/>
    <w:rsid w:val="06101281"/>
    <w:rsid w:val="075E75DE"/>
    <w:rsid w:val="08103B4C"/>
    <w:rsid w:val="082627E3"/>
    <w:rsid w:val="085262BC"/>
    <w:rsid w:val="0AA148A7"/>
    <w:rsid w:val="0AA55524"/>
    <w:rsid w:val="0BEE7B43"/>
    <w:rsid w:val="0C953A69"/>
    <w:rsid w:val="0D1561C5"/>
    <w:rsid w:val="0EA34CFB"/>
    <w:rsid w:val="0F922668"/>
    <w:rsid w:val="11D542D0"/>
    <w:rsid w:val="11E24F73"/>
    <w:rsid w:val="12C5296B"/>
    <w:rsid w:val="12E96565"/>
    <w:rsid w:val="14774636"/>
    <w:rsid w:val="14C16A86"/>
    <w:rsid w:val="155C2C83"/>
    <w:rsid w:val="15FD57D8"/>
    <w:rsid w:val="170B78CB"/>
    <w:rsid w:val="17A0309C"/>
    <w:rsid w:val="19793E03"/>
    <w:rsid w:val="1AE36F33"/>
    <w:rsid w:val="1AE41282"/>
    <w:rsid w:val="1B7D0771"/>
    <w:rsid w:val="1BFE6842"/>
    <w:rsid w:val="1C0A60E2"/>
    <w:rsid w:val="1C7E014A"/>
    <w:rsid w:val="1DCB1F2F"/>
    <w:rsid w:val="1E0E51C9"/>
    <w:rsid w:val="1E34479D"/>
    <w:rsid w:val="1EDA0F15"/>
    <w:rsid w:val="1EE8524D"/>
    <w:rsid w:val="1F682F86"/>
    <w:rsid w:val="1F910B79"/>
    <w:rsid w:val="2018462C"/>
    <w:rsid w:val="21F94AA7"/>
    <w:rsid w:val="21FA0904"/>
    <w:rsid w:val="2293576C"/>
    <w:rsid w:val="22D14CB0"/>
    <w:rsid w:val="238739BF"/>
    <w:rsid w:val="238F0987"/>
    <w:rsid w:val="23C2284B"/>
    <w:rsid w:val="24DF3B33"/>
    <w:rsid w:val="24E262BF"/>
    <w:rsid w:val="25724059"/>
    <w:rsid w:val="2599046C"/>
    <w:rsid w:val="25F57D66"/>
    <w:rsid w:val="27342781"/>
    <w:rsid w:val="27C72F14"/>
    <w:rsid w:val="27CB55C0"/>
    <w:rsid w:val="29690925"/>
    <w:rsid w:val="2A694BFF"/>
    <w:rsid w:val="2BCC4443"/>
    <w:rsid w:val="2BD33847"/>
    <w:rsid w:val="2CD833A6"/>
    <w:rsid w:val="2D0678CB"/>
    <w:rsid w:val="2D483F7C"/>
    <w:rsid w:val="2D5B35D1"/>
    <w:rsid w:val="2D67075A"/>
    <w:rsid w:val="2DF07123"/>
    <w:rsid w:val="2DF45694"/>
    <w:rsid w:val="2E6C058D"/>
    <w:rsid w:val="2E7B6306"/>
    <w:rsid w:val="2EFE1FF5"/>
    <w:rsid w:val="2FDE6C5E"/>
    <w:rsid w:val="300F3132"/>
    <w:rsid w:val="31380A01"/>
    <w:rsid w:val="332609B6"/>
    <w:rsid w:val="347569A1"/>
    <w:rsid w:val="35072BA3"/>
    <w:rsid w:val="3560761A"/>
    <w:rsid w:val="356674DA"/>
    <w:rsid w:val="35913955"/>
    <w:rsid w:val="35CC0CFD"/>
    <w:rsid w:val="37A7037B"/>
    <w:rsid w:val="37D644D3"/>
    <w:rsid w:val="38DE1A7D"/>
    <w:rsid w:val="39316EF2"/>
    <w:rsid w:val="39D94C5C"/>
    <w:rsid w:val="39DB3714"/>
    <w:rsid w:val="3B105815"/>
    <w:rsid w:val="3B3E2837"/>
    <w:rsid w:val="3B7705A1"/>
    <w:rsid w:val="3B844B5E"/>
    <w:rsid w:val="3C7C3B69"/>
    <w:rsid w:val="3CDD6FC2"/>
    <w:rsid w:val="3D0A0859"/>
    <w:rsid w:val="3D0C3C02"/>
    <w:rsid w:val="3F660EBF"/>
    <w:rsid w:val="400F18C4"/>
    <w:rsid w:val="41067DC3"/>
    <w:rsid w:val="416D2952"/>
    <w:rsid w:val="42E46F2B"/>
    <w:rsid w:val="43462CCE"/>
    <w:rsid w:val="43716136"/>
    <w:rsid w:val="441F671B"/>
    <w:rsid w:val="45D43FEC"/>
    <w:rsid w:val="47846DA7"/>
    <w:rsid w:val="47A97F42"/>
    <w:rsid w:val="4A4145FB"/>
    <w:rsid w:val="4A870B8B"/>
    <w:rsid w:val="4AD6544D"/>
    <w:rsid w:val="4B670818"/>
    <w:rsid w:val="4C7514A5"/>
    <w:rsid w:val="4C945336"/>
    <w:rsid w:val="4D246343"/>
    <w:rsid w:val="4E013F0F"/>
    <w:rsid w:val="4E20305C"/>
    <w:rsid w:val="4E203E38"/>
    <w:rsid w:val="4E9E4AA2"/>
    <w:rsid w:val="50F16A41"/>
    <w:rsid w:val="54950743"/>
    <w:rsid w:val="56356662"/>
    <w:rsid w:val="56A93273"/>
    <w:rsid w:val="570C5893"/>
    <w:rsid w:val="577C5AE9"/>
    <w:rsid w:val="58005364"/>
    <w:rsid w:val="58263B70"/>
    <w:rsid w:val="58AF2E1A"/>
    <w:rsid w:val="593B039A"/>
    <w:rsid w:val="5AEC301A"/>
    <w:rsid w:val="5C974FC8"/>
    <w:rsid w:val="5D423AD9"/>
    <w:rsid w:val="5EB7263F"/>
    <w:rsid w:val="60FB7CF8"/>
    <w:rsid w:val="6107394E"/>
    <w:rsid w:val="614F0ADC"/>
    <w:rsid w:val="63882C34"/>
    <w:rsid w:val="640B61F6"/>
    <w:rsid w:val="64DA3AB3"/>
    <w:rsid w:val="65194438"/>
    <w:rsid w:val="652E2043"/>
    <w:rsid w:val="65B43052"/>
    <w:rsid w:val="66114843"/>
    <w:rsid w:val="664E7B9B"/>
    <w:rsid w:val="673678B7"/>
    <w:rsid w:val="67F779E5"/>
    <w:rsid w:val="682056AD"/>
    <w:rsid w:val="687876D3"/>
    <w:rsid w:val="6AF208ED"/>
    <w:rsid w:val="6B511155"/>
    <w:rsid w:val="6B930322"/>
    <w:rsid w:val="6C747283"/>
    <w:rsid w:val="6C7D76C3"/>
    <w:rsid w:val="6C8A36B9"/>
    <w:rsid w:val="6D042A93"/>
    <w:rsid w:val="728F1117"/>
    <w:rsid w:val="72C11EED"/>
    <w:rsid w:val="74D5146A"/>
    <w:rsid w:val="74E17236"/>
    <w:rsid w:val="75054F92"/>
    <w:rsid w:val="750B09CA"/>
    <w:rsid w:val="76143E0D"/>
    <w:rsid w:val="77046D45"/>
    <w:rsid w:val="79327D73"/>
    <w:rsid w:val="7A1E29B2"/>
    <w:rsid w:val="7AB17604"/>
    <w:rsid w:val="7BF93990"/>
    <w:rsid w:val="7CAD27FF"/>
    <w:rsid w:val="7D0E0279"/>
    <w:rsid w:val="7EE32BD9"/>
    <w:rsid w:val="7EF249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List Paragraph1"/>
    <w:basedOn w:val="1"/>
    <w:qFormat/>
    <w:uiPriority w:val="0"/>
    <w:pPr>
      <w:ind w:firstLine="200" w:firstLineChars="200"/>
    </w:pPr>
    <w:rPr>
      <w:rFonts w:ascii="Calibri" w:hAnsi="Calibri" w:cs="Arial"/>
      <w:szCs w:val="21"/>
    </w:rPr>
  </w:style>
  <w:style w:type="character" w:customStyle="1" w:styleId="10">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8</Pages>
  <Words>516</Words>
  <Characters>2947</Characters>
  <Lines>24</Lines>
  <Paragraphs>6</Paragraphs>
  <TotalTime>2</TotalTime>
  <ScaleCrop>false</ScaleCrop>
  <LinksUpToDate>false</LinksUpToDate>
  <CharactersWithSpaces>3457</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2017-01-12T02:14:00Z</dcterms:created>
  <dc:creator>吴承峰</dc:creator>
  <cp:lastModifiedBy>殷妹</cp:lastModifiedBy>
  <cp:lastPrinted>2015-01-29T01:53:00Z</cp:lastPrinted>
  <dcterms:modified xsi:type="dcterms:W3CDTF">2025-01-17T03:44:57Z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F2F13FCEBBF4487BAB14743C00639D2C_12</vt:lpwstr>
  </property>
</Properties>
</file>