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lang w:val="en-US" w:eastAsia="zh-CN" w:bidi="ar"/>
        </w:rPr>
      </w:pPr>
      <w:bookmarkStart w:id="0" w:name="OLE_LINK1"/>
      <w:r>
        <w:rPr>
          <w:rFonts w:hint="default" w:ascii="Times New Roman" w:hAnsi="Times New Roman" w:eastAsia="方正小标宋_GBK" w:cs="Times New Roman"/>
          <w:kern w:val="0"/>
          <w:sz w:val="44"/>
          <w:szCs w:val="44"/>
          <w:lang w:val="en-US" w:eastAsia="zh-CN" w:bidi="ar"/>
        </w:rPr>
        <w:t>澄江市投资促进局202</w:t>
      </w:r>
      <w:r>
        <w:rPr>
          <w:rFonts w:hint="eastAsia" w:ascii="Times New Roman" w:hAnsi="Times New Roman" w:eastAsia="方正小标宋_GBK" w:cs="Times New Roman"/>
          <w:kern w:val="0"/>
          <w:sz w:val="44"/>
          <w:szCs w:val="44"/>
          <w:lang w:val="en-US" w:eastAsia="zh-CN" w:bidi="ar"/>
        </w:rPr>
        <w:t>4</w:t>
      </w:r>
      <w:r>
        <w:rPr>
          <w:rFonts w:hint="default" w:ascii="Times New Roman" w:hAnsi="Times New Roman" w:eastAsia="方正小标宋_GBK" w:cs="Times New Roman"/>
          <w:kern w:val="0"/>
          <w:sz w:val="44"/>
          <w:szCs w:val="44"/>
          <w:lang w:val="en-US" w:eastAsia="zh-CN" w:bidi="ar"/>
        </w:rPr>
        <w:t>年政府信息公开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lang w:val="en-US" w:eastAsia="zh-CN" w:bidi="ar"/>
        </w:rPr>
      </w:pPr>
      <w:r>
        <w:rPr>
          <w:rFonts w:hint="default" w:ascii="Times New Roman" w:hAnsi="Times New Roman" w:eastAsia="方正小标宋_GBK" w:cs="Times New Roman"/>
          <w:kern w:val="0"/>
          <w:sz w:val="44"/>
          <w:szCs w:val="44"/>
          <w:lang w:val="en-US" w:eastAsia="zh-CN" w:bidi="ar"/>
        </w:rPr>
        <w:t>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kern w:val="0"/>
          <w:sz w:val="44"/>
          <w:szCs w:val="44"/>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rPr>
      </w:pPr>
      <w:r>
        <w:rPr>
          <w:rFonts w:hint="default" w:ascii="Times New Roman" w:hAnsi="Times New Roman" w:eastAsia="方正仿宋_GBK" w:cs="Times New Roman"/>
          <w:i w:val="0"/>
          <w:iCs w:val="0"/>
          <w:caps w:val="0"/>
          <w:color w:val="3D3D3D"/>
          <w:spacing w:val="0"/>
          <w:sz w:val="32"/>
          <w:szCs w:val="32"/>
          <w:shd w:val="clear" w:fill="FFFFFF"/>
        </w:rPr>
        <w:t>202</w:t>
      </w:r>
      <w:r>
        <w:rPr>
          <w:rFonts w:hint="eastAsia" w:ascii="Times New Roman" w:hAnsi="Times New Roman" w:eastAsia="方正仿宋_GBK" w:cs="Times New Roman"/>
          <w:i w:val="0"/>
          <w:iCs w:val="0"/>
          <w:caps w:val="0"/>
          <w:color w:val="3D3D3D"/>
          <w:spacing w:val="0"/>
          <w:sz w:val="32"/>
          <w:szCs w:val="32"/>
          <w:shd w:val="clear" w:fill="FFFFFF"/>
          <w:lang w:val="en-US" w:eastAsia="zh-CN"/>
        </w:rPr>
        <w:t>4</w:t>
      </w:r>
      <w:r>
        <w:rPr>
          <w:rFonts w:hint="default" w:ascii="Times New Roman" w:hAnsi="Times New Roman" w:eastAsia="方正仿宋_GBK" w:cs="Times New Roman"/>
          <w:i w:val="0"/>
          <w:iCs w:val="0"/>
          <w:caps w:val="0"/>
          <w:color w:val="3D3D3D"/>
          <w:spacing w:val="0"/>
          <w:sz w:val="32"/>
          <w:szCs w:val="32"/>
          <w:shd w:val="clear" w:fill="FFFFFF"/>
        </w:rPr>
        <w:t>年，</w:t>
      </w:r>
      <w:r>
        <w:rPr>
          <w:rFonts w:hint="default" w:ascii="Times New Roman" w:hAnsi="Times New Roman" w:eastAsia="方正仿宋_GBK" w:cs="Times New Roman"/>
          <w:i w:val="0"/>
          <w:iCs w:val="0"/>
          <w:caps w:val="0"/>
          <w:color w:val="3D3D3D"/>
          <w:spacing w:val="0"/>
          <w:sz w:val="32"/>
          <w:szCs w:val="32"/>
          <w:shd w:val="clear" w:fill="FFFFFF"/>
          <w:lang w:eastAsia="zh-CN"/>
        </w:rPr>
        <w:t>澄江市投资促进局以习近平新时代中国特色社会主义思想为指导，严格落实《中华人民共和国政府信息公开条例》和党中央、国务院及省委、省政府，市委、市政府的系列部署要求，进一步建章立制，全面推进政务公开工作标准化、规范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楷体_GBK" w:hAnsi="方正楷体_GBK" w:eastAsia="方正楷体_GBK" w:cs="方正楷体_GBK"/>
          <w:i w:val="0"/>
          <w:iCs w:val="0"/>
          <w:caps w:val="0"/>
          <w:color w:val="3D3D3D"/>
          <w:spacing w:val="0"/>
          <w:sz w:val="32"/>
          <w:szCs w:val="32"/>
        </w:rPr>
      </w:pPr>
      <w:r>
        <w:rPr>
          <w:rFonts w:hint="eastAsia" w:ascii="方正楷体_GBK" w:hAnsi="方正楷体_GBK" w:eastAsia="方正楷体_GBK" w:cs="方正楷体_GBK"/>
          <w:i w:val="0"/>
          <w:iCs w:val="0"/>
          <w:caps w:val="0"/>
          <w:color w:val="3D3D3D"/>
          <w:spacing w:val="0"/>
          <w:sz w:val="32"/>
          <w:szCs w:val="32"/>
          <w:shd w:val="clear" w:fill="FFFFFF"/>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D3D3D"/>
          <w:spacing w:val="0"/>
          <w:sz w:val="32"/>
          <w:szCs w:val="32"/>
          <w:shd w:val="clear" w:fill="FFFFFF"/>
          <w:lang w:eastAsia="zh-CN"/>
        </w:rPr>
      </w:pPr>
      <w:r>
        <w:rPr>
          <w:rFonts w:hint="default" w:ascii="Times New Roman" w:hAnsi="Times New Roman" w:eastAsia="方正仿宋_GBK" w:cs="Times New Roman"/>
          <w:i w:val="0"/>
          <w:iCs w:val="0"/>
          <w:caps w:val="0"/>
          <w:color w:val="3D3D3D"/>
          <w:spacing w:val="0"/>
          <w:sz w:val="32"/>
          <w:szCs w:val="32"/>
          <w:shd w:val="clear" w:fill="FFFFFF"/>
        </w:rPr>
        <w:t>202</w:t>
      </w:r>
      <w:r>
        <w:rPr>
          <w:rFonts w:hint="eastAsia" w:ascii="Times New Roman" w:hAnsi="Times New Roman" w:eastAsia="方正仿宋_GBK" w:cs="Times New Roman"/>
          <w:i w:val="0"/>
          <w:iCs w:val="0"/>
          <w:caps w:val="0"/>
          <w:color w:val="3D3D3D"/>
          <w:spacing w:val="0"/>
          <w:sz w:val="32"/>
          <w:szCs w:val="32"/>
          <w:shd w:val="clear" w:fill="FFFFFF"/>
          <w:lang w:val="en-US" w:eastAsia="zh-CN"/>
        </w:rPr>
        <w:t>4</w:t>
      </w:r>
      <w:r>
        <w:rPr>
          <w:rFonts w:hint="default" w:ascii="Times New Roman" w:hAnsi="Times New Roman" w:eastAsia="方正仿宋_GBK" w:cs="Times New Roman"/>
          <w:i w:val="0"/>
          <w:iCs w:val="0"/>
          <w:caps w:val="0"/>
          <w:color w:val="3D3D3D"/>
          <w:spacing w:val="0"/>
          <w:sz w:val="32"/>
          <w:szCs w:val="32"/>
          <w:shd w:val="clear" w:fill="FFFFFF"/>
        </w:rPr>
        <w:t>年</w:t>
      </w:r>
      <w:r>
        <w:rPr>
          <w:rFonts w:hint="eastAsia" w:ascii="Times New Roman" w:hAnsi="Times New Roman" w:eastAsia="方正仿宋_GBK" w:cs="Times New Roman"/>
          <w:i w:val="0"/>
          <w:iCs w:val="0"/>
          <w:caps w:val="0"/>
          <w:color w:val="3D3D3D"/>
          <w:spacing w:val="0"/>
          <w:sz w:val="32"/>
          <w:szCs w:val="32"/>
          <w:shd w:val="clear" w:fill="FFFFFF"/>
          <w:lang w:eastAsia="zh-CN"/>
        </w:rPr>
        <w:t>，澄江市投资促进局官方网站及微信公众号共发布信息</w:t>
      </w:r>
      <w:r>
        <w:rPr>
          <w:rFonts w:hint="eastAsia" w:ascii="Times New Roman" w:hAnsi="Times New Roman" w:eastAsia="方正仿宋_GBK" w:cs="Times New Roman"/>
          <w:i w:val="0"/>
          <w:iCs w:val="0"/>
          <w:caps w:val="0"/>
          <w:color w:val="3D3D3D"/>
          <w:spacing w:val="0"/>
          <w:sz w:val="32"/>
          <w:szCs w:val="32"/>
          <w:shd w:val="clear" w:fill="FFFFFF"/>
          <w:lang w:val="en-US" w:eastAsia="zh-CN"/>
        </w:rPr>
        <w:t>390</w:t>
      </w:r>
      <w:r>
        <w:rPr>
          <w:rFonts w:hint="eastAsia" w:ascii="Times New Roman" w:hAnsi="Times New Roman" w:eastAsia="方正仿宋_GBK" w:cs="Times New Roman"/>
          <w:i w:val="0"/>
          <w:iCs w:val="0"/>
          <w:caps w:val="0"/>
          <w:color w:val="3D3D3D"/>
          <w:spacing w:val="0"/>
          <w:sz w:val="32"/>
          <w:szCs w:val="32"/>
          <w:shd w:val="clear" w:fill="FFFFFF"/>
          <w:lang w:eastAsia="zh-CN"/>
        </w:rPr>
        <w:t>条，</w:t>
      </w:r>
      <w:r>
        <w:rPr>
          <w:rFonts w:ascii="方正仿宋_GBK" w:hAnsi="方正仿宋_GBK" w:eastAsia="方正仿宋_GBK" w:cs="方正仿宋_GBK"/>
          <w:i w:val="0"/>
          <w:iCs w:val="0"/>
          <w:caps w:val="0"/>
          <w:color w:val="3D3D3D"/>
          <w:spacing w:val="0"/>
          <w:sz w:val="31"/>
          <w:szCs w:val="31"/>
          <w:shd w:val="clear" w:fill="FFFFFF"/>
        </w:rPr>
        <w:t>涉及政务公开、招商引资动态、</w:t>
      </w:r>
      <w:r>
        <w:rPr>
          <w:rFonts w:hint="eastAsia" w:ascii="方正仿宋_GBK" w:hAnsi="方正仿宋_GBK" w:eastAsia="方正仿宋_GBK" w:cs="方正仿宋_GBK"/>
          <w:i w:val="0"/>
          <w:iCs w:val="0"/>
          <w:caps w:val="0"/>
          <w:color w:val="3D3D3D"/>
          <w:spacing w:val="0"/>
          <w:sz w:val="31"/>
          <w:szCs w:val="31"/>
          <w:shd w:val="clear" w:fill="FFFFFF"/>
          <w:lang w:eastAsia="zh-CN"/>
        </w:rPr>
        <w:t>重点待招商项目、</w:t>
      </w:r>
      <w:r>
        <w:rPr>
          <w:rFonts w:ascii="方正仿宋_GBK" w:hAnsi="方正仿宋_GBK" w:eastAsia="方正仿宋_GBK" w:cs="方正仿宋_GBK"/>
          <w:i w:val="0"/>
          <w:iCs w:val="0"/>
          <w:caps w:val="0"/>
          <w:color w:val="3D3D3D"/>
          <w:spacing w:val="0"/>
          <w:sz w:val="31"/>
          <w:szCs w:val="31"/>
          <w:shd w:val="clear" w:fill="FFFFFF"/>
        </w:rPr>
        <w:t>政策法规、政府信息公开目录、机构职能、预决算公开、政府信息公开年报等</w:t>
      </w:r>
      <w:r>
        <w:rPr>
          <w:rFonts w:hint="eastAsia" w:ascii="Times New Roman" w:hAnsi="Times New Roman" w:eastAsia="方正仿宋_GBK" w:cs="Times New Roman"/>
          <w:i w:val="0"/>
          <w:iCs w:val="0"/>
          <w:caps w:val="0"/>
          <w:color w:val="3D3D3D"/>
          <w:spacing w:val="0"/>
          <w:sz w:val="32"/>
          <w:szCs w:val="32"/>
          <w:shd w:val="clear" w:fill="FFFFFF"/>
          <w:lang w:eastAsia="zh-CN"/>
        </w:rPr>
        <w:t>。及时运用思维导图、图示图表、网站和微信公众号等形式和渠道转发有关重要政策，如“一张高清思维导图，学习政府工作报告”、“《一图读懂省委经济工作会议！》”、“《图解澄江市委经济工作会》”等。</w:t>
      </w:r>
      <w:bookmarkStart w:id="2" w:name="_GoBack"/>
      <w:bookmarkEnd w:id="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3D3D3D"/>
          <w:spacing w:val="0"/>
          <w:sz w:val="32"/>
          <w:szCs w:val="32"/>
          <w:shd w:val="clear" w:fill="FFFFFF"/>
        </w:rPr>
      </w:pPr>
      <w:r>
        <w:rPr>
          <w:rFonts w:hint="eastAsia" w:ascii="方正楷体_GBK" w:hAnsi="方正楷体_GBK" w:eastAsia="方正楷体_GBK" w:cs="方正楷体_GBK"/>
          <w:i w:val="0"/>
          <w:iCs w:val="0"/>
          <w:caps w:val="0"/>
          <w:color w:val="3D3D3D"/>
          <w:spacing w:val="0"/>
          <w:sz w:val="32"/>
          <w:szCs w:val="32"/>
          <w:shd w:val="clear" w:fill="FFFFFF"/>
          <w:lang w:eastAsia="zh-CN"/>
        </w:rPr>
        <w:t>（二）</w:t>
      </w:r>
      <w:r>
        <w:rPr>
          <w:rFonts w:hint="default" w:ascii="方正楷体_GBK" w:hAnsi="方正楷体_GBK" w:eastAsia="方正楷体_GBK" w:cs="方正楷体_GBK"/>
          <w:i w:val="0"/>
          <w:iCs w:val="0"/>
          <w:caps w:val="0"/>
          <w:color w:val="3D3D3D"/>
          <w:spacing w:val="0"/>
          <w:sz w:val="32"/>
          <w:szCs w:val="32"/>
          <w:shd w:val="clear" w:fill="FFFFFF"/>
        </w:rPr>
        <w:t>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shd w:val="clear" w:fill="FFFFFF"/>
        </w:rPr>
      </w:pPr>
      <w:bookmarkStart w:id="1" w:name="OLE_LINK2"/>
      <w:r>
        <w:rPr>
          <w:rFonts w:hint="default" w:ascii="Times New Roman" w:hAnsi="Times New Roman" w:eastAsia="方正仿宋_GBK" w:cs="Times New Roman"/>
          <w:i w:val="0"/>
          <w:iCs w:val="0"/>
          <w:caps w:val="0"/>
          <w:color w:val="3D3D3D"/>
          <w:spacing w:val="0"/>
          <w:sz w:val="32"/>
          <w:szCs w:val="32"/>
          <w:shd w:val="clear" w:fill="FFFFFF"/>
        </w:rPr>
        <w:t>202</w:t>
      </w:r>
      <w:r>
        <w:rPr>
          <w:rFonts w:hint="eastAsia" w:ascii="Times New Roman" w:hAnsi="Times New Roman" w:eastAsia="方正仿宋_GBK" w:cs="Times New Roman"/>
          <w:i w:val="0"/>
          <w:iCs w:val="0"/>
          <w:caps w:val="0"/>
          <w:color w:val="3D3D3D"/>
          <w:spacing w:val="0"/>
          <w:sz w:val="32"/>
          <w:szCs w:val="32"/>
          <w:shd w:val="clear" w:fill="FFFFFF"/>
          <w:lang w:val="en-US" w:eastAsia="zh-CN"/>
        </w:rPr>
        <w:t>4</w:t>
      </w:r>
      <w:r>
        <w:rPr>
          <w:rFonts w:hint="default" w:ascii="Times New Roman" w:hAnsi="Times New Roman" w:eastAsia="方正仿宋_GBK" w:cs="Times New Roman"/>
          <w:i w:val="0"/>
          <w:iCs w:val="0"/>
          <w:caps w:val="0"/>
          <w:color w:val="3D3D3D"/>
          <w:spacing w:val="0"/>
          <w:sz w:val="32"/>
          <w:szCs w:val="32"/>
          <w:shd w:val="clear" w:fill="FFFFFF"/>
        </w:rPr>
        <w:t>年年内未收到政府信息公开申请。微信公众号收到网民</w:t>
      </w:r>
      <w:r>
        <w:rPr>
          <w:rFonts w:hint="eastAsia" w:ascii="Times New Roman" w:hAnsi="Times New Roman" w:eastAsia="方正仿宋_GBK" w:cs="Times New Roman"/>
          <w:i w:val="0"/>
          <w:iCs w:val="0"/>
          <w:caps w:val="0"/>
          <w:color w:val="3D3D3D"/>
          <w:spacing w:val="0"/>
          <w:sz w:val="32"/>
          <w:szCs w:val="32"/>
          <w:shd w:val="clear" w:fill="FFFFFF"/>
          <w:lang w:eastAsia="zh-CN"/>
        </w:rPr>
        <w:t>后台</w:t>
      </w:r>
      <w:r>
        <w:rPr>
          <w:rFonts w:hint="default" w:ascii="Times New Roman" w:hAnsi="Times New Roman" w:eastAsia="方正仿宋_GBK" w:cs="Times New Roman"/>
          <w:i w:val="0"/>
          <w:iCs w:val="0"/>
          <w:caps w:val="0"/>
          <w:color w:val="3D3D3D"/>
          <w:spacing w:val="0"/>
          <w:sz w:val="32"/>
          <w:szCs w:val="32"/>
          <w:shd w:val="clear" w:fill="FFFFFF"/>
        </w:rPr>
        <w:t>私信</w:t>
      </w:r>
      <w:r>
        <w:rPr>
          <w:rFonts w:hint="eastAsia" w:ascii="Times New Roman" w:hAnsi="Times New Roman" w:eastAsia="方正仿宋_GBK" w:cs="Times New Roman"/>
          <w:i w:val="0"/>
          <w:iCs w:val="0"/>
          <w:caps w:val="0"/>
          <w:color w:val="3D3D3D"/>
          <w:spacing w:val="0"/>
          <w:sz w:val="32"/>
          <w:szCs w:val="32"/>
          <w:shd w:val="clear" w:fill="FFFFFF"/>
          <w:lang w:val="en-US" w:eastAsia="zh-CN"/>
        </w:rPr>
        <w:t>5</w:t>
      </w:r>
      <w:r>
        <w:rPr>
          <w:rFonts w:hint="default" w:ascii="Times New Roman" w:hAnsi="Times New Roman" w:eastAsia="方正仿宋_GBK" w:cs="Times New Roman"/>
          <w:i w:val="0"/>
          <w:iCs w:val="0"/>
          <w:caps w:val="0"/>
          <w:color w:val="3D3D3D"/>
          <w:spacing w:val="0"/>
          <w:sz w:val="32"/>
          <w:szCs w:val="32"/>
          <w:shd w:val="clear" w:fill="FFFFFF"/>
        </w:rPr>
        <w:t>条，均及时回复。</w:t>
      </w:r>
    </w:p>
    <w:bookmarkEnd w:id="1"/>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3D3D3D"/>
          <w:spacing w:val="0"/>
          <w:sz w:val="32"/>
          <w:szCs w:val="32"/>
          <w:shd w:val="clear" w:fill="FFFFFF"/>
          <w:lang w:eastAsia="zh-CN"/>
        </w:rPr>
      </w:pPr>
      <w:r>
        <w:rPr>
          <w:rFonts w:hint="default" w:ascii="方正楷体_GBK" w:hAnsi="方正楷体_GBK" w:eastAsia="方正楷体_GBK" w:cs="方正楷体_GBK"/>
          <w:i w:val="0"/>
          <w:iCs w:val="0"/>
          <w:caps w:val="0"/>
          <w:color w:val="3D3D3D"/>
          <w:spacing w:val="0"/>
          <w:sz w:val="32"/>
          <w:szCs w:val="32"/>
          <w:shd w:val="clear" w:fill="FFFFFF"/>
          <w:lang w:eastAsia="zh-CN"/>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shd w:val="clear" w:fill="FFFFFF"/>
        </w:rPr>
      </w:pPr>
      <w:r>
        <w:rPr>
          <w:rFonts w:hint="default" w:ascii="Times New Roman" w:hAnsi="Times New Roman" w:eastAsia="方正仿宋_GBK" w:cs="Times New Roman"/>
          <w:i w:val="0"/>
          <w:iCs w:val="0"/>
          <w:caps w:val="0"/>
          <w:color w:val="3D3D3D"/>
          <w:spacing w:val="0"/>
          <w:sz w:val="32"/>
          <w:szCs w:val="32"/>
          <w:shd w:val="clear" w:fill="FFFFFF"/>
        </w:rPr>
        <w:t>根据</w:t>
      </w:r>
      <w:r>
        <w:rPr>
          <w:rFonts w:hint="eastAsia" w:ascii="Times New Roman" w:hAnsi="Times New Roman" w:eastAsia="方正仿宋_GBK" w:cs="Times New Roman"/>
          <w:i w:val="0"/>
          <w:iCs w:val="0"/>
          <w:caps w:val="0"/>
          <w:color w:val="3D3D3D"/>
          <w:spacing w:val="0"/>
          <w:sz w:val="32"/>
          <w:szCs w:val="32"/>
          <w:shd w:val="clear" w:fill="FFFFFF"/>
          <w:lang w:eastAsia="zh-CN"/>
        </w:rPr>
        <w:t>市</w:t>
      </w:r>
      <w:r>
        <w:rPr>
          <w:rFonts w:hint="default" w:ascii="Times New Roman" w:hAnsi="Times New Roman" w:eastAsia="方正仿宋_GBK" w:cs="Times New Roman"/>
          <w:i w:val="0"/>
          <w:iCs w:val="0"/>
          <w:caps w:val="0"/>
          <w:color w:val="3D3D3D"/>
          <w:spacing w:val="0"/>
          <w:sz w:val="32"/>
          <w:szCs w:val="32"/>
          <w:shd w:val="clear" w:fill="FFFFFF"/>
        </w:rPr>
        <w:t>政府对信息公开工作的统一部署，我</w:t>
      </w:r>
      <w:r>
        <w:rPr>
          <w:rFonts w:hint="default" w:ascii="Times New Roman" w:hAnsi="Times New Roman" w:eastAsia="方正仿宋_GBK" w:cs="Times New Roman"/>
          <w:i w:val="0"/>
          <w:iCs w:val="0"/>
          <w:caps w:val="0"/>
          <w:color w:val="3D3D3D"/>
          <w:spacing w:val="0"/>
          <w:sz w:val="32"/>
          <w:szCs w:val="32"/>
          <w:shd w:val="clear" w:fill="FFFFFF"/>
          <w:lang w:eastAsia="zh-CN"/>
        </w:rPr>
        <w:t>局</w:t>
      </w:r>
      <w:r>
        <w:rPr>
          <w:rFonts w:hint="default" w:ascii="Times New Roman" w:hAnsi="Times New Roman" w:eastAsia="方正仿宋_GBK" w:cs="Times New Roman"/>
          <w:i w:val="0"/>
          <w:iCs w:val="0"/>
          <w:caps w:val="0"/>
          <w:color w:val="3D3D3D"/>
          <w:spacing w:val="0"/>
          <w:sz w:val="32"/>
          <w:szCs w:val="32"/>
          <w:shd w:val="clear" w:fill="FFFFFF"/>
        </w:rPr>
        <w:t>明确了工作分工及职责，党政办为具体负责部门。进一步提升了政府信息公开工作的领导水平，切实保证了政府信息公开的领导力量，并结合我</w:t>
      </w:r>
      <w:r>
        <w:rPr>
          <w:rFonts w:hint="default" w:ascii="Times New Roman" w:hAnsi="Times New Roman" w:eastAsia="方正仿宋_GBK" w:cs="Times New Roman"/>
          <w:i w:val="0"/>
          <w:iCs w:val="0"/>
          <w:caps w:val="0"/>
          <w:color w:val="3D3D3D"/>
          <w:spacing w:val="0"/>
          <w:sz w:val="32"/>
          <w:szCs w:val="32"/>
          <w:shd w:val="clear" w:fill="FFFFFF"/>
          <w:lang w:eastAsia="zh-CN"/>
        </w:rPr>
        <w:t>局</w:t>
      </w:r>
      <w:r>
        <w:rPr>
          <w:rFonts w:hint="default" w:ascii="Times New Roman" w:hAnsi="Times New Roman" w:eastAsia="方正仿宋_GBK" w:cs="Times New Roman"/>
          <w:i w:val="0"/>
          <w:iCs w:val="0"/>
          <w:caps w:val="0"/>
          <w:color w:val="3D3D3D"/>
          <w:spacing w:val="0"/>
          <w:sz w:val="32"/>
          <w:szCs w:val="32"/>
          <w:shd w:val="clear" w:fill="FFFFFF"/>
        </w:rPr>
        <w:t>实际，推进政府信息公开工作，明确政务信息发布审核流程，严把审查关，严厉杜绝涉密涉敏信息的公开，政府信息公开工作得到了有效的贯彻落实。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3D3D3D"/>
          <w:spacing w:val="0"/>
          <w:sz w:val="32"/>
          <w:szCs w:val="32"/>
          <w:shd w:val="clear" w:fill="FFFFFF"/>
          <w:lang w:eastAsia="zh-CN"/>
        </w:rPr>
      </w:pPr>
      <w:r>
        <w:rPr>
          <w:rFonts w:hint="default" w:ascii="方正楷体_GBK" w:hAnsi="方正楷体_GBK" w:eastAsia="方正楷体_GBK" w:cs="方正楷体_GBK"/>
          <w:i w:val="0"/>
          <w:iCs w:val="0"/>
          <w:caps w:val="0"/>
          <w:color w:val="3D3D3D"/>
          <w:spacing w:val="0"/>
          <w:sz w:val="32"/>
          <w:szCs w:val="32"/>
          <w:shd w:val="clear" w:fill="FFFFFF"/>
          <w:lang w:eastAsia="zh-CN"/>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shd w:val="clear" w:fill="FFFFFF"/>
        </w:rPr>
      </w:pPr>
      <w:r>
        <w:rPr>
          <w:rFonts w:hint="default" w:ascii="Times New Roman" w:hAnsi="Times New Roman" w:eastAsia="方正仿宋_GBK" w:cs="Times New Roman"/>
          <w:i w:val="0"/>
          <w:iCs w:val="0"/>
          <w:caps w:val="0"/>
          <w:color w:val="3D3D3D"/>
          <w:spacing w:val="0"/>
          <w:sz w:val="32"/>
          <w:szCs w:val="32"/>
          <w:shd w:val="clear" w:fill="FFFFFF"/>
        </w:rPr>
        <w:t>按照</w:t>
      </w:r>
      <w:r>
        <w:rPr>
          <w:rFonts w:hint="eastAsia" w:ascii="Times New Roman" w:hAnsi="Times New Roman" w:eastAsia="方正仿宋_GBK" w:cs="Times New Roman"/>
          <w:i w:val="0"/>
          <w:iCs w:val="0"/>
          <w:caps w:val="0"/>
          <w:color w:val="3D3D3D"/>
          <w:spacing w:val="0"/>
          <w:sz w:val="32"/>
          <w:szCs w:val="32"/>
          <w:shd w:val="clear" w:fill="FFFFFF"/>
          <w:lang w:eastAsia="zh-CN"/>
        </w:rPr>
        <w:t>市</w:t>
      </w:r>
      <w:r>
        <w:rPr>
          <w:rFonts w:hint="default" w:ascii="Times New Roman" w:hAnsi="Times New Roman" w:eastAsia="方正仿宋_GBK" w:cs="Times New Roman"/>
          <w:i w:val="0"/>
          <w:iCs w:val="0"/>
          <w:caps w:val="0"/>
          <w:color w:val="3D3D3D"/>
          <w:spacing w:val="0"/>
          <w:sz w:val="32"/>
          <w:szCs w:val="32"/>
          <w:shd w:val="clear" w:fill="FFFFFF"/>
        </w:rPr>
        <w:t>政府</w:t>
      </w:r>
      <w:r>
        <w:rPr>
          <w:rFonts w:hint="default" w:ascii="Times New Roman" w:hAnsi="Times New Roman" w:eastAsia="方正仿宋_GBK" w:cs="Times New Roman"/>
          <w:i w:val="0"/>
          <w:iCs w:val="0"/>
          <w:caps w:val="0"/>
          <w:color w:val="3D3D3D"/>
          <w:spacing w:val="0"/>
          <w:sz w:val="32"/>
          <w:szCs w:val="32"/>
          <w:shd w:val="clear" w:fill="FFFFFF"/>
          <w:lang w:eastAsia="zh-CN"/>
        </w:rPr>
        <w:t>相关</w:t>
      </w:r>
      <w:r>
        <w:rPr>
          <w:rFonts w:hint="default" w:ascii="Times New Roman" w:hAnsi="Times New Roman" w:eastAsia="方正仿宋_GBK" w:cs="Times New Roman"/>
          <w:i w:val="0"/>
          <w:iCs w:val="0"/>
          <w:caps w:val="0"/>
          <w:color w:val="3D3D3D"/>
          <w:spacing w:val="0"/>
          <w:sz w:val="32"/>
          <w:szCs w:val="32"/>
          <w:shd w:val="clear" w:fill="FFFFFF"/>
        </w:rPr>
        <w:t>工作要求，我</w:t>
      </w:r>
      <w:r>
        <w:rPr>
          <w:rFonts w:hint="default" w:ascii="Times New Roman" w:hAnsi="Times New Roman" w:eastAsia="方正仿宋_GBK" w:cs="Times New Roman"/>
          <w:i w:val="0"/>
          <w:iCs w:val="0"/>
          <w:caps w:val="0"/>
          <w:color w:val="3D3D3D"/>
          <w:spacing w:val="0"/>
          <w:sz w:val="32"/>
          <w:szCs w:val="32"/>
          <w:shd w:val="clear" w:fill="FFFFFF"/>
          <w:lang w:eastAsia="zh-CN"/>
        </w:rPr>
        <w:t>局</w:t>
      </w:r>
      <w:r>
        <w:rPr>
          <w:rFonts w:hint="default" w:ascii="Times New Roman" w:hAnsi="Times New Roman" w:eastAsia="方正仿宋_GBK" w:cs="Times New Roman"/>
          <w:i w:val="0"/>
          <w:iCs w:val="0"/>
          <w:caps w:val="0"/>
          <w:color w:val="3D3D3D"/>
          <w:spacing w:val="0"/>
          <w:sz w:val="32"/>
          <w:szCs w:val="32"/>
          <w:shd w:val="clear" w:fill="FFFFFF"/>
        </w:rPr>
        <w:t>规范了政府信息公开平台设置，提升了主动公开工作实效，加强了政府信息日常管理。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楷体_GBK" w:hAnsi="方正楷体_GBK" w:eastAsia="方正楷体_GBK" w:cs="方正楷体_GBK"/>
          <w:i w:val="0"/>
          <w:iCs w:val="0"/>
          <w:caps w:val="0"/>
          <w:color w:val="3D3D3D"/>
          <w:spacing w:val="0"/>
          <w:sz w:val="32"/>
          <w:szCs w:val="32"/>
          <w:shd w:val="clear" w:fill="FFFFFF"/>
          <w:lang w:eastAsia="zh-CN"/>
        </w:rPr>
      </w:pPr>
      <w:r>
        <w:rPr>
          <w:rFonts w:hint="default" w:ascii="方正楷体_GBK" w:hAnsi="方正楷体_GBK" w:eastAsia="方正楷体_GBK" w:cs="方正楷体_GBK"/>
          <w:i w:val="0"/>
          <w:iCs w:val="0"/>
          <w:caps w:val="0"/>
          <w:color w:val="3D3D3D"/>
          <w:spacing w:val="0"/>
          <w:sz w:val="32"/>
          <w:szCs w:val="32"/>
          <w:shd w:val="clear" w:fill="FFFFFF"/>
          <w:lang w:eastAsia="zh-CN"/>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shd w:val="clear" w:fill="FFFFFF"/>
        </w:rPr>
      </w:pPr>
      <w:r>
        <w:rPr>
          <w:rFonts w:hint="default" w:ascii="Times New Roman" w:hAnsi="Times New Roman" w:eastAsia="方正仿宋_GBK" w:cs="Times New Roman"/>
          <w:i w:val="0"/>
          <w:iCs w:val="0"/>
          <w:caps w:val="0"/>
          <w:color w:val="3D3D3D"/>
          <w:spacing w:val="0"/>
          <w:sz w:val="32"/>
          <w:szCs w:val="32"/>
          <w:shd w:val="clear" w:fill="FFFFFF"/>
        </w:rPr>
        <w:t>为贯彻落实《中华人民共和国政府信息公开条例》，我</w:t>
      </w:r>
      <w:r>
        <w:rPr>
          <w:rFonts w:hint="default" w:ascii="Times New Roman" w:hAnsi="Times New Roman" w:eastAsia="方正仿宋_GBK" w:cs="Times New Roman"/>
          <w:i w:val="0"/>
          <w:iCs w:val="0"/>
          <w:caps w:val="0"/>
          <w:color w:val="3D3D3D"/>
          <w:spacing w:val="0"/>
          <w:sz w:val="32"/>
          <w:szCs w:val="32"/>
          <w:shd w:val="clear" w:fill="FFFFFF"/>
          <w:lang w:eastAsia="zh-CN"/>
        </w:rPr>
        <w:t>局</w:t>
      </w:r>
      <w:r>
        <w:rPr>
          <w:rFonts w:hint="default" w:ascii="Times New Roman" w:hAnsi="Times New Roman" w:eastAsia="方正仿宋_GBK" w:cs="Times New Roman"/>
          <w:i w:val="0"/>
          <w:iCs w:val="0"/>
          <w:caps w:val="0"/>
          <w:color w:val="3D3D3D"/>
          <w:spacing w:val="0"/>
          <w:sz w:val="32"/>
          <w:szCs w:val="32"/>
          <w:shd w:val="clear" w:fill="FFFFFF"/>
        </w:rPr>
        <w:t>将文件发给全体人员传阅并组织学习培训，确保领会文件精神，顺利开展工作。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Times New Roman" w:hAnsi="Times New Roman" w:eastAsia="宋体" w:cs="Times New Roman"/>
                <w:sz w:val="22"/>
                <w:szCs w:val="22"/>
                <w:lang w:val="en-US" w:eastAsia="zh-CN"/>
              </w:rPr>
            </w:pPr>
            <w:r>
              <w:rPr>
                <w:rFonts w:hint="default" w:ascii="Times New Roman" w:hAnsi="Times New Roman" w:cs="Times New Roman"/>
                <w:sz w:val="20"/>
                <w:szCs w:val="20"/>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宋体" w:cs="Times New Roman"/>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lang w:val="en-US" w:eastAsia="zh-CN" w:bidi="ar-SA"/>
              </w:rPr>
            </w:pPr>
            <w:r>
              <w:rPr>
                <w:rFonts w:hint="eastAsia" w:ascii="Calibri" w:hAnsi="Calibri" w:cs="Calibri"/>
                <w:kern w:val="0"/>
                <w:sz w:val="20"/>
                <w:szCs w:val="20"/>
                <w:lang w:val="en-US" w:eastAsia="zh-CN" w:bidi="ar"/>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政府信息公开行政复议、行政诉讼情况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rPr>
            </w:pPr>
            <w:r>
              <w:rPr>
                <w:rFonts w:hint="default" w:ascii="Times New Roman" w:hAnsi="Times New Roman" w:eastAsia="黑体" w:cs="Times New Roman"/>
                <w:b w:val="0"/>
                <w:bCs w:val="0"/>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rPr>
            </w:pPr>
            <w:r>
              <w:rPr>
                <w:rFonts w:hint="default" w:ascii="Times New Roman" w:hAnsi="Times New Roman" w:eastAsia="黑体" w:cs="Times New Roman"/>
                <w:b w:val="0"/>
                <w:bCs w:val="0"/>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rPr>
            </w:pPr>
            <w:r>
              <w:rPr>
                <w:rFonts w:hint="default" w:ascii="Times New Roman" w:hAnsi="Times New Roman" w:eastAsia="黑体" w:cs="Times New Roman"/>
                <w:b w:val="0"/>
                <w:bCs w:val="0"/>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rPr>
            </w:pPr>
            <w:r>
              <w:rPr>
                <w:rFonts w:hint="default" w:ascii="Times New Roman" w:hAnsi="Times New Roman" w:eastAsia="黑体" w:cs="Times New Roman"/>
                <w:b w:val="0"/>
                <w:bCs w:val="0"/>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val="0"/>
                <w:bCs w:val="0"/>
                <w:sz w:val="21"/>
                <w:szCs w:val="21"/>
                <w:lang w:val="en-US"/>
              </w:rPr>
            </w:pPr>
            <w:r>
              <w:rPr>
                <w:rFonts w:hint="default" w:ascii="Times New Roman" w:hAnsi="Times New Roman" w:eastAsia="黑体" w:cs="Times New Roman"/>
                <w:b w:val="0"/>
                <w:bCs w:val="0"/>
                <w:kern w:val="0"/>
                <w:sz w:val="21"/>
                <w:szCs w:val="21"/>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r>
    </w:tbl>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D3D3D"/>
          <w:spacing w:val="0"/>
          <w:sz w:val="32"/>
          <w:szCs w:val="32"/>
          <w:shd w:val="clear" w:fill="FFFFFF"/>
        </w:rPr>
      </w:pPr>
      <w:r>
        <w:rPr>
          <w:rFonts w:hint="eastAsia" w:ascii="Times New Roman" w:hAnsi="Times New Roman" w:eastAsia="方正仿宋_GBK" w:cs="Times New Roman"/>
          <w:i w:val="0"/>
          <w:iCs w:val="0"/>
          <w:caps w:val="0"/>
          <w:color w:val="3D3D3D"/>
          <w:spacing w:val="0"/>
          <w:sz w:val="32"/>
          <w:szCs w:val="32"/>
          <w:shd w:val="clear" w:fill="FFFFFF"/>
        </w:rPr>
        <w:t>存在的主要问题：政务公开工作机制有待进一步理顺；对政府信息公开工作的重要性和严肃性认识还有待提高；主动公开的政府信息与公众的需求还存在一定差距；围绕本单位职能抓好政务公开工作的方法和思路还需要进一步探索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i w:val="0"/>
          <w:iCs w:val="0"/>
          <w:caps w:val="0"/>
          <w:color w:val="3D3D3D"/>
          <w:spacing w:val="0"/>
          <w:sz w:val="32"/>
          <w:szCs w:val="32"/>
          <w:shd w:val="clear" w:fill="FFFFFF"/>
        </w:rPr>
      </w:pPr>
      <w:r>
        <w:rPr>
          <w:rFonts w:hint="eastAsia" w:ascii="Times New Roman" w:hAnsi="Times New Roman" w:eastAsia="方正仿宋_GBK" w:cs="Times New Roman"/>
          <w:i w:val="0"/>
          <w:iCs w:val="0"/>
          <w:caps w:val="0"/>
          <w:color w:val="3D3D3D"/>
          <w:spacing w:val="0"/>
          <w:sz w:val="32"/>
          <w:szCs w:val="32"/>
          <w:shd w:val="clear" w:fill="FFFFFF"/>
        </w:rPr>
        <w:t>下一步改进措施：认真贯彻落实《中华人民共和国政府信息公开条例》和省、市相关要求，优化政务公开工作机制，落实相关制度，通过</w:t>
      </w:r>
      <w:r>
        <w:rPr>
          <w:rFonts w:hint="eastAsia" w:ascii="Times New Roman" w:hAnsi="Times New Roman" w:eastAsia="方正仿宋_GBK" w:cs="Times New Roman"/>
          <w:i w:val="0"/>
          <w:iCs w:val="0"/>
          <w:caps w:val="0"/>
          <w:color w:val="3D3D3D"/>
          <w:spacing w:val="0"/>
          <w:sz w:val="32"/>
          <w:szCs w:val="32"/>
          <w:shd w:val="clear" w:fill="FFFFFF"/>
          <w:lang w:eastAsia="zh-CN"/>
        </w:rPr>
        <w:t>组织学习</w:t>
      </w:r>
      <w:r>
        <w:rPr>
          <w:rFonts w:hint="eastAsia" w:ascii="Times New Roman" w:hAnsi="Times New Roman" w:eastAsia="方正仿宋_GBK" w:cs="Times New Roman"/>
          <w:i w:val="0"/>
          <w:iCs w:val="0"/>
          <w:caps w:val="0"/>
          <w:color w:val="3D3D3D"/>
          <w:spacing w:val="0"/>
          <w:sz w:val="32"/>
          <w:szCs w:val="32"/>
          <w:shd w:val="clear" w:fill="FFFFFF"/>
        </w:rPr>
        <w:t>提高全局对政务公开工作重要性的认识，提高政府信息发布质量，强化平台建设和人员配备，确保政务公开工作顺利开展。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D3D3D"/>
          <w:spacing w:val="0"/>
          <w:sz w:val="32"/>
          <w:szCs w:val="32"/>
          <w:shd w:val="clear" w:fill="FFFFFF"/>
        </w:rPr>
      </w:pPr>
      <w:r>
        <w:rPr>
          <w:rFonts w:hint="default" w:ascii="Times New Roman" w:hAnsi="Times New Roman" w:eastAsia="方正仿宋_GBK" w:cs="Times New Roman"/>
          <w:i w:val="0"/>
          <w:iCs w:val="0"/>
          <w:caps w:val="0"/>
          <w:color w:val="3D3D3D"/>
          <w:spacing w:val="0"/>
          <w:sz w:val="32"/>
          <w:szCs w:val="32"/>
          <w:shd w:val="clear" w:fill="FFFFFF"/>
        </w:rPr>
        <w:t> 本年度政府信息公开事项未收取任何费用。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3D3D3D"/>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3D3D3D"/>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澄江市投资促进局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2025年1月9日</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3D3D3D"/>
          <w:spacing w:val="0"/>
          <w:sz w:val="32"/>
          <w:szCs w:val="32"/>
          <w:shd w:val="clear" w:fill="FFFFFF"/>
          <w:lang w:val="en-US" w:eastAsia="zh-CN"/>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99C9D"/>
    <w:multiLevelType w:val="singleLevel"/>
    <w:tmpl w:val="88D99C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YzUzNzZkYzI3NTVmZTE3OTU5NWNkOGVlYzQwYWMifQ=="/>
  </w:docVars>
  <w:rsids>
    <w:rsidRoot w:val="2AEE6D71"/>
    <w:rsid w:val="0069744B"/>
    <w:rsid w:val="08F948B2"/>
    <w:rsid w:val="1FC85FB0"/>
    <w:rsid w:val="223013B2"/>
    <w:rsid w:val="28517848"/>
    <w:rsid w:val="2AEE6D71"/>
    <w:rsid w:val="385D3D3A"/>
    <w:rsid w:val="3C5661D3"/>
    <w:rsid w:val="43301127"/>
    <w:rsid w:val="4C0C3418"/>
    <w:rsid w:val="535F1857"/>
    <w:rsid w:val="581E3FE4"/>
    <w:rsid w:val="67277475"/>
    <w:rsid w:val="6EE63F9C"/>
    <w:rsid w:val="75B6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2024-01-30T02:31:00Z</dcterms:created>
  <dc:creator>陈玺行</dc:creator>
  <cp:lastModifiedBy>Administrator</cp:lastModifiedBy>
  <dcterms:modified xsi:type="dcterms:W3CDTF">2025-03-05T02:15:45Z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BAE47908B996469BA64188EA91AC1AA8</vt:lpwstr>
  </property>
</Properties>
</file>