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eastAsia="隶书"/>
          <w:b/>
          <w:color w:val="FF0000"/>
          <w:sz w:val="130"/>
          <w:szCs w:val="84"/>
        </w:rPr>
      </w:pPr>
      <w:r>
        <w:rPr>
          <w:rFonts w:eastAsia="隶书"/>
          <w:b/>
          <w:color w:val="FF0000"/>
          <w:sz w:val="130"/>
          <w:szCs w:val="84"/>
        </w:rPr>
        <w:t>澄江水利信息</w:t>
      </w:r>
    </w:p>
    <w:p>
      <w:pPr>
        <w:widowControl/>
        <w:jc w:val="center"/>
        <w:rPr>
          <w:rFonts w:eastAsia="方正楷体_GBK"/>
          <w:b/>
          <w:sz w:val="36"/>
          <w:szCs w:val="36"/>
        </w:rPr>
      </w:pPr>
    </w:p>
    <w:p>
      <w:pPr>
        <w:widowControl/>
        <w:jc w:val="center"/>
        <w:rPr>
          <w:rFonts w:eastAsia="方正楷体_GBK"/>
          <w:b/>
          <w:sz w:val="36"/>
          <w:szCs w:val="36"/>
        </w:rPr>
      </w:pPr>
      <w:r>
        <w:rPr>
          <w:rFonts w:eastAsia="方正楷体_GBK"/>
          <w:b/>
          <w:sz w:val="36"/>
          <w:szCs w:val="36"/>
        </w:rPr>
        <w:t>第</w:t>
      </w:r>
      <w:r>
        <w:rPr>
          <w:rFonts w:hint="eastAsia" w:eastAsia="方正楷体_GBK"/>
          <w:b/>
          <w:sz w:val="36"/>
          <w:szCs w:val="36"/>
        </w:rPr>
        <w:t>1</w:t>
      </w:r>
      <w:r>
        <w:rPr>
          <w:rFonts w:eastAsia="方正楷体_GBK"/>
          <w:b/>
          <w:sz w:val="36"/>
          <w:szCs w:val="36"/>
        </w:rPr>
        <w:t>期</w:t>
      </w:r>
    </w:p>
    <w:p>
      <w:pPr>
        <w:pStyle w:val="10"/>
      </w:pPr>
    </w:p>
    <w:p>
      <w:pPr>
        <w:widowControl/>
        <w:adjustRightInd w:val="0"/>
        <w:snapToGrid w:val="0"/>
        <w:ind w:firstLine="445" w:firstLineChars="148"/>
        <w:rPr>
          <w:rFonts w:eastAsia="方正小标宋_GBK"/>
          <w:b/>
          <w:sz w:val="30"/>
          <w:szCs w:val="30"/>
        </w:rPr>
      </w:pPr>
    </w:p>
    <w:p>
      <w:pPr>
        <w:widowControl/>
        <w:adjustRightInd w:val="0"/>
        <w:snapToGrid w:val="0"/>
        <w:spacing w:line="400" w:lineRule="exact"/>
        <w:ind w:firstLine="596" w:firstLineChars="198"/>
        <w:rPr>
          <w:rFonts w:eastAsia="方正小标宋_GBK"/>
          <w:b/>
          <w:sz w:val="30"/>
          <w:szCs w:val="30"/>
        </w:rPr>
      </w:pPr>
      <w:r>
        <w:rPr>
          <w:rFonts w:eastAsia="方正小标宋_GBK"/>
          <w:b/>
          <w:sz w:val="30"/>
          <w:szCs w:val="30"/>
        </w:rPr>
        <w:t xml:space="preserve">澄江市水利局      </w:t>
      </w:r>
      <w:r>
        <w:rPr>
          <w:rFonts w:hint="eastAsia" w:eastAsia="方正小标宋_GBK"/>
          <w:b/>
          <w:sz w:val="30"/>
          <w:szCs w:val="30"/>
        </w:rPr>
        <w:t xml:space="preserve">                  </w:t>
      </w:r>
      <w:r>
        <w:rPr>
          <w:rFonts w:eastAsia="方正小标宋_GBK"/>
          <w:b/>
          <w:sz w:val="30"/>
          <w:szCs w:val="30"/>
        </w:rPr>
        <w:t>202</w:t>
      </w:r>
      <w:r>
        <w:rPr>
          <w:rFonts w:hint="eastAsia" w:eastAsia="方正小标宋_GBK"/>
          <w:b/>
          <w:sz w:val="30"/>
          <w:szCs w:val="30"/>
        </w:rPr>
        <w:t>5</w:t>
      </w:r>
      <w:r>
        <w:rPr>
          <w:rFonts w:eastAsia="方正小标宋_GBK"/>
          <w:b/>
          <w:sz w:val="30"/>
          <w:szCs w:val="30"/>
        </w:rPr>
        <w:t>年</w:t>
      </w:r>
      <w:r>
        <w:rPr>
          <w:rFonts w:hint="eastAsia" w:eastAsia="方正小标宋_GBK"/>
          <w:b/>
          <w:sz w:val="30"/>
          <w:szCs w:val="30"/>
        </w:rPr>
        <w:t>1</w:t>
      </w:r>
      <w:r>
        <w:rPr>
          <w:rFonts w:eastAsia="方正小标宋_GBK"/>
          <w:b/>
          <w:sz w:val="30"/>
          <w:szCs w:val="30"/>
        </w:rPr>
        <w:t>月</w:t>
      </w:r>
      <w:r>
        <w:rPr>
          <w:rFonts w:hint="eastAsia" w:eastAsia="方正小标宋_GBK"/>
          <w:b/>
          <w:sz w:val="30"/>
          <w:szCs w:val="30"/>
        </w:rPr>
        <w:t>9</w:t>
      </w:r>
      <w:r>
        <w:rPr>
          <w:rFonts w:eastAsia="方正小标宋_GBK"/>
          <w:b/>
          <w:sz w:val="30"/>
          <w:szCs w:val="30"/>
        </w:rPr>
        <w:t>日</w:t>
      </w:r>
    </w:p>
    <w:p>
      <w:pPr>
        <w:spacing w:line="400" w:lineRule="exact"/>
        <w:ind w:firstLine="103" w:firstLineChars="49"/>
        <w:jc w:val="center"/>
        <w:rPr>
          <w:rFonts w:eastAsia="方正仿宋_GBK"/>
          <w:b/>
          <w:color w:val="FF0000"/>
          <w:szCs w:val="32"/>
        </w:rPr>
      </w:pPr>
      <w:r>
        <w:rPr>
          <w:rFonts w:eastAsia="方正仿宋_GBK"/>
          <w:b/>
          <w:color w:val="FF0000"/>
          <w:szCs w:val="32"/>
        </w:rPr>
        <w:t xml:space="preserve">  ——————————————————————————————————————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多部门紧急联动 护卫河湖生命线</w:t>
      </w:r>
    </w:p>
    <w:p>
      <w:pPr>
        <w:pStyle w:val="10"/>
        <w:rPr>
          <w:rFonts w:ascii="Times New Roman" w:eastAsia="方正仿宋_GBK"/>
          <w:sz w:val="32"/>
          <w:szCs w:val="32"/>
        </w:rPr>
      </w:pPr>
    </w:p>
    <w:p>
      <w:pPr>
        <w:snapToGrid w:val="0"/>
        <w:spacing w:line="596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lang w:bidi="en-US"/>
        </w:rPr>
      </w:pP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2025年1月5日，澄江市抚澄河突现入湖口水质波动情况，市水利局、</w:t>
      </w:r>
      <w:r>
        <w:rPr>
          <w:rFonts w:eastAsia="方正仿宋_GBK"/>
          <w:kern w:val="21"/>
          <w:sz w:val="32"/>
          <w:szCs w:val="32"/>
          <w:lang w:val="zh-CN"/>
        </w:rPr>
        <w:t>市</w:t>
      </w:r>
      <w:r>
        <w:rPr>
          <w:rFonts w:eastAsia="方正仿宋_GBK"/>
          <w:kern w:val="21"/>
          <w:sz w:val="32"/>
          <w:szCs w:val="32"/>
        </w:rPr>
        <w:t>农业农村局、市住建局、凤麓街道办事处、龙街街道办事处</w:t>
      </w:r>
      <w:r>
        <w:rPr>
          <w:rFonts w:hint="eastAsia" w:eastAsia="方正仿宋_GBK"/>
          <w:kern w:val="21"/>
          <w:sz w:val="32"/>
          <w:szCs w:val="32"/>
        </w:rPr>
        <w:t>等多家部门联动，紧急开展污染源排查清理工作，助力河道水质恢复到良好水平。</w:t>
      </w:r>
    </w:p>
    <w:p>
      <w:pPr>
        <w:snapToGrid w:val="0"/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128270</wp:posOffset>
            </wp:positionV>
            <wp:extent cx="5255260" cy="2365375"/>
            <wp:effectExtent l="0" t="0" r="2540" b="15875"/>
            <wp:wrapTopAndBottom/>
            <wp:docPr id="2" name="图片 2" descr="d648602dde8300dc4a868ed6092764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48602dde8300dc4a868ed6092764f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一是重点关注跟踪研判。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根据抚澄河入湖口水质自动监测站监测数据显示，抚澄河1月5日20:00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水质异常，出现氨氮指数超过日常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Ⅲ类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水质指标限制情况。澄江市水利局对抚澄河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水质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波动问题高度重视，借助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自动监测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平台持续关注河道水质变化情况。经分析研判，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截至1月7日04：00时，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抚澄河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氨氮指标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即将超过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Ⅳ类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指标限制，且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氨氮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、总磷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指数持续走高，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水质存在继续下降可能。</w:t>
      </w:r>
      <w:r>
        <w:rPr>
          <w:rFonts w:eastAsia="方正仿宋_GBK"/>
          <w:color w:val="000000"/>
          <w:kern w:val="0"/>
          <w:sz w:val="32"/>
          <w:szCs w:val="32"/>
          <w:lang w:bidi="en-US"/>
        </w:rPr>
        <w:t>为遏制抚澄河水质下降趋势，确保水质稳定达到Ⅲ类以上</w:t>
      </w:r>
      <w:r>
        <w:rPr>
          <w:rFonts w:hint="eastAsia" w:eastAsia="方正仿宋_GBK"/>
          <w:color w:val="000000"/>
          <w:kern w:val="0"/>
          <w:sz w:val="32"/>
          <w:szCs w:val="32"/>
          <w:lang w:bidi="en-US"/>
        </w:rPr>
        <w:t>，市水利局于1月7日当日上午印发了《关于加强抚澄河污染源排查整治工作的提醒函》，要求各相关单位紧急出动开展抚澄河污染源朔源排查。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196850</wp:posOffset>
            </wp:positionV>
            <wp:extent cx="5264785" cy="3947160"/>
            <wp:effectExtent l="0" t="0" r="12065" b="15240"/>
            <wp:wrapTopAndBottom/>
            <wp:docPr id="3" name="图片 3" descr="9493c326daf72470504627e97aeca9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93c326daf72470504627e97aeca9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二是部门联动及时响应。各相关单位</w:t>
      </w:r>
      <w:r>
        <w:rPr>
          <w:rFonts w:hint="eastAsia" w:eastAsia="方正仿宋_GBK"/>
          <w:kern w:val="21"/>
          <w:sz w:val="32"/>
          <w:szCs w:val="32"/>
        </w:rPr>
        <w:t>通力协作</w:t>
      </w:r>
      <w:r>
        <w:rPr>
          <w:rFonts w:eastAsia="方正仿宋_GBK"/>
          <w:kern w:val="21"/>
          <w:sz w:val="32"/>
          <w:szCs w:val="32"/>
        </w:rPr>
        <w:t>，</w:t>
      </w:r>
      <w:r>
        <w:rPr>
          <w:rFonts w:hint="eastAsia" w:eastAsia="方正仿宋_GBK"/>
          <w:kern w:val="21"/>
          <w:sz w:val="32"/>
          <w:szCs w:val="32"/>
        </w:rPr>
        <w:t>事件发生第一时间组织人员开展河道污染排查整治。环保部门对河道不同断面水质进行人工检测分析，为污染朔源提供指导；水利、住建、农业及街道办事处对河道沿线给类排水口、污水管线等进行了全面排查检查，共排查河道5.3公里，</w:t>
      </w:r>
      <w:r>
        <w:rPr>
          <w:rFonts w:hint="eastAsia" w:eastAsia="方正仿宋_GBK"/>
          <w:sz w:val="32"/>
          <w:szCs w:val="32"/>
        </w:rPr>
        <w:t>排查暗沟渠道2公里，大小排口30余个，发现存在：部分暗渠管道淤泥、臭水，少量管道</w:t>
      </w:r>
      <w:r>
        <w:rPr>
          <w:rFonts w:eastAsia="方正仿宋_GBK"/>
          <w:kern w:val="21"/>
          <w:sz w:val="32"/>
          <w:szCs w:val="32"/>
        </w:rPr>
        <w:t>“跑、冒、滴、漏”</w:t>
      </w:r>
      <w:r>
        <w:rPr>
          <w:rFonts w:hint="eastAsia" w:eastAsia="方正仿宋_GBK"/>
          <w:kern w:val="21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4个排口有农田退水等情况。</w:t>
      </w:r>
    </w:p>
    <w:p>
      <w:pPr>
        <w:pStyle w:val="4"/>
        <w:spacing w:after="0" w:line="596" w:lineRule="exact"/>
        <w:ind w:firstLine="640" w:firstLineChars="200"/>
        <w:rPr>
          <w:rFonts w:eastAsia="方正仿宋_GBK"/>
          <w:color w:val="000000"/>
          <w:sz w:val="32"/>
          <w:szCs w:val="32"/>
          <w:lang w:bidi="en-US"/>
        </w:rPr>
      </w:pPr>
      <w:r>
        <w:rPr>
          <w:rFonts w:hint="eastAsia" w:eastAsia="方正仿宋_GBK"/>
          <w:sz w:val="32"/>
          <w:szCs w:val="32"/>
        </w:rPr>
        <w:t>三是有序处置科学调度。发现问题后，澄江市及时采取应急措施对河道污染源进行科学调度处置。一方面对尾水排放口、淤积、</w:t>
      </w:r>
      <w:r>
        <w:rPr>
          <w:rFonts w:eastAsia="方正仿宋_GBK"/>
          <w:kern w:val="21"/>
          <w:sz w:val="32"/>
          <w:szCs w:val="32"/>
        </w:rPr>
        <w:t>“跑、冒、滴、漏”</w:t>
      </w:r>
      <w:r>
        <w:rPr>
          <w:rFonts w:hint="eastAsia" w:eastAsia="方正仿宋_GBK"/>
          <w:kern w:val="21"/>
          <w:sz w:val="32"/>
          <w:szCs w:val="32"/>
        </w:rPr>
        <w:t>等能立即整改的当天完成整改，至1月8日共封堵排口4个，清理管道淤泥3处，封堵管道渗透缝隙2处。</w:t>
      </w:r>
      <w:r>
        <w:rPr>
          <w:rFonts w:hint="eastAsia" w:eastAsia="方正仿宋_GBK"/>
          <w:sz w:val="32"/>
          <w:szCs w:val="32"/>
        </w:rPr>
        <w:t>另一方面通过闸门控制，将河道受污水体引导进入末端湿地沉淀、净化，降低污水入湖污染风险；同时启用清水通道，引导上游清水进入抚澄河对受污水体进行置换，助力恢复河道自净能力。通过综合施策，截至1月9日12：00分，抚澄河氨氮指标已恢复至</w:t>
      </w:r>
      <w:r>
        <w:rPr>
          <w:rFonts w:eastAsia="方正仿宋_GBK"/>
          <w:color w:val="000000"/>
          <w:sz w:val="32"/>
          <w:szCs w:val="32"/>
          <w:lang w:bidi="en-US"/>
        </w:rPr>
        <w:t>Ⅲ类</w:t>
      </w:r>
      <w:r>
        <w:rPr>
          <w:rFonts w:hint="eastAsia" w:eastAsia="方正仿宋_GBK"/>
          <w:color w:val="000000"/>
          <w:sz w:val="32"/>
          <w:szCs w:val="32"/>
          <w:lang w:bidi="en-US"/>
        </w:rPr>
        <w:t>标准，16:00分，总磷指标恢复至</w:t>
      </w:r>
      <w:r>
        <w:rPr>
          <w:rFonts w:eastAsia="方正仿宋_GBK"/>
          <w:color w:val="000000"/>
          <w:sz w:val="32"/>
          <w:szCs w:val="32"/>
          <w:lang w:bidi="en-US"/>
        </w:rPr>
        <w:t>Ⅲ类</w:t>
      </w:r>
      <w:r>
        <w:rPr>
          <w:rFonts w:hint="eastAsia" w:eastAsia="方正仿宋_GBK"/>
          <w:color w:val="000000"/>
          <w:sz w:val="32"/>
          <w:szCs w:val="32"/>
          <w:lang w:bidi="en-US"/>
        </w:rPr>
        <w:t>标准。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下一步，澄江市将以更有力的措施确保抚澄河水质稳定达到优良等级。一是依托自动监测设备及信息化平台，持续加强河道水质关注力度，强化水质变化趋势分析研判，为河东岸水质改善提供数据依据；二是对存在漏滴跑冒的排口开展溯源排查，精准查清漏点，3月底完成整改，确保污水进管进厂，雨水进沟进渠；三是加强闸门管控，确保清、污分流，同时加强湿地管理，及时清楚沉积淤泥、污染物，保障湿地生态净化功能持续发力。</w:t>
      </w:r>
    </w:p>
    <w:p>
      <w:pPr>
        <w:pStyle w:val="2"/>
      </w:pPr>
    </w:p>
    <w:p>
      <w:pPr>
        <w:pStyle w:val="4"/>
        <w:jc w:val="center"/>
        <w:rPr>
          <w:rFonts w:ascii="方正楷体_GBK" w:hAnsi="方正楷体_GBK" w:eastAsia="方正楷体_GBK" w:cs="方正楷体_GBK"/>
          <w:kern w:val="2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</w:rPr>
        <w:t xml:space="preserve">（供稿人：河道治理保护服务中心 杞路军 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kern w:val="2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7B505420"/>
    <w:rsid w:val="00190D57"/>
    <w:rsid w:val="00554C46"/>
    <w:rsid w:val="005D6572"/>
    <w:rsid w:val="006F0E9C"/>
    <w:rsid w:val="00D00B1A"/>
    <w:rsid w:val="00F92F3D"/>
    <w:rsid w:val="094505BD"/>
    <w:rsid w:val="16B0419B"/>
    <w:rsid w:val="18043C85"/>
    <w:rsid w:val="2C5017B0"/>
    <w:rsid w:val="48582587"/>
    <w:rsid w:val="505D7C4B"/>
    <w:rsid w:val="5AE34921"/>
    <w:rsid w:val="634703C9"/>
    <w:rsid w:val="649777BD"/>
    <w:rsid w:val="6E6507DC"/>
    <w:rsid w:val="7A287B2E"/>
    <w:rsid w:val="7B505420"/>
    <w:rsid w:val="7FD32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Normal Indent1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Cs w:val="20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玉溪市澄江县党政机关单位</Company>
  <Pages>3</Pages>
  <Words>172</Words>
  <Characters>981</Characters>
  <Lines>8</Lines>
  <Paragraphs>2</Paragraphs>
  <TotalTime>3</TotalTime>
  <ScaleCrop>false</ScaleCrop>
  <LinksUpToDate>false</LinksUpToDate>
  <CharactersWithSpaces>1151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2025-01-13T10:49:00Z</dcterms:created>
  <dc:creator>小木木</dc:creator>
  <cp:lastModifiedBy>user</cp:lastModifiedBy>
  <dcterms:modified xsi:type="dcterms:W3CDTF">2025-03-14T00:27:41Z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FF1512CAF7FA4FF3877F799CFEF89302</vt:lpwstr>
  </property>
</Properties>
</file>