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澄江市202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脱贫人口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小额信贷工作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根据《中国银保监会 财政部 中国人民银行 国务院扶贫办关于进一步规范和完善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管理的通知》（银保监发〔2019〕24号）、《中国银保监会 财政部 中国人民银行 国务院乡村振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局关于深入扎实做好过渡期脱贫人口小额信贷工作的通知》（银保监发〔2021〕6号）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银保监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云南省财政厅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中国人民银行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昆明中心支行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乡村振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局关于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做好过渡期脱贫人口小额信贷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贴息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银保监发〔2021〕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号）等文件精神，按照玉溪市人民政府专题会议纪要《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工作专题会议纪要》（2019年第47期）及云南省、玉溪市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年脱贫人口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小额信贷工作部署，认真贯彻落实“四个不脱”要求，为切实抓好我市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年脱贫人口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小额信贷工作，引导更多贷款向贫困地区投入，促进脱贫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增产增收，加快致富步伐，结合我市实际，制定本实施方案。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依据开发式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帮扶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和精准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帮扶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到户的原则，采取财政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资金贴息到户的方式，积极鼓励和争取各个金融主体为脱贫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脱贫人口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小额信贷，扶持经济开发类项目，以加大开发力度，增加投入，增强其自我发展和自我积累的能力，有效地推进全市脱贫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致富步伐。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脱贫人口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小额信贷工作，经研究，决定成立澄江市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脱贫人口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小额信贷工作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李锐光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市农业农村局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副组长：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张嘉毅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非税收入管理局局长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市农业农村局副局长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7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任东明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7"/>
          <w:kern w:val="0"/>
          <w:sz w:val="32"/>
          <w:szCs w:val="32"/>
        </w:rPr>
        <w:t>云南澄江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color w:val="auto"/>
          <w:spacing w:val="-17"/>
          <w:kern w:val="0"/>
          <w:sz w:val="32"/>
          <w:szCs w:val="32"/>
        </w:rPr>
        <w:t>农村商业银行股份有限公司行长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忠  澄江中成村镇银行行长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杨智渊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凤麓街道副主任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刘晟宇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龙街街道党工委委员、办事处副主任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右所镇农业农村发展服务中心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苏  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路居镇党委委员、宣传委员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张  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海口镇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赵玉晟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九村镇副镇长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李自春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市财政局农财科长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许雁云  凤麓街道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戎春平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龙街街道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普文韬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右所镇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白  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路居镇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李志超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海口镇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杨思杰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九村镇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吴华龙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乡村振兴局工作人员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932" w:firstLineChars="6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任志丽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乡村振兴局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3204" w:leftChars="904" w:hanging="1288" w:hangingChars="4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7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涛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云南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7"/>
          <w:kern w:val="0"/>
          <w:sz w:val="32"/>
          <w:szCs w:val="32"/>
        </w:rPr>
        <w:t>澄江农村商业银行有限公司信贷管理部经理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1740" w:firstLineChars="6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w w:val="90"/>
          <w:sz w:val="32"/>
          <w:szCs w:val="32"/>
        </w:rPr>
        <w:t>吴坤泽浩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1"/>
          <w:kern w:val="0"/>
          <w:sz w:val="32"/>
          <w:szCs w:val="32"/>
        </w:rPr>
        <w:t>玉溪澄江中成村镇银行业务发展部负责人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下设办公室在市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，办公室主任由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吴华龙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同志兼任，办公室副主任由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任志丽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同志兼任，办公室负责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处理日常事务。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成员工作如有变动，由成员单位自行递补，报办公室备案，不再另行发文。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三、合作金融机构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云南澄江农村商业银行股份有限公司、澄江中成村镇银行为发放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小额信贷的主体，承贷金融机构要提高服务质量，积极、尽力为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脱贫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发放小额信用贷款，原则上实行信用贷款，参照《澄江市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小额信贷风险补偿金实施方案》执行。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四、贷款贴息方式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（一）贷款期限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小额信贷，实行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年期贷款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即2025年1月至2025年12月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/>
        </w:rPr>
        <w:t>（二）贴息对象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要瞄准对象，精准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eastAsia="zh-CN"/>
        </w:rPr>
        <w:t>帮扶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val="en-US" w:eastAsia="zh-CN"/>
        </w:rPr>
        <w:t>脱贫人口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小额信贷发放范围为：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在册脱贫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val="en-US" w:eastAsia="zh-CN"/>
        </w:rPr>
        <w:t>户、脱贫不稳定户、边缘易致贫户、突发严重困难户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，以户为单位发放贷款。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）贴息标准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1年期（含）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以下贷款利率执行1年期LPR，不浮动；1年期至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年期（含）贷款利率执行5年期LPR，不浮动。贷款利率在贷款合同期内保持不变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全额贴息。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）贴息期限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度的贷款贴息期限为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年，不足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按实际贷款月数贴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息。为满足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发展生产的需要，要处理好贷款时间问题。每年1月份，按照上一年放贷规模在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脱贫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中组织新一年度放贷工作。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五、贷款贴息程序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申报审核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脱贫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自行向所在镇（街道）村（社区）申报，村（社区）根据申请人的贷款用途和个人诚信情况、还款能力等综合初审后，向审核合格申请人发放申请表，由贷款农户填写《云南省澄江市脱贫人口小额信贷申请推荐表》，再由镇（街道）对需要贷款的农户进行资格审查和统计，把审核合格的贷款户资料向承贷机构提交，承贷机构进行贷前审查，确定贷款对象。镇（街道）对承贷机构贷前审核合格的拟贷款农户在镇（街道）进行公示，公示期7天，经公示无异议后，确定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签订协议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为方便脱贫群众办理小额信贷，承贷金融机构应优化放贷流程，原则上采用信用贷款模式进行。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符合条件的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脱贫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签订借款协议，办理借款手续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做到应贷尽贷。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登记备案。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签订借款协议后，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贷金融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应按要求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受益农户基本情况登记表》报市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、市财政局备案。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（四）兑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付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资金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贷款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由借款人按月先行垫付，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金融机构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根据季度内实际发生贷款额提供贴息需求，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市财政局核准后，通过“一卡通”兑付到承贷金融机构，最后由承贷金融机构将贴息资金发放到借款人账户中。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、放贷范围及任务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范围。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云南澄江农村商业银行股份有限公司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澄江中成村镇银行负责全市辖区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贷款业务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，包括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托管区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路居镇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海口镇海关社区、海镜社区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任务。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度，澄江市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对各镇（街道）及承贷银行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不做数量指标安排，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贷款余额不得低于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上年度贷款余额总数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、保障措施及工作要求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（一）加强领导、健全组织。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项目是国家支持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低收入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群众加快发展的重要措施之一，各相关部门要加强领导，一把手抓，发挥好贷款贴息资金四两拨千斤的作用。为确保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工作的顺利实施，市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各成员单位要根据各自的职能分工，各负其责，相互协作，齐心协力地搞好此次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工作。镇（街道）实行镇长（主任）负责制，对本镇（街道）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工作负总责，分管领导和相关工作人员负责表卡的收集、登记、公示、上报等工作。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（二）广泛宣传，营造氛围。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市、镇（街道）、村（社区）要广泛利用广播、电视、报纸等各种媒体，积极做好宣传发动工作。要将宣传资料送到脱贫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手中，使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政策做到家喻户晓，让脱贫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群众了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解贴息资金的用途，引导脱贫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树立风险意识和信用意识，正确处理好贴息、发展、致富的关系。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（三）精准识别，精准放贷。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人口（含三类监测对象）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金融机构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，切实做到精准识别，精准管理。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发放要做到既让有贷款愿望而符合条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件的脱贫群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众实现贷款，又确保贷款能按时回收，将贷款风险控制到最小。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（四）优化服务，提高效益。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市农业农村局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要做好政策宣传工作，主动帮助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群众寻找发展道路；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承贷金融机构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化贷款程序和手续，创新贷款机制。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放贷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月1日起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各镇（街道）、村（社区）要做好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申报、初审上报工作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开展贷前调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（五）强化监管，阳光操作。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脱贫小额信贷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群众关注度高，社会反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灵敏度强，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各镇（街道）在开展工作中务必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要做到公开、公平、公正，实行“阳光操作”，市财政局、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市农业农村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等部门要各司其职，齐抓共管，坚决杜绝徇私舞弊、弄虚作假等现象的发生。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（六）跟踪问效，良性运作。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为确保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资金运行良好，市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财政、审计、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对资金实行动态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定期开展核查工作，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不定期走访承贷农户，了解情况，发现问题，及时纠正，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坚决杜绝违规操作，切实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脱贫人口小额信贷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44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附件：云南省澄江市脱贫人口小额信贷申请推荐表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云南省澄江市脱贫人口小额信贷申请推荐表</w:t>
      </w:r>
    </w:p>
    <w:tbl>
      <w:tblPr>
        <w:tblStyle w:val="6"/>
        <w:tblW w:w="10360" w:type="dxa"/>
        <w:tblInd w:w="-8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525"/>
        <w:gridCol w:w="1"/>
        <w:gridCol w:w="1746"/>
        <w:gridCol w:w="1078"/>
        <w:gridCol w:w="1"/>
        <w:gridCol w:w="1039"/>
        <w:gridCol w:w="941"/>
        <w:gridCol w:w="2"/>
        <w:gridCol w:w="1094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借款人姓名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生产经营场所详细地址</w:t>
            </w:r>
          </w:p>
        </w:tc>
        <w:tc>
          <w:tcPr>
            <w:tcW w:w="6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申贷用途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申贷金额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申贷期限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贷款利率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还款计划</w:t>
            </w:r>
          </w:p>
        </w:tc>
        <w:tc>
          <w:tcPr>
            <w:tcW w:w="5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帮扶责任人姓名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贴息银行卡账号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银行卡持有者（户主）姓名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1" w:firstLineChars="0"/>
              <w:jc w:val="both"/>
              <w:textAlignment w:val="top"/>
              <w:outlineLvl w:val="9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我户充分知晓过渡期脱贫人口小额信贷政策，将把贷款资金用于生产经营、发展产业，不将贷款资金用于结婚、建房、理财、购置家庭用品等非生产性支出，也不以入股分红、转贷、指标交换等方式交由企业或其他组织使用。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我户已知悉脱贫人口小额信贷财政贴息资金将通过“银行卡”账户发放，所提供“银行卡”账号信息真实有效，并保证及时将应付利息存入还款账户，按时偿还贷款本金及利息。如有违反过渡期脱贫人口小额信贷政策的行为，本户愿意承担相关责任。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承诺人/申请人（签字并按手印）：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431" w:firstLineChars="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                       年   月 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村委会（社区）审核意见</w:t>
            </w:r>
          </w:p>
        </w:tc>
        <w:tc>
          <w:tcPr>
            <w:tcW w:w="9446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审核意见：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414" w:firstLineChars="70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经办人：                负责人：               (单位盖章）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414" w:firstLineChars="70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年     月     日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乡镇(街道)乡村振兴部门意见</w:t>
            </w:r>
          </w:p>
        </w:tc>
        <w:tc>
          <w:tcPr>
            <w:tcW w:w="9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审核意见：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616" w:firstLineChars="80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经办人：                负责人：                   (单位盖章）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616" w:firstLineChars="80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年     月     日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承贷银行机构（网点）意见</w:t>
            </w:r>
          </w:p>
        </w:tc>
        <w:tc>
          <w:tcPr>
            <w:tcW w:w="9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审批意见：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616" w:firstLineChars="80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经办人：                负责人：                   (单位盖章）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1616" w:firstLineChars="80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年     月     日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top"/>
        <w:outlineLvl w:val="9"/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说明： 1、本表一式2份，审批完成后，由镇（街道）、承贷银行机构各留存一份。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2、随本表提供个人相关资料：《居民身份证》正反面、《户口簿》户主和借款人页面复印件。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0" w:rightChars="0" w:firstLine="546" w:firstLineChars="300"/>
        <w:jc w:val="left"/>
        <w:textAlignment w:val="top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3、本表所指帮扶责任人是指由脱贫（扶贫）挂钩单位指定的帮扶人员。</w:t>
      </w:r>
    </w:p>
    <w:sectPr>
      <w:headerReference r:id="rId3" w:type="default"/>
      <w:footerReference r:id="rId4" w:type="default"/>
      <w:pgSz w:w="11907" w:h="16840"/>
      <w:pgMar w:top="2098" w:right="1193" w:bottom="1984" w:left="1587" w:header="1361" w:footer="1531" w:gutter="227"/>
      <w:pgNumType w:fmt="decimal"/>
      <w:cols w:space="720" w:num="1"/>
      <w:rtlGutter w:val="0"/>
      <w:docGrid w:type="linesAndChars" w:linePitch="318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F41BC"/>
    <w:rsid w:val="01FA290E"/>
    <w:rsid w:val="026E1A99"/>
    <w:rsid w:val="05462172"/>
    <w:rsid w:val="0582791C"/>
    <w:rsid w:val="0C284E8C"/>
    <w:rsid w:val="0C2F6D85"/>
    <w:rsid w:val="17A211C9"/>
    <w:rsid w:val="1F68397B"/>
    <w:rsid w:val="27AA701E"/>
    <w:rsid w:val="2C397B34"/>
    <w:rsid w:val="2DCD6D5B"/>
    <w:rsid w:val="2EAB130A"/>
    <w:rsid w:val="2FFE1167"/>
    <w:rsid w:val="32222552"/>
    <w:rsid w:val="325522ED"/>
    <w:rsid w:val="33D03D16"/>
    <w:rsid w:val="36266C69"/>
    <w:rsid w:val="363833D1"/>
    <w:rsid w:val="3BEB6CC5"/>
    <w:rsid w:val="3D0A2E2C"/>
    <w:rsid w:val="3FE007CF"/>
    <w:rsid w:val="3FE90A7A"/>
    <w:rsid w:val="3FF252B4"/>
    <w:rsid w:val="42EF41BC"/>
    <w:rsid w:val="478356B4"/>
    <w:rsid w:val="512B214B"/>
    <w:rsid w:val="529F19B7"/>
    <w:rsid w:val="5336271E"/>
    <w:rsid w:val="557F21C6"/>
    <w:rsid w:val="5666218E"/>
    <w:rsid w:val="60343049"/>
    <w:rsid w:val="61261786"/>
    <w:rsid w:val="65C575C3"/>
    <w:rsid w:val="681C3327"/>
    <w:rsid w:val="692B5369"/>
    <w:rsid w:val="6AED4FE0"/>
    <w:rsid w:val="6E186FD5"/>
    <w:rsid w:val="709C33BF"/>
    <w:rsid w:val="70F04414"/>
    <w:rsid w:val="74946967"/>
    <w:rsid w:val="7C034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938</Words>
  <Characters>962</Characters>
  <Lines>0</Lines>
  <Paragraphs>0</Paragraphs>
  <ScaleCrop>false</ScaleCrop>
  <LinksUpToDate>false</LinksUpToDate>
  <CharactersWithSpaces>1043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2023-01-28T08:04:00Z</dcterms:created>
  <dc:creator>Administrator</dc:creator>
  <cp:lastModifiedBy>Administrator</cp:lastModifiedBy>
  <dcterms:modified xsi:type="dcterms:W3CDTF">2025-01-23T07:56:31Z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TemplateDocerSaveRecord">
    <vt:lpwstr>eyJoZGlkIjoiNDY0OTFhM2RiNzBhZDkzYTFkYzIwOGMwZDJiYTM0ZmMiLCJ1c2VySWQiOiI0NDg4MDI2MTIifQ==</vt:lpwstr>
  </property>
  <property fmtid="{D5CDD505-2E9C-101B-9397-08002B2CF9AE}" pid="4" name="ICV">
    <vt:lpwstr>4301A56633604B378029ABA69F0DA895_12</vt:lpwstr>
  </property>
</Properties>
</file>