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5733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9F31A71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5B2F5AA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b/>
          <w:color w:val="FF0000"/>
          <w:spacing w:val="-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379095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29.85pt;height:0.05pt;width:442.2pt;z-index:251665408;mso-width-relative:page;mso-height-relative:page;" filled="f" stroked="t" coordsize="21600,21600" o:gfxdata="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pROdjWAAAACAEAAA8AAAAAAAAAAQAgAAAAIgAAAGRycy9kb3ducmV2LnhtbFBL&#10;AQIUABQAAAAIAIdO4kD+jl7B+AEAAOc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EEB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D9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95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澄江市财政局 澄江市农业农村局关于下达2025年第二批中央财政衔接推进乡村振兴补助资金的通知</w:t>
      </w:r>
    </w:p>
    <w:bookmarkEnd w:id="0"/>
    <w:p w14:paraId="0799AA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ab/>
      </w:r>
    </w:p>
    <w:p w14:paraId="4C6E6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澄江市公共就业和人才服务中心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，龙街、海口、右所、路居镇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29A58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第二批中央财政衔接推进乡村振兴补助资金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项目建设的顺利进行，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根据《玉溪市财政局关于下达2025年第二批中央财政衔接推进乡村振兴补助资金的通知》（玉财农〔2025〕38号）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</w:t>
      </w:r>
      <w:r>
        <w:rPr>
          <w:rFonts w:hint="eastAsia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，结合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澄江市人民政府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批复，现将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中央财政衔接推进乡村振兴补助资金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给你们（详见附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），并就相关事项通知如下：</w:t>
      </w:r>
    </w:p>
    <w:p w14:paraId="4FA79C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 w14:paraId="26C3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cs="Times New Roman"/>
          <w:sz w:val="32"/>
          <w:szCs w:val="32"/>
          <w:lang w:eastAsia="zh-CN"/>
        </w:rPr>
        <w:t>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精准使用资金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eastAsia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和产业扶持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 w14:paraId="0EB36F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加强项目及资金执行力度</w:t>
      </w:r>
    </w:p>
    <w:p w14:paraId="5C77F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以目标为导向，加强项目及资金的执行力度，项目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批复后尽快组织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开工建设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，确保各项建设任务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cs="Times New Roman"/>
          <w:color w:val="auto"/>
          <w:sz w:val="32"/>
          <w:szCs w:val="32"/>
          <w:lang w:eastAsia="zh-CN"/>
        </w:rPr>
        <w:t>资金拨付严格按照《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中央财政衔接推进乡村振兴补助资金管理办法</w:t>
      </w:r>
      <w:r>
        <w:rPr>
          <w:rFonts w:hint="eastAsia" w:cs="Times New Roman"/>
          <w:color w:val="auto"/>
          <w:sz w:val="32"/>
          <w:szCs w:val="32"/>
          <w:lang w:eastAsia="zh-CN"/>
        </w:rPr>
        <w:t>》（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cs="Times New Roman"/>
          <w:color w:val="auto"/>
          <w:sz w:val="32"/>
          <w:szCs w:val="32"/>
          <w:lang w:eastAsia="zh-CN"/>
        </w:rPr>
        <w:t>）执行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13B079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 w14:paraId="3DCAD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根据要求，及时对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项目建设内容及资金使用计划等信息进行公示</w:t>
      </w:r>
      <w:r>
        <w:rPr>
          <w:rFonts w:hint="eastAsia" w:cs="Times New Roman"/>
          <w:sz w:val="32"/>
          <w:szCs w:val="32"/>
          <w:lang w:eastAsia="zh-CN"/>
        </w:rPr>
        <w:t>、公开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，项目建成经镇、街道验收后，对项目建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内容及资金使用情况等信息进行公告，公示公告可采用纸质粘贴、网站公布、手机信息等多种形式，通过公告公示，提高资金使用透明度，充分接受社会监督。</w:t>
      </w:r>
    </w:p>
    <w:p w14:paraId="27FA6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C05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2609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772" w:leftChars="200" w:hanging="1132" w:hangingChars="354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第二批</w:t>
      </w:r>
      <w:r>
        <w:rPr>
          <w:rFonts w:hint="eastAsia" w:cs="Times New Roman"/>
          <w:sz w:val="32"/>
          <w:szCs w:val="32"/>
          <w:lang w:eastAsia="zh-CN"/>
        </w:rPr>
        <w:t>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 w14:paraId="462C1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3" w:leftChars="471" w:hanging="256" w:hangingChars="80"/>
        <w:jc w:val="both"/>
        <w:textAlignment w:val="auto"/>
        <w:rPr>
          <w:rFonts w:hint="eastAsia" w:eastAsia="方正小标宋_GBK"/>
          <w:spacing w:val="-20"/>
          <w:sz w:val="40"/>
          <w:szCs w:val="40"/>
        </w:rPr>
      </w:pPr>
      <w:r>
        <w:rPr>
          <w:rFonts w:hint="eastAsia"/>
          <w:lang w:val="en-US" w:eastAsia="zh-CN"/>
        </w:rPr>
        <w:t>2.</w:t>
      </w:r>
      <w:r>
        <w:rPr>
          <w:rFonts w:hint="eastAsia" w:cs="Times New Roman"/>
          <w:sz w:val="32"/>
          <w:szCs w:val="32"/>
          <w:lang w:val="en-US" w:eastAsia="zh-CN"/>
        </w:rPr>
        <w:t>澄江市2025年第二批</w:t>
      </w:r>
      <w:r>
        <w:rPr>
          <w:rFonts w:hint="eastAsia" w:cs="Times New Roman"/>
          <w:sz w:val="32"/>
          <w:szCs w:val="32"/>
          <w:lang w:eastAsia="zh-CN"/>
        </w:rPr>
        <w:t>中央财政衔接推进乡村振兴补助资金</w:t>
      </w:r>
      <w:r>
        <w:rPr>
          <w:rFonts w:hint="eastAsia" w:cs="Times New Roman"/>
          <w:sz w:val="32"/>
          <w:szCs w:val="32"/>
          <w:lang w:val="en-US" w:eastAsia="zh-CN"/>
        </w:rPr>
        <w:t>项目绩效目标表</w:t>
      </w:r>
    </w:p>
    <w:p w14:paraId="6990D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hanging="320" w:hangingChars="100"/>
        <w:textAlignment w:val="auto"/>
        <w:rPr>
          <w:rFonts w:hint="eastAsia"/>
          <w:lang w:val="en-US" w:eastAsia="zh-CN"/>
        </w:rPr>
      </w:pPr>
    </w:p>
    <w:p w14:paraId="66A3F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 w14:paraId="374095CD">
      <w:pPr>
        <w:pStyle w:val="2"/>
        <w:rPr>
          <w:rFonts w:hint="eastAsia"/>
          <w:lang w:val="en-US" w:eastAsia="zh-CN"/>
        </w:rPr>
      </w:pPr>
    </w:p>
    <w:p w14:paraId="1AC1AD3E">
      <w:pPr>
        <w:pStyle w:val="2"/>
        <w:rPr>
          <w:rFonts w:hint="eastAsia"/>
          <w:lang w:val="en-US" w:eastAsia="zh-CN"/>
        </w:rPr>
      </w:pPr>
    </w:p>
    <w:p w14:paraId="2C845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cs="Times New Roman"/>
          <w:color w:val="282828"/>
          <w:sz w:val="32"/>
          <w:szCs w:val="32"/>
          <w:lang w:eastAsia="zh-CN"/>
        </w:rPr>
      </w:pPr>
      <w:r>
        <w:rPr>
          <w:rFonts w:hint="eastAsia"/>
          <w:color w:val="282828"/>
          <w:sz w:val="32"/>
          <w:szCs w:val="32"/>
          <w:lang w:eastAsia="zh-CN"/>
        </w:rPr>
        <w:t>澄江市财政</w:t>
      </w:r>
      <w:r>
        <w:rPr>
          <w:rFonts w:hint="eastAsia"/>
          <w:color w:val="282828"/>
          <w:sz w:val="32"/>
          <w:szCs w:val="32"/>
          <w:lang w:val="en-US" w:eastAsia="zh-CN"/>
        </w:rPr>
        <w:t xml:space="preserve">局            </w:t>
      </w: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282828"/>
          <w:sz w:val="32"/>
          <w:szCs w:val="32"/>
          <w:lang w:eastAsia="zh-CN"/>
        </w:rPr>
        <w:t>澄江市农业农村局</w:t>
      </w:r>
    </w:p>
    <w:p w14:paraId="03CF5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</w:pPr>
    </w:p>
    <w:p w14:paraId="7D115EAD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3EAC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      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/>
          <w:color w:val="282828"/>
          <w:sz w:val="32"/>
          <w:szCs w:val="32"/>
        </w:rPr>
        <w:t>年</w:t>
      </w:r>
      <w:r>
        <w:rPr>
          <w:rFonts w:hint="eastAsia"/>
          <w:color w:val="282828"/>
          <w:sz w:val="32"/>
          <w:szCs w:val="32"/>
          <w:lang w:val="en-US" w:eastAsia="zh-CN"/>
        </w:rPr>
        <w:t>7</w:t>
      </w:r>
      <w:r>
        <w:rPr>
          <w:rFonts w:eastAsia="方正仿宋_GBK"/>
          <w:color w:val="282828"/>
          <w:sz w:val="32"/>
          <w:szCs w:val="32"/>
        </w:rPr>
        <w:t>月</w:t>
      </w:r>
      <w:r>
        <w:rPr>
          <w:rFonts w:hint="eastAsia"/>
          <w:color w:val="282828"/>
          <w:sz w:val="32"/>
          <w:szCs w:val="32"/>
          <w:lang w:val="en-US" w:eastAsia="zh-CN"/>
        </w:rPr>
        <w:t>4日</w:t>
      </w:r>
    </w:p>
    <w:p w14:paraId="5538993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 w14:paraId="339BDE3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澄江市202</w:t>
      </w:r>
      <w:r>
        <w:rPr>
          <w:rFonts w:hint="eastAsia" w:eastAsia="方正小标宋_GBK" w:cs="Times New Roman"/>
          <w:color w:val="282828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年</w:t>
      </w:r>
      <w:r>
        <w:rPr>
          <w:rFonts w:hint="eastAsia" w:eastAsia="方正小标宋_GBK" w:cs="Times New Roman"/>
          <w:color w:val="282828"/>
          <w:sz w:val="36"/>
          <w:szCs w:val="36"/>
          <w:lang w:val="en-US" w:eastAsia="zh-CN"/>
        </w:rPr>
        <w:t>第二批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财政衔接推进乡村振兴补助资金分配表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 xml:space="preserve">  </w:t>
      </w:r>
      <w:r>
        <w:rPr>
          <w:rFonts w:hint="eastAsia" w:eastAsia="方正小标宋_GBK" w:cs="Times New Roman"/>
          <w:color w:val="282828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282828"/>
          <w:sz w:val="52"/>
          <w:szCs w:val="52"/>
          <w:vertAlign w:val="subscript"/>
          <w:lang w:val="en-US" w:eastAsia="zh-CN"/>
        </w:rPr>
        <w:t>单位：万元</w:t>
      </w:r>
    </w:p>
    <w:tbl>
      <w:tblPr>
        <w:tblStyle w:val="11"/>
        <w:tblW w:w="15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35"/>
        <w:gridCol w:w="4578"/>
        <w:gridCol w:w="1425"/>
        <w:gridCol w:w="2381"/>
        <w:gridCol w:w="2663"/>
        <w:gridCol w:w="1856"/>
      </w:tblGrid>
      <w:tr w14:paraId="332F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4D33C">
            <w:pPr>
              <w:tabs>
                <w:tab w:val="left" w:pos="1529"/>
              </w:tabs>
              <w:bidi w:val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F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下达金额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0F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461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0EC0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F11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B61A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8F0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621F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9C21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4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澄江市公共就业和人才服务中心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</w:t>
            </w:r>
            <w:r>
              <w:rPr>
                <w:rStyle w:val="25"/>
                <w:rFonts w:eastAsia="宋体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年脱贫劳动力职业技能培训项目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其他巩固脱贫衔接乡村振兴支出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E01A1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B81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E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澄江市海口镇海关社区矣渡村</w:t>
            </w:r>
            <w:r>
              <w:rPr>
                <w:rStyle w:val="25"/>
                <w:rFonts w:eastAsia="宋体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年衔接资金乡村旅游创意集市建设项目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9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F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3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B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澄江市龙街街道立昌社区</w:t>
            </w:r>
            <w:r>
              <w:rPr>
                <w:rStyle w:val="25"/>
                <w:rFonts w:eastAsia="宋体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年财政衔接资金农特产品分拣包装车间及交易中心建设项目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E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D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F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D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澄江市路居镇三百亩村委会</w:t>
            </w:r>
            <w:r>
              <w:rPr>
                <w:rStyle w:val="25"/>
                <w:rFonts w:eastAsia="宋体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年财政衔接资金仓储冷链建设项目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B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5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3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0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澄江市右所镇矣旧社区</w:t>
            </w:r>
            <w:r>
              <w:rPr>
                <w:rStyle w:val="25"/>
                <w:rFonts w:eastAsia="宋体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年衔接资金乡村旅游创意园建设项目（二期）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7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1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62E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124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ECE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BA8017">
      <w:pPr>
        <w:tabs>
          <w:tab w:val="left" w:pos="1529"/>
        </w:tabs>
        <w:bidi w:val="0"/>
        <w:jc w:val="left"/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850" w:right="850" w:bottom="850" w:left="850" w:header="851" w:footer="992" w:gutter="0"/>
          <w:cols w:space="0" w:num="1"/>
          <w:rtlGutter w:val="0"/>
          <w:docGrid w:type="lines" w:linePitch="443" w:charSpace="0"/>
        </w:sectPr>
      </w:pPr>
    </w:p>
    <w:p w14:paraId="59A4AA46">
      <w:pPr>
        <w:pStyle w:val="2"/>
        <w:rPr>
          <w:rFonts w:hint="default"/>
        </w:rPr>
      </w:pPr>
    </w:p>
    <w:p w14:paraId="38016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B4A7C0A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33667E2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6B58EAA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C821C2D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F9A6E58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033F3DB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EFB4D14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ED3CB48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79D5A80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78BC6E2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A138453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1A9DCDC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40D8251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BEE2FB5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9B2B4FB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71E1A29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7A6144A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C6B63CA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55261D4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A6BD668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149589B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ED0A86F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3DB54320">
      <w:pPr>
        <w:pStyle w:val="2"/>
        <w:rPr>
          <w:rFonts w:hint="default"/>
        </w:rPr>
      </w:pPr>
    </w:p>
    <w:p w14:paraId="523BF816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5CAF84E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2A418CD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9EBF4F4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18C7B10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1015431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348CAF3B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DD6B8D4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8C81D7F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F8E296E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202764D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A15F766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197211D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987FEAF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1813975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E4E0586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9834D8D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1151202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4888030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F8488CD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C1FBDE4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E03AB99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CA00B88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36277FD2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6DE29A5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825CFC8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E008CBA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AC8185E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299ADEB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ACA02AC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B5A34A7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8D1A897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95C31EE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7AD6BF1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22C741E">
      <w:pPr>
        <w:rPr>
          <w:rFonts w:hint="default"/>
        </w:rPr>
      </w:pPr>
    </w:p>
    <w:p w14:paraId="2D890D26">
      <w:pPr>
        <w:pStyle w:val="2"/>
        <w:rPr>
          <w:rFonts w:hint="default"/>
        </w:rPr>
      </w:pPr>
    </w:p>
    <w:p w14:paraId="2FDEC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66675</wp:posOffset>
                </wp:positionV>
                <wp:extent cx="6238875" cy="23495"/>
                <wp:effectExtent l="0" t="6350" r="952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2349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6pt;margin-top:5.25pt;height:1.85pt;width:491.25pt;z-index:251660288;mso-width-relative:page;mso-height-relative:page;" filled="f" stroked="t" coordsize="21600,21600" o:gfxdata="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Xau9YAAAAIAQAADwAAAAAAAAABACAAAAAiAAAAZHJzL2Rvd25yZXYueG1s&#10;UEsBAhQAFAAAAAgAh07iQJEJVOP6AQAA6QMAAA4AAAAAAAAAAQAgAAAAJQEAAGRycy9lMm9Eb2Mu&#10;eG1sUEsFBgAAAAAGAAYAWQEAAJE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  <w:t>抄送：本局预算股</w:t>
      </w:r>
    </w:p>
    <w:p w14:paraId="6CD28E7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370205</wp:posOffset>
                </wp:positionV>
                <wp:extent cx="623887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55pt;margin-top:29.15pt;height:0pt;width:491.25pt;z-index:251661312;mso-width-relative:page;mso-height-relative:page;" filled="f" stroked="t" coordsize="21600,21600" o:gfxdata="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3Im2fUAAAACAEAAA8AAAAAAAAAAQAgAAAAIgAAAGRycy9kb3ducmV2LnhtbFBLAQIU&#10;ABQAAAAIAIdO4kCxULme9wEAAOUDAAAOAAAAAAAAAAEAIAAAACMBAABkcnMvZTJvRG9jLnhtbFBL&#10;BQYAAAAABgAGAFkBAACM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25400</wp:posOffset>
                </wp:positionV>
                <wp:extent cx="6214745" cy="11430"/>
                <wp:effectExtent l="0" t="4445" r="1460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143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55pt;margin-top:2pt;height:0.9pt;width:489.35pt;z-index:251662336;mso-width-relative:page;mso-height-relative:page;" filled="f" stroked="t" coordsize="21600,21600" o:gfxdata="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RqoQbVAAAABgEAAA8AAAAAAAAAAQAgAAAAIgAAAGRycy9kb3du&#10;cmV2LnhtbFBLAQIUABQAAAAIAIdO4kASQbwHAgIAAPIDAAAOAAAAAAAAAAEAIAAAACQBAABkcnMv&#10;ZTJvRG9jLnhtbFBLBQYAAAAABgAGAFkBAACY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澄江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财政局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 w14:paraId="6DCCB3FD"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2C849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5868035</wp:posOffset>
              </wp:positionH>
              <wp:positionV relativeFrom="page">
                <wp:posOffset>9984105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34401C4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05pt;margin-top:786.15pt;height:144pt;width:144pt;mso-position-horizontal-relative:page;mso-position-vertical-relative:page;mso-wrap-style:none;z-index:251663360;mso-width-relative:page;mso-height-relative:page;" filled="f" stroked="f" coordsize="21600,21600" o:gfxdata="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yAJO3AAAAA4BAAAPAAAAAAAAAAEA&#10;IAAAACIAAABkcnMvZG93bnJldi54bWxQSwECFAAUAAAACACHTuJAyezdItIBAACjAwAADgAAAAAA&#10;AAABACAAAAAr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34401C4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3DC08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9984105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1C7CDD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5pt;margin-top:786.15pt;height:144pt;width:144pt;mso-position-horizontal-relative:page;mso-position-vertical-relative:page;mso-wrap-style:none;z-index:251664384;mso-width-relative:page;mso-height-relative:page;" filled="f" stroked="f" coordsize="21600,21600" o:gfxdata="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KD7cTbAAAADQEAAA8AAAAAAAAAAQAg&#10;AAAAIgAAAGRycy9kb3ducmV2LnhtbFBLAQIUABQAAAAIAIdO4kD3u+pq0gEAAKMDAAAOAAAAAAAA&#10;AAEAIAAAACo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1C7CDD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B06A2">
    <w:pPr>
      <w:pStyle w:val="8"/>
      <w:ind w:right="360" w:firstLine="360"/>
    </w:pPr>
    <w:r>
      <w:rPr>
        <w:sz w:val="18"/>
      </w:rPr>
      <w:pict>
        <v:shape id="文本框 6" o:spid="_x0000_s2049" o:spt="202" type="#_x0000_t202" style="position:absolute;left:0pt;margin-left:462.05pt;margin-top:786.15pt;height:144pt;width:144pt;mso-position-horizontal-relative:page;mso-position-vertical-relative:page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3C0FED32"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64E8"/>
    <w:rsid w:val="02866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"/>
    <w:basedOn w:val="1"/>
    <w:next w:val="4"/>
    <w:qFormat/>
    <w:uiPriority w:val="1"/>
    <w:pPr>
      <w:ind w:left="20"/>
    </w:pPr>
    <w:rPr>
      <w:rFonts w:ascii="宋体" w:hAnsi="宋体" w:eastAsia="宋体"/>
      <w:sz w:val="55"/>
      <w:szCs w:val="55"/>
    </w:rPr>
  </w:style>
  <w:style w:type="paragraph" w:styleId="4">
    <w:name w:val="Body Text 2"/>
    <w:basedOn w:val="1"/>
    <w:qFormat/>
    <w:uiPriority w:val="0"/>
    <w:rPr>
      <w:color w:val="0000FF"/>
    </w:rPr>
  </w:style>
  <w:style w:type="paragraph" w:styleId="5">
    <w:name w:val="Plain Text"/>
    <w:basedOn w:val="1"/>
    <w:qFormat/>
    <w:uiPriority w:val="0"/>
    <w:rPr>
      <w:rFonts w:ascii="方正仿宋_GBK" w:hAnsi="Courier New" w:cs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6">
    <w:name w:val="Char Char1"/>
    <w:basedOn w:val="1"/>
    <w:qFormat/>
    <w:uiPriority w:val="0"/>
    <w:rPr>
      <w:rFonts w:eastAsia="宋体"/>
      <w:sz w:val="21"/>
      <w:szCs w:val="24"/>
    </w:rPr>
  </w:style>
  <w:style w:type="paragraph" w:customStyle="1" w:styleId="17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9">
    <w:name w:val="默认段落字体 Para Char Char Char Char Char Char Char"/>
    <w:basedOn w:val="1"/>
    <w:qFormat/>
    <w:uiPriority w:val="0"/>
    <w:rPr>
      <w:rFonts w:eastAsia="宋体"/>
    </w:rPr>
  </w:style>
  <w:style w:type="character" w:customStyle="1" w:styleId="20">
    <w:name w:val="font71"/>
    <w:basedOn w:val="13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4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3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2025-07-29T01:40:00Z</dcterms:created>
  <dc:creator>桃夭</dc:creator>
  <cp:lastModifiedBy>桃夭</cp:lastModifiedBy>
  <dcterms:modified xsi:type="dcterms:W3CDTF">2025-07-29T01:43:22Z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BD06DDF7B90943CF98142C1E9A028ECA_11</vt:lpwstr>
  </property>
  <property fmtid="{D5CDD505-2E9C-101B-9397-08002B2CF9AE}" pid="4" name="KSOTemplateDocerSaveRecord">
    <vt:lpwstr>eyJoZGlkIjoiYWMyMzViOTJjMTAwMjljMTllMzI5MThlYjEyNWJjZTIiLCJ1c2VySWQiOiI5NzQ3NzI3ODIifQ==</vt:lpwstr>
  </property>
</Properties>
</file>